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02EEF" w14:textId="77777777" w:rsidR="00D85B34" w:rsidRPr="005233D7" w:rsidRDefault="00D85B34" w:rsidP="00D85B34">
      <w:pPr>
        <w:pStyle w:val="Title"/>
        <w:rPr>
          <w:lang w:val="ru-RU"/>
        </w:rPr>
      </w:pPr>
      <w:r w:rsidRPr="003954F4">
        <w:rPr>
          <w:lang w:val="ru-RU"/>
        </w:rPr>
        <w:t>东正教教义神学</w:t>
      </w:r>
    </w:p>
    <w:p w14:paraId="77F25558" w14:textId="77777777" w:rsidR="004C59BB" w:rsidRPr="005233D7" w:rsidRDefault="004C59BB" w:rsidP="004C59BB">
      <w:pPr>
        <w:rPr>
          <w:lang w:val="ru-RU"/>
        </w:rPr>
      </w:pPr>
    </w:p>
    <w:p w14:paraId="5601EAA5" w14:textId="1FB69EBB" w:rsidR="004C59BB" w:rsidRPr="0012626F" w:rsidRDefault="004C59BB" w:rsidP="004C59BB">
      <w:pPr>
        <w:jc w:val="center"/>
        <w:rPr>
          <w:b/>
          <w:bCs/>
          <w:color w:val="0000FF"/>
          <w:sz w:val="32"/>
          <w:szCs w:val="28"/>
        </w:rPr>
      </w:pPr>
      <w:r w:rsidRPr="0012626F">
        <w:rPr>
          <w:b/>
          <w:bCs/>
          <w:color w:val="0000FF"/>
          <w:sz w:val="32"/>
          <w:szCs w:val="28"/>
          <w:lang w:val="ru-RU"/>
        </w:rPr>
        <w:t>马卡里（布尔加科夫）大主教</w:t>
      </w:r>
    </w:p>
    <w:p w14:paraId="230C8F39" w14:textId="77777777" w:rsidR="005233D7" w:rsidRDefault="005233D7" w:rsidP="005233D7">
      <w:pPr>
        <w:rPr>
          <w:lang w:val="ru-RU"/>
        </w:rPr>
      </w:pPr>
    </w:p>
    <w:p w14:paraId="3861BB03" w14:textId="77777777" w:rsidR="005233D7" w:rsidRPr="005233D7" w:rsidRDefault="005233D7" w:rsidP="005233D7">
      <w:pPr>
        <w:rPr>
          <w:lang w:val="ru-RU"/>
        </w:rPr>
      </w:pPr>
    </w:p>
    <w:p w14:paraId="757FF617" w14:textId="77C31FCF" w:rsidR="005233D7" w:rsidRPr="005233D7" w:rsidRDefault="005233D7" w:rsidP="005233D7">
      <w:pPr>
        <w:pStyle w:val="Title"/>
        <w:rPr>
          <w:lang w:val="ru-RU"/>
        </w:rPr>
      </w:pPr>
      <w:r>
        <w:t>第二</w:t>
      </w:r>
      <w:r>
        <w:rPr>
          <w:lang w:val="ru-RU"/>
        </w:rPr>
        <w:t>部分</w:t>
      </w:r>
      <w:r w:rsidRPr="005233D7">
        <w:rPr>
          <w:lang w:val="ru-RU"/>
        </w:rPr>
        <w:t xml:space="preserve">。 </w:t>
      </w:r>
      <w:r>
        <w:rPr>
          <w:lang w:val="ru-RU"/>
        </w:rPr>
        <w:br/>
        <w:t>论救世主上帝及其与人类的特殊关系</w:t>
      </w:r>
    </w:p>
    <w:p w14:paraId="55D79697" w14:textId="77777777" w:rsidR="005233D7" w:rsidRDefault="005233D7" w:rsidP="005233D7">
      <w:pPr>
        <w:rPr>
          <w:lang w:val="ru-RU"/>
        </w:rPr>
      </w:pPr>
    </w:p>
    <w:p w14:paraId="590F4B85" w14:textId="77777777" w:rsidR="005233D7" w:rsidRDefault="005233D7" w:rsidP="005233D7">
      <w:pPr>
        <w:rPr>
          <w:lang w:val="ru-RU"/>
        </w:rPr>
      </w:pPr>
    </w:p>
    <w:p w14:paraId="01D566A5" w14:textId="77777777" w:rsidR="005233D7" w:rsidRPr="005233D7" w:rsidRDefault="005233D7" w:rsidP="005233D7">
      <w:pPr>
        <w:rPr>
          <w:lang w:val="ru-RU"/>
        </w:rPr>
      </w:pPr>
    </w:p>
    <w:p w14:paraId="76568A48" w14:textId="77777777" w:rsidR="005233D7" w:rsidRPr="00FD56E2" w:rsidRDefault="005233D7" w:rsidP="005233D7">
      <w:pPr>
        <w:jc w:val="center"/>
        <w:rPr>
          <w:b/>
          <w:bCs/>
          <w:noProof/>
          <w:color w:val="993300"/>
          <w:lang w:val="ru-RU"/>
        </w:rPr>
      </w:pPr>
      <w:r w:rsidRPr="00FD56E2">
        <w:rPr>
          <w:b/>
          <w:bCs/>
          <w:noProof/>
          <w:color w:val="993300"/>
          <w:lang w:val="ru-RU"/>
        </w:rPr>
        <w:t>修订增补版，2005年。</w:t>
      </w:r>
    </w:p>
    <w:p w14:paraId="7103DFD8" w14:textId="77777777" w:rsidR="005233D7" w:rsidRPr="00FD56E2" w:rsidRDefault="005233D7" w:rsidP="005233D7">
      <w:pPr>
        <w:jc w:val="center"/>
        <w:rPr>
          <w:b/>
          <w:bCs/>
          <w:noProof/>
          <w:color w:val="993300"/>
          <w:lang w:val="ru-RU"/>
        </w:rPr>
      </w:pPr>
      <w:r w:rsidRPr="00FD56E2">
        <w:rPr>
          <w:b/>
          <w:bCs/>
          <w:noProof/>
          <w:color w:val="993300"/>
          <w:lang w:val="ru-RU"/>
        </w:rPr>
        <w:t>©圣三一东正教传教团。</w:t>
      </w:r>
    </w:p>
    <w:p w14:paraId="3CAF4CB1" w14:textId="77777777" w:rsidR="005233D7" w:rsidRPr="00FD56E2" w:rsidRDefault="005233D7" w:rsidP="005233D7">
      <w:pPr>
        <w:jc w:val="center"/>
        <w:rPr>
          <w:b/>
          <w:bCs/>
          <w:noProof/>
          <w:color w:val="993300"/>
          <w:lang w:val="ru-RU"/>
        </w:rPr>
      </w:pPr>
      <w:r w:rsidRPr="00FD56E2">
        <w:rPr>
          <w:b/>
          <w:bCs/>
          <w:noProof/>
          <w:color w:val="993300"/>
          <w:lang w:val="ru-RU"/>
        </w:rPr>
        <w:t>由亚历山大主教阁下总编，</w:t>
      </w:r>
    </w:p>
    <w:p w14:paraId="2C1DF972" w14:textId="77777777" w:rsidR="005233D7" w:rsidRPr="00FD56E2" w:rsidRDefault="005233D7" w:rsidP="005233D7">
      <w:pPr>
        <w:jc w:val="center"/>
        <w:rPr>
          <w:b/>
          <w:bCs/>
          <w:noProof/>
          <w:color w:val="993300"/>
          <w:lang w:val="ru-RU"/>
        </w:rPr>
      </w:pPr>
      <w:r w:rsidRPr="00FD56E2">
        <w:rPr>
          <w:b/>
          <w:bCs/>
          <w:noProof/>
          <w:color w:val="993300"/>
          <w:lang w:val="ru-RU"/>
        </w:rPr>
        <w:t>布宜诺斯艾利斯及南美洲教区主教。</w:t>
      </w:r>
    </w:p>
    <w:p w14:paraId="14F74769" w14:textId="77777777" w:rsidR="005233D7" w:rsidRPr="00FD56E2" w:rsidRDefault="005233D7" w:rsidP="005233D7">
      <w:pPr>
        <w:jc w:val="center"/>
        <w:rPr>
          <w:rFonts w:ascii="Arial" w:hAnsi="Arial" w:cs="Arial"/>
          <w:noProof/>
          <w:color w:val="800000"/>
          <w:sz w:val="36"/>
          <w:lang w:val="ru-RU"/>
        </w:rPr>
      </w:pPr>
      <w:r w:rsidRPr="00FD56E2">
        <w:rPr>
          <w:b/>
          <w:bCs/>
          <w:noProof/>
          <w:color w:val="993300"/>
          <w:lang w:val="ru-RU"/>
        </w:rPr>
        <w:t>（根据1883年圣彼得堡第四版。）</w:t>
      </w:r>
    </w:p>
    <w:p w14:paraId="0D89B0F6" w14:textId="77777777" w:rsidR="005233D7" w:rsidRPr="005233D7" w:rsidRDefault="005233D7" w:rsidP="005233D7">
      <w:pPr>
        <w:rPr>
          <w:lang w:val="ru-RU"/>
        </w:rPr>
      </w:pPr>
    </w:p>
    <w:p w14:paraId="6F59F648" w14:textId="77777777" w:rsidR="00B97705" w:rsidRPr="00BD6C1B" w:rsidRDefault="00B97705" w:rsidP="00B97705">
      <w:pPr>
        <w:rPr>
          <w:lang w:val="ru-RU"/>
        </w:rPr>
      </w:pPr>
    </w:p>
    <w:p w14:paraId="694A2D74" w14:textId="77777777" w:rsidR="00B97705" w:rsidRPr="00BD6C1B" w:rsidRDefault="00B97705" w:rsidP="00B97705">
      <w:pPr>
        <w:rPr>
          <w:lang w:val="ru-RU"/>
        </w:rPr>
      </w:pPr>
    </w:p>
    <w:p w14:paraId="5DBE9A5F" w14:textId="77777777" w:rsidR="001549FC" w:rsidRDefault="001549FC" w:rsidP="00B97705">
      <w:pPr>
        <w:rPr>
          <w:sz w:val="28"/>
          <w:szCs w:val="24"/>
          <w:lang w:val="ru-RU"/>
        </w:rPr>
      </w:pPr>
      <w:r w:rsidRPr="001549FC">
        <w:rPr>
          <w:b/>
          <w:bCs/>
          <w:sz w:val="32"/>
          <w:szCs w:val="28"/>
          <w:lang w:val="ru-RU"/>
        </w:rPr>
        <w:t>目录</w:t>
      </w:r>
      <w:r w:rsidRPr="001549FC">
        <w:rPr>
          <w:sz w:val="32"/>
          <w:szCs w:val="28"/>
          <w:lang w:val="ru-RU"/>
        </w:rPr>
        <w:t>：</w:t>
      </w:r>
    </w:p>
    <w:p w14:paraId="7435298B" w14:textId="77777777" w:rsidR="001549FC" w:rsidRDefault="00000000" w:rsidP="001549FC">
      <w:pPr>
        <w:rPr>
          <w:sz w:val="28"/>
          <w:szCs w:val="24"/>
        </w:rPr>
      </w:pPr>
      <w:r>
        <w:rPr>
          <w:sz w:val="28"/>
          <w:szCs w:val="24"/>
          <w:lang w:val="ru-RU"/>
        </w:rPr>
        <w:pict w14:anchorId="7370A13F">
          <v:rect id="_x0000_i1026" style="width:0;height:1.5pt" o:hralign="center" o:bullet="t" o:hrstd="t" o:hr="t" fillcolor="#a0a0a0" stroked="f"/>
        </w:pict>
      </w:r>
    </w:p>
    <w:p w14:paraId="5E6F2109" w14:textId="345D04B8" w:rsidR="0097554A" w:rsidRDefault="0097554A" w:rsidP="0097554A">
      <w:pPr>
        <w:pStyle w:val="TOC5"/>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76459" w:history="1">
        <w:r w:rsidRPr="00C04594">
          <w:rPr>
            <w:rStyle w:val="Hyperlink"/>
            <w:noProof/>
            <w:lang w:val="ru-RU"/>
          </w:rPr>
          <w:t xml:space="preserve">§122.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联、该主题的重要性、教会对此的教义及其教义的分歧</w:t>
        </w:r>
        <w:r>
          <w:rPr>
            <w:noProof/>
            <w:webHidden/>
          </w:rPr>
          <w:tab/>
        </w:r>
        <w:r>
          <w:rPr>
            <w:noProof/>
            <w:webHidden/>
          </w:rPr>
          <w:fldChar w:fldCharType="begin"/>
        </w:r>
        <w:r>
          <w:rPr>
            <w:noProof/>
            <w:webHidden/>
          </w:rPr>
          <w:instrText xml:space="preserve"> PAGEREF _Toc238576459 \h </w:instrText>
        </w:r>
        <w:r>
          <w:rPr>
            <w:noProof/>
            <w:webHidden/>
          </w:rPr>
        </w:r>
        <w:r>
          <w:rPr>
            <w:noProof/>
            <w:webHidden/>
          </w:rPr>
          <w:fldChar w:fldCharType="separate"/>
        </w:r>
        <w:r w:rsidR="007B5AC0">
          <w:rPr>
            <w:noProof/>
            <w:webHidden/>
          </w:rPr>
          <w:t>6</w:t>
        </w:r>
        <w:r>
          <w:rPr>
            <w:noProof/>
            <w:webHidden/>
          </w:rPr>
          <w:fldChar w:fldCharType="end"/>
        </w:r>
      </w:hyperlink>
    </w:p>
    <w:p w14:paraId="685340BE" w14:textId="3D16F40A" w:rsidR="0097554A" w:rsidRDefault="0097554A" w:rsidP="0097554A">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6460" w:history="1">
        <w:r w:rsidRPr="00C04594">
          <w:rPr>
            <w:rStyle w:val="Hyperlink"/>
            <w:rFonts w:ascii="MS Gothic" w:eastAsia="MS Gothic" w:hAnsi="MS Gothic" w:cs="MS Gothic" w:hint="eastAsia"/>
            <w:noProof/>
          </w:rPr>
          <w:t>第一</w:t>
        </w:r>
        <w:r w:rsidRPr="00C04594">
          <w:rPr>
            <w:rStyle w:val="Hyperlink"/>
            <w:rFonts w:ascii="MS Gothic" w:eastAsia="MS Gothic" w:hAnsi="MS Gothic" w:cs="MS Gothic" w:hint="eastAsia"/>
            <w:noProof/>
            <w:lang w:val="ru-RU"/>
          </w:rPr>
          <w:t>部分。</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论救主上帝</w:t>
        </w:r>
        <w:r>
          <w:rPr>
            <w:noProof/>
            <w:webHidden/>
          </w:rPr>
          <w:tab/>
        </w:r>
        <w:r>
          <w:rPr>
            <w:noProof/>
            <w:webHidden/>
          </w:rPr>
          <w:fldChar w:fldCharType="begin"/>
        </w:r>
        <w:r>
          <w:rPr>
            <w:noProof/>
            <w:webHidden/>
          </w:rPr>
          <w:instrText xml:space="preserve"> PAGEREF _Toc238576460 \h </w:instrText>
        </w:r>
        <w:r>
          <w:rPr>
            <w:noProof/>
            <w:webHidden/>
          </w:rPr>
        </w:r>
        <w:r>
          <w:rPr>
            <w:noProof/>
            <w:webHidden/>
          </w:rPr>
          <w:fldChar w:fldCharType="separate"/>
        </w:r>
        <w:r w:rsidR="007B5AC0">
          <w:rPr>
            <w:noProof/>
            <w:webHidden/>
          </w:rPr>
          <w:t>7</w:t>
        </w:r>
        <w:r>
          <w:rPr>
            <w:noProof/>
            <w:webHidden/>
          </w:rPr>
          <w:fldChar w:fldCharType="end"/>
        </w:r>
      </w:hyperlink>
    </w:p>
    <w:p w14:paraId="5CE79722" w14:textId="0769C8FA"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61" w:history="1">
        <w:r w:rsidRPr="00C04594">
          <w:rPr>
            <w:rStyle w:val="Hyperlink"/>
            <w:noProof/>
            <w:lang w:val="ru-RU"/>
          </w:rPr>
          <w:t xml:space="preserve">§123. </w:t>
        </w:r>
        <w:r w:rsidRPr="00C04594">
          <w:rPr>
            <w:rStyle w:val="Hyperlink"/>
            <w:rFonts w:ascii="MS Gothic" w:eastAsia="MS Gothic" w:hAnsi="MS Gothic" w:cs="MS Gothic" w:hint="eastAsia"/>
            <w:noProof/>
            <w:lang w:val="ru-RU"/>
          </w:rPr>
          <w:t>本</w:t>
        </w:r>
        <w:r w:rsidRPr="00C04594">
          <w:rPr>
            <w:rStyle w:val="Hyperlink"/>
            <w:rFonts w:ascii="Microsoft JhengHei" w:eastAsia="Microsoft JhengHei" w:hAnsi="Microsoft JhengHei" w:cs="Microsoft JhengHei" w:hint="eastAsia"/>
            <w:noProof/>
            <w:lang w:val="ru-RU"/>
          </w:rPr>
          <w:t>节的构成</w:t>
        </w:r>
        <w:r>
          <w:rPr>
            <w:noProof/>
            <w:webHidden/>
          </w:rPr>
          <w:tab/>
        </w:r>
        <w:r>
          <w:rPr>
            <w:noProof/>
            <w:webHidden/>
          </w:rPr>
          <w:fldChar w:fldCharType="begin"/>
        </w:r>
        <w:r>
          <w:rPr>
            <w:noProof/>
            <w:webHidden/>
          </w:rPr>
          <w:instrText xml:space="preserve"> PAGEREF _Toc238576461 \h </w:instrText>
        </w:r>
        <w:r>
          <w:rPr>
            <w:noProof/>
            <w:webHidden/>
          </w:rPr>
        </w:r>
        <w:r>
          <w:rPr>
            <w:noProof/>
            <w:webHidden/>
          </w:rPr>
          <w:fldChar w:fldCharType="separate"/>
        </w:r>
        <w:r w:rsidR="007B5AC0">
          <w:rPr>
            <w:noProof/>
            <w:webHidden/>
          </w:rPr>
          <w:t>8</w:t>
        </w:r>
        <w:r>
          <w:rPr>
            <w:noProof/>
            <w:webHidden/>
          </w:rPr>
          <w:fldChar w:fldCharType="end"/>
        </w:r>
      </w:hyperlink>
    </w:p>
    <w:p w14:paraId="3B9DD296" w14:textId="0F4F55CA" w:rsidR="0097554A" w:rsidRDefault="0097554A" w:rsidP="0097554A">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6462" w:history="1">
        <w:r w:rsidRPr="00C04594">
          <w:rPr>
            <w:rStyle w:val="Hyperlink"/>
            <w:rFonts w:ascii="MS Gothic" w:eastAsia="MS Gothic" w:hAnsi="MS Gothic" w:cs="MS Gothic" w:hint="eastAsia"/>
            <w:noProof/>
          </w:rPr>
          <w:t>第一</w:t>
        </w:r>
        <w:r w:rsidRPr="00C04594">
          <w:rPr>
            <w:rStyle w:val="Hyperlink"/>
            <w:rFonts w:ascii="MS Gothic" w:eastAsia="MS Gothic" w:hAnsi="MS Gothic" w:cs="MS Gothic" w:hint="eastAsia"/>
            <w:noProof/>
            <w:lang w:val="ru-RU"/>
          </w:rPr>
          <w:t>章。</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论上帝作为我们普遍的救主</w:t>
        </w:r>
        <w:r>
          <w:rPr>
            <w:noProof/>
            <w:webHidden/>
          </w:rPr>
          <w:tab/>
        </w:r>
        <w:r>
          <w:rPr>
            <w:noProof/>
            <w:webHidden/>
          </w:rPr>
          <w:fldChar w:fldCharType="begin"/>
        </w:r>
        <w:r>
          <w:rPr>
            <w:noProof/>
            <w:webHidden/>
          </w:rPr>
          <w:instrText xml:space="preserve"> PAGEREF _Toc238576462 \h </w:instrText>
        </w:r>
        <w:r>
          <w:rPr>
            <w:noProof/>
            <w:webHidden/>
          </w:rPr>
        </w:r>
        <w:r>
          <w:rPr>
            <w:noProof/>
            <w:webHidden/>
          </w:rPr>
          <w:fldChar w:fldCharType="separate"/>
        </w:r>
        <w:r w:rsidR="007B5AC0">
          <w:rPr>
            <w:noProof/>
            <w:webHidden/>
          </w:rPr>
          <w:t>8</w:t>
        </w:r>
        <w:r>
          <w:rPr>
            <w:noProof/>
            <w:webHidden/>
          </w:rPr>
          <w:fldChar w:fldCharType="end"/>
        </w:r>
      </w:hyperlink>
    </w:p>
    <w:p w14:paraId="30A4992A" w14:textId="5ACD422B"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63" w:history="1">
        <w:r w:rsidRPr="00C04594">
          <w:rPr>
            <w:rStyle w:val="Hyperlink"/>
            <w:noProof/>
            <w:lang w:val="ru-RU"/>
          </w:rPr>
          <w:t xml:space="preserve">§124. </w:t>
        </w:r>
        <w:r w:rsidRPr="00C04594">
          <w:rPr>
            <w:rStyle w:val="Hyperlink"/>
            <w:rFonts w:ascii="MS Gothic" w:eastAsia="MS Gothic" w:hAnsi="MS Gothic" w:cs="MS Gothic" w:hint="eastAsia"/>
            <w:noProof/>
            <w:lang w:val="ru-RU"/>
          </w:rPr>
          <w:t>尽管人自身具</w:t>
        </w:r>
        <w:r w:rsidRPr="00C04594">
          <w:rPr>
            <w:rStyle w:val="Hyperlink"/>
            <w:rFonts w:ascii="Microsoft JhengHei" w:eastAsia="Microsoft JhengHei" w:hAnsi="Microsoft JhengHei" w:cs="Microsoft JhengHei" w:hint="eastAsia"/>
            <w:noProof/>
            <w:lang w:val="ru-RU"/>
          </w:rPr>
          <w:t>备恢复的可能，但恢复人仍需神的帮助</w:t>
        </w:r>
        <w:r>
          <w:rPr>
            <w:noProof/>
            <w:webHidden/>
          </w:rPr>
          <w:tab/>
        </w:r>
        <w:r>
          <w:rPr>
            <w:noProof/>
            <w:webHidden/>
          </w:rPr>
          <w:fldChar w:fldCharType="begin"/>
        </w:r>
        <w:r>
          <w:rPr>
            <w:noProof/>
            <w:webHidden/>
          </w:rPr>
          <w:instrText xml:space="preserve"> PAGEREF _Toc238576463 \h </w:instrText>
        </w:r>
        <w:r>
          <w:rPr>
            <w:noProof/>
            <w:webHidden/>
          </w:rPr>
        </w:r>
        <w:r>
          <w:rPr>
            <w:noProof/>
            <w:webHidden/>
          </w:rPr>
          <w:fldChar w:fldCharType="separate"/>
        </w:r>
        <w:r w:rsidR="007B5AC0">
          <w:rPr>
            <w:noProof/>
            <w:webHidden/>
          </w:rPr>
          <w:t>8</w:t>
        </w:r>
        <w:r>
          <w:rPr>
            <w:noProof/>
            <w:webHidden/>
          </w:rPr>
          <w:fldChar w:fldCharType="end"/>
        </w:r>
      </w:hyperlink>
    </w:p>
    <w:p w14:paraId="35949D7A" w14:textId="65196404"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64" w:history="1">
        <w:r w:rsidRPr="00C04594">
          <w:rPr>
            <w:rStyle w:val="Hyperlink"/>
            <w:noProof/>
            <w:lang w:val="ru-RU"/>
          </w:rPr>
          <w:t xml:space="preserve">§125. </w:t>
        </w:r>
        <w:r w:rsidRPr="00C04594">
          <w:rPr>
            <w:rStyle w:val="Hyperlink"/>
            <w:rFonts w:ascii="MS Gothic" w:eastAsia="MS Gothic" w:hAnsi="MS Gothic" w:cs="MS Gothic" w:hint="eastAsia"/>
            <w:noProof/>
            <w:lang w:val="ru-RU"/>
          </w:rPr>
          <w:t>上帝</w:t>
        </w:r>
        <w:r w:rsidRPr="00C04594">
          <w:rPr>
            <w:rStyle w:val="Hyperlink"/>
            <w:rFonts w:ascii="Microsoft JhengHei" w:eastAsia="Microsoft JhengHei" w:hAnsi="Microsoft JhengHei" w:cs="Microsoft JhengHei" w:hint="eastAsia"/>
            <w:noProof/>
            <w:lang w:val="ru-RU"/>
          </w:rPr>
          <w:t>为恢复或救赎人类所选择的途径及其意义</w:t>
        </w:r>
        <w:r>
          <w:rPr>
            <w:noProof/>
            <w:webHidden/>
          </w:rPr>
          <w:tab/>
        </w:r>
        <w:r>
          <w:rPr>
            <w:noProof/>
            <w:webHidden/>
          </w:rPr>
          <w:fldChar w:fldCharType="begin"/>
        </w:r>
        <w:r>
          <w:rPr>
            <w:noProof/>
            <w:webHidden/>
          </w:rPr>
          <w:instrText xml:space="preserve"> PAGEREF _Toc238576464 \h </w:instrText>
        </w:r>
        <w:r>
          <w:rPr>
            <w:noProof/>
            <w:webHidden/>
          </w:rPr>
        </w:r>
        <w:r>
          <w:rPr>
            <w:noProof/>
            <w:webHidden/>
          </w:rPr>
          <w:fldChar w:fldCharType="separate"/>
        </w:r>
        <w:r w:rsidR="007B5AC0">
          <w:rPr>
            <w:noProof/>
            <w:webHidden/>
          </w:rPr>
          <w:t>11</w:t>
        </w:r>
        <w:r>
          <w:rPr>
            <w:noProof/>
            <w:webHidden/>
          </w:rPr>
          <w:fldChar w:fldCharType="end"/>
        </w:r>
      </w:hyperlink>
    </w:p>
    <w:p w14:paraId="216A1429" w14:textId="2AD30E48"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65" w:history="1">
        <w:r w:rsidRPr="00C04594">
          <w:rPr>
            <w:rStyle w:val="Hyperlink"/>
            <w:noProof/>
            <w:lang w:val="ru-RU"/>
          </w:rPr>
          <w:t xml:space="preserve">§126. </w:t>
        </w:r>
        <w:r w:rsidRPr="00C04594">
          <w:rPr>
            <w:rStyle w:val="Hyperlink"/>
            <w:rFonts w:ascii="MS Gothic" w:eastAsia="MS Gothic" w:hAnsi="MS Gothic" w:cs="MS Gothic" w:hint="eastAsia"/>
            <w:noProof/>
            <w:lang w:val="ru-RU"/>
          </w:rPr>
          <w:t>至圣三位一体的所有位格如何参与救</w:t>
        </w:r>
        <w:r w:rsidRPr="00C04594">
          <w:rPr>
            <w:rStyle w:val="Hyperlink"/>
            <w:rFonts w:ascii="Microsoft JhengHei" w:eastAsia="Microsoft JhengHei" w:hAnsi="Microsoft JhengHei" w:cs="Microsoft JhengHei" w:hint="eastAsia"/>
            <w:noProof/>
            <w:lang w:val="ru-RU"/>
          </w:rPr>
          <w:t>赎之事，以及为何正是圣子为此道成肉身？</w:t>
        </w:r>
        <w:r>
          <w:rPr>
            <w:noProof/>
            <w:webHidden/>
          </w:rPr>
          <w:tab/>
        </w:r>
        <w:r>
          <w:rPr>
            <w:noProof/>
            <w:webHidden/>
          </w:rPr>
          <w:fldChar w:fldCharType="begin"/>
        </w:r>
        <w:r>
          <w:rPr>
            <w:noProof/>
            <w:webHidden/>
          </w:rPr>
          <w:instrText xml:space="preserve"> PAGEREF _Toc238576465 \h </w:instrText>
        </w:r>
        <w:r>
          <w:rPr>
            <w:noProof/>
            <w:webHidden/>
          </w:rPr>
        </w:r>
        <w:r>
          <w:rPr>
            <w:noProof/>
            <w:webHidden/>
          </w:rPr>
          <w:fldChar w:fldCharType="separate"/>
        </w:r>
        <w:r w:rsidR="007B5AC0">
          <w:rPr>
            <w:noProof/>
            <w:webHidden/>
          </w:rPr>
          <w:t>13</w:t>
        </w:r>
        <w:r>
          <w:rPr>
            <w:noProof/>
            <w:webHidden/>
          </w:rPr>
          <w:fldChar w:fldCharType="end"/>
        </w:r>
      </w:hyperlink>
    </w:p>
    <w:p w14:paraId="7D941D44" w14:textId="541EEA50"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66" w:history="1">
        <w:r w:rsidRPr="00C04594">
          <w:rPr>
            <w:rStyle w:val="Hyperlink"/>
            <w:noProof/>
            <w:lang w:val="ru-RU"/>
          </w:rPr>
          <w:t xml:space="preserve">§127. </w:t>
        </w:r>
        <w:r w:rsidRPr="00C04594">
          <w:rPr>
            <w:rStyle w:val="Hyperlink"/>
            <w:rFonts w:ascii="Microsoft JhengHei" w:eastAsia="Microsoft JhengHei" w:hAnsi="Microsoft JhengHei" w:cs="Microsoft JhengHei" w:hint="eastAsia"/>
            <w:noProof/>
            <w:lang w:val="ru-RU"/>
          </w:rPr>
          <w:t>赎罪之事的动机与上帝之子降临人间的宗旨</w:t>
        </w:r>
        <w:r>
          <w:rPr>
            <w:noProof/>
            <w:webHidden/>
          </w:rPr>
          <w:tab/>
        </w:r>
        <w:r>
          <w:rPr>
            <w:noProof/>
            <w:webHidden/>
          </w:rPr>
          <w:fldChar w:fldCharType="begin"/>
        </w:r>
        <w:r>
          <w:rPr>
            <w:noProof/>
            <w:webHidden/>
          </w:rPr>
          <w:instrText xml:space="preserve"> PAGEREF _Toc238576466 \h </w:instrText>
        </w:r>
        <w:r>
          <w:rPr>
            <w:noProof/>
            <w:webHidden/>
          </w:rPr>
        </w:r>
        <w:r>
          <w:rPr>
            <w:noProof/>
            <w:webHidden/>
          </w:rPr>
          <w:fldChar w:fldCharType="separate"/>
        </w:r>
        <w:r w:rsidR="007B5AC0">
          <w:rPr>
            <w:noProof/>
            <w:webHidden/>
          </w:rPr>
          <w:t>16</w:t>
        </w:r>
        <w:r>
          <w:rPr>
            <w:noProof/>
            <w:webHidden/>
          </w:rPr>
          <w:fldChar w:fldCharType="end"/>
        </w:r>
      </w:hyperlink>
    </w:p>
    <w:p w14:paraId="3633B8A2" w14:textId="1A28CEC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67" w:history="1">
        <w:r w:rsidRPr="00C04594">
          <w:rPr>
            <w:rStyle w:val="Hyperlink"/>
            <w:noProof/>
            <w:lang w:val="ru-RU"/>
          </w:rPr>
          <w:t xml:space="preserve">§128. </w:t>
        </w:r>
        <w:r w:rsidRPr="00C04594">
          <w:rPr>
            <w:rStyle w:val="Hyperlink"/>
            <w:rFonts w:ascii="MS Gothic" w:eastAsia="MS Gothic" w:hAnsi="MS Gothic" w:cs="MS Gothic" w:hint="eastAsia"/>
            <w:noProof/>
            <w:lang w:val="ru-RU"/>
          </w:rPr>
          <w:t>救</w:t>
        </w:r>
        <w:r w:rsidRPr="00C04594">
          <w:rPr>
            <w:rStyle w:val="Hyperlink"/>
            <w:rFonts w:ascii="Microsoft JhengHei" w:eastAsia="Microsoft JhengHei" w:hAnsi="Microsoft JhengHei" w:cs="Microsoft JhengHei" w:hint="eastAsia"/>
            <w:noProof/>
            <w:lang w:val="ru-RU"/>
          </w:rPr>
          <w:t>赎的永恒预定，以及救赎主为何没有早点降临人间？</w:t>
        </w:r>
        <w:r>
          <w:rPr>
            <w:noProof/>
            <w:webHidden/>
          </w:rPr>
          <w:tab/>
        </w:r>
        <w:r>
          <w:rPr>
            <w:noProof/>
            <w:webHidden/>
          </w:rPr>
          <w:fldChar w:fldCharType="begin"/>
        </w:r>
        <w:r>
          <w:rPr>
            <w:noProof/>
            <w:webHidden/>
          </w:rPr>
          <w:instrText xml:space="preserve"> PAGEREF _Toc238576467 \h </w:instrText>
        </w:r>
        <w:r>
          <w:rPr>
            <w:noProof/>
            <w:webHidden/>
          </w:rPr>
        </w:r>
        <w:r>
          <w:rPr>
            <w:noProof/>
            <w:webHidden/>
          </w:rPr>
          <w:fldChar w:fldCharType="separate"/>
        </w:r>
        <w:r w:rsidR="007B5AC0">
          <w:rPr>
            <w:noProof/>
            <w:webHidden/>
          </w:rPr>
          <w:t>18</w:t>
        </w:r>
        <w:r>
          <w:rPr>
            <w:noProof/>
            <w:webHidden/>
          </w:rPr>
          <w:fldChar w:fldCharType="end"/>
        </w:r>
      </w:hyperlink>
    </w:p>
    <w:p w14:paraId="793EED4C" w14:textId="1092170C"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68" w:history="1">
        <w:r w:rsidRPr="00C04594">
          <w:rPr>
            <w:rStyle w:val="Hyperlink"/>
            <w:noProof/>
            <w:lang w:val="ru-RU"/>
          </w:rPr>
          <w:t xml:space="preserve">§129. </w:t>
        </w:r>
        <w:r w:rsidRPr="00C04594">
          <w:rPr>
            <w:rStyle w:val="Hyperlink"/>
            <w:rFonts w:ascii="MS Gothic" w:eastAsia="MS Gothic" w:hAnsi="MS Gothic" w:cs="MS Gothic" w:hint="eastAsia"/>
            <w:noProof/>
            <w:lang w:val="ru-RU"/>
          </w:rPr>
          <w:t>上帝</w:t>
        </w:r>
        <w:r w:rsidRPr="00C04594">
          <w:rPr>
            <w:rStyle w:val="Hyperlink"/>
            <w:rFonts w:ascii="Microsoft JhengHei" w:eastAsia="Microsoft JhengHei" w:hAnsi="Microsoft JhengHei" w:cs="Microsoft JhengHei" w:hint="eastAsia"/>
            <w:noProof/>
            <w:lang w:val="ru-RU"/>
          </w:rPr>
          <w:t>为人类接纳救赎主所做的预备，以及历代对祂的信仰</w:t>
        </w:r>
        <w:r>
          <w:rPr>
            <w:noProof/>
            <w:webHidden/>
          </w:rPr>
          <w:tab/>
        </w:r>
        <w:r>
          <w:rPr>
            <w:noProof/>
            <w:webHidden/>
          </w:rPr>
          <w:fldChar w:fldCharType="begin"/>
        </w:r>
        <w:r>
          <w:rPr>
            <w:noProof/>
            <w:webHidden/>
          </w:rPr>
          <w:instrText xml:space="preserve"> PAGEREF _Toc238576468 \h </w:instrText>
        </w:r>
        <w:r>
          <w:rPr>
            <w:noProof/>
            <w:webHidden/>
          </w:rPr>
        </w:r>
        <w:r>
          <w:rPr>
            <w:noProof/>
            <w:webHidden/>
          </w:rPr>
          <w:fldChar w:fldCharType="separate"/>
        </w:r>
        <w:r w:rsidR="007B5AC0">
          <w:rPr>
            <w:noProof/>
            <w:webHidden/>
          </w:rPr>
          <w:t>20</w:t>
        </w:r>
        <w:r>
          <w:rPr>
            <w:noProof/>
            <w:webHidden/>
          </w:rPr>
          <w:fldChar w:fldCharType="end"/>
        </w:r>
      </w:hyperlink>
    </w:p>
    <w:p w14:paraId="7E2283A0" w14:textId="1D0594E6"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69" w:history="1">
        <w:r w:rsidRPr="00C04594">
          <w:rPr>
            <w:rStyle w:val="Hyperlink"/>
            <w:noProof/>
            <w:lang w:val="ru-RU"/>
          </w:rPr>
          <w:t xml:space="preserve">§130. </w:t>
        </w:r>
        <w:r w:rsidRPr="00C04594">
          <w:rPr>
            <w:rStyle w:val="Hyperlink"/>
            <w:rFonts w:ascii="Microsoft JhengHei" w:eastAsia="Microsoft JhengHei" w:hAnsi="Microsoft JhengHei" w:cs="Microsoft JhengHei" w:hint="eastAsia"/>
            <w:noProof/>
            <w:lang w:val="ru-RU"/>
          </w:rPr>
          <w:t>该教义的道德应用</w:t>
        </w:r>
        <w:r>
          <w:rPr>
            <w:noProof/>
            <w:webHidden/>
          </w:rPr>
          <w:tab/>
        </w:r>
        <w:r>
          <w:rPr>
            <w:noProof/>
            <w:webHidden/>
          </w:rPr>
          <w:fldChar w:fldCharType="begin"/>
        </w:r>
        <w:r>
          <w:rPr>
            <w:noProof/>
            <w:webHidden/>
          </w:rPr>
          <w:instrText xml:space="preserve"> PAGEREF _Toc238576469 \h </w:instrText>
        </w:r>
        <w:r>
          <w:rPr>
            <w:noProof/>
            <w:webHidden/>
          </w:rPr>
        </w:r>
        <w:r>
          <w:rPr>
            <w:noProof/>
            <w:webHidden/>
          </w:rPr>
          <w:fldChar w:fldCharType="separate"/>
        </w:r>
        <w:r w:rsidR="007B5AC0">
          <w:rPr>
            <w:noProof/>
            <w:webHidden/>
          </w:rPr>
          <w:t>26</w:t>
        </w:r>
        <w:r>
          <w:rPr>
            <w:noProof/>
            <w:webHidden/>
          </w:rPr>
          <w:fldChar w:fldCharType="end"/>
        </w:r>
      </w:hyperlink>
    </w:p>
    <w:p w14:paraId="0D209D9E" w14:textId="526DF297" w:rsidR="0097554A" w:rsidRDefault="0097554A" w:rsidP="0097554A">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6470" w:history="1">
        <w:r w:rsidRPr="00C04594">
          <w:rPr>
            <w:rStyle w:val="Hyperlink"/>
            <w:rFonts w:ascii="MS Gothic" w:eastAsia="MS Gothic" w:hAnsi="MS Gothic" w:cs="MS Gothic" w:hint="eastAsia"/>
            <w:noProof/>
          </w:rPr>
          <w:t>第二</w:t>
        </w:r>
        <w:r w:rsidRPr="00C04594">
          <w:rPr>
            <w:rStyle w:val="Hyperlink"/>
            <w:rFonts w:ascii="MS Gothic" w:eastAsia="MS Gothic" w:hAnsi="MS Gothic" w:cs="MS Gothic" w:hint="eastAsia"/>
            <w:noProof/>
            <w:lang w:val="ru-RU"/>
          </w:rPr>
          <w:t>章。</w:t>
        </w:r>
        <w:r w:rsidRPr="00C04594">
          <w:rPr>
            <w:rStyle w:val="Hyperlink"/>
            <w:noProof/>
            <w:lang w:val="ru-RU"/>
          </w:rPr>
          <w:t xml:space="preserve">  </w:t>
        </w:r>
        <w:r w:rsidRPr="00C04594">
          <w:rPr>
            <w:rStyle w:val="Hyperlink"/>
            <w:rFonts w:ascii="MS Gothic" w:eastAsia="MS Gothic" w:hAnsi="MS Gothic" w:cs="MS Gothic" w:hint="eastAsia"/>
            <w:noProof/>
            <w:lang w:val="ru-RU"/>
          </w:rPr>
          <w:t>关于我</w:t>
        </w:r>
        <w:r w:rsidRPr="00C04594">
          <w:rPr>
            <w:rStyle w:val="Hyperlink"/>
            <w:rFonts w:ascii="Microsoft JhengHei" w:eastAsia="Microsoft JhengHei" w:hAnsi="Microsoft JhengHei" w:cs="Microsoft JhengHei" w:hint="eastAsia"/>
            <w:noProof/>
            <w:lang w:val="ru-RU"/>
          </w:rPr>
          <w:t>们的主耶稣基督的特别论述</w:t>
        </w:r>
        <w:r>
          <w:rPr>
            <w:noProof/>
            <w:webHidden/>
          </w:rPr>
          <w:tab/>
        </w:r>
        <w:r>
          <w:rPr>
            <w:noProof/>
            <w:webHidden/>
          </w:rPr>
          <w:fldChar w:fldCharType="begin"/>
        </w:r>
        <w:r>
          <w:rPr>
            <w:noProof/>
            <w:webHidden/>
          </w:rPr>
          <w:instrText xml:space="preserve"> PAGEREF _Toc238576470 \h </w:instrText>
        </w:r>
        <w:r>
          <w:rPr>
            <w:noProof/>
            <w:webHidden/>
          </w:rPr>
        </w:r>
        <w:r>
          <w:rPr>
            <w:noProof/>
            <w:webHidden/>
          </w:rPr>
          <w:fldChar w:fldCharType="separate"/>
        </w:r>
        <w:r w:rsidR="007B5AC0">
          <w:rPr>
            <w:noProof/>
            <w:webHidden/>
          </w:rPr>
          <w:t>26</w:t>
        </w:r>
        <w:r>
          <w:rPr>
            <w:noProof/>
            <w:webHidden/>
          </w:rPr>
          <w:fldChar w:fldCharType="end"/>
        </w:r>
      </w:hyperlink>
    </w:p>
    <w:p w14:paraId="374B800E" w14:textId="2EAAC0C0"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71" w:history="1">
        <w:r w:rsidRPr="00C04594">
          <w:rPr>
            <w:rStyle w:val="Hyperlink"/>
            <w:noProof/>
            <w:lang w:val="ru-RU"/>
          </w:rPr>
          <w:t xml:space="preserve">§131.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联及教义的构成</w:t>
        </w:r>
        <w:r>
          <w:rPr>
            <w:noProof/>
            <w:webHidden/>
          </w:rPr>
          <w:tab/>
        </w:r>
        <w:r>
          <w:rPr>
            <w:noProof/>
            <w:webHidden/>
          </w:rPr>
          <w:fldChar w:fldCharType="begin"/>
        </w:r>
        <w:r>
          <w:rPr>
            <w:noProof/>
            <w:webHidden/>
          </w:rPr>
          <w:instrText xml:space="preserve"> PAGEREF _Toc238576471 \h </w:instrText>
        </w:r>
        <w:r>
          <w:rPr>
            <w:noProof/>
            <w:webHidden/>
          </w:rPr>
        </w:r>
        <w:r>
          <w:rPr>
            <w:noProof/>
            <w:webHidden/>
          </w:rPr>
          <w:fldChar w:fldCharType="separate"/>
        </w:r>
        <w:r w:rsidR="007B5AC0">
          <w:rPr>
            <w:noProof/>
            <w:webHidden/>
          </w:rPr>
          <w:t>26</w:t>
        </w:r>
        <w:r>
          <w:rPr>
            <w:noProof/>
            <w:webHidden/>
          </w:rPr>
          <w:fldChar w:fldCharType="end"/>
        </w:r>
      </w:hyperlink>
    </w:p>
    <w:p w14:paraId="667C61C4" w14:textId="171ADEA8" w:rsidR="0097554A" w:rsidRDefault="0097554A" w:rsidP="0097554A">
      <w:pPr>
        <w:pStyle w:val="TOC3"/>
        <w:tabs>
          <w:tab w:val="right" w:leader="dot" w:pos="10790"/>
        </w:tabs>
        <w:rPr>
          <w:rFonts w:eastAsiaTheme="minorEastAsia" w:cstheme="minorBidi"/>
          <w:noProof/>
          <w:kern w:val="2"/>
          <w:sz w:val="24"/>
          <w:lang w:bidi="ta-IN"/>
          <w14:ligatures w14:val="standardContextual"/>
        </w:rPr>
      </w:pPr>
      <w:hyperlink w:anchor="_Toc238576472" w:history="1">
        <w:r w:rsidRPr="00C04594">
          <w:rPr>
            <w:rStyle w:val="Hyperlink"/>
            <w:rFonts w:ascii="MS Gothic" w:eastAsia="MS Gothic" w:hAnsi="MS Gothic" w:cs="MS Gothic" w:hint="eastAsia"/>
            <w:noProof/>
          </w:rPr>
          <w:t>第一</w:t>
        </w:r>
        <w:r w:rsidRPr="00C04594">
          <w:rPr>
            <w:rStyle w:val="Hyperlink"/>
            <w:rFonts w:ascii="MS Gothic" w:eastAsia="MS Gothic" w:hAnsi="MS Gothic" w:cs="MS Gothic" w:hint="eastAsia"/>
            <w:noProof/>
            <w:lang w:val="ru-RU"/>
          </w:rPr>
          <w:t>部分。</w:t>
        </w:r>
        <w:r w:rsidRPr="00C04594">
          <w:rPr>
            <w:rStyle w:val="Hyperlink"/>
            <w:noProof/>
            <w:lang w:val="ru-RU"/>
          </w:rPr>
          <w:t xml:space="preserve">  </w:t>
        </w:r>
        <w:r w:rsidRPr="00C04594">
          <w:rPr>
            <w:rStyle w:val="Hyperlink"/>
            <w:rFonts w:ascii="MS Gothic" w:eastAsia="MS Gothic" w:hAnsi="MS Gothic" w:cs="MS Gothic" w:hint="eastAsia"/>
            <w:noProof/>
            <w:lang w:val="ru-RU"/>
          </w:rPr>
          <w:t>关于主耶</w:t>
        </w:r>
        <w:r w:rsidRPr="00C04594">
          <w:rPr>
            <w:rStyle w:val="Hyperlink"/>
            <w:rFonts w:ascii="Microsoft JhengHei" w:eastAsia="Microsoft JhengHei" w:hAnsi="Microsoft JhengHei" w:cs="Microsoft JhengHei" w:hint="eastAsia"/>
            <w:noProof/>
            <w:lang w:val="ru-RU"/>
          </w:rPr>
          <w:t>稣基督的位格，即道成肉身的奥秘</w:t>
        </w:r>
        <w:r>
          <w:rPr>
            <w:noProof/>
            <w:webHidden/>
          </w:rPr>
          <w:tab/>
        </w:r>
        <w:r>
          <w:rPr>
            <w:noProof/>
            <w:webHidden/>
          </w:rPr>
          <w:fldChar w:fldCharType="begin"/>
        </w:r>
        <w:r>
          <w:rPr>
            <w:noProof/>
            <w:webHidden/>
          </w:rPr>
          <w:instrText xml:space="preserve"> PAGEREF _Toc238576472 \h </w:instrText>
        </w:r>
        <w:r>
          <w:rPr>
            <w:noProof/>
            <w:webHidden/>
          </w:rPr>
        </w:r>
        <w:r>
          <w:rPr>
            <w:noProof/>
            <w:webHidden/>
          </w:rPr>
          <w:fldChar w:fldCharType="separate"/>
        </w:r>
        <w:r w:rsidR="007B5AC0">
          <w:rPr>
            <w:noProof/>
            <w:webHidden/>
          </w:rPr>
          <w:t>27</w:t>
        </w:r>
        <w:r>
          <w:rPr>
            <w:noProof/>
            <w:webHidden/>
          </w:rPr>
          <w:fldChar w:fldCharType="end"/>
        </w:r>
      </w:hyperlink>
    </w:p>
    <w:p w14:paraId="4CBF7D62" w14:textId="33FB7112"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73" w:history="1">
        <w:r w:rsidRPr="00C04594">
          <w:rPr>
            <w:rStyle w:val="Hyperlink"/>
            <w:noProof/>
            <w:lang w:val="ru-RU"/>
          </w:rPr>
          <w:t xml:space="preserve">§132. </w:t>
        </w:r>
        <w:r w:rsidRPr="00C04594">
          <w:rPr>
            <w:rStyle w:val="Hyperlink"/>
            <w:rFonts w:ascii="Microsoft JhengHei" w:eastAsia="Microsoft JhengHei" w:hAnsi="Microsoft JhengHei" w:cs="Microsoft JhengHei" w:hint="eastAsia"/>
            <w:noProof/>
            <w:lang w:val="ru-RU"/>
          </w:rPr>
          <w:t>该教义的重要性与不可测度性、其简史、教会对此的教导及其构成</w:t>
        </w:r>
        <w:r>
          <w:rPr>
            <w:noProof/>
            <w:webHidden/>
          </w:rPr>
          <w:tab/>
        </w:r>
        <w:r>
          <w:rPr>
            <w:noProof/>
            <w:webHidden/>
          </w:rPr>
          <w:fldChar w:fldCharType="begin"/>
        </w:r>
        <w:r>
          <w:rPr>
            <w:noProof/>
            <w:webHidden/>
          </w:rPr>
          <w:instrText xml:space="preserve"> PAGEREF _Toc238576473 \h </w:instrText>
        </w:r>
        <w:r>
          <w:rPr>
            <w:noProof/>
            <w:webHidden/>
          </w:rPr>
        </w:r>
        <w:r>
          <w:rPr>
            <w:noProof/>
            <w:webHidden/>
          </w:rPr>
          <w:fldChar w:fldCharType="separate"/>
        </w:r>
        <w:r w:rsidR="007B5AC0">
          <w:rPr>
            <w:noProof/>
            <w:webHidden/>
          </w:rPr>
          <w:t>27</w:t>
        </w:r>
        <w:r>
          <w:rPr>
            <w:noProof/>
            <w:webHidden/>
          </w:rPr>
          <w:fldChar w:fldCharType="end"/>
        </w:r>
      </w:hyperlink>
    </w:p>
    <w:p w14:paraId="693A08FE" w14:textId="7F64FB4A"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474" w:history="1">
        <w:r w:rsidRPr="00C04594">
          <w:rPr>
            <w:rStyle w:val="Hyperlink"/>
            <w:noProof/>
          </w:rPr>
          <w:t>I</w:t>
        </w:r>
        <w:r w:rsidRPr="00C04594">
          <w:rPr>
            <w:rStyle w:val="Hyperlink"/>
            <w:noProof/>
            <w:lang w:val="ru-RU"/>
          </w:rPr>
          <w:t xml:space="preserve">. </w:t>
        </w:r>
        <w:r w:rsidRPr="00C04594">
          <w:rPr>
            <w:rStyle w:val="Hyperlink"/>
            <w:rFonts w:ascii="MS Gothic" w:eastAsia="MS Gothic" w:hAnsi="MS Gothic" w:cs="MS Gothic" w:hint="eastAsia"/>
            <w:noProof/>
            <w:lang w:val="ru-RU"/>
          </w:rPr>
          <w:t>关于耶</w:t>
        </w:r>
        <w:r w:rsidRPr="00C04594">
          <w:rPr>
            <w:rStyle w:val="Hyperlink"/>
            <w:rFonts w:ascii="Microsoft JhengHei" w:eastAsia="Microsoft JhengHei" w:hAnsi="Microsoft JhengHei" w:cs="Microsoft JhengHei" w:hint="eastAsia"/>
            <w:noProof/>
            <w:lang w:val="ru-RU"/>
          </w:rPr>
          <w:t>稣基督的两种本性</w:t>
        </w:r>
        <w:r>
          <w:rPr>
            <w:noProof/>
            <w:webHidden/>
          </w:rPr>
          <w:tab/>
        </w:r>
        <w:r>
          <w:rPr>
            <w:noProof/>
            <w:webHidden/>
          </w:rPr>
          <w:fldChar w:fldCharType="begin"/>
        </w:r>
        <w:r>
          <w:rPr>
            <w:noProof/>
            <w:webHidden/>
          </w:rPr>
          <w:instrText xml:space="preserve"> PAGEREF _Toc238576474 \h </w:instrText>
        </w:r>
        <w:r>
          <w:rPr>
            <w:noProof/>
            <w:webHidden/>
          </w:rPr>
        </w:r>
        <w:r>
          <w:rPr>
            <w:noProof/>
            <w:webHidden/>
          </w:rPr>
          <w:fldChar w:fldCharType="separate"/>
        </w:r>
        <w:r w:rsidR="007B5AC0">
          <w:rPr>
            <w:noProof/>
            <w:webHidden/>
          </w:rPr>
          <w:t>31</w:t>
        </w:r>
        <w:r>
          <w:rPr>
            <w:noProof/>
            <w:webHidden/>
          </w:rPr>
          <w:fldChar w:fldCharType="end"/>
        </w:r>
      </w:hyperlink>
    </w:p>
    <w:p w14:paraId="7277E3CB" w14:textId="5B9C70BA"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75" w:history="1">
        <w:r w:rsidRPr="00C04594">
          <w:rPr>
            <w:rStyle w:val="Hyperlink"/>
            <w:noProof/>
            <w:lang w:val="ru-RU"/>
          </w:rPr>
          <w:t xml:space="preserve">§133. </w:t>
        </w:r>
        <w:r w:rsidRPr="00C04594">
          <w:rPr>
            <w:rStyle w:val="Hyperlink"/>
            <w:rFonts w:ascii="MS Gothic" w:eastAsia="MS Gothic" w:hAnsi="MS Gothic" w:cs="MS Gothic" w:hint="eastAsia"/>
            <w:noProof/>
            <w:lang w:val="ru-RU"/>
          </w:rPr>
          <w:t>主耶</w:t>
        </w:r>
        <w:r w:rsidRPr="00C04594">
          <w:rPr>
            <w:rStyle w:val="Hyperlink"/>
            <w:rFonts w:ascii="Microsoft JhengHei" w:eastAsia="Microsoft JhengHei" w:hAnsi="Microsoft JhengHei" w:cs="Microsoft JhengHei" w:hint="eastAsia"/>
            <w:noProof/>
            <w:lang w:val="ru-RU"/>
          </w:rPr>
          <w:t>稣具有神性，正是神的儿子</w:t>
        </w:r>
        <w:r>
          <w:rPr>
            <w:noProof/>
            <w:webHidden/>
          </w:rPr>
          <w:tab/>
        </w:r>
        <w:r>
          <w:rPr>
            <w:noProof/>
            <w:webHidden/>
          </w:rPr>
          <w:fldChar w:fldCharType="begin"/>
        </w:r>
        <w:r>
          <w:rPr>
            <w:noProof/>
            <w:webHidden/>
          </w:rPr>
          <w:instrText xml:space="preserve"> PAGEREF _Toc238576475 \h </w:instrText>
        </w:r>
        <w:r>
          <w:rPr>
            <w:noProof/>
            <w:webHidden/>
          </w:rPr>
        </w:r>
        <w:r>
          <w:rPr>
            <w:noProof/>
            <w:webHidden/>
          </w:rPr>
          <w:fldChar w:fldCharType="separate"/>
        </w:r>
        <w:r w:rsidR="007B5AC0">
          <w:rPr>
            <w:noProof/>
            <w:webHidden/>
          </w:rPr>
          <w:t>31</w:t>
        </w:r>
        <w:r>
          <w:rPr>
            <w:noProof/>
            <w:webHidden/>
          </w:rPr>
          <w:fldChar w:fldCharType="end"/>
        </w:r>
      </w:hyperlink>
    </w:p>
    <w:p w14:paraId="7C6AD5AF" w14:textId="004399E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76" w:history="1">
        <w:r w:rsidRPr="00C04594">
          <w:rPr>
            <w:rStyle w:val="Hyperlink"/>
            <w:rFonts w:ascii="MS Gothic" w:eastAsia="MS Gothic" w:hAnsi="MS Gothic" w:cs="MS Gothic" w:hint="eastAsia"/>
            <w:noProof/>
          </w:rPr>
          <w:t>一</w:t>
        </w:r>
        <w:r w:rsidRPr="00C04594">
          <w:rPr>
            <w:rStyle w:val="Hyperlink"/>
            <w:rFonts w:ascii="MS Gothic" w:eastAsia="MS Gothic" w:hAnsi="MS Gothic" w:cs="MS Gothic" w:hint="eastAsia"/>
            <w:noProof/>
            <w:lang w:val="ru-RU"/>
          </w:rPr>
          <w:t>、在旧</w:t>
        </w:r>
        <w:r w:rsidRPr="00C04594">
          <w:rPr>
            <w:rStyle w:val="Hyperlink"/>
            <w:rFonts w:ascii="Microsoft JhengHei" w:eastAsia="Microsoft JhengHei" w:hAnsi="Microsoft JhengHei" w:cs="Microsoft JhengHei" w:hint="eastAsia"/>
            <w:noProof/>
            <w:lang w:val="ru-RU"/>
          </w:rPr>
          <w:t>约中，弥赛亚被称为：</w:t>
        </w:r>
        <w:r>
          <w:rPr>
            <w:noProof/>
            <w:webHidden/>
          </w:rPr>
          <w:tab/>
        </w:r>
        <w:r>
          <w:rPr>
            <w:noProof/>
            <w:webHidden/>
          </w:rPr>
          <w:fldChar w:fldCharType="begin"/>
        </w:r>
        <w:r>
          <w:rPr>
            <w:noProof/>
            <w:webHidden/>
          </w:rPr>
          <w:instrText xml:space="preserve"> PAGEREF _Toc238576476 \h </w:instrText>
        </w:r>
        <w:r>
          <w:rPr>
            <w:noProof/>
            <w:webHidden/>
          </w:rPr>
        </w:r>
        <w:r>
          <w:rPr>
            <w:noProof/>
            <w:webHidden/>
          </w:rPr>
          <w:fldChar w:fldCharType="separate"/>
        </w:r>
        <w:r w:rsidR="007B5AC0">
          <w:rPr>
            <w:noProof/>
            <w:webHidden/>
          </w:rPr>
          <w:t>31</w:t>
        </w:r>
        <w:r>
          <w:rPr>
            <w:noProof/>
            <w:webHidden/>
          </w:rPr>
          <w:fldChar w:fldCharType="end"/>
        </w:r>
      </w:hyperlink>
    </w:p>
    <w:p w14:paraId="29948CFE" w14:textId="72C0177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77" w:history="1">
        <w:r w:rsidRPr="00C04594">
          <w:rPr>
            <w:rStyle w:val="Hyperlink"/>
            <w:noProof/>
            <w:lang w:val="ru-RU"/>
          </w:rPr>
          <w:t xml:space="preserve">§134. </w:t>
        </w:r>
        <w:r w:rsidRPr="00C04594">
          <w:rPr>
            <w:rStyle w:val="Hyperlink"/>
            <w:rFonts w:ascii="MS Gothic" w:eastAsia="MS Gothic" w:hAnsi="MS Gothic" w:cs="MS Gothic" w:hint="eastAsia"/>
            <w:noProof/>
            <w:lang w:val="ru-RU"/>
          </w:rPr>
          <w:t>主耶</w:t>
        </w:r>
        <w:r w:rsidRPr="00C04594">
          <w:rPr>
            <w:rStyle w:val="Hyperlink"/>
            <w:rFonts w:ascii="Microsoft JhengHei" w:eastAsia="Microsoft JhengHei" w:hAnsi="Microsoft JhengHei" w:cs="Microsoft JhengHei" w:hint="eastAsia"/>
            <w:noProof/>
            <w:lang w:val="ru-RU"/>
          </w:rPr>
          <w:t>稣具有人性，正是圣母玛利亚之子</w:t>
        </w:r>
        <w:r>
          <w:rPr>
            <w:noProof/>
            <w:webHidden/>
          </w:rPr>
          <w:tab/>
        </w:r>
        <w:r>
          <w:rPr>
            <w:noProof/>
            <w:webHidden/>
          </w:rPr>
          <w:fldChar w:fldCharType="begin"/>
        </w:r>
        <w:r>
          <w:rPr>
            <w:noProof/>
            <w:webHidden/>
          </w:rPr>
          <w:instrText xml:space="preserve"> PAGEREF _Toc238576477 \h </w:instrText>
        </w:r>
        <w:r>
          <w:rPr>
            <w:noProof/>
            <w:webHidden/>
          </w:rPr>
        </w:r>
        <w:r>
          <w:rPr>
            <w:noProof/>
            <w:webHidden/>
          </w:rPr>
          <w:fldChar w:fldCharType="separate"/>
        </w:r>
        <w:r w:rsidR="007B5AC0">
          <w:rPr>
            <w:noProof/>
            <w:webHidden/>
          </w:rPr>
          <w:t>36</w:t>
        </w:r>
        <w:r>
          <w:rPr>
            <w:noProof/>
            <w:webHidden/>
          </w:rPr>
          <w:fldChar w:fldCharType="end"/>
        </w:r>
      </w:hyperlink>
    </w:p>
    <w:p w14:paraId="42F1ADD6" w14:textId="4A0D2E87"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78" w:history="1">
        <w:r w:rsidRPr="00C04594">
          <w:rPr>
            <w:rStyle w:val="Hyperlink"/>
            <w:noProof/>
            <w:lang w:val="ru-RU"/>
          </w:rPr>
          <w:t xml:space="preserve">§135. </w:t>
        </w:r>
        <w:r w:rsidRPr="00C04594">
          <w:rPr>
            <w:rStyle w:val="Hyperlink"/>
            <w:rFonts w:ascii="MS Gothic" w:eastAsia="MS Gothic" w:hAnsi="MS Gothic" w:cs="MS Gothic" w:hint="eastAsia"/>
            <w:noProof/>
            <w:lang w:val="ru-RU"/>
          </w:rPr>
          <w:t>主耶</w:t>
        </w:r>
        <w:r w:rsidRPr="00C04594">
          <w:rPr>
            <w:rStyle w:val="Hyperlink"/>
            <w:rFonts w:ascii="Microsoft JhengHei" w:eastAsia="Microsoft JhengHei" w:hAnsi="Microsoft JhengHei" w:cs="Microsoft JhengHei" w:hint="eastAsia"/>
            <w:noProof/>
            <w:lang w:val="ru-RU"/>
          </w:rPr>
          <w:t>稣按人性是以超自然的方式降生的，而祂至圣的母亲是永贞童女</w:t>
        </w:r>
        <w:r>
          <w:rPr>
            <w:noProof/>
            <w:webHidden/>
          </w:rPr>
          <w:tab/>
        </w:r>
        <w:r>
          <w:rPr>
            <w:noProof/>
            <w:webHidden/>
          </w:rPr>
          <w:fldChar w:fldCharType="begin"/>
        </w:r>
        <w:r>
          <w:rPr>
            <w:noProof/>
            <w:webHidden/>
          </w:rPr>
          <w:instrText xml:space="preserve"> PAGEREF _Toc238576478 \h </w:instrText>
        </w:r>
        <w:r>
          <w:rPr>
            <w:noProof/>
            <w:webHidden/>
          </w:rPr>
        </w:r>
        <w:r>
          <w:rPr>
            <w:noProof/>
            <w:webHidden/>
          </w:rPr>
          <w:fldChar w:fldCharType="separate"/>
        </w:r>
        <w:r w:rsidR="007B5AC0">
          <w:rPr>
            <w:noProof/>
            <w:webHidden/>
          </w:rPr>
          <w:t>43</w:t>
        </w:r>
        <w:r>
          <w:rPr>
            <w:noProof/>
            <w:webHidden/>
          </w:rPr>
          <w:fldChar w:fldCharType="end"/>
        </w:r>
      </w:hyperlink>
    </w:p>
    <w:p w14:paraId="4CA6C21C" w14:textId="0FBF3A2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79" w:history="1">
        <w:r w:rsidRPr="00C04594">
          <w:rPr>
            <w:rStyle w:val="Hyperlink"/>
            <w:noProof/>
            <w:lang w:val="ru-RU"/>
          </w:rPr>
          <w:t xml:space="preserve">§136. </w:t>
        </w:r>
        <w:r w:rsidRPr="00C04594">
          <w:rPr>
            <w:rStyle w:val="Hyperlink"/>
            <w:rFonts w:ascii="MS Gothic" w:eastAsia="MS Gothic" w:hAnsi="MS Gothic" w:cs="MS Gothic" w:hint="eastAsia"/>
            <w:noProof/>
            <w:lang w:val="ru-RU"/>
          </w:rPr>
          <w:t>主耶</w:t>
        </w:r>
        <w:r w:rsidRPr="00C04594">
          <w:rPr>
            <w:rStyle w:val="Hyperlink"/>
            <w:rFonts w:ascii="Microsoft JhengHei" w:eastAsia="Microsoft JhengHei" w:hAnsi="Microsoft JhengHei" w:cs="Microsoft JhengHei" w:hint="eastAsia"/>
            <w:noProof/>
            <w:lang w:val="ru-RU"/>
          </w:rPr>
          <w:t>稣是无罪之人</w:t>
        </w:r>
        <w:r>
          <w:rPr>
            <w:noProof/>
            <w:webHidden/>
          </w:rPr>
          <w:tab/>
        </w:r>
        <w:r>
          <w:rPr>
            <w:noProof/>
            <w:webHidden/>
          </w:rPr>
          <w:fldChar w:fldCharType="begin"/>
        </w:r>
        <w:r>
          <w:rPr>
            <w:noProof/>
            <w:webHidden/>
          </w:rPr>
          <w:instrText xml:space="preserve"> PAGEREF _Toc238576479 \h </w:instrText>
        </w:r>
        <w:r>
          <w:rPr>
            <w:noProof/>
            <w:webHidden/>
          </w:rPr>
        </w:r>
        <w:r>
          <w:rPr>
            <w:noProof/>
            <w:webHidden/>
          </w:rPr>
          <w:fldChar w:fldCharType="separate"/>
        </w:r>
        <w:r w:rsidR="007B5AC0">
          <w:rPr>
            <w:noProof/>
            <w:webHidden/>
          </w:rPr>
          <w:t>49</w:t>
        </w:r>
        <w:r>
          <w:rPr>
            <w:noProof/>
            <w:webHidden/>
          </w:rPr>
          <w:fldChar w:fldCharType="end"/>
        </w:r>
      </w:hyperlink>
    </w:p>
    <w:p w14:paraId="34717E12" w14:textId="305044B5"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480" w:history="1">
        <w:r w:rsidRPr="00C04594">
          <w:rPr>
            <w:rStyle w:val="Hyperlink"/>
            <w:noProof/>
          </w:rPr>
          <w:t>II</w:t>
        </w:r>
        <w:r w:rsidRPr="00C04594">
          <w:rPr>
            <w:rStyle w:val="Hyperlink"/>
            <w:noProof/>
            <w:lang w:val="ru-RU"/>
          </w:rPr>
          <w:t xml:space="preserve">. </w:t>
        </w:r>
        <w:r w:rsidRPr="00C04594">
          <w:rPr>
            <w:rStyle w:val="Hyperlink"/>
            <w:rFonts w:ascii="MS Gothic" w:eastAsia="MS Gothic" w:hAnsi="MS Gothic" w:cs="MS Gothic" w:hint="eastAsia"/>
            <w:noProof/>
          </w:rPr>
          <w:t>关于</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稣基督位格</w:t>
        </w:r>
        <w:r w:rsidRPr="00C04594">
          <w:rPr>
            <w:rStyle w:val="Hyperlink"/>
            <w:rFonts w:ascii="MS Gothic" w:eastAsia="MS Gothic" w:hAnsi="MS Gothic" w:cs="MS Gothic" w:hint="eastAsia"/>
            <w:noProof/>
          </w:rPr>
          <w:t>的</w:t>
        </w:r>
        <w:r w:rsidRPr="00C04594">
          <w:rPr>
            <w:rStyle w:val="Hyperlink"/>
            <w:rFonts w:ascii="Microsoft JhengHei" w:eastAsia="Microsoft JhengHei" w:hAnsi="Microsoft JhengHei" w:cs="Microsoft JhengHei" w:hint="eastAsia"/>
            <w:noProof/>
            <w:lang w:val="ru-RU"/>
          </w:rPr>
          <w:t>统一性</w:t>
        </w:r>
        <w:r>
          <w:rPr>
            <w:noProof/>
            <w:webHidden/>
          </w:rPr>
          <w:tab/>
        </w:r>
        <w:r>
          <w:rPr>
            <w:noProof/>
            <w:webHidden/>
          </w:rPr>
          <w:fldChar w:fldCharType="begin"/>
        </w:r>
        <w:r>
          <w:rPr>
            <w:noProof/>
            <w:webHidden/>
          </w:rPr>
          <w:instrText xml:space="preserve"> PAGEREF _Toc238576480 \h </w:instrText>
        </w:r>
        <w:r>
          <w:rPr>
            <w:noProof/>
            <w:webHidden/>
          </w:rPr>
        </w:r>
        <w:r>
          <w:rPr>
            <w:noProof/>
            <w:webHidden/>
          </w:rPr>
          <w:fldChar w:fldCharType="separate"/>
        </w:r>
        <w:r w:rsidR="007B5AC0">
          <w:rPr>
            <w:noProof/>
            <w:webHidden/>
          </w:rPr>
          <w:t>51</w:t>
        </w:r>
        <w:r>
          <w:rPr>
            <w:noProof/>
            <w:webHidden/>
          </w:rPr>
          <w:fldChar w:fldCharType="end"/>
        </w:r>
      </w:hyperlink>
    </w:p>
    <w:p w14:paraId="00FE4079" w14:textId="51ED1384"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81" w:history="1">
        <w:r w:rsidRPr="00C04594">
          <w:rPr>
            <w:rStyle w:val="Hyperlink"/>
            <w:noProof/>
            <w:lang w:val="ru-RU"/>
          </w:rPr>
          <w:t xml:space="preserve">§137. </w:t>
        </w:r>
        <w:r w:rsidRPr="00C04594">
          <w:rPr>
            <w:rStyle w:val="Hyperlink"/>
            <w:rFonts w:ascii="MS Gothic" w:eastAsia="MS Gothic" w:hAnsi="MS Gothic" w:cs="MS Gothic" w:hint="eastAsia"/>
            <w:noProof/>
            <w:lang w:val="ru-RU"/>
          </w:rPr>
          <w:t>基督内两种本性</w:t>
        </w:r>
        <w:r w:rsidRPr="00C04594">
          <w:rPr>
            <w:rStyle w:val="Hyperlink"/>
            <w:rFonts w:ascii="Microsoft JhengHei" w:eastAsia="Microsoft JhengHei" w:hAnsi="Microsoft JhengHei" w:cs="Microsoft JhengHei" w:hint="eastAsia"/>
            <w:noProof/>
            <w:lang w:val="ru-RU"/>
          </w:rPr>
          <w:t>结合为一个位格的真实性</w:t>
        </w:r>
        <w:r>
          <w:rPr>
            <w:noProof/>
            <w:webHidden/>
          </w:rPr>
          <w:tab/>
        </w:r>
        <w:r>
          <w:rPr>
            <w:noProof/>
            <w:webHidden/>
          </w:rPr>
          <w:fldChar w:fldCharType="begin"/>
        </w:r>
        <w:r>
          <w:rPr>
            <w:noProof/>
            <w:webHidden/>
          </w:rPr>
          <w:instrText xml:space="preserve"> PAGEREF _Toc238576481 \h </w:instrText>
        </w:r>
        <w:r>
          <w:rPr>
            <w:noProof/>
            <w:webHidden/>
          </w:rPr>
        </w:r>
        <w:r>
          <w:rPr>
            <w:noProof/>
            <w:webHidden/>
          </w:rPr>
          <w:fldChar w:fldCharType="separate"/>
        </w:r>
        <w:r w:rsidR="007B5AC0">
          <w:rPr>
            <w:noProof/>
            <w:webHidden/>
          </w:rPr>
          <w:t>51</w:t>
        </w:r>
        <w:r>
          <w:rPr>
            <w:noProof/>
            <w:webHidden/>
          </w:rPr>
          <w:fldChar w:fldCharType="end"/>
        </w:r>
      </w:hyperlink>
    </w:p>
    <w:p w14:paraId="34FC23D2" w14:textId="549DEAD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82" w:history="1">
        <w:r w:rsidRPr="00C04594">
          <w:rPr>
            <w:rStyle w:val="Hyperlink"/>
            <w:noProof/>
            <w:lang w:val="ru-RU"/>
          </w:rPr>
          <w:t xml:space="preserve">§138. </w:t>
        </w:r>
        <w:r w:rsidRPr="00C04594">
          <w:rPr>
            <w:rStyle w:val="Hyperlink"/>
            <w:rFonts w:ascii="MS Gothic" w:eastAsia="MS Gothic" w:hAnsi="MS Gothic" w:cs="MS Gothic" w:hint="eastAsia"/>
            <w:noProof/>
            <w:lang w:val="ru-RU"/>
          </w:rPr>
          <w:t>基督内两种本性位格</w:t>
        </w:r>
        <w:r w:rsidRPr="00C04594">
          <w:rPr>
            <w:rStyle w:val="Hyperlink"/>
            <w:rFonts w:ascii="Microsoft JhengHei" w:eastAsia="Microsoft JhengHei" w:hAnsi="Microsoft JhengHei" w:cs="Microsoft JhengHei" w:hint="eastAsia"/>
            <w:noProof/>
            <w:lang w:val="ru-RU"/>
          </w:rPr>
          <w:t>联合的模式</w:t>
        </w:r>
        <w:r>
          <w:rPr>
            <w:noProof/>
            <w:webHidden/>
          </w:rPr>
          <w:tab/>
        </w:r>
        <w:r>
          <w:rPr>
            <w:noProof/>
            <w:webHidden/>
          </w:rPr>
          <w:fldChar w:fldCharType="begin"/>
        </w:r>
        <w:r>
          <w:rPr>
            <w:noProof/>
            <w:webHidden/>
          </w:rPr>
          <w:instrText xml:space="preserve"> PAGEREF _Toc238576482 \h </w:instrText>
        </w:r>
        <w:r>
          <w:rPr>
            <w:noProof/>
            <w:webHidden/>
          </w:rPr>
        </w:r>
        <w:r>
          <w:rPr>
            <w:noProof/>
            <w:webHidden/>
          </w:rPr>
          <w:fldChar w:fldCharType="separate"/>
        </w:r>
        <w:r w:rsidR="007B5AC0">
          <w:rPr>
            <w:noProof/>
            <w:webHidden/>
          </w:rPr>
          <w:t>55</w:t>
        </w:r>
        <w:r>
          <w:rPr>
            <w:noProof/>
            <w:webHidden/>
          </w:rPr>
          <w:fldChar w:fldCharType="end"/>
        </w:r>
      </w:hyperlink>
    </w:p>
    <w:p w14:paraId="47F6FC2B" w14:textId="5534570C"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83" w:history="1">
        <w:r w:rsidRPr="00C04594">
          <w:rPr>
            <w:rStyle w:val="Hyperlink"/>
            <w:noProof/>
            <w:lang w:val="ru-RU"/>
          </w:rPr>
          <w:t xml:space="preserve">§139.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稣基督中两种本性位格联合的后果：</w:t>
        </w:r>
        <w:r w:rsidRPr="00C04594">
          <w:rPr>
            <w:rStyle w:val="Hyperlink"/>
            <w:noProof/>
            <w:lang w:val="ru-RU"/>
          </w:rPr>
          <w:t xml:space="preserve">a) </w:t>
        </w:r>
        <w:r w:rsidRPr="00C04594">
          <w:rPr>
            <w:rStyle w:val="Hyperlink"/>
            <w:rFonts w:ascii="MS Gothic" w:eastAsia="MS Gothic" w:hAnsi="MS Gothic" w:cs="MS Gothic" w:hint="eastAsia"/>
            <w:noProof/>
            <w:lang w:val="ru-RU"/>
          </w:rPr>
          <w:t>关于</w:t>
        </w:r>
        <w:r w:rsidRPr="00C04594">
          <w:rPr>
            <w:rStyle w:val="Hyperlink"/>
            <w:rFonts w:ascii="Yu Gothic" w:eastAsia="Yu Gothic" w:hAnsi="Yu Gothic" w:cs="Yu Gothic" w:hint="eastAsia"/>
            <w:noProof/>
            <w:lang w:val="ru-RU"/>
          </w:rPr>
          <w:t>祂自身</w:t>
        </w:r>
        <w:r>
          <w:rPr>
            <w:noProof/>
            <w:webHidden/>
          </w:rPr>
          <w:tab/>
        </w:r>
        <w:r>
          <w:rPr>
            <w:noProof/>
            <w:webHidden/>
          </w:rPr>
          <w:fldChar w:fldCharType="begin"/>
        </w:r>
        <w:r>
          <w:rPr>
            <w:noProof/>
            <w:webHidden/>
          </w:rPr>
          <w:instrText xml:space="preserve"> PAGEREF _Toc238576483 \h </w:instrText>
        </w:r>
        <w:r>
          <w:rPr>
            <w:noProof/>
            <w:webHidden/>
          </w:rPr>
        </w:r>
        <w:r>
          <w:rPr>
            <w:noProof/>
            <w:webHidden/>
          </w:rPr>
          <w:fldChar w:fldCharType="separate"/>
        </w:r>
        <w:r w:rsidR="007B5AC0">
          <w:rPr>
            <w:noProof/>
            <w:webHidden/>
          </w:rPr>
          <w:t>60</w:t>
        </w:r>
        <w:r>
          <w:rPr>
            <w:noProof/>
            <w:webHidden/>
          </w:rPr>
          <w:fldChar w:fldCharType="end"/>
        </w:r>
      </w:hyperlink>
    </w:p>
    <w:p w14:paraId="6934CA88" w14:textId="122CB2D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84" w:history="1">
        <w:r w:rsidRPr="00C04594">
          <w:rPr>
            <w:rStyle w:val="Hyperlink"/>
            <w:noProof/>
            <w:lang w:val="ru-RU"/>
          </w:rPr>
          <w:t xml:space="preserve">§140. b) </w:t>
        </w:r>
        <w:r w:rsidRPr="00C04594">
          <w:rPr>
            <w:rStyle w:val="Hyperlink"/>
            <w:rFonts w:ascii="MS Gothic" w:eastAsia="MS Gothic" w:hAnsi="MS Gothic" w:cs="MS Gothic" w:hint="eastAsia"/>
            <w:noProof/>
            <w:lang w:val="ru-RU"/>
          </w:rPr>
          <w:t>关于至圣童</w:t>
        </w:r>
        <w:r w:rsidRPr="00C04594">
          <w:rPr>
            <w:rStyle w:val="Hyperlink"/>
            <w:rFonts w:ascii="Microsoft JhengHei" w:eastAsia="Microsoft JhengHei" w:hAnsi="Microsoft JhengHei" w:cs="Microsoft JhengHei" w:hint="eastAsia"/>
            <w:noProof/>
            <w:lang w:val="ru-RU"/>
          </w:rPr>
          <w:t>贞女、主耶稣之母</w:t>
        </w:r>
        <w:r>
          <w:rPr>
            <w:noProof/>
            <w:webHidden/>
          </w:rPr>
          <w:tab/>
        </w:r>
        <w:r>
          <w:rPr>
            <w:noProof/>
            <w:webHidden/>
          </w:rPr>
          <w:fldChar w:fldCharType="begin"/>
        </w:r>
        <w:r>
          <w:rPr>
            <w:noProof/>
            <w:webHidden/>
          </w:rPr>
          <w:instrText xml:space="preserve"> PAGEREF _Toc238576484 \h </w:instrText>
        </w:r>
        <w:r>
          <w:rPr>
            <w:noProof/>
            <w:webHidden/>
          </w:rPr>
        </w:r>
        <w:r>
          <w:rPr>
            <w:noProof/>
            <w:webHidden/>
          </w:rPr>
          <w:fldChar w:fldCharType="separate"/>
        </w:r>
        <w:r w:rsidR="007B5AC0">
          <w:rPr>
            <w:noProof/>
            <w:webHidden/>
          </w:rPr>
          <w:t>68</w:t>
        </w:r>
        <w:r>
          <w:rPr>
            <w:noProof/>
            <w:webHidden/>
          </w:rPr>
          <w:fldChar w:fldCharType="end"/>
        </w:r>
      </w:hyperlink>
    </w:p>
    <w:p w14:paraId="294AC1E3" w14:textId="6699AC4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85" w:history="1">
        <w:r w:rsidRPr="00C04594">
          <w:rPr>
            <w:rStyle w:val="Hyperlink"/>
            <w:noProof/>
            <w:lang w:val="ru-RU"/>
          </w:rPr>
          <w:t xml:space="preserve">§141. c) </w:t>
        </w:r>
        <w:r w:rsidRPr="00C04594">
          <w:rPr>
            <w:rStyle w:val="Hyperlink"/>
            <w:rFonts w:ascii="MS Gothic" w:eastAsia="MS Gothic" w:hAnsi="MS Gothic" w:cs="MS Gothic" w:hint="eastAsia"/>
            <w:noProof/>
            <w:lang w:val="ru-RU"/>
          </w:rPr>
          <w:t>关于至圣圣三</w:t>
        </w:r>
        <w:r>
          <w:rPr>
            <w:noProof/>
            <w:webHidden/>
          </w:rPr>
          <w:tab/>
        </w:r>
        <w:r>
          <w:rPr>
            <w:noProof/>
            <w:webHidden/>
          </w:rPr>
          <w:fldChar w:fldCharType="begin"/>
        </w:r>
        <w:r>
          <w:rPr>
            <w:noProof/>
            <w:webHidden/>
          </w:rPr>
          <w:instrText xml:space="preserve"> PAGEREF _Toc238576485 \h </w:instrText>
        </w:r>
        <w:r>
          <w:rPr>
            <w:noProof/>
            <w:webHidden/>
          </w:rPr>
        </w:r>
        <w:r>
          <w:rPr>
            <w:noProof/>
            <w:webHidden/>
          </w:rPr>
          <w:fldChar w:fldCharType="separate"/>
        </w:r>
        <w:r w:rsidR="007B5AC0">
          <w:rPr>
            <w:noProof/>
            <w:webHidden/>
          </w:rPr>
          <w:t>71</w:t>
        </w:r>
        <w:r>
          <w:rPr>
            <w:noProof/>
            <w:webHidden/>
          </w:rPr>
          <w:fldChar w:fldCharType="end"/>
        </w:r>
      </w:hyperlink>
    </w:p>
    <w:p w14:paraId="33FCEC52" w14:textId="554D1BD4"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86" w:history="1">
        <w:r w:rsidRPr="00C04594">
          <w:rPr>
            <w:rStyle w:val="Hyperlink"/>
            <w:noProof/>
            <w:lang w:val="ru-RU"/>
          </w:rPr>
          <w:t xml:space="preserve">§142. </w:t>
        </w:r>
        <w:r w:rsidRPr="00C04594">
          <w:rPr>
            <w:rStyle w:val="Hyperlink"/>
            <w:rFonts w:ascii="MS Gothic" w:eastAsia="MS Gothic" w:hAnsi="MS Gothic" w:cs="MS Gothic" w:hint="eastAsia"/>
            <w:noProof/>
            <w:lang w:val="ru-RU"/>
          </w:rPr>
          <w:t>关于道成肉身奥秘教</w:t>
        </w:r>
        <w:r w:rsidRPr="00C04594">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_Toc238576486 \h </w:instrText>
        </w:r>
        <w:r>
          <w:rPr>
            <w:noProof/>
            <w:webHidden/>
          </w:rPr>
        </w:r>
        <w:r>
          <w:rPr>
            <w:noProof/>
            <w:webHidden/>
          </w:rPr>
          <w:fldChar w:fldCharType="separate"/>
        </w:r>
        <w:r w:rsidR="007B5AC0">
          <w:rPr>
            <w:noProof/>
            <w:webHidden/>
          </w:rPr>
          <w:t>73</w:t>
        </w:r>
        <w:r>
          <w:rPr>
            <w:noProof/>
            <w:webHidden/>
          </w:rPr>
          <w:fldChar w:fldCharType="end"/>
        </w:r>
      </w:hyperlink>
    </w:p>
    <w:p w14:paraId="0902CAE0" w14:textId="278F225E" w:rsidR="0097554A" w:rsidRDefault="0097554A" w:rsidP="0097554A">
      <w:pPr>
        <w:pStyle w:val="TOC3"/>
        <w:tabs>
          <w:tab w:val="right" w:leader="dot" w:pos="10790"/>
        </w:tabs>
        <w:rPr>
          <w:rFonts w:eastAsiaTheme="minorEastAsia" w:cstheme="minorBidi"/>
          <w:noProof/>
          <w:kern w:val="2"/>
          <w:sz w:val="24"/>
          <w:lang w:bidi="ta-IN"/>
          <w14:ligatures w14:val="standardContextual"/>
        </w:rPr>
      </w:pPr>
      <w:hyperlink w:anchor="_Toc238576487" w:history="1">
        <w:r w:rsidRPr="00C04594">
          <w:rPr>
            <w:rStyle w:val="Hyperlink"/>
            <w:rFonts w:ascii="MS Gothic" w:eastAsia="MS Gothic" w:hAnsi="MS Gothic" w:cs="MS Gothic" w:hint="eastAsia"/>
            <w:noProof/>
          </w:rPr>
          <w:t>第二</w:t>
        </w:r>
        <w:r w:rsidRPr="00C04594">
          <w:rPr>
            <w:rStyle w:val="Hyperlink"/>
            <w:rFonts w:ascii="MS Gothic" w:eastAsia="MS Gothic" w:hAnsi="MS Gothic" w:cs="MS Gothic" w:hint="eastAsia"/>
            <w:noProof/>
            <w:lang w:val="ru-RU"/>
          </w:rPr>
          <w:t>章。</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论主耶稣基督成就我们的救恩，或论赎罪之奥秘</w:t>
        </w:r>
        <w:r>
          <w:rPr>
            <w:noProof/>
            <w:webHidden/>
          </w:rPr>
          <w:tab/>
        </w:r>
        <w:r>
          <w:rPr>
            <w:noProof/>
            <w:webHidden/>
          </w:rPr>
          <w:fldChar w:fldCharType="begin"/>
        </w:r>
        <w:r>
          <w:rPr>
            <w:noProof/>
            <w:webHidden/>
          </w:rPr>
          <w:instrText xml:space="preserve"> PAGEREF _Toc238576487 \h </w:instrText>
        </w:r>
        <w:r>
          <w:rPr>
            <w:noProof/>
            <w:webHidden/>
          </w:rPr>
        </w:r>
        <w:r>
          <w:rPr>
            <w:noProof/>
            <w:webHidden/>
          </w:rPr>
          <w:fldChar w:fldCharType="separate"/>
        </w:r>
        <w:r w:rsidR="007B5AC0">
          <w:rPr>
            <w:noProof/>
            <w:webHidden/>
          </w:rPr>
          <w:t>73</w:t>
        </w:r>
        <w:r>
          <w:rPr>
            <w:noProof/>
            <w:webHidden/>
          </w:rPr>
          <w:fldChar w:fldCharType="end"/>
        </w:r>
      </w:hyperlink>
    </w:p>
    <w:p w14:paraId="4B2DB8FC" w14:textId="0A17216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88" w:history="1">
        <w:r w:rsidRPr="00C04594">
          <w:rPr>
            <w:rStyle w:val="Hyperlink"/>
            <w:noProof/>
            <w:lang w:val="ru-RU"/>
          </w:rPr>
          <w:t xml:space="preserve">§143. </w:t>
        </w:r>
        <w:r w:rsidRPr="00C04594">
          <w:rPr>
            <w:rStyle w:val="Hyperlink"/>
            <w:rFonts w:ascii="MS Gothic" w:eastAsia="MS Gothic" w:hAnsi="MS Gothic" w:cs="MS Gothic" w:hint="eastAsia"/>
            <w:noProof/>
            <w:lang w:val="ru-RU"/>
          </w:rPr>
          <w:t>主耶</w:t>
        </w:r>
        <w:r w:rsidRPr="00C04594">
          <w:rPr>
            <w:rStyle w:val="Hyperlink"/>
            <w:rFonts w:ascii="Microsoft JhengHei" w:eastAsia="Microsoft JhengHei" w:hAnsi="Microsoft JhengHei" w:cs="Microsoft JhengHei" w:hint="eastAsia"/>
            <w:noProof/>
            <w:lang w:val="ru-RU"/>
          </w:rPr>
          <w:t>稣是如何成就我们的救赎的？</w:t>
        </w:r>
        <w:r>
          <w:rPr>
            <w:noProof/>
            <w:webHidden/>
          </w:rPr>
          <w:tab/>
        </w:r>
        <w:r>
          <w:rPr>
            <w:noProof/>
            <w:webHidden/>
          </w:rPr>
          <w:fldChar w:fldCharType="begin"/>
        </w:r>
        <w:r>
          <w:rPr>
            <w:noProof/>
            <w:webHidden/>
          </w:rPr>
          <w:instrText xml:space="preserve"> PAGEREF _Toc238576488 \h </w:instrText>
        </w:r>
        <w:r>
          <w:rPr>
            <w:noProof/>
            <w:webHidden/>
          </w:rPr>
        </w:r>
        <w:r>
          <w:rPr>
            <w:noProof/>
            <w:webHidden/>
          </w:rPr>
          <w:fldChar w:fldCharType="separate"/>
        </w:r>
        <w:r w:rsidR="007B5AC0">
          <w:rPr>
            <w:noProof/>
            <w:webHidden/>
          </w:rPr>
          <w:t>73</w:t>
        </w:r>
        <w:r>
          <w:rPr>
            <w:noProof/>
            <w:webHidden/>
          </w:rPr>
          <w:fldChar w:fldCharType="end"/>
        </w:r>
      </w:hyperlink>
    </w:p>
    <w:p w14:paraId="341E6B92" w14:textId="6F89C209"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489" w:history="1">
        <w:r w:rsidRPr="00C04594">
          <w:rPr>
            <w:rStyle w:val="Hyperlink"/>
            <w:rFonts w:ascii="MS Gothic" w:eastAsia="MS Gothic" w:hAnsi="MS Gothic" w:cs="MS Gothic" w:hint="eastAsia"/>
            <w:noProof/>
          </w:rPr>
          <w:t>一</w:t>
        </w:r>
        <w:r w:rsidRPr="00C04594">
          <w:rPr>
            <w:rStyle w:val="Hyperlink"/>
            <w:rFonts w:ascii="MS Gothic" w:eastAsia="MS Gothic" w:hAnsi="MS Gothic" w:cs="MS Gothic" w:hint="eastAsia"/>
            <w:noProof/>
            <w:lang w:val="ru-RU"/>
          </w:rPr>
          <w:t>、关于耶</w:t>
        </w:r>
        <w:r w:rsidRPr="00C04594">
          <w:rPr>
            <w:rStyle w:val="Hyperlink"/>
            <w:rFonts w:ascii="Microsoft JhengHei" w:eastAsia="Microsoft JhengHei" w:hAnsi="Microsoft JhengHei" w:cs="Microsoft JhengHei" w:hint="eastAsia"/>
            <w:noProof/>
            <w:lang w:val="ru-RU"/>
          </w:rPr>
          <w:t>稣基督的先知事工</w:t>
        </w:r>
        <w:r>
          <w:rPr>
            <w:noProof/>
            <w:webHidden/>
          </w:rPr>
          <w:tab/>
        </w:r>
        <w:r>
          <w:rPr>
            <w:noProof/>
            <w:webHidden/>
          </w:rPr>
          <w:fldChar w:fldCharType="begin"/>
        </w:r>
        <w:r>
          <w:rPr>
            <w:noProof/>
            <w:webHidden/>
          </w:rPr>
          <w:instrText xml:space="preserve"> PAGEREF _Toc238576489 \h </w:instrText>
        </w:r>
        <w:r>
          <w:rPr>
            <w:noProof/>
            <w:webHidden/>
          </w:rPr>
        </w:r>
        <w:r>
          <w:rPr>
            <w:noProof/>
            <w:webHidden/>
          </w:rPr>
          <w:fldChar w:fldCharType="separate"/>
        </w:r>
        <w:r w:rsidR="007B5AC0">
          <w:rPr>
            <w:noProof/>
            <w:webHidden/>
          </w:rPr>
          <w:t>74</w:t>
        </w:r>
        <w:r>
          <w:rPr>
            <w:noProof/>
            <w:webHidden/>
          </w:rPr>
          <w:fldChar w:fldCharType="end"/>
        </w:r>
      </w:hyperlink>
    </w:p>
    <w:p w14:paraId="0E119995" w14:textId="15A3DE12"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90" w:history="1">
        <w:r w:rsidRPr="00C04594">
          <w:rPr>
            <w:rStyle w:val="Hyperlink"/>
            <w:noProof/>
            <w:lang w:val="ru-RU"/>
          </w:rPr>
          <w:t xml:space="preserve">§144. </w:t>
        </w:r>
        <w:r w:rsidRPr="00C04594">
          <w:rPr>
            <w:rStyle w:val="Hyperlink"/>
            <w:rFonts w:ascii="MS Gothic" w:eastAsia="MS Gothic" w:hAnsi="MS Gothic" w:cs="MS Gothic" w:hint="eastAsia"/>
            <w:noProof/>
            <w:lang w:val="ru-RU"/>
          </w:rPr>
          <w:t>关于耶</w:t>
        </w:r>
        <w:r w:rsidRPr="00C04594">
          <w:rPr>
            <w:rStyle w:val="Hyperlink"/>
            <w:rFonts w:ascii="Microsoft JhengHei" w:eastAsia="Microsoft JhengHei" w:hAnsi="Microsoft JhengHei" w:cs="Microsoft JhengHei" w:hint="eastAsia"/>
            <w:noProof/>
            <w:lang w:val="ru-RU"/>
          </w:rPr>
          <w:t>稣基督先知事工的概念及其真理</w:t>
        </w:r>
        <w:r>
          <w:rPr>
            <w:noProof/>
            <w:webHidden/>
          </w:rPr>
          <w:tab/>
        </w:r>
        <w:r>
          <w:rPr>
            <w:noProof/>
            <w:webHidden/>
          </w:rPr>
          <w:fldChar w:fldCharType="begin"/>
        </w:r>
        <w:r>
          <w:rPr>
            <w:noProof/>
            <w:webHidden/>
          </w:rPr>
          <w:instrText xml:space="preserve"> PAGEREF _Toc238576490 \h </w:instrText>
        </w:r>
        <w:r>
          <w:rPr>
            <w:noProof/>
            <w:webHidden/>
          </w:rPr>
        </w:r>
        <w:r>
          <w:rPr>
            <w:noProof/>
            <w:webHidden/>
          </w:rPr>
          <w:fldChar w:fldCharType="separate"/>
        </w:r>
        <w:r w:rsidR="007B5AC0">
          <w:rPr>
            <w:noProof/>
            <w:webHidden/>
          </w:rPr>
          <w:t>74</w:t>
        </w:r>
        <w:r>
          <w:rPr>
            <w:noProof/>
            <w:webHidden/>
          </w:rPr>
          <w:fldChar w:fldCharType="end"/>
        </w:r>
      </w:hyperlink>
    </w:p>
    <w:p w14:paraId="543D9EED" w14:textId="53222995"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91" w:history="1">
        <w:r w:rsidRPr="00C04594">
          <w:rPr>
            <w:rStyle w:val="Hyperlink"/>
            <w:noProof/>
            <w:lang w:val="ru-RU"/>
          </w:rPr>
          <w:t xml:space="preserve">§145. </w:t>
        </w:r>
        <w:r w:rsidRPr="00C04594">
          <w:rPr>
            <w:rStyle w:val="Hyperlink"/>
            <w:rFonts w:ascii="MS Gothic" w:eastAsia="MS Gothic" w:hAnsi="MS Gothic" w:cs="MS Gothic" w:hint="eastAsia"/>
            <w:noProof/>
            <w:lang w:val="ru-RU"/>
          </w:rPr>
          <w:t>主耶</w:t>
        </w:r>
        <w:r w:rsidRPr="00C04594">
          <w:rPr>
            <w:rStyle w:val="Hyperlink"/>
            <w:rFonts w:ascii="Microsoft JhengHei" w:eastAsia="Microsoft JhengHei" w:hAnsi="Microsoft JhengHei" w:cs="Microsoft JhengHei" w:hint="eastAsia"/>
            <w:noProof/>
            <w:lang w:val="ru-RU"/>
          </w:rPr>
          <w:t>稣如何履行祂的先知事工，以及祂讲道的本质</w:t>
        </w:r>
        <w:r>
          <w:rPr>
            <w:noProof/>
            <w:webHidden/>
          </w:rPr>
          <w:tab/>
        </w:r>
        <w:r>
          <w:rPr>
            <w:noProof/>
            <w:webHidden/>
          </w:rPr>
          <w:fldChar w:fldCharType="begin"/>
        </w:r>
        <w:r>
          <w:rPr>
            <w:noProof/>
            <w:webHidden/>
          </w:rPr>
          <w:instrText xml:space="preserve"> PAGEREF _Toc238576491 \h </w:instrText>
        </w:r>
        <w:r>
          <w:rPr>
            <w:noProof/>
            <w:webHidden/>
          </w:rPr>
        </w:r>
        <w:r>
          <w:rPr>
            <w:noProof/>
            <w:webHidden/>
          </w:rPr>
          <w:fldChar w:fldCharType="separate"/>
        </w:r>
        <w:r w:rsidR="007B5AC0">
          <w:rPr>
            <w:noProof/>
            <w:webHidden/>
          </w:rPr>
          <w:t>76</w:t>
        </w:r>
        <w:r>
          <w:rPr>
            <w:noProof/>
            <w:webHidden/>
          </w:rPr>
          <w:fldChar w:fldCharType="end"/>
        </w:r>
      </w:hyperlink>
    </w:p>
    <w:p w14:paraId="5B06D3F8" w14:textId="44E9A3D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92" w:history="1">
        <w:r w:rsidRPr="00C04594">
          <w:rPr>
            <w:rStyle w:val="Hyperlink"/>
            <w:noProof/>
            <w:lang w:val="ru-RU"/>
          </w:rPr>
          <w:t xml:space="preserve">§146.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稣基督传授了一条崭新且最完美的律法，以取代摩西的律法</w:t>
        </w:r>
        <w:r>
          <w:rPr>
            <w:noProof/>
            <w:webHidden/>
          </w:rPr>
          <w:tab/>
        </w:r>
        <w:r>
          <w:rPr>
            <w:noProof/>
            <w:webHidden/>
          </w:rPr>
          <w:fldChar w:fldCharType="begin"/>
        </w:r>
        <w:r>
          <w:rPr>
            <w:noProof/>
            <w:webHidden/>
          </w:rPr>
          <w:instrText xml:space="preserve"> PAGEREF _Toc238576492 \h </w:instrText>
        </w:r>
        <w:r>
          <w:rPr>
            <w:noProof/>
            <w:webHidden/>
          </w:rPr>
        </w:r>
        <w:r>
          <w:rPr>
            <w:noProof/>
            <w:webHidden/>
          </w:rPr>
          <w:fldChar w:fldCharType="separate"/>
        </w:r>
        <w:r w:rsidR="007B5AC0">
          <w:rPr>
            <w:noProof/>
            <w:webHidden/>
          </w:rPr>
          <w:t>78</w:t>
        </w:r>
        <w:r>
          <w:rPr>
            <w:noProof/>
            <w:webHidden/>
          </w:rPr>
          <w:fldChar w:fldCharType="end"/>
        </w:r>
      </w:hyperlink>
    </w:p>
    <w:p w14:paraId="2FFEC42F" w14:textId="4C0A0D7C"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93" w:history="1">
        <w:r w:rsidRPr="00C04594">
          <w:rPr>
            <w:rStyle w:val="Hyperlink"/>
            <w:noProof/>
            <w:lang w:val="ru-RU"/>
          </w:rPr>
          <w:t xml:space="preserve">§147.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稣基督为全人类和所有时代颁布了律法</w:t>
        </w:r>
        <w:r>
          <w:rPr>
            <w:noProof/>
            <w:webHidden/>
          </w:rPr>
          <w:tab/>
        </w:r>
        <w:r>
          <w:rPr>
            <w:noProof/>
            <w:webHidden/>
          </w:rPr>
          <w:fldChar w:fldCharType="begin"/>
        </w:r>
        <w:r>
          <w:rPr>
            <w:noProof/>
            <w:webHidden/>
          </w:rPr>
          <w:instrText xml:space="preserve"> PAGEREF _Toc238576493 \h </w:instrText>
        </w:r>
        <w:r>
          <w:rPr>
            <w:noProof/>
            <w:webHidden/>
          </w:rPr>
        </w:r>
        <w:r>
          <w:rPr>
            <w:noProof/>
            <w:webHidden/>
          </w:rPr>
          <w:fldChar w:fldCharType="separate"/>
        </w:r>
        <w:r w:rsidR="007B5AC0">
          <w:rPr>
            <w:noProof/>
            <w:webHidden/>
          </w:rPr>
          <w:t>81</w:t>
        </w:r>
        <w:r>
          <w:rPr>
            <w:noProof/>
            <w:webHidden/>
          </w:rPr>
          <w:fldChar w:fldCharType="end"/>
        </w:r>
      </w:hyperlink>
    </w:p>
    <w:p w14:paraId="5BB918E9" w14:textId="73E39031"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94" w:history="1">
        <w:r w:rsidRPr="00C04594">
          <w:rPr>
            <w:rStyle w:val="Hyperlink"/>
            <w:noProof/>
            <w:lang w:val="ru-RU"/>
          </w:rPr>
          <w:t xml:space="preserve">§148.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稣基督传授了唯一的救赎之律，这也是获得永生的必要条件</w:t>
        </w:r>
        <w:r>
          <w:rPr>
            <w:noProof/>
            <w:webHidden/>
          </w:rPr>
          <w:tab/>
        </w:r>
        <w:r>
          <w:rPr>
            <w:noProof/>
            <w:webHidden/>
          </w:rPr>
          <w:fldChar w:fldCharType="begin"/>
        </w:r>
        <w:r>
          <w:rPr>
            <w:noProof/>
            <w:webHidden/>
          </w:rPr>
          <w:instrText xml:space="preserve"> PAGEREF _Toc238576494 \h </w:instrText>
        </w:r>
        <w:r>
          <w:rPr>
            <w:noProof/>
            <w:webHidden/>
          </w:rPr>
        </w:r>
        <w:r>
          <w:rPr>
            <w:noProof/>
            <w:webHidden/>
          </w:rPr>
          <w:fldChar w:fldCharType="separate"/>
        </w:r>
        <w:r w:rsidR="007B5AC0">
          <w:rPr>
            <w:noProof/>
            <w:webHidden/>
          </w:rPr>
          <w:t>82</w:t>
        </w:r>
        <w:r>
          <w:rPr>
            <w:noProof/>
            <w:webHidden/>
          </w:rPr>
          <w:fldChar w:fldCharType="end"/>
        </w:r>
      </w:hyperlink>
    </w:p>
    <w:p w14:paraId="66FD9AAD" w14:textId="65016598"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495" w:history="1">
        <w:r w:rsidRPr="00C04594">
          <w:rPr>
            <w:rStyle w:val="Hyperlink"/>
            <w:noProof/>
          </w:rPr>
          <w:t>II</w:t>
        </w:r>
        <w:r w:rsidRPr="00C04594">
          <w:rPr>
            <w:rStyle w:val="Hyperlink"/>
            <w:noProof/>
            <w:lang w:val="ru-RU"/>
          </w:rPr>
          <w:t xml:space="preserve">. </w:t>
        </w:r>
        <w:r w:rsidRPr="00C04594">
          <w:rPr>
            <w:rStyle w:val="Hyperlink"/>
            <w:rFonts w:ascii="MS Gothic" w:eastAsia="MS Gothic" w:hAnsi="MS Gothic" w:cs="MS Gothic" w:hint="eastAsia"/>
            <w:noProof/>
            <w:lang w:val="ru-RU"/>
          </w:rPr>
          <w:t>关于耶</w:t>
        </w:r>
        <w:r w:rsidRPr="00C04594">
          <w:rPr>
            <w:rStyle w:val="Hyperlink"/>
            <w:rFonts w:ascii="Microsoft JhengHei" w:eastAsia="Microsoft JhengHei" w:hAnsi="Microsoft JhengHei" w:cs="Microsoft JhengHei" w:hint="eastAsia"/>
            <w:noProof/>
            <w:lang w:val="ru-RU"/>
          </w:rPr>
          <w:t>稣基督的大祭司职分</w:t>
        </w:r>
        <w:r>
          <w:rPr>
            <w:noProof/>
            <w:webHidden/>
          </w:rPr>
          <w:tab/>
        </w:r>
        <w:r>
          <w:rPr>
            <w:noProof/>
            <w:webHidden/>
          </w:rPr>
          <w:fldChar w:fldCharType="begin"/>
        </w:r>
        <w:r>
          <w:rPr>
            <w:noProof/>
            <w:webHidden/>
          </w:rPr>
          <w:instrText xml:space="preserve"> PAGEREF _Toc238576495 \h </w:instrText>
        </w:r>
        <w:r>
          <w:rPr>
            <w:noProof/>
            <w:webHidden/>
          </w:rPr>
        </w:r>
        <w:r>
          <w:rPr>
            <w:noProof/>
            <w:webHidden/>
          </w:rPr>
          <w:fldChar w:fldCharType="separate"/>
        </w:r>
        <w:r w:rsidR="007B5AC0">
          <w:rPr>
            <w:noProof/>
            <w:webHidden/>
          </w:rPr>
          <w:t>83</w:t>
        </w:r>
        <w:r>
          <w:rPr>
            <w:noProof/>
            <w:webHidden/>
          </w:rPr>
          <w:fldChar w:fldCharType="end"/>
        </w:r>
      </w:hyperlink>
    </w:p>
    <w:p w14:paraId="2A23DE9A" w14:textId="7510B2C5"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96" w:history="1">
        <w:r w:rsidRPr="00C04594">
          <w:rPr>
            <w:rStyle w:val="Hyperlink"/>
            <w:noProof/>
            <w:lang w:val="ru-RU"/>
          </w:rPr>
          <w:t xml:space="preserve">§149.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联、对耶稣基督大祭司职分的理解、此职分的真理及其卓越性</w:t>
        </w:r>
        <w:r>
          <w:rPr>
            <w:noProof/>
            <w:webHidden/>
          </w:rPr>
          <w:tab/>
        </w:r>
        <w:r>
          <w:rPr>
            <w:noProof/>
            <w:webHidden/>
          </w:rPr>
          <w:fldChar w:fldCharType="begin"/>
        </w:r>
        <w:r>
          <w:rPr>
            <w:noProof/>
            <w:webHidden/>
          </w:rPr>
          <w:instrText xml:space="preserve"> PAGEREF _Toc238576496 \h </w:instrText>
        </w:r>
        <w:r>
          <w:rPr>
            <w:noProof/>
            <w:webHidden/>
          </w:rPr>
        </w:r>
        <w:r>
          <w:rPr>
            <w:noProof/>
            <w:webHidden/>
          </w:rPr>
          <w:fldChar w:fldCharType="separate"/>
        </w:r>
        <w:r w:rsidR="007B5AC0">
          <w:rPr>
            <w:noProof/>
            <w:webHidden/>
          </w:rPr>
          <w:t>83</w:t>
        </w:r>
        <w:r>
          <w:rPr>
            <w:noProof/>
            <w:webHidden/>
          </w:rPr>
          <w:fldChar w:fldCharType="end"/>
        </w:r>
      </w:hyperlink>
    </w:p>
    <w:p w14:paraId="3D1F882C" w14:textId="51D858C5"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97" w:history="1">
        <w:r w:rsidRPr="00C04594">
          <w:rPr>
            <w:rStyle w:val="Hyperlink"/>
            <w:noProof/>
            <w:lang w:val="ru-RU"/>
          </w:rPr>
          <w:t xml:space="preserve">§150. </w:t>
        </w:r>
        <w:r w:rsidRPr="00C04594">
          <w:rPr>
            <w:rStyle w:val="Hyperlink"/>
            <w:rFonts w:ascii="MS Gothic" w:eastAsia="MS Gothic" w:hAnsi="MS Gothic" w:cs="MS Gothic" w:hint="eastAsia"/>
            <w:noProof/>
            <w:lang w:val="ru-RU"/>
          </w:rPr>
          <w:t>主耶</w:t>
        </w:r>
        <w:r w:rsidRPr="00C04594">
          <w:rPr>
            <w:rStyle w:val="Hyperlink"/>
            <w:rFonts w:ascii="Microsoft JhengHei" w:eastAsia="Microsoft JhengHei" w:hAnsi="Microsoft JhengHei" w:cs="Microsoft JhengHei" w:hint="eastAsia"/>
            <w:noProof/>
            <w:lang w:val="ru-RU"/>
          </w:rPr>
          <w:t>稣是如何履行大祭司职分的？祂耗尽自我的状态</w:t>
        </w:r>
        <w:r>
          <w:rPr>
            <w:noProof/>
            <w:webHidden/>
          </w:rPr>
          <w:tab/>
        </w:r>
        <w:r>
          <w:rPr>
            <w:noProof/>
            <w:webHidden/>
          </w:rPr>
          <w:fldChar w:fldCharType="begin"/>
        </w:r>
        <w:r>
          <w:rPr>
            <w:noProof/>
            <w:webHidden/>
          </w:rPr>
          <w:instrText xml:space="preserve"> PAGEREF _Toc238576497 \h </w:instrText>
        </w:r>
        <w:r>
          <w:rPr>
            <w:noProof/>
            <w:webHidden/>
          </w:rPr>
        </w:r>
        <w:r>
          <w:rPr>
            <w:noProof/>
            <w:webHidden/>
          </w:rPr>
          <w:fldChar w:fldCharType="separate"/>
        </w:r>
        <w:r w:rsidR="007B5AC0">
          <w:rPr>
            <w:noProof/>
            <w:webHidden/>
          </w:rPr>
          <w:t>85</w:t>
        </w:r>
        <w:r>
          <w:rPr>
            <w:noProof/>
            <w:webHidden/>
          </w:rPr>
          <w:fldChar w:fldCharType="end"/>
        </w:r>
      </w:hyperlink>
    </w:p>
    <w:p w14:paraId="7DB7CBBC" w14:textId="684798C0"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98" w:history="1">
        <w:r w:rsidRPr="00C04594">
          <w:rPr>
            <w:rStyle w:val="Hyperlink"/>
            <w:noProof/>
            <w:lang w:val="ru-RU"/>
          </w:rPr>
          <w:t xml:space="preserve">§151. </w:t>
        </w:r>
        <w:r w:rsidRPr="00C04594">
          <w:rPr>
            <w:rStyle w:val="Hyperlink"/>
            <w:rFonts w:ascii="MS Gothic" w:eastAsia="MS Gothic" w:hAnsi="MS Gothic" w:cs="MS Gothic" w:hint="eastAsia"/>
            <w:noProof/>
            <w:lang w:val="ru-RU"/>
          </w:rPr>
          <w:t>特</w:t>
        </w:r>
        <w:r w:rsidRPr="00C04594">
          <w:rPr>
            <w:rStyle w:val="Hyperlink"/>
            <w:rFonts w:ascii="Yu Gothic" w:eastAsia="Yu Gothic" w:hAnsi="Yu Gothic" w:cs="Yu Gothic" w:hint="eastAsia"/>
            <w:noProof/>
            <w:lang w:val="ru-RU"/>
          </w:rPr>
          <w:t>别是耶</w:t>
        </w:r>
        <w:r w:rsidRPr="00C04594">
          <w:rPr>
            <w:rStyle w:val="Hyperlink"/>
            <w:rFonts w:ascii="Microsoft JhengHei" w:eastAsia="Microsoft JhengHei" w:hAnsi="Microsoft JhengHei" w:cs="Microsoft JhengHei" w:hint="eastAsia"/>
            <w:noProof/>
            <w:lang w:val="ru-RU"/>
          </w:rPr>
          <w:t>稣基督的死，作为为我们献上的赎罪祭</w:t>
        </w:r>
        <w:r>
          <w:rPr>
            <w:noProof/>
            <w:webHidden/>
          </w:rPr>
          <w:tab/>
        </w:r>
        <w:r>
          <w:rPr>
            <w:noProof/>
            <w:webHidden/>
          </w:rPr>
          <w:fldChar w:fldCharType="begin"/>
        </w:r>
        <w:r>
          <w:rPr>
            <w:noProof/>
            <w:webHidden/>
          </w:rPr>
          <w:instrText xml:space="preserve"> PAGEREF _Toc238576498 \h </w:instrText>
        </w:r>
        <w:r>
          <w:rPr>
            <w:noProof/>
            <w:webHidden/>
          </w:rPr>
        </w:r>
        <w:r>
          <w:rPr>
            <w:noProof/>
            <w:webHidden/>
          </w:rPr>
          <w:fldChar w:fldCharType="separate"/>
        </w:r>
        <w:r w:rsidR="007B5AC0">
          <w:rPr>
            <w:noProof/>
            <w:webHidden/>
          </w:rPr>
          <w:t>87</w:t>
        </w:r>
        <w:r>
          <w:rPr>
            <w:noProof/>
            <w:webHidden/>
          </w:rPr>
          <w:fldChar w:fldCharType="end"/>
        </w:r>
      </w:hyperlink>
    </w:p>
    <w:p w14:paraId="0F0FDDA4" w14:textId="4FA88FB5"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499" w:history="1">
        <w:r w:rsidRPr="00C04594">
          <w:rPr>
            <w:rStyle w:val="Hyperlink"/>
            <w:noProof/>
            <w:lang w:val="ru-RU"/>
          </w:rPr>
          <w:t xml:space="preserve">§152. </w:t>
        </w:r>
        <w:r w:rsidRPr="00C04594">
          <w:rPr>
            <w:rStyle w:val="Hyperlink"/>
            <w:rFonts w:ascii="MS Gothic" w:eastAsia="MS Gothic" w:hAnsi="MS Gothic" w:cs="MS Gothic" w:hint="eastAsia"/>
            <w:noProof/>
            <w:lang w:val="ru-RU"/>
          </w:rPr>
          <w:t>上帝的</w:t>
        </w:r>
        <w:r w:rsidRPr="00C04594">
          <w:rPr>
            <w:rStyle w:val="Hyperlink"/>
            <w:rFonts w:ascii="Microsoft JhengHei" w:eastAsia="Microsoft JhengHei" w:hAnsi="Microsoft JhengHei" w:cs="Microsoft JhengHei" w:hint="eastAsia"/>
            <w:noProof/>
            <w:lang w:val="ru-RU"/>
          </w:rPr>
          <w:t>话语中关于耶稣基督之死为我们赎罪的详尽描述</w:t>
        </w:r>
        <w:r>
          <w:rPr>
            <w:noProof/>
            <w:webHidden/>
          </w:rPr>
          <w:tab/>
        </w:r>
        <w:r>
          <w:rPr>
            <w:noProof/>
            <w:webHidden/>
          </w:rPr>
          <w:fldChar w:fldCharType="begin"/>
        </w:r>
        <w:r>
          <w:rPr>
            <w:noProof/>
            <w:webHidden/>
          </w:rPr>
          <w:instrText xml:space="preserve"> PAGEREF _Toc238576499 \h </w:instrText>
        </w:r>
        <w:r>
          <w:rPr>
            <w:noProof/>
            <w:webHidden/>
          </w:rPr>
        </w:r>
        <w:r>
          <w:rPr>
            <w:noProof/>
            <w:webHidden/>
          </w:rPr>
          <w:fldChar w:fldCharType="separate"/>
        </w:r>
        <w:r w:rsidR="007B5AC0">
          <w:rPr>
            <w:noProof/>
            <w:webHidden/>
          </w:rPr>
          <w:t>91</w:t>
        </w:r>
        <w:r>
          <w:rPr>
            <w:noProof/>
            <w:webHidden/>
          </w:rPr>
          <w:fldChar w:fldCharType="end"/>
        </w:r>
      </w:hyperlink>
    </w:p>
    <w:p w14:paraId="6EB6973F" w14:textId="19392A7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00" w:history="1">
        <w:r w:rsidRPr="00C04594">
          <w:rPr>
            <w:rStyle w:val="Hyperlink"/>
            <w:noProof/>
            <w:lang w:val="ru-RU"/>
          </w:rPr>
          <w:t xml:space="preserve">§153. </w:t>
        </w:r>
        <w:r w:rsidRPr="00C04594">
          <w:rPr>
            <w:rStyle w:val="Hyperlink"/>
            <w:rFonts w:ascii="MS Gothic" w:eastAsia="MS Gothic" w:hAnsi="MS Gothic" w:cs="MS Gothic" w:hint="eastAsia"/>
            <w:noProof/>
            <w:lang w:val="ru-RU"/>
          </w:rPr>
          <w:t>揭示耶</w:t>
        </w:r>
        <w:r w:rsidRPr="00C04594">
          <w:rPr>
            <w:rStyle w:val="Hyperlink"/>
            <w:rFonts w:ascii="Microsoft JhengHei" w:eastAsia="Microsoft JhengHei" w:hAnsi="Microsoft JhengHei" w:cs="Microsoft JhengHei" w:hint="eastAsia"/>
            <w:noProof/>
            <w:lang w:val="ru-RU"/>
          </w:rPr>
          <w:t>稣基督之死作为我们得赎的途径</w:t>
        </w:r>
        <w:r>
          <w:rPr>
            <w:noProof/>
            <w:webHidden/>
          </w:rPr>
          <w:tab/>
        </w:r>
        <w:r>
          <w:rPr>
            <w:noProof/>
            <w:webHidden/>
          </w:rPr>
          <w:fldChar w:fldCharType="begin"/>
        </w:r>
        <w:r>
          <w:rPr>
            <w:noProof/>
            <w:webHidden/>
          </w:rPr>
          <w:instrText xml:space="preserve"> PAGEREF _Toc238576500 \h </w:instrText>
        </w:r>
        <w:r>
          <w:rPr>
            <w:noProof/>
            <w:webHidden/>
          </w:rPr>
        </w:r>
        <w:r>
          <w:rPr>
            <w:noProof/>
            <w:webHidden/>
          </w:rPr>
          <w:fldChar w:fldCharType="separate"/>
        </w:r>
        <w:r w:rsidR="007B5AC0">
          <w:rPr>
            <w:noProof/>
            <w:webHidden/>
          </w:rPr>
          <w:t>92</w:t>
        </w:r>
        <w:r>
          <w:rPr>
            <w:noProof/>
            <w:webHidden/>
          </w:rPr>
          <w:fldChar w:fldCharType="end"/>
        </w:r>
      </w:hyperlink>
    </w:p>
    <w:p w14:paraId="6DD52E57" w14:textId="65285D1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01" w:history="1">
        <w:r w:rsidRPr="00C04594">
          <w:rPr>
            <w:rStyle w:val="Hyperlink"/>
            <w:noProof/>
            <w:lang w:val="ru-RU"/>
          </w:rPr>
          <w:t xml:space="preserve">§154. </w:t>
        </w:r>
        <w:r w:rsidRPr="00C04594">
          <w:rPr>
            <w:rStyle w:val="Hyperlink"/>
            <w:rFonts w:ascii="MS Gothic" w:eastAsia="MS Gothic" w:hAnsi="MS Gothic" w:cs="MS Gothic" w:hint="eastAsia"/>
            <w:noProof/>
            <w:lang w:val="ru-RU"/>
          </w:rPr>
          <w:t>基督受</w:t>
        </w:r>
        <w:r w:rsidRPr="00C04594">
          <w:rPr>
            <w:rStyle w:val="Hyperlink"/>
            <w:rFonts w:ascii="Microsoft JhengHei" w:eastAsia="Microsoft JhengHei" w:hAnsi="Microsoft JhengHei" w:cs="Microsoft JhengHei" w:hint="eastAsia"/>
            <w:noProof/>
            <w:lang w:val="ru-RU"/>
          </w:rPr>
          <w:t>难赎罪之功的广泛性</w:t>
        </w:r>
        <w:r>
          <w:rPr>
            <w:noProof/>
            <w:webHidden/>
          </w:rPr>
          <w:tab/>
        </w:r>
        <w:r>
          <w:rPr>
            <w:noProof/>
            <w:webHidden/>
          </w:rPr>
          <w:fldChar w:fldCharType="begin"/>
        </w:r>
        <w:r>
          <w:rPr>
            <w:noProof/>
            <w:webHidden/>
          </w:rPr>
          <w:instrText xml:space="preserve"> PAGEREF _Toc238576501 \h </w:instrText>
        </w:r>
        <w:r>
          <w:rPr>
            <w:noProof/>
            <w:webHidden/>
          </w:rPr>
        </w:r>
        <w:r>
          <w:rPr>
            <w:noProof/>
            <w:webHidden/>
          </w:rPr>
          <w:fldChar w:fldCharType="separate"/>
        </w:r>
        <w:r w:rsidR="007B5AC0">
          <w:rPr>
            <w:noProof/>
            <w:webHidden/>
          </w:rPr>
          <w:t>97</w:t>
        </w:r>
        <w:r>
          <w:rPr>
            <w:noProof/>
            <w:webHidden/>
          </w:rPr>
          <w:fldChar w:fldCharType="end"/>
        </w:r>
      </w:hyperlink>
    </w:p>
    <w:p w14:paraId="265FB385" w14:textId="63A5570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02" w:history="1">
        <w:r w:rsidRPr="00C04594">
          <w:rPr>
            <w:rStyle w:val="Hyperlink"/>
            <w:noProof/>
            <w:lang w:val="ru-RU"/>
          </w:rPr>
          <w:t xml:space="preserve">§155.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稣基督十字架功绩对其自身的结果：祂得荣耀的状态</w:t>
        </w:r>
        <w:r>
          <w:rPr>
            <w:noProof/>
            <w:webHidden/>
          </w:rPr>
          <w:tab/>
        </w:r>
        <w:r>
          <w:rPr>
            <w:noProof/>
            <w:webHidden/>
          </w:rPr>
          <w:fldChar w:fldCharType="begin"/>
        </w:r>
        <w:r>
          <w:rPr>
            <w:noProof/>
            <w:webHidden/>
          </w:rPr>
          <w:instrText xml:space="preserve"> PAGEREF _Toc238576502 \h </w:instrText>
        </w:r>
        <w:r>
          <w:rPr>
            <w:noProof/>
            <w:webHidden/>
          </w:rPr>
        </w:r>
        <w:r>
          <w:rPr>
            <w:noProof/>
            <w:webHidden/>
          </w:rPr>
          <w:fldChar w:fldCharType="separate"/>
        </w:r>
        <w:r w:rsidR="007B5AC0">
          <w:rPr>
            <w:noProof/>
            <w:webHidden/>
          </w:rPr>
          <w:t>100</w:t>
        </w:r>
        <w:r>
          <w:rPr>
            <w:noProof/>
            <w:webHidden/>
          </w:rPr>
          <w:fldChar w:fldCharType="end"/>
        </w:r>
      </w:hyperlink>
    </w:p>
    <w:p w14:paraId="4076CF28" w14:textId="42FD0CA7"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03" w:history="1">
        <w:r w:rsidRPr="00C04594">
          <w:rPr>
            <w:rStyle w:val="Hyperlink"/>
            <w:noProof/>
            <w:lang w:val="ru-RU"/>
          </w:rPr>
          <w:t xml:space="preserve">§156.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稣基督的大祭司职分与其先知职分的关系</w:t>
        </w:r>
        <w:r>
          <w:rPr>
            <w:noProof/>
            <w:webHidden/>
          </w:rPr>
          <w:tab/>
        </w:r>
        <w:r>
          <w:rPr>
            <w:noProof/>
            <w:webHidden/>
          </w:rPr>
          <w:fldChar w:fldCharType="begin"/>
        </w:r>
        <w:r>
          <w:rPr>
            <w:noProof/>
            <w:webHidden/>
          </w:rPr>
          <w:instrText xml:space="preserve"> PAGEREF _Toc238576503 \h </w:instrText>
        </w:r>
        <w:r>
          <w:rPr>
            <w:noProof/>
            <w:webHidden/>
          </w:rPr>
        </w:r>
        <w:r>
          <w:rPr>
            <w:noProof/>
            <w:webHidden/>
          </w:rPr>
          <w:fldChar w:fldCharType="separate"/>
        </w:r>
        <w:r w:rsidR="007B5AC0">
          <w:rPr>
            <w:noProof/>
            <w:webHidden/>
          </w:rPr>
          <w:t>102</w:t>
        </w:r>
        <w:r>
          <w:rPr>
            <w:noProof/>
            <w:webHidden/>
          </w:rPr>
          <w:fldChar w:fldCharType="end"/>
        </w:r>
      </w:hyperlink>
    </w:p>
    <w:p w14:paraId="28F60334" w14:textId="75DB16D4"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04" w:history="1">
        <w:r w:rsidRPr="00C04594">
          <w:rPr>
            <w:rStyle w:val="Hyperlink"/>
            <w:noProof/>
          </w:rPr>
          <w:t>III</w:t>
        </w:r>
        <w:r w:rsidRPr="00C04594">
          <w:rPr>
            <w:rStyle w:val="Hyperlink"/>
            <w:noProof/>
            <w:lang w:val="ru-RU"/>
          </w:rPr>
          <w:t xml:space="preserve">. </w:t>
        </w:r>
        <w:r w:rsidRPr="00C04594">
          <w:rPr>
            <w:rStyle w:val="Hyperlink"/>
            <w:rFonts w:ascii="MS Gothic" w:eastAsia="MS Gothic" w:hAnsi="MS Gothic" w:cs="MS Gothic" w:hint="eastAsia"/>
            <w:noProof/>
            <w:lang w:val="ru-RU"/>
          </w:rPr>
          <w:t>关于耶</w:t>
        </w:r>
        <w:r w:rsidRPr="00C04594">
          <w:rPr>
            <w:rStyle w:val="Hyperlink"/>
            <w:rFonts w:ascii="Microsoft JhengHei" w:eastAsia="Microsoft JhengHei" w:hAnsi="Microsoft JhengHei" w:cs="Microsoft JhengHei" w:hint="eastAsia"/>
            <w:noProof/>
            <w:lang w:val="ru-RU"/>
          </w:rPr>
          <w:t>稣基督的君王事工</w:t>
        </w:r>
        <w:r>
          <w:rPr>
            <w:noProof/>
            <w:webHidden/>
          </w:rPr>
          <w:tab/>
        </w:r>
        <w:r>
          <w:rPr>
            <w:noProof/>
            <w:webHidden/>
          </w:rPr>
          <w:fldChar w:fldCharType="begin"/>
        </w:r>
        <w:r>
          <w:rPr>
            <w:noProof/>
            <w:webHidden/>
          </w:rPr>
          <w:instrText xml:space="preserve"> PAGEREF _Toc238576504 \h </w:instrText>
        </w:r>
        <w:r>
          <w:rPr>
            <w:noProof/>
            <w:webHidden/>
          </w:rPr>
        </w:r>
        <w:r>
          <w:rPr>
            <w:noProof/>
            <w:webHidden/>
          </w:rPr>
          <w:fldChar w:fldCharType="separate"/>
        </w:r>
        <w:r w:rsidR="007B5AC0">
          <w:rPr>
            <w:noProof/>
            <w:webHidden/>
          </w:rPr>
          <w:t>103</w:t>
        </w:r>
        <w:r>
          <w:rPr>
            <w:noProof/>
            <w:webHidden/>
          </w:rPr>
          <w:fldChar w:fldCharType="end"/>
        </w:r>
      </w:hyperlink>
    </w:p>
    <w:p w14:paraId="00E5BB49" w14:textId="4DA608F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05" w:history="1">
        <w:r w:rsidRPr="00C04594">
          <w:rPr>
            <w:rStyle w:val="Hyperlink"/>
            <w:noProof/>
            <w:lang w:val="ru-RU"/>
          </w:rPr>
          <w:t xml:space="preserve">§157.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联、对耶稣基督君王职分的理解及此职分的真理</w:t>
        </w:r>
        <w:r>
          <w:rPr>
            <w:noProof/>
            <w:webHidden/>
          </w:rPr>
          <w:tab/>
        </w:r>
        <w:r>
          <w:rPr>
            <w:noProof/>
            <w:webHidden/>
          </w:rPr>
          <w:fldChar w:fldCharType="begin"/>
        </w:r>
        <w:r>
          <w:rPr>
            <w:noProof/>
            <w:webHidden/>
          </w:rPr>
          <w:instrText xml:space="preserve"> PAGEREF _Toc238576505 \h </w:instrText>
        </w:r>
        <w:r>
          <w:rPr>
            <w:noProof/>
            <w:webHidden/>
          </w:rPr>
        </w:r>
        <w:r>
          <w:rPr>
            <w:noProof/>
            <w:webHidden/>
          </w:rPr>
          <w:fldChar w:fldCharType="separate"/>
        </w:r>
        <w:r w:rsidR="007B5AC0">
          <w:rPr>
            <w:noProof/>
            <w:webHidden/>
          </w:rPr>
          <w:t>103</w:t>
        </w:r>
        <w:r>
          <w:rPr>
            <w:noProof/>
            <w:webHidden/>
          </w:rPr>
          <w:fldChar w:fldCharType="end"/>
        </w:r>
      </w:hyperlink>
    </w:p>
    <w:p w14:paraId="084E8763" w14:textId="16279CC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06" w:history="1">
        <w:r w:rsidRPr="00C04594">
          <w:rPr>
            <w:rStyle w:val="Hyperlink"/>
            <w:noProof/>
            <w:lang w:val="ru-RU"/>
          </w:rPr>
          <w:t xml:space="preserve">§158.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稣基督的君王事工体现在哪些行为中？他的神迹</w:t>
        </w:r>
        <w:r>
          <w:rPr>
            <w:noProof/>
            <w:webHidden/>
          </w:rPr>
          <w:tab/>
        </w:r>
        <w:r>
          <w:rPr>
            <w:noProof/>
            <w:webHidden/>
          </w:rPr>
          <w:fldChar w:fldCharType="begin"/>
        </w:r>
        <w:r>
          <w:rPr>
            <w:noProof/>
            <w:webHidden/>
          </w:rPr>
          <w:instrText xml:space="preserve"> PAGEREF _Toc238576506 \h </w:instrText>
        </w:r>
        <w:r>
          <w:rPr>
            <w:noProof/>
            <w:webHidden/>
          </w:rPr>
        </w:r>
        <w:r>
          <w:rPr>
            <w:noProof/>
            <w:webHidden/>
          </w:rPr>
          <w:fldChar w:fldCharType="separate"/>
        </w:r>
        <w:r w:rsidR="007B5AC0">
          <w:rPr>
            <w:noProof/>
            <w:webHidden/>
          </w:rPr>
          <w:t>104</w:t>
        </w:r>
        <w:r>
          <w:rPr>
            <w:noProof/>
            <w:webHidden/>
          </w:rPr>
          <w:fldChar w:fldCharType="end"/>
        </w:r>
      </w:hyperlink>
    </w:p>
    <w:p w14:paraId="47AC865B" w14:textId="5E4786FA"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07" w:history="1">
        <w:r w:rsidRPr="00C04594">
          <w:rPr>
            <w:rStyle w:val="Hyperlink"/>
            <w:noProof/>
            <w:lang w:val="ru-RU"/>
          </w:rPr>
          <w:t xml:space="preserve">§159.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稣基督下阴间与战胜阴间</w:t>
        </w:r>
        <w:r>
          <w:rPr>
            <w:noProof/>
            <w:webHidden/>
          </w:rPr>
          <w:tab/>
        </w:r>
        <w:r>
          <w:rPr>
            <w:noProof/>
            <w:webHidden/>
          </w:rPr>
          <w:fldChar w:fldCharType="begin"/>
        </w:r>
        <w:r>
          <w:rPr>
            <w:noProof/>
            <w:webHidden/>
          </w:rPr>
          <w:instrText xml:space="preserve"> PAGEREF _Toc238576507 \h </w:instrText>
        </w:r>
        <w:r>
          <w:rPr>
            <w:noProof/>
            <w:webHidden/>
          </w:rPr>
        </w:r>
        <w:r>
          <w:rPr>
            <w:noProof/>
            <w:webHidden/>
          </w:rPr>
          <w:fldChar w:fldCharType="separate"/>
        </w:r>
        <w:r w:rsidR="007B5AC0">
          <w:rPr>
            <w:noProof/>
            <w:webHidden/>
          </w:rPr>
          <w:t>106</w:t>
        </w:r>
        <w:r>
          <w:rPr>
            <w:noProof/>
            <w:webHidden/>
          </w:rPr>
          <w:fldChar w:fldCharType="end"/>
        </w:r>
      </w:hyperlink>
    </w:p>
    <w:p w14:paraId="40AB288A" w14:textId="447A130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08" w:history="1">
        <w:r w:rsidRPr="00C04594">
          <w:rPr>
            <w:rStyle w:val="Hyperlink"/>
            <w:noProof/>
            <w:lang w:val="ru-RU"/>
          </w:rPr>
          <w:t xml:space="preserve">§160.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稣基督的复活与战胜死亡</w:t>
        </w:r>
        <w:r>
          <w:rPr>
            <w:noProof/>
            <w:webHidden/>
          </w:rPr>
          <w:tab/>
        </w:r>
        <w:r>
          <w:rPr>
            <w:noProof/>
            <w:webHidden/>
          </w:rPr>
          <w:fldChar w:fldCharType="begin"/>
        </w:r>
        <w:r>
          <w:rPr>
            <w:noProof/>
            <w:webHidden/>
          </w:rPr>
          <w:instrText xml:space="preserve"> PAGEREF _Toc238576508 \h </w:instrText>
        </w:r>
        <w:r>
          <w:rPr>
            <w:noProof/>
            <w:webHidden/>
          </w:rPr>
        </w:r>
        <w:r>
          <w:rPr>
            <w:noProof/>
            <w:webHidden/>
          </w:rPr>
          <w:fldChar w:fldCharType="separate"/>
        </w:r>
        <w:r w:rsidR="007B5AC0">
          <w:rPr>
            <w:noProof/>
            <w:webHidden/>
          </w:rPr>
          <w:t>109</w:t>
        </w:r>
        <w:r>
          <w:rPr>
            <w:noProof/>
            <w:webHidden/>
          </w:rPr>
          <w:fldChar w:fldCharType="end"/>
        </w:r>
      </w:hyperlink>
    </w:p>
    <w:p w14:paraId="013EFF44" w14:textId="7938829D"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09" w:history="1">
        <w:r w:rsidRPr="00C04594">
          <w:rPr>
            <w:rStyle w:val="Hyperlink"/>
            <w:noProof/>
            <w:lang w:val="ru-RU"/>
          </w:rPr>
          <w:t xml:space="preserve">§161.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稣基督升天及向所有信靠祂的人敞开天国之门</w:t>
        </w:r>
        <w:r>
          <w:rPr>
            <w:noProof/>
            <w:webHidden/>
          </w:rPr>
          <w:tab/>
        </w:r>
        <w:r>
          <w:rPr>
            <w:noProof/>
            <w:webHidden/>
          </w:rPr>
          <w:fldChar w:fldCharType="begin"/>
        </w:r>
        <w:r>
          <w:rPr>
            <w:noProof/>
            <w:webHidden/>
          </w:rPr>
          <w:instrText xml:space="preserve"> PAGEREF _Toc238576509 \h </w:instrText>
        </w:r>
        <w:r>
          <w:rPr>
            <w:noProof/>
            <w:webHidden/>
          </w:rPr>
        </w:r>
        <w:r>
          <w:rPr>
            <w:noProof/>
            <w:webHidden/>
          </w:rPr>
          <w:fldChar w:fldCharType="separate"/>
        </w:r>
        <w:r w:rsidR="007B5AC0">
          <w:rPr>
            <w:noProof/>
            <w:webHidden/>
          </w:rPr>
          <w:t>110</w:t>
        </w:r>
        <w:r>
          <w:rPr>
            <w:noProof/>
            <w:webHidden/>
          </w:rPr>
          <w:fldChar w:fldCharType="end"/>
        </w:r>
      </w:hyperlink>
    </w:p>
    <w:p w14:paraId="68D391F7" w14:textId="44337022"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10" w:history="1">
        <w:r w:rsidRPr="00C04594">
          <w:rPr>
            <w:rStyle w:val="Hyperlink"/>
            <w:noProof/>
            <w:lang w:val="ru-RU"/>
          </w:rPr>
          <w:t xml:space="preserve">§162.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稣基督的君王事工会结束吗？</w:t>
        </w:r>
        <w:r>
          <w:rPr>
            <w:noProof/>
            <w:webHidden/>
          </w:rPr>
          <w:tab/>
        </w:r>
        <w:r>
          <w:rPr>
            <w:noProof/>
            <w:webHidden/>
          </w:rPr>
          <w:fldChar w:fldCharType="begin"/>
        </w:r>
        <w:r>
          <w:rPr>
            <w:noProof/>
            <w:webHidden/>
          </w:rPr>
          <w:instrText xml:space="preserve"> PAGEREF _Toc238576510 \h </w:instrText>
        </w:r>
        <w:r>
          <w:rPr>
            <w:noProof/>
            <w:webHidden/>
          </w:rPr>
        </w:r>
        <w:r>
          <w:rPr>
            <w:noProof/>
            <w:webHidden/>
          </w:rPr>
          <w:fldChar w:fldCharType="separate"/>
        </w:r>
        <w:r w:rsidR="007B5AC0">
          <w:rPr>
            <w:noProof/>
            <w:webHidden/>
          </w:rPr>
          <w:t>111</w:t>
        </w:r>
        <w:r>
          <w:rPr>
            <w:noProof/>
            <w:webHidden/>
          </w:rPr>
          <w:fldChar w:fldCharType="end"/>
        </w:r>
      </w:hyperlink>
    </w:p>
    <w:p w14:paraId="1793AEC4" w14:textId="332A45DC"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11" w:history="1">
        <w:r w:rsidRPr="00C04594">
          <w:rPr>
            <w:rStyle w:val="Hyperlink"/>
            <w:noProof/>
            <w:lang w:val="ru-RU"/>
          </w:rPr>
          <w:t xml:space="preserve">§163. </w:t>
        </w:r>
        <w:r w:rsidRPr="00C04594">
          <w:rPr>
            <w:rStyle w:val="Hyperlink"/>
            <w:rFonts w:ascii="MS Gothic" w:eastAsia="MS Gothic" w:hAnsi="MS Gothic" w:cs="MS Gothic" w:hint="eastAsia"/>
            <w:noProof/>
            <w:lang w:val="ru-RU"/>
          </w:rPr>
          <w:t>关于救</w:t>
        </w:r>
        <w:r w:rsidRPr="00C04594">
          <w:rPr>
            <w:rStyle w:val="Hyperlink"/>
            <w:rFonts w:ascii="Microsoft JhengHei" w:eastAsia="Microsoft JhengHei" w:hAnsi="Microsoft JhengHei" w:cs="Microsoft JhengHei" w:hint="eastAsia"/>
            <w:noProof/>
            <w:lang w:val="ru-RU"/>
          </w:rPr>
          <w:t>赎奥秘教义的道德应用</w:t>
        </w:r>
        <w:r>
          <w:rPr>
            <w:noProof/>
            <w:webHidden/>
          </w:rPr>
          <w:tab/>
        </w:r>
        <w:r>
          <w:rPr>
            <w:noProof/>
            <w:webHidden/>
          </w:rPr>
          <w:fldChar w:fldCharType="begin"/>
        </w:r>
        <w:r>
          <w:rPr>
            <w:noProof/>
            <w:webHidden/>
          </w:rPr>
          <w:instrText xml:space="preserve"> PAGEREF _Toc238576511 \h </w:instrText>
        </w:r>
        <w:r>
          <w:rPr>
            <w:noProof/>
            <w:webHidden/>
          </w:rPr>
        </w:r>
        <w:r>
          <w:rPr>
            <w:noProof/>
            <w:webHidden/>
          </w:rPr>
          <w:fldChar w:fldCharType="separate"/>
        </w:r>
        <w:r w:rsidR="007B5AC0">
          <w:rPr>
            <w:noProof/>
            <w:webHidden/>
          </w:rPr>
          <w:t>111</w:t>
        </w:r>
        <w:r>
          <w:rPr>
            <w:noProof/>
            <w:webHidden/>
          </w:rPr>
          <w:fldChar w:fldCharType="end"/>
        </w:r>
      </w:hyperlink>
    </w:p>
    <w:p w14:paraId="17A441B7" w14:textId="20726CFE" w:rsidR="0097554A" w:rsidRDefault="0097554A" w:rsidP="0097554A">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6512" w:history="1">
        <w:r w:rsidRPr="00C04594">
          <w:rPr>
            <w:rStyle w:val="Hyperlink"/>
            <w:rFonts w:ascii="MS Gothic" w:eastAsia="MS Gothic" w:hAnsi="MS Gothic" w:cs="MS Gothic" w:hint="eastAsia"/>
            <w:noProof/>
          </w:rPr>
          <w:t>第二</w:t>
        </w:r>
        <w:r w:rsidRPr="00C04594">
          <w:rPr>
            <w:rStyle w:val="Hyperlink"/>
            <w:rFonts w:ascii="MS Gothic" w:eastAsia="MS Gothic" w:hAnsi="MS Gothic" w:cs="MS Gothic" w:hint="eastAsia"/>
            <w:noProof/>
            <w:lang w:val="ru-RU"/>
          </w:rPr>
          <w:t>部分。</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论救主上帝在</w:t>
        </w:r>
        <w:r w:rsidRPr="00C04594">
          <w:rPr>
            <w:rStyle w:val="Hyperlink"/>
            <w:noProof/>
            <w:lang w:val="ru-RU"/>
          </w:rPr>
          <w:t xml:space="preserve">  </w:t>
        </w:r>
        <w:r w:rsidRPr="00C04594">
          <w:rPr>
            <w:rStyle w:val="Hyperlink"/>
            <w:rFonts w:ascii="Yu Gothic" w:eastAsia="Yu Gothic" w:hAnsi="Yu Gothic" w:cs="Yu Gothic" w:hint="eastAsia"/>
            <w:noProof/>
            <w:lang w:val="ru-RU"/>
          </w:rPr>
          <w:t>祂</w:t>
        </w:r>
        <w:r w:rsidRPr="00C04594">
          <w:rPr>
            <w:rStyle w:val="Hyperlink"/>
            <w:rFonts w:ascii="Microsoft JhengHei" w:eastAsia="Microsoft JhengHei" w:hAnsi="Microsoft JhengHei" w:cs="Microsoft JhengHei" w:hint="eastAsia"/>
            <w:noProof/>
            <w:lang w:val="ru-RU"/>
          </w:rPr>
          <w:t>对</w:t>
        </w:r>
        <w:r w:rsidRPr="00C04594">
          <w:rPr>
            <w:rStyle w:val="Hyperlink"/>
            <w:noProof/>
            <w:lang w:val="ru-RU"/>
          </w:rPr>
          <w:t xml:space="preserve">  </w:t>
        </w:r>
        <w:r w:rsidRPr="00C04594">
          <w:rPr>
            <w:rStyle w:val="Hyperlink"/>
            <w:rFonts w:ascii="MS Gothic" w:eastAsia="MS Gothic" w:hAnsi="MS Gothic" w:cs="MS Gothic" w:hint="eastAsia"/>
            <w:noProof/>
            <w:lang w:val="ru-RU"/>
          </w:rPr>
          <w:t>与人</w:t>
        </w:r>
        <w:r w:rsidRPr="00C04594">
          <w:rPr>
            <w:rStyle w:val="Hyperlink"/>
            <w:rFonts w:ascii="Yu Gothic" w:eastAsia="Yu Gothic" w:hAnsi="Yu Gothic" w:cs="Yu Gothic" w:hint="eastAsia"/>
            <w:noProof/>
            <w:lang w:val="ru-RU"/>
          </w:rPr>
          <w:t>类的关系</w:t>
        </w:r>
        <w:r>
          <w:rPr>
            <w:noProof/>
            <w:webHidden/>
          </w:rPr>
          <w:tab/>
        </w:r>
        <w:r>
          <w:rPr>
            <w:noProof/>
            <w:webHidden/>
          </w:rPr>
          <w:fldChar w:fldCharType="begin"/>
        </w:r>
        <w:r>
          <w:rPr>
            <w:noProof/>
            <w:webHidden/>
          </w:rPr>
          <w:instrText xml:space="preserve"> PAGEREF _Toc238576512 \h </w:instrText>
        </w:r>
        <w:r>
          <w:rPr>
            <w:noProof/>
            <w:webHidden/>
          </w:rPr>
        </w:r>
        <w:r>
          <w:rPr>
            <w:noProof/>
            <w:webHidden/>
          </w:rPr>
          <w:fldChar w:fldCharType="separate"/>
        </w:r>
        <w:r w:rsidR="007B5AC0">
          <w:rPr>
            <w:noProof/>
            <w:webHidden/>
          </w:rPr>
          <w:t>113</w:t>
        </w:r>
        <w:r>
          <w:rPr>
            <w:noProof/>
            <w:webHidden/>
          </w:rPr>
          <w:fldChar w:fldCharType="end"/>
        </w:r>
      </w:hyperlink>
    </w:p>
    <w:p w14:paraId="1379B8EA" w14:textId="10A5D1D1"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13" w:history="1">
        <w:r w:rsidRPr="00C04594">
          <w:rPr>
            <w:rStyle w:val="Hyperlink"/>
            <w:bCs/>
            <w:noProof/>
            <w:lang w:val="ru-RU"/>
          </w:rPr>
          <w:t>§164.</w:t>
        </w:r>
        <w:r w:rsidRPr="00C04594">
          <w:rPr>
            <w:rStyle w:val="Hyperlink"/>
            <w:noProof/>
            <w:lang w:val="ru-RU"/>
          </w:rPr>
          <w:t xml:space="preserve">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联及本节的主题</w:t>
        </w:r>
        <w:r>
          <w:rPr>
            <w:noProof/>
            <w:webHidden/>
          </w:rPr>
          <w:tab/>
        </w:r>
        <w:r>
          <w:rPr>
            <w:noProof/>
            <w:webHidden/>
          </w:rPr>
          <w:fldChar w:fldCharType="begin"/>
        </w:r>
        <w:r>
          <w:rPr>
            <w:noProof/>
            <w:webHidden/>
          </w:rPr>
          <w:instrText xml:space="preserve"> PAGEREF _Toc238576513 \h </w:instrText>
        </w:r>
        <w:r>
          <w:rPr>
            <w:noProof/>
            <w:webHidden/>
          </w:rPr>
        </w:r>
        <w:r>
          <w:rPr>
            <w:noProof/>
            <w:webHidden/>
          </w:rPr>
          <w:fldChar w:fldCharType="separate"/>
        </w:r>
        <w:r w:rsidR="007B5AC0">
          <w:rPr>
            <w:noProof/>
            <w:webHidden/>
          </w:rPr>
          <w:t>113</w:t>
        </w:r>
        <w:r>
          <w:rPr>
            <w:noProof/>
            <w:webHidden/>
          </w:rPr>
          <w:fldChar w:fldCharType="end"/>
        </w:r>
      </w:hyperlink>
    </w:p>
    <w:p w14:paraId="3FB79BA9" w14:textId="70D19A04" w:rsidR="0097554A" w:rsidRDefault="0097554A" w:rsidP="0097554A">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6514" w:history="1">
        <w:r w:rsidRPr="00C04594">
          <w:rPr>
            <w:rStyle w:val="Hyperlink"/>
            <w:rFonts w:ascii="MS Gothic" w:eastAsia="MS Gothic" w:hAnsi="MS Gothic" w:cs="MS Gothic" w:hint="eastAsia"/>
            <w:noProof/>
          </w:rPr>
          <w:t>第一章</w:t>
        </w:r>
        <w:r w:rsidRPr="00C04594">
          <w:rPr>
            <w:rStyle w:val="Hyperlink"/>
            <w:rFonts w:ascii="MS Gothic" w:eastAsia="MS Gothic" w:hAnsi="MS Gothic" w:cs="MS Gothic" w:hint="eastAsia"/>
            <w:noProof/>
            <w:lang w:val="ru-RU"/>
          </w:rPr>
          <w:t>。</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论上帝作为圣化者</w:t>
        </w:r>
        <w:r>
          <w:rPr>
            <w:noProof/>
            <w:webHidden/>
          </w:rPr>
          <w:tab/>
        </w:r>
        <w:r>
          <w:rPr>
            <w:noProof/>
            <w:webHidden/>
          </w:rPr>
          <w:fldChar w:fldCharType="begin"/>
        </w:r>
        <w:r>
          <w:rPr>
            <w:noProof/>
            <w:webHidden/>
          </w:rPr>
          <w:instrText xml:space="preserve"> PAGEREF _Toc238576514 \h </w:instrText>
        </w:r>
        <w:r>
          <w:rPr>
            <w:noProof/>
            <w:webHidden/>
          </w:rPr>
        </w:r>
        <w:r>
          <w:rPr>
            <w:noProof/>
            <w:webHidden/>
          </w:rPr>
          <w:fldChar w:fldCharType="separate"/>
        </w:r>
        <w:r w:rsidR="007B5AC0">
          <w:rPr>
            <w:noProof/>
            <w:webHidden/>
          </w:rPr>
          <w:t>114</w:t>
        </w:r>
        <w:r>
          <w:rPr>
            <w:noProof/>
            <w:webHidden/>
          </w:rPr>
          <w:fldChar w:fldCharType="end"/>
        </w:r>
      </w:hyperlink>
    </w:p>
    <w:p w14:paraId="01DB7425" w14:textId="2BF6CA74"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15" w:history="1">
        <w:r w:rsidRPr="00C04594">
          <w:rPr>
            <w:rStyle w:val="Hyperlink"/>
            <w:bCs/>
            <w:noProof/>
            <w:lang w:val="ru-RU"/>
          </w:rPr>
          <w:t>§165.</w:t>
        </w:r>
        <w:r w:rsidRPr="00C04594">
          <w:rPr>
            <w:rStyle w:val="Hyperlink"/>
            <w:noProof/>
            <w:lang w:val="ru-RU"/>
          </w:rPr>
          <w:t xml:space="preserve"> </w:t>
        </w:r>
        <w:r w:rsidRPr="00C04594">
          <w:rPr>
            <w:rStyle w:val="Hyperlink"/>
            <w:rFonts w:ascii="MS Gothic" w:eastAsia="MS Gothic" w:hAnsi="MS Gothic" w:cs="MS Gothic" w:hint="eastAsia"/>
            <w:noProof/>
            <w:lang w:val="ru-RU"/>
          </w:rPr>
          <w:t>关于成圣的概念、圣三一所有位格在成圣事工中的参与，以及成圣的途径或条件的</w:t>
        </w:r>
        <w:r w:rsidRPr="00C04594">
          <w:rPr>
            <w:rStyle w:val="Hyperlink"/>
            <w:rFonts w:ascii="Microsoft JhengHei" w:eastAsia="Microsoft JhengHei" w:hAnsi="Microsoft JhengHei" w:cs="Microsoft JhengHei" w:hint="eastAsia"/>
            <w:noProof/>
            <w:lang w:val="ru-RU"/>
          </w:rPr>
          <w:t>阐述</w:t>
        </w:r>
        <w:r>
          <w:rPr>
            <w:noProof/>
            <w:webHidden/>
          </w:rPr>
          <w:tab/>
        </w:r>
        <w:r>
          <w:rPr>
            <w:noProof/>
            <w:webHidden/>
          </w:rPr>
          <w:fldChar w:fldCharType="begin"/>
        </w:r>
        <w:r>
          <w:rPr>
            <w:noProof/>
            <w:webHidden/>
          </w:rPr>
          <w:instrText xml:space="preserve"> PAGEREF _Toc238576515 \h </w:instrText>
        </w:r>
        <w:r>
          <w:rPr>
            <w:noProof/>
            <w:webHidden/>
          </w:rPr>
        </w:r>
        <w:r>
          <w:rPr>
            <w:noProof/>
            <w:webHidden/>
          </w:rPr>
          <w:fldChar w:fldCharType="separate"/>
        </w:r>
        <w:r w:rsidR="007B5AC0">
          <w:rPr>
            <w:noProof/>
            <w:webHidden/>
          </w:rPr>
          <w:t>114</w:t>
        </w:r>
        <w:r>
          <w:rPr>
            <w:noProof/>
            <w:webHidden/>
          </w:rPr>
          <w:fldChar w:fldCharType="end"/>
        </w:r>
      </w:hyperlink>
    </w:p>
    <w:p w14:paraId="5B03696F" w14:textId="5E18EBE6" w:rsidR="0097554A" w:rsidRDefault="0097554A" w:rsidP="0097554A">
      <w:pPr>
        <w:pStyle w:val="TOC3"/>
        <w:tabs>
          <w:tab w:val="right" w:leader="dot" w:pos="10790"/>
        </w:tabs>
        <w:rPr>
          <w:rFonts w:eastAsiaTheme="minorEastAsia" w:cstheme="minorBidi"/>
          <w:noProof/>
          <w:kern w:val="2"/>
          <w:sz w:val="24"/>
          <w:lang w:bidi="ta-IN"/>
          <w14:ligatures w14:val="standardContextual"/>
        </w:rPr>
      </w:pPr>
      <w:hyperlink w:anchor="_Toc238576516" w:history="1">
        <w:r w:rsidRPr="00C04594">
          <w:rPr>
            <w:rStyle w:val="Hyperlink"/>
            <w:rFonts w:ascii="MS Gothic" w:eastAsia="MS Gothic" w:hAnsi="MS Gothic" w:cs="MS Gothic" w:hint="eastAsia"/>
            <w:bCs/>
            <w:noProof/>
          </w:rPr>
          <w:t>第一条</w:t>
        </w:r>
        <w:r w:rsidRPr="00C04594">
          <w:rPr>
            <w:rStyle w:val="Hyperlink"/>
            <w:rFonts w:ascii="MS Gothic" w:eastAsia="MS Gothic" w:hAnsi="MS Gothic" w:cs="MS Gothic" w:hint="eastAsia"/>
            <w:bCs/>
            <w:noProof/>
            <w:lang w:val="ru-RU"/>
          </w:rPr>
          <w:t>。</w:t>
        </w:r>
        <w:r w:rsidRPr="00C04594">
          <w:rPr>
            <w:rStyle w:val="Hyperlink"/>
            <w:bCs/>
            <w:noProof/>
            <w:lang w:val="ru-RU"/>
          </w:rPr>
          <w:t xml:space="preserve"> </w:t>
        </w:r>
        <w:r w:rsidRPr="00C04594">
          <w:rPr>
            <w:rStyle w:val="Hyperlink"/>
            <w:noProof/>
            <w:lang w:val="ru-RU"/>
          </w:rPr>
          <w:t xml:space="preserve"> </w:t>
        </w:r>
        <w:r w:rsidRPr="00C04594">
          <w:rPr>
            <w:rStyle w:val="Hyperlink"/>
            <w:rFonts w:ascii="MS Gothic" w:eastAsia="MS Gothic" w:hAnsi="MS Gothic" w:cs="MS Gothic" w:hint="eastAsia"/>
            <w:noProof/>
            <w:lang w:val="ru-RU"/>
          </w:rPr>
          <w:t>关于圣教会</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作</w:t>
        </w:r>
        <w:r w:rsidRPr="00C04594">
          <w:rPr>
            <w:rStyle w:val="Hyperlink"/>
            <w:rFonts w:ascii="Microsoft JhengHei" w:eastAsia="Microsoft JhengHei" w:hAnsi="Microsoft JhengHei" w:cs="Microsoft JhengHei" w:hint="eastAsia"/>
            <w:noProof/>
            <w:lang w:val="ru-RU"/>
          </w:rPr>
          <w:t>为主借以成就我们成圣的器皿</w:t>
        </w:r>
        <w:r>
          <w:rPr>
            <w:noProof/>
            <w:webHidden/>
          </w:rPr>
          <w:tab/>
        </w:r>
        <w:r>
          <w:rPr>
            <w:noProof/>
            <w:webHidden/>
          </w:rPr>
          <w:fldChar w:fldCharType="begin"/>
        </w:r>
        <w:r>
          <w:rPr>
            <w:noProof/>
            <w:webHidden/>
          </w:rPr>
          <w:instrText xml:space="preserve"> PAGEREF _Toc238576516 \h </w:instrText>
        </w:r>
        <w:r>
          <w:rPr>
            <w:noProof/>
            <w:webHidden/>
          </w:rPr>
        </w:r>
        <w:r>
          <w:rPr>
            <w:noProof/>
            <w:webHidden/>
          </w:rPr>
          <w:fldChar w:fldCharType="separate"/>
        </w:r>
        <w:r w:rsidR="007B5AC0">
          <w:rPr>
            <w:noProof/>
            <w:webHidden/>
          </w:rPr>
          <w:t>117</w:t>
        </w:r>
        <w:r>
          <w:rPr>
            <w:noProof/>
            <w:webHidden/>
          </w:rPr>
          <w:fldChar w:fldCharType="end"/>
        </w:r>
      </w:hyperlink>
    </w:p>
    <w:p w14:paraId="2CF0B7CC" w14:textId="210DDA1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17" w:history="1">
        <w:r w:rsidRPr="00C04594">
          <w:rPr>
            <w:rStyle w:val="Hyperlink"/>
            <w:bCs/>
            <w:noProof/>
            <w:lang w:val="ru-RU"/>
          </w:rPr>
          <w:t xml:space="preserve">§166. </w:t>
        </w:r>
        <w:r w:rsidRPr="00C04594">
          <w:rPr>
            <w:rStyle w:val="Hyperlink"/>
            <w:noProof/>
            <w:lang w:val="ru-RU"/>
          </w:rPr>
          <w:t>“</w:t>
        </w:r>
        <w:r w:rsidRPr="00C04594">
          <w:rPr>
            <w:rStyle w:val="Hyperlink"/>
            <w:rFonts w:ascii="MS Gothic" w:eastAsia="MS Gothic" w:hAnsi="MS Gothic" w:cs="MS Gothic" w:hint="eastAsia"/>
            <w:noProof/>
            <w:lang w:val="ru-RU"/>
          </w:rPr>
          <w:t>教会</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一</w:t>
        </w:r>
        <w:r w:rsidRPr="00C04594">
          <w:rPr>
            <w:rStyle w:val="Hyperlink"/>
            <w:rFonts w:ascii="Microsoft JhengHei" w:eastAsia="Microsoft JhengHei" w:hAnsi="Microsoft JhengHei" w:cs="Microsoft JhengHei" w:hint="eastAsia"/>
            <w:noProof/>
            <w:lang w:val="ru-RU"/>
          </w:rPr>
          <w:t>词的不同含义；本文将以此词阐述相关教义，以及对此主题的观点</w:t>
        </w:r>
        <w:r>
          <w:rPr>
            <w:noProof/>
            <w:webHidden/>
          </w:rPr>
          <w:tab/>
        </w:r>
        <w:r>
          <w:rPr>
            <w:noProof/>
            <w:webHidden/>
          </w:rPr>
          <w:fldChar w:fldCharType="begin"/>
        </w:r>
        <w:r>
          <w:rPr>
            <w:noProof/>
            <w:webHidden/>
          </w:rPr>
          <w:instrText xml:space="preserve"> PAGEREF _Toc238576517 \h </w:instrText>
        </w:r>
        <w:r>
          <w:rPr>
            <w:noProof/>
            <w:webHidden/>
          </w:rPr>
        </w:r>
        <w:r>
          <w:rPr>
            <w:noProof/>
            <w:webHidden/>
          </w:rPr>
          <w:fldChar w:fldCharType="separate"/>
        </w:r>
        <w:r w:rsidR="007B5AC0">
          <w:rPr>
            <w:noProof/>
            <w:webHidden/>
          </w:rPr>
          <w:t>117</w:t>
        </w:r>
        <w:r>
          <w:rPr>
            <w:noProof/>
            <w:webHidden/>
          </w:rPr>
          <w:fldChar w:fldCharType="end"/>
        </w:r>
      </w:hyperlink>
    </w:p>
    <w:p w14:paraId="29C7C9E1" w14:textId="1751E7C0"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18" w:history="1">
        <w:r w:rsidRPr="00C04594">
          <w:rPr>
            <w:rStyle w:val="Hyperlink"/>
            <w:bCs/>
            <w:noProof/>
          </w:rPr>
          <w:t>I</w:t>
        </w:r>
        <w:r w:rsidRPr="00C04594">
          <w:rPr>
            <w:rStyle w:val="Hyperlink"/>
            <w:bCs/>
            <w:noProof/>
            <w:lang w:val="ru-RU"/>
          </w:rPr>
          <w:t>.</w:t>
        </w:r>
        <w:r w:rsidRPr="00C04594">
          <w:rPr>
            <w:rStyle w:val="Hyperlink"/>
            <w:noProof/>
            <w:lang w:val="ru-RU"/>
          </w:rPr>
          <w:t xml:space="preserve"> </w:t>
        </w:r>
        <w:r w:rsidRPr="00C04594">
          <w:rPr>
            <w:rStyle w:val="Hyperlink"/>
            <w:rFonts w:ascii="MS Gothic" w:eastAsia="MS Gothic" w:hAnsi="MS Gothic" w:cs="MS Gothic" w:hint="eastAsia"/>
            <w:noProof/>
            <w:lang w:val="ru-RU"/>
          </w:rPr>
          <w:t>关于教会的起源、范</w:t>
        </w:r>
        <w:r w:rsidRPr="00C04594">
          <w:rPr>
            <w:rStyle w:val="Hyperlink"/>
            <w:rFonts w:ascii="Microsoft JhengHei" w:eastAsia="Microsoft JhengHei" w:hAnsi="Microsoft JhengHei" w:cs="Microsoft JhengHei" w:hint="eastAsia"/>
            <w:noProof/>
            <w:lang w:val="ru-RU"/>
          </w:rPr>
          <w:t>围与宗旨</w:t>
        </w:r>
        <w:r>
          <w:rPr>
            <w:noProof/>
            <w:webHidden/>
          </w:rPr>
          <w:tab/>
        </w:r>
        <w:r>
          <w:rPr>
            <w:noProof/>
            <w:webHidden/>
          </w:rPr>
          <w:fldChar w:fldCharType="begin"/>
        </w:r>
        <w:r>
          <w:rPr>
            <w:noProof/>
            <w:webHidden/>
          </w:rPr>
          <w:instrText xml:space="preserve"> PAGEREF _Toc238576518 \h </w:instrText>
        </w:r>
        <w:r>
          <w:rPr>
            <w:noProof/>
            <w:webHidden/>
          </w:rPr>
        </w:r>
        <w:r>
          <w:rPr>
            <w:noProof/>
            <w:webHidden/>
          </w:rPr>
          <w:fldChar w:fldCharType="separate"/>
        </w:r>
        <w:r w:rsidR="007B5AC0">
          <w:rPr>
            <w:noProof/>
            <w:webHidden/>
          </w:rPr>
          <w:t>120</w:t>
        </w:r>
        <w:r>
          <w:rPr>
            <w:noProof/>
            <w:webHidden/>
          </w:rPr>
          <w:fldChar w:fldCharType="end"/>
        </w:r>
      </w:hyperlink>
    </w:p>
    <w:p w14:paraId="70987C20" w14:textId="43E1351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19" w:history="1">
        <w:r w:rsidRPr="00C04594">
          <w:rPr>
            <w:rStyle w:val="Hyperlink"/>
            <w:bCs/>
            <w:noProof/>
            <w:lang w:val="ru-RU"/>
          </w:rPr>
          <w:t>§167.</w:t>
        </w:r>
        <w:r w:rsidRPr="00C04594">
          <w:rPr>
            <w:rStyle w:val="Hyperlink"/>
            <w:noProof/>
            <w:lang w:val="ru-RU"/>
          </w:rPr>
          <w:t xml:space="preserve"> </w:t>
        </w:r>
        <w:r w:rsidRPr="00C04594">
          <w:rPr>
            <w:rStyle w:val="Hyperlink"/>
            <w:rFonts w:ascii="MS Gothic" w:eastAsia="MS Gothic" w:hAnsi="MS Gothic" w:cs="MS Gothic" w:hint="eastAsia"/>
            <w:noProof/>
            <w:lang w:val="ru-RU"/>
          </w:rPr>
          <w:t>主耶</w:t>
        </w:r>
        <w:r w:rsidRPr="00C04594">
          <w:rPr>
            <w:rStyle w:val="Hyperlink"/>
            <w:rFonts w:ascii="Microsoft JhengHei" w:eastAsia="Microsoft JhengHei" w:hAnsi="Microsoft JhengHei" w:cs="Microsoft JhengHei" w:hint="eastAsia"/>
            <w:noProof/>
            <w:lang w:val="ru-RU"/>
          </w:rPr>
          <w:t>稣基督建立教会</w:t>
        </w:r>
        <w:r>
          <w:rPr>
            <w:noProof/>
            <w:webHidden/>
          </w:rPr>
          <w:tab/>
        </w:r>
        <w:r>
          <w:rPr>
            <w:noProof/>
            <w:webHidden/>
          </w:rPr>
          <w:fldChar w:fldCharType="begin"/>
        </w:r>
        <w:r>
          <w:rPr>
            <w:noProof/>
            <w:webHidden/>
          </w:rPr>
          <w:instrText xml:space="preserve"> PAGEREF _Toc238576519 \h </w:instrText>
        </w:r>
        <w:r>
          <w:rPr>
            <w:noProof/>
            <w:webHidden/>
          </w:rPr>
        </w:r>
        <w:r>
          <w:rPr>
            <w:noProof/>
            <w:webHidden/>
          </w:rPr>
          <w:fldChar w:fldCharType="separate"/>
        </w:r>
        <w:r w:rsidR="007B5AC0">
          <w:rPr>
            <w:noProof/>
            <w:webHidden/>
          </w:rPr>
          <w:t>120</w:t>
        </w:r>
        <w:r>
          <w:rPr>
            <w:noProof/>
            <w:webHidden/>
          </w:rPr>
          <w:fldChar w:fldCharType="end"/>
        </w:r>
      </w:hyperlink>
    </w:p>
    <w:p w14:paraId="24DECB17" w14:textId="1ECFF574"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20" w:history="1">
        <w:r w:rsidRPr="00C04594">
          <w:rPr>
            <w:rStyle w:val="Hyperlink"/>
            <w:noProof/>
            <w:lang w:val="ru-RU"/>
          </w:rPr>
          <w:t xml:space="preserve">§168. </w:t>
        </w:r>
        <w:r w:rsidRPr="00C04594">
          <w:rPr>
            <w:rStyle w:val="Hyperlink"/>
            <w:rFonts w:ascii="MS Gothic" w:eastAsia="MS Gothic" w:hAnsi="MS Gothic" w:cs="MS Gothic" w:hint="eastAsia"/>
            <w:noProof/>
            <w:lang w:val="ru-RU"/>
          </w:rPr>
          <w:t>基督教会的范</w:t>
        </w:r>
        <w:r w:rsidRPr="00C04594">
          <w:rPr>
            <w:rStyle w:val="Hyperlink"/>
            <w:rFonts w:ascii="Microsoft JhengHei" w:eastAsia="Microsoft JhengHei" w:hAnsi="Microsoft JhengHei" w:cs="Microsoft JhengHei" w:hint="eastAsia"/>
            <w:noProof/>
            <w:lang w:val="ru-RU"/>
          </w:rPr>
          <w:t>围：谁属于教会，谁不属于教会</w:t>
        </w:r>
        <w:r>
          <w:rPr>
            <w:noProof/>
            <w:webHidden/>
          </w:rPr>
          <w:tab/>
        </w:r>
        <w:r>
          <w:rPr>
            <w:noProof/>
            <w:webHidden/>
          </w:rPr>
          <w:fldChar w:fldCharType="begin"/>
        </w:r>
        <w:r>
          <w:rPr>
            <w:noProof/>
            <w:webHidden/>
          </w:rPr>
          <w:instrText xml:space="preserve"> PAGEREF _Toc238576520 \h </w:instrText>
        </w:r>
        <w:r>
          <w:rPr>
            <w:noProof/>
            <w:webHidden/>
          </w:rPr>
        </w:r>
        <w:r>
          <w:rPr>
            <w:noProof/>
            <w:webHidden/>
          </w:rPr>
          <w:fldChar w:fldCharType="separate"/>
        </w:r>
        <w:r w:rsidR="007B5AC0">
          <w:rPr>
            <w:noProof/>
            <w:webHidden/>
          </w:rPr>
          <w:t>121</w:t>
        </w:r>
        <w:r>
          <w:rPr>
            <w:noProof/>
            <w:webHidden/>
          </w:rPr>
          <w:fldChar w:fldCharType="end"/>
        </w:r>
      </w:hyperlink>
    </w:p>
    <w:p w14:paraId="122207C0" w14:textId="74BF4A5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21" w:history="1">
        <w:r w:rsidRPr="00C04594">
          <w:rPr>
            <w:rStyle w:val="Hyperlink"/>
            <w:noProof/>
            <w:lang w:val="ru-RU"/>
          </w:rPr>
          <w:t xml:space="preserve">§169. </w:t>
        </w:r>
        <w:r w:rsidRPr="00C04594">
          <w:rPr>
            <w:rStyle w:val="Hyperlink"/>
            <w:rFonts w:ascii="MS Gothic" w:eastAsia="MS Gothic" w:hAnsi="MS Gothic" w:cs="MS Gothic" w:hint="eastAsia"/>
            <w:noProof/>
            <w:lang w:val="ru-RU"/>
          </w:rPr>
          <w:t>基督教会的宗旨及其</w:t>
        </w:r>
        <w:r w:rsidRPr="00C04594">
          <w:rPr>
            <w:rStyle w:val="Hyperlink"/>
            <w:rFonts w:ascii="Microsoft JhengHei" w:eastAsia="Microsoft JhengHei" w:hAnsi="Microsoft JhengHei" w:cs="Microsoft JhengHei" w:hint="eastAsia"/>
            <w:noProof/>
            <w:lang w:val="ru-RU"/>
          </w:rPr>
          <w:t>为实现该宗旨而获得的手段</w:t>
        </w:r>
        <w:r>
          <w:rPr>
            <w:noProof/>
            <w:webHidden/>
          </w:rPr>
          <w:tab/>
        </w:r>
        <w:r>
          <w:rPr>
            <w:noProof/>
            <w:webHidden/>
          </w:rPr>
          <w:fldChar w:fldCharType="begin"/>
        </w:r>
        <w:r>
          <w:rPr>
            <w:noProof/>
            <w:webHidden/>
          </w:rPr>
          <w:instrText xml:space="preserve"> PAGEREF _Toc238576521 \h </w:instrText>
        </w:r>
        <w:r>
          <w:rPr>
            <w:noProof/>
            <w:webHidden/>
          </w:rPr>
        </w:r>
        <w:r>
          <w:rPr>
            <w:noProof/>
            <w:webHidden/>
          </w:rPr>
          <w:fldChar w:fldCharType="separate"/>
        </w:r>
        <w:r w:rsidR="007B5AC0">
          <w:rPr>
            <w:noProof/>
            <w:webHidden/>
          </w:rPr>
          <w:t>127</w:t>
        </w:r>
        <w:r>
          <w:rPr>
            <w:noProof/>
            <w:webHidden/>
          </w:rPr>
          <w:fldChar w:fldCharType="end"/>
        </w:r>
      </w:hyperlink>
    </w:p>
    <w:p w14:paraId="3E9014C9" w14:textId="1815EC40"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22" w:history="1">
        <w:r w:rsidRPr="00C04594">
          <w:rPr>
            <w:rStyle w:val="Hyperlink"/>
            <w:noProof/>
            <w:lang w:val="ru-RU"/>
          </w:rPr>
          <w:t xml:space="preserve">§170. </w:t>
        </w:r>
        <w:r w:rsidRPr="00C04594">
          <w:rPr>
            <w:rStyle w:val="Hyperlink"/>
            <w:rFonts w:ascii="Microsoft JhengHei" w:eastAsia="Microsoft JhengHei" w:hAnsi="Microsoft JhengHei" w:cs="Microsoft JhengHei" w:hint="eastAsia"/>
            <w:noProof/>
            <w:lang w:val="ru-RU"/>
          </w:rPr>
          <w:t>为了获得救赎，必须隶属于基督的教会</w:t>
        </w:r>
        <w:r>
          <w:rPr>
            <w:noProof/>
            <w:webHidden/>
          </w:rPr>
          <w:tab/>
        </w:r>
        <w:r>
          <w:rPr>
            <w:noProof/>
            <w:webHidden/>
          </w:rPr>
          <w:fldChar w:fldCharType="begin"/>
        </w:r>
        <w:r>
          <w:rPr>
            <w:noProof/>
            <w:webHidden/>
          </w:rPr>
          <w:instrText xml:space="preserve"> PAGEREF _Toc238576522 \h </w:instrText>
        </w:r>
        <w:r>
          <w:rPr>
            <w:noProof/>
            <w:webHidden/>
          </w:rPr>
        </w:r>
        <w:r>
          <w:rPr>
            <w:noProof/>
            <w:webHidden/>
          </w:rPr>
          <w:fldChar w:fldCharType="separate"/>
        </w:r>
        <w:r w:rsidR="007B5AC0">
          <w:rPr>
            <w:noProof/>
            <w:webHidden/>
          </w:rPr>
          <w:t>128</w:t>
        </w:r>
        <w:r>
          <w:rPr>
            <w:noProof/>
            <w:webHidden/>
          </w:rPr>
          <w:fldChar w:fldCharType="end"/>
        </w:r>
      </w:hyperlink>
    </w:p>
    <w:p w14:paraId="387A3A29" w14:textId="6CB5CA7E"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23" w:history="1">
        <w:r w:rsidRPr="00C04594">
          <w:rPr>
            <w:rStyle w:val="Hyperlink"/>
            <w:bCs/>
            <w:noProof/>
          </w:rPr>
          <w:t>II</w:t>
        </w:r>
        <w:r w:rsidRPr="00C04594">
          <w:rPr>
            <w:rStyle w:val="Hyperlink"/>
            <w:bCs/>
            <w:noProof/>
            <w:lang w:val="ru-RU"/>
          </w:rPr>
          <w:t>.</w:t>
        </w:r>
        <w:r w:rsidRPr="00C04594">
          <w:rPr>
            <w:rStyle w:val="Hyperlink"/>
            <w:noProof/>
            <w:lang w:val="ru-RU"/>
          </w:rPr>
          <w:t xml:space="preserve"> </w:t>
        </w:r>
        <w:r w:rsidRPr="00C04594">
          <w:rPr>
            <w:rStyle w:val="Hyperlink"/>
            <w:rFonts w:ascii="MS Gothic" w:eastAsia="MS Gothic" w:hAnsi="MS Gothic" w:cs="MS Gothic" w:hint="eastAsia"/>
            <w:noProof/>
            <w:lang w:val="ru-RU"/>
          </w:rPr>
          <w:t>关于教会的</w:t>
        </w:r>
        <w:r w:rsidRPr="00C04594">
          <w:rPr>
            <w:rStyle w:val="Hyperlink"/>
            <w:rFonts w:ascii="Microsoft JhengHei" w:eastAsia="Microsoft JhengHei" w:hAnsi="Microsoft JhengHei" w:cs="Microsoft JhengHei" w:hint="eastAsia"/>
            <w:noProof/>
            <w:lang w:val="ru-RU"/>
          </w:rPr>
          <w:t>组成与结构</w:t>
        </w:r>
        <w:r>
          <w:rPr>
            <w:noProof/>
            <w:webHidden/>
          </w:rPr>
          <w:tab/>
        </w:r>
        <w:r>
          <w:rPr>
            <w:noProof/>
            <w:webHidden/>
          </w:rPr>
          <w:fldChar w:fldCharType="begin"/>
        </w:r>
        <w:r>
          <w:rPr>
            <w:noProof/>
            <w:webHidden/>
          </w:rPr>
          <w:instrText xml:space="preserve"> PAGEREF _Toc238576523 \h </w:instrText>
        </w:r>
        <w:r>
          <w:rPr>
            <w:noProof/>
            <w:webHidden/>
          </w:rPr>
        </w:r>
        <w:r>
          <w:rPr>
            <w:noProof/>
            <w:webHidden/>
          </w:rPr>
          <w:fldChar w:fldCharType="separate"/>
        </w:r>
        <w:r w:rsidR="007B5AC0">
          <w:rPr>
            <w:noProof/>
            <w:webHidden/>
          </w:rPr>
          <w:t>131</w:t>
        </w:r>
        <w:r>
          <w:rPr>
            <w:noProof/>
            <w:webHidden/>
          </w:rPr>
          <w:fldChar w:fldCharType="end"/>
        </w:r>
      </w:hyperlink>
    </w:p>
    <w:p w14:paraId="44161A40" w14:textId="74366BBD"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24" w:history="1">
        <w:r w:rsidRPr="00C04594">
          <w:rPr>
            <w:rStyle w:val="Hyperlink"/>
            <w:bCs/>
            <w:noProof/>
            <w:lang w:val="ru-RU"/>
          </w:rPr>
          <w:t>§171.</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该体制的总体概述</w:t>
        </w:r>
        <w:r>
          <w:rPr>
            <w:noProof/>
            <w:webHidden/>
          </w:rPr>
          <w:tab/>
        </w:r>
        <w:r>
          <w:rPr>
            <w:noProof/>
            <w:webHidden/>
          </w:rPr>
          <w:fldChar w:fldCharType="begin"/>
        </w:r>
        <w:r>
          <w:rPr>
            <w:noProof/>
            <w:webHidden/>
          </w:rPr>
          <w:instrText xml:space="preserve"> PAGEREF _Toc238576524 \h </w:instrText>
        </w:r>
        <w:r>
          <w:rPr>
            <w:noProof/>
            <w:webHidden/>
          </w:rPr>
        </w:r>
        <w:r>
          <w:rPr>
            <w:noProof/>
            <w:webHidden/>
          </w:rPr>
          <w:fldChar w:fldCharType="separate"/>
        </w:r>
        <w:r w:rsidR="007B5AC0">
          <w:rPr>
            <w:noProof/>
            <w:webHidden/>
          </w:rPr>
          <w:t>131</w:t>
        </w:r>
        <w:r>
          <w:rPr>
            <w:noProof/>
            <w:webHidden/>
          </w:rPr>
          <w:fldChar w:fldCharType="end"/>
        </w:r>
      </w:hyperlink>
    </w:p>
    <w:p w14:paraId="1EF9DD8C" w14:textId="5BFBDE45"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25" w:history="1">
        <w:r w:rsidRPr="00C04594">
          <w:rPr>
            <w:rStyle w:val="Hyperlink"/>
            <w:bCs/>
            <w:noProof/>
            <w:lang w:val="ru-RU"/>
          </w:rPr>
          <w:t>§172.</w:t>
        </w:r>
        <w:r w:rsidRPr="00C04594">
          <w:rPr>
            <w:rStyle w:val="Hyperlink"/>
            <w:noProof/>
            <w:lang w:val="ru-RU"/>
          </w:rPr>
          <w:t xml:space="preserve"> </w:t>
        </w:r>
        <w:r w:rsidRPr="00C04594">
          <w:rPr>
            <w:rStyle w:val="Hyperlink"/>
            <w:rFonts w:ascii="MS Gothic" w:eastAsia="MS Gothic" w:hAnsi="MS Gothic" w:cs="MS Gothic" w:hint="eastAsia"/>
            <w:noProof/>
            <w:lang w:val="ru-RU"/>
          </w:rPr>
          <w:t>信众与神所</w:t>
        </w:r>
        <w:r w:rsidRPr="00C04594">
          <w:rPr>
            <w:rStyle w:val="Hyperlink"/>
            <w:rFonts w:ascii="Microsoft JhengHei" w:eastAsia="Microsoft JhengHei" w:hAnsi="Microsoft JhengHei" w:cs="Microsoft JhengHei" w:hint="eastAsia"/>
            <w:noProof/>
            <w:lang w:val="ru-RU"/>
          </w:rPr>
          <w:t>设立的教会层级及其相互关系</w:t>
        </w:r>
        <w:r>
          <w:rPr>
            <w:noProof/>
            <w:webHidden/>
          </w:rPr>
          <w:tab/>
        </w:r>
        <w:r>
          <w:rPr>
            <w:noProof/>
            <w:webHidden/>
          </w:rPr>
          <w:fldChar w:fldCharType="begin"/>
        </w:r>
        <w:r>
          <w:rPr>
            <w:noProof/>
            <w:webHidden/>
          </w:rPr>
          <w:instrText xml:space="preserve"> PAGEREF _Toc238576525 \h </w:instrText>
        </w:r>
        <w:r>
          <w:rPr>
            <w:noProof/>
            <w:webHidden/>
          </w:rPr>
        </w:r>
        <w:r>
          <w:rPr>
            <w:noProof/>
            <w:webHidden/>
          </w:rPr>
          <w:fldChar w:fldCharType="separate"/>
        </w:r>
        <w:r w:rsidR="007B5AC0">
          <w:rPr>
            <w:noProof/>
            <w:webHidden/>
          </w:rPr>
          <w:t>131</w:t>
        </w:r>
        <w:r>
          <w:rPr>
            <w:noProof/>
            <w:webHidden/>
          </w:rPr>
          <w:fldChar w:fldCharType="end"/>
        </w:r>
      </w:hyperlink>
    </w:p>
    <w:p w14:paraId="72B50498" w14:textId="3337DEE0"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26" w:history="1">
        <w:r w:rsidRPr="00C04594">
          <w:rPr>
            <w:rStyle w:val="Hyperlink"/>
            <w:bCs/>
            <w:noProof/>
            <w:lang w:val="ru-RU"/>
          </w:rPr>
          <w:t>§173.</w:t>
        </w:r>
        <w:r w:rsidRPr="00C04594">
          <w:rPr>
            <w:rStyle w:val="Hyperlink"/>
            <w:noProof/>
            <w:lang w:val="ru-RU"/>
          </w:rPr>
          <w:t xml:space="preserve"> </w:t>
        </w:r>
        <w:r w:rsidRPr="00C04594">
          <w:rPr>
            <w:rStyle w:val="Hyperlink"/>
            <w:rFonts w:ascii="MS Gothic" w:eastAsia="MS Gothic" w:hAnsi="MS Gothic" w:cs="MS Gothic" w:hint="eastAsia"/>
            <w:noProof/>
            <w:lang w:val="ru-RU"/>
          </w:rPr>
          <w:t>神所</w:t>
        </w:r>
        <w:r w:rsidRPr="00C04594">
          <w:rPr>
            <w:rStyle w:val="Hyperlink"/>
            <w:rFonts w:ascii="Microsoft JhengHei" w:eastAsia="Microsoft JhengHei" w:hAnsi="Microsoft JhengHei" w:cs="Microsoft JhengHei" w:hint="eastAsia"/>
            <w:noProof/>
            <w:lang w:val="ru-RU"/>
          </w:rPr>
          <w:t>设立的教会等级制度的三个层次及其相互区别</w:t>
        </w:r>
        <w:r>
          <w:rPr>
            <w:noProof/>
            <w:webHidden/>
          </w:rPr>
          <w:tab/>
        </w:r>
        <w:r>
          <w:rPr>
            <w:noProof/>
            <w:webHidden/>
          </w:rPr>
          <w:fldChar w:fldCharType="begin"/>
        </w:r>
        <w:r>
          <w:rPr>
            <w:noProof/>
            <w:webHidden/>
          </w:rPr>
          <w:instrText xml:space="preserve"> PAGEREF _Toc238576526 \h </w:instrText>
        </w:r>
        <w:r>
          <w:rPr>
            <w:noProof/>
            <w:webHidden/>
          </w:rPr>
        </w:r>
        <w:r>
          <w:rPr>
            <w:noProof/>
            <w:webHidden/>
          </w:rPr>
          <w:fldChar w:fldCharType="separate"/>
        </w:r>
        <w:r w:rsidR="007B5AC0">
          <w:rPr>
            <w:noProof/>
            <w:webHidden/>
          </w:rPr>
          <w:t>135</w:t>
        </w:r>
        <w:r>
          <w:rPr>
            <w:noProof/>
            <w:webHidden/>
          </w:rPr>
          <w:fldChar w:fldCharType="end"/>
        </w:r>
      </w:hyperlink>
    </w:p>
    <w:p w14:paraId="257E3906" w14:textId="7397BF2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27" w:history="1">
        <w:r w:rsidRPr="00C04594">
          <w:rPr>
            <w:rStyle w:val="Hyperlink"/>
            <w:bCs/>
            <w:noProof/>
            <w:lang w:val="ru-RU"/>
          </w:rPr>
          <w:t>§174.</w:t>
        </w:r>
        <w:r w:rsidRPr="00C04594">
          <w:rPr>
            <w:rStyle w:val="Hyperlink"/>
            <w:noProof/>
            <w:lang w:val="ru-RU"/>
          </w:rPr>
          <w:t xml:space="preserve"> </w:t>
        </w:r>
        <w:r w:rsidRPr="00C04594">
          <w:rPr>
            <w:rStyle w:val="Hyperlink"/>
            <w:rFonts w:ascii="MS Gothic" w:eastAsia="MS Gothic" w:hAnsi="MS Gothic" w:cs="MS Gothic" w:hint="eastAsia"/>
            <w:noProof/>
            <w:lang w:val="ru-RU"/>
          </w:rPr>
          <w:t>教会等</w:t>
        </w:r>
        <w:r w:rsidRPr="00C04594">
          <w:rPr>
            <w:rStyle w:val="Hyperlink"/>
            <w:rFonts w:ascii="Microsoft JhengHei" w:eastAsia="Microsoft JhengHei" w:hAnsi="Microsoft JhengHei" w:cs="Microsoft JhengHei" w:hint="eastAsia"/>
            <w:noProof/>
            <w:lang w:val="ru-RU"/>
          </w:rPr>
          <w:t>级制度各层级之间以及与信众的关系</w:t>
        </w:r>
        <w:r>
          <w:rPr>
            <w:noProof/>
            <w:webHidden/>
          </w:rPr>
          <w:tab/>
        </w:r>
        <w:r>
          <w:rPr>
            <w:noProof/>
            <w:webHidden/>
          </w:rPr>
          <w:fldChar w:fldCharType="begin"/>
        </w:r>
        <w:r>
          <w:rPr>
            <w:noProof/>
            <w:webHidden/>
          </w:rPr>
          <w:instrText xml:space="preserve"> PAGEREF _Toc238576527 \h </w:instrText>
        </w:r>
        <w:r>
          <w:rPr>
            <w:noProof/>
            <w:webHidden/>
          </w:rPr>
        </w:r>
        <w:r>
          <w:rPr>
            <w:noProof/>
            <w:webHidden/>
          </w:rPr>
          <w:fldChar w:fldCharType="separate"/>
        </w:r>
        <w:r w:rsidR="007B5AC0">
          <w:rPr>
            <w:noProof/>
            <w:webHidden/>
          </w:rPr>
          <w:t>139</w:t>
        </w:r>
        <w:r>
          <w:rPr>
            <w:noProof/>
            <w:webHidden/>
          </w:rPr>
          <w:fldChar w:fldCharType="end"/>
        </w:r>
      </w:hyperlink>
    </w:p>
    <w:p w14:paraId="765E741E" w14:textId="2E83EF1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28" w:history="1">
        <w:r w:rsidRPr="00C04594">
          <w:rPr>
            <w:rStyle w:val="Hyperlink"/>
            <w:bCs/>
            <w:noProof/>
            <w:lang w:val="ru-RU"/>
          </w:rPr>
          <w:t>§175.</w:t>
        </w:r>
        <w:r w:rsidRPr="00C04594">
          <w:rPr>
            <w:rStyle w:val="Hyperlink"/>
            <w:noProof/>
            <w:lang w:val="ru-RU"/>
          </w:rPr>
          <w:t xml:space="preserve"> </w:t>
        </w:r>
        <w:r w:rsidRPr="00C04594">
          <w:rPr>
            <w:rStyle w:val="Hyperlink"/>
            <w:rFonts w:ascii="MS Gothic" w:eastAsia="MS Gothic" w:hAnsi="MS Gothic" w:cs="MS Gothic" w:hint="eastAsia"/>
            <w:noProof/>
            <w:lang w:val="ru-RU"/>
          </w:rPr>
          <w:t>教会</w:t>
        </w:r>
        <w:r w:rsidRPr="00C04594">
          <w:rPr>
            <w:rStyle w:val="Hyperlink"/>
            <w:rFonts w:ascii="Yu Gothic" w:eastAsia="Yu Gothic" w:hAnsi="Yu Gothic" w:cs="Yu Gothic" w:hint="eastAsia"/>
            <w:noProof/>
            <w:lang w:val="ru-RU"/>
          </w:rPr>
          <w:t>权力的中心</w:t>
        </w:r>
        <w:r>
          <w:rPr>
            <w:noProof/>
            <w:webHidden/>
          </w:rPr>
          <w:tab/>
        </w:r>
        <w:r>
          <w:rPr>
            <w:noProof/>
            <w:webHidden/>
          </w:rPr>
          <w:fldChar w:fldCharType="begin"/>
        </w:r>
        <w:r>
          <w:rPr>
            <w:noProof/>
            <w:webHidden/>
          </w:rPr>
          <w:instrText xml:space="preserve"> PAGEREF _Toc238576528 \h </w:instrText>
        </w:r>
        <w:r>
          <w:rPr>
            <w:noProof/>
            <w:webHidden/>
          </w:rPr>
        </w:r>
        <w:r>
          <w:rPr>
            <w:noProof/>
            <w:webHidden/>
          </w:rPr>
          <w:fldChar w:fldCharType="separate"/>
        </w:r>
        <w:r w:rsidR="007B5AC0">
          <w:rPr>
            <w:noProof/>
            <w:webHidden/>
          </w:rPr>
          <w:t>142</w:t>
        </w:r>
        <w:r>
          <w:rPr>
            <w:noProof/>
            <w:webHidden/>
          </w:rPr>
          <w:fldChar w:fldCharType="end"/>
        </w:r>
      </w:hyperlink>
    </w:p>
    <w:p w14:paraId="2099940B" w14:textId="02FC3412"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29" w:history="1">
        <w:r w:rsidRPr="00C04594">
          <w:rPr>
            <w:rStyle w:val="Hyperlink"/>
            <w:bCs/>
            <w:noProof/>
            <w:lang w:val="ru-RU"/>
          </w:rPr>
          <w:t>§176.</w:t>
        </w:r>
        <w:r w:rsidRPr="00C04594">
          <w:rPr>
            <w:rStyle w:val="Hyperlink"/>
            <w:noProof/>
            <w:lang w:val="ru-RU"/>
          </w:rPr>
          <w:t xml:space="preserve"> </w:t>
        </w:r>
        <w:r w:rsidRPr="00C04594">
          <w:rPr>
            <w:rStyle w:val="Hyperlink"/>
            <w:rFonts w:ascii="MS Gothic" w:eastAsia="MS Gothic" w:hAnsi="MS Gothic" w:cs="MS Gothic" w:hint="eastAsia"/>
            <w:noProof/>
            <w:lang w:val="ru-RU"/>
          </w:rPr>
          <w:t>教会的元首是主耶</w:t>
        </w:r>
        <w:r w:rsidRPr="00C04594">
          <w:rPr>
            <w:rStyle w:val="Hyperlink"/>
            <w:rFonts w:ascii="Microsoft JhengHei" w:eastAsia="Microsoft JhengHei" w:hAnsi="Microsoft JhengHei" w:cs="Microsoft JhengHei" w:hint="eastAsia"/>
            <w:noProof/>
            <w:lang w:val="ru-RU"/>
          </w:rPr>
          <w:t>稣</w:t>
        </w:r>
        <w:r>
          <w:rPr>
            <w:noProof/>
            <w:webHidden/>
          </w:rPr>
          <w:tab/>
        </w:r>
        <w:r>
          <w:rPr>
            <w:noProof/>
            <w:webHidden/>
          </w:rPr>
          <w:fldChar w:fldCharType="begin"/>
        </w:r>
        <w:r>
          <w:rPr>
            <w:noProof/>
            <w:webHidden/>
          </w:rPr>
          <w:instrText xml:space="preserve"> PAGEREF _Toc238576529 \h </w:instrText>
        </w:r>
        <w:r>
          <w:rPr>
            <w:noProof/>
            <w:webHidden/>
          </w:rPr>
        </w:r>
        <w:r>
          <w:rPr>
            <w:noProof/>
            <w:webHidden/>
          </w:rPr>
          <w:fldChar w:fldCharType="separate"/>
        </w:r>
        <w:r w:rsidR="007B5AC0">
          <w:rPr>
            <w:noProof/>
            <w:webHidden/>
          </w:rPr>
          <w:t>144</w:t>
        </w:r>
        <w:r>
          <w:rPr>
            <w:noProof/>
            <w:webHidden/>
          </w:rPr>
          <w:fldChar w:fldCharType="end"/>
        </w:r>
      </w:hyperlink>
    </w:p>
    <w:p w14:paraId="3ED12843" w14:textId="0D2FC448"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30" w:history="1">
        <w:r w:rsidRPr="00C04594">
          <w:rPr>
            <w:rStyle w:val="Hyperlink"/>
            <w:bCs/>
            <w:noProof/>
          </w:rPr>
          <w:t>III</w:t>
        </w:r>
        <w:r w:rsidRPr="00C04594">
          <w:rPr>
            <w:rStyle w:val="Hyperlink"/>
            <w:bCs/>
            <w:noProof/>
            <w:lang w:val="ru-RU"/>
          </w:rPr>
          <w:t>.</w:t>
        </w:r>
        <w:r w:rsidRPr="00C04594">
          <w:rPr>
            <w:rStyle w:val="Hyperlink"/>
            <w:noProof/>
            <w:lang w:val="ru-RU"/>
          </w:rPr>
          <w:t xml:space="preserve"> </w:t>
        </w:r>
        <w:r w:rsidRPr="00C04594">
          <w:rPr>
            <w:rStyle w:val="Hyperlink"/>
            <w:rFonts w:ascii="MS Gothic" w:eastAsia="MS Gothic" w:hAnsi="MS Gothic" w:cs="MS Gothic" w:hint="eastAsia"/>
            <w:noProof/>
            <w:lang w:val="ru-RU"/>
          </w:rPr>
          <w:t>关于教会的本</w:t>
        </w:r>
        <w:r w:rsidRPr="00C04594">
          <w:rPr>
            <w:rStyle w:val="Hyperlink"/>
            <w:rFonts w:ascii="Microsoft JhengHei" w:eastAsia="Microsoft JhengHei" w:hAnsi="Microsoft JhengHei" w:cs="Microsoft JhengHei" w:hint="eastAsia"/>
            <w:noProof/>
            <w:lang w:val="ru-RU"/>
          </w:rPr>
          <w:t>质及其本质属性</w:t>
        </w:r>
        <w:r>
          <w:rPr>
            <w:noProof/>
            <w:webHidden/>
          </w:rPr>
          <w:tab/>
        </w:r>
        <w:r>
          <w:rPr>
            <w:noProof/>
            <w:webHidden/>
          </w:rPr>
          <w:fldChar w:fldCharType="begin"/>
        </w:r>
        <w:r>
          <w:rPr>
            <w:noProof/>
            <w:webHidden/>
          </w:rPr>
          <w:instrText xml:space="preserve"> PAGEREF _Toc238576530 \h </w:instrText>
        </w:r>
        <w:r>
          <w:rPr>
            <w:noProof/>
            <w:webHidden/>
          </w:rPr>
        </w:r>
        <w:r>
          <w:rPr>
            <w:noProof/>
            <w:webHidden/>
          </w:rPr>
          <w:fldChar w:fldCharType="separate"/>
        </w:r>
        <w:r w:rsidR="007B5AC0">
          <w:rPr>
            <w:noProof/>
            <w:webHidden/>
          </w:rPr>
          <w:t>146</w:t>
        </w:r>
        <w:r>
          <w:rPr>
            <w:noProof/>
            <w:webHidden/>
          </w:rPr>
          <w:fldChar w:fldCharType="end"/>
        </w:r>
      </w:hyperlink>
    </w:p>
    <w:p w14:paraId="79026A01" w14:textId="486231A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31" w:history="1">
        <w:r w:rsidRPr="00C04594">
          <w:rPr>
            <w:rStyle w:val="Hyperlink"/>
            <w:bCs/>
            <w:noProof/>
            <w:lang w:val="ru-RU"/>
          </w:rPr>
          <w:t>§177.</w:t>
        </w:r>
        <w:r w:rsidRPr="00C04594">
          <w:rPr>
            <w:rStyle w:val="Hyperlink"/>
            <w:noProof/>
            <w:lang w:val="ru-RU"/>
          </w:rPr>
          <w:t xml:space="preserve"> </w:t>
        </w:r>
        <w:r w:rsidRPr="00C04594">
          <w:rPr>
            <w:rStyle w:val="Hyperlink"/>
            <w:rFonts w:ascii="MS Gothic" w:eastAsia="MS Gothic" w:hAnsi="MS Gothic" w:cs="MS Gothic" w:hint="eastAsia"/>
            <w:noProof/>
            <w:lang w:val="ru-RU"/>
          </w:rPr>
          <w:t>关于教会本</w:t>
        </w:r>
        <w:r w:rsidRPr="00C04594">
          <w:rPr>
            <w:rStyle w:val="Hyperlink"/>
            <w:rFonts w:ascii="Microsoft JhengHei" w:eastAsia="Microsoft JhengHei" w:hAnsi="Microsoft JhengHei" w:cs="Microsoft JhengHei" w:hint="eastAsia"/>
            <w:noProof/>
            <w:lang w:val="ru-RU"/>
          </w:rPr>
          <w:t>质的概念</w:t>
        </w:r>
        <w:r w:rsidRPr="00C04594">
          <w:rPr>
            <w:rStyle w:val="Hyperlink"/>
            <w:rFonts w:ascii="MS Gothic" w:eastAsia="MS Gothic" w:hAnsi="MS Gothic" w:cs="MS Gothic" w:hint="eastAsia"/>
            <w:noProof/>
          </w:rPr>
          <w:t>及其</w:t>
        </w:r>
        <w:r w:rsidRPr="00C04594">
          <w:rPr>
            <w:rStyle w:val="Hyperlink"/>
            <w:rFonts w:ascii="MS Gothic" w:eastAsia="MS Gothic" w:hAnsi="MS Gothic" w:cs="MS Gothic" w:hint="eastAsia"/>
            <w:noProof/>
            <w:lang w:val="ru-RU"/>
          </w:rPr>
          <w:t>本</w:t>
        </w:r>
        <w:r w:rsidRPr="00C04594">
          <w:rPr>
            <w:rStyle w:val="Hyperlink"/>
            <w:rFonts w:ascii="Microsoft JhengHei" w:eastAsia="Microsoft JhengHei" w:hAnsi="Microsoft JhengHei" w:cs="Microsoft JhengHei" w:hint="eastAsia"/>
            <w:noProof/>
            <w:lang w:val="ru-RU"/>
          </w:rPr>
          <w:t>质属性的归纳</w:t>
        </w:r>
        <w:r>
          <w:rPr>
            <w:noProof/>
            <w:webHidden/>
          </w:rPr>
          <w:tab/>
        </w:r>
        <w:r>
          <w:rPr>
            <w:noProof/>
            <w:webHidden/>
          </w:rPr>
          <w:fldChar w:fldCharType="begin"/>
        </w:r>
        <w:r>
          <w:rPr>
            <w:noProof/>
            <w:webHidden/>
          </w:rPr>
          <w:instrText xml:space="preserve"> PAGEREF _Toc238576531 \h </w:instrText>
        </w:r>
        <w:r>
          <w:rPr>
            <w:noProof/>
            <w:webHidden/>
          </w:rPr>
        </w:r>
        <w:r>
          <w:rPr>
            <w:noProof/>
            <w:webHidden/>
          </w:rPr>
          <w:fldChar w:fldCharType="separate"/>
        </w:r>
        <w:r w:rsidR="007B5AC0">
          <w:rPr>
            <w:noProof/>
            <w:webHidden/>
          </w:rPr>
          <w:t>146</w:t>
        </w:r>
        <w:r>
          <w:rPr>
            <w:noProof/>
            <w:webHidden/>
          </w:rPr>
          <w:fldChar w:fldCharType="end"/>
        </w:r>
      </w:hyperlink>
    </w:p>
    <w:p w14:paraId="6CA99621" w14:textId="2224D0B5"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32" w:history="1">
        <w:r w:rsidRPr="00C04594">
          <w:rPr>
            <w:rStyle w:val="Hyperlink"/>
            <w:noProof/>
            <w:lang w:val="ru-RU"/>
          </w:rPr>
          <w:t xml:space="preserve">§178. </w:t>
        </w:r>
        <w:r w:rsidRPr="00C04594">
          <w:rPr>
            <w:rStyle w:val="Hyperlink"/>
            <w:rFonts w:ascii="MS Gothic" w:eastAsia="MS Gothic" w:hAnsi="MS Gothic" w:cs="MS Gothic" w:hint="eastAsia"/>
            <w:noProof/>
            <w:lang w:val="ru-RU"/>
          </w:rPr>
          <w:t>教会是合一的</w:t>
        </w:r>
        <w:r>
          <w:rPr>
            <w:noProof/>
            <w:webHidden/>
          </w:rPr>
          <w:tab/>
        </w:r>
        <w:r>
          <w:rPr>
            <w:noProof/>
            <w:webHidden/>
          </w:rPr>
          <w:fldChar w:fldCharType="begin"/>
        </w:r>
        <w:r>
          <w:rPr>
            <w:noProof/>
            <w:webHidden/>
          </w:rPr>
          <w:instrText xml:space="preserve"> PAGEREF _Toc238576532 \h </w:instrText>
        </w:r>
        <w:r>
          <w:rPr>
            <w:noProof/>
            <w:webHidden/>
          </w:rPr>
        </w:r>
        <w:r>
          <w:rPr>
            <w:noProof/>
            <w:webHidden/>
          </w:rPr>
          <w:fldChar w:fldCharType="separate"/>
        </w:r>
        <w:r w:rsidR="007B5AC0">
          <w:rPr>
            <w:noProof/>
            <w:webHidden/>
          </w:rPr>
          <w:t>146</w:t>
        </w:r>
        <w:r>
          <w:rPr>
            <w:noProof/>
            <w:webHidden/>
          </w:rPr>
          <w:fldChar w:fldCharType="end"/>
        </w:r>
      </w:hyperlink>
    </w:p>
    <w:p w14:paraId="40F1743D" w14:textId="0FDD8E85"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33" w:history="1">
        <w:r w:rsidRPr="00C04594">
          <w:rPr>
            <w:rStyle w:val="Hyperlink"/>
            <w:noProof/>
            <w:lang w:val="ru-RU"/>
          </w:rPr>
          <w:t xml:space="preserve">§179. </w:t>
        </w:r>
        <w:r w:rsidRPr="00C04594">
          <w:rPr>
            <w:rStyle w:val="Hyperlink"/>
            <w:rFonts w:ascii="MS Gothic" w:eastAsia="MS Gothic" w:hAnsi="MS Gothic" w:cs="MS Gothic" w:hint="eastAsia"/>
            <w:noProof/>
            <w:lang w:val="ru-RU"/>
          </w:rPr>
          <w:t>教会</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圣</w:t>
        </w:r>
        <w:r w:rsidRPr="00C04594">
          <w:rPr>
            <w:rStyle w:val="Hyperlink"/>
            <w:rFonts w:ascii="Yu Gothic" w:eastAsia="Yu Gothic" w:hAnsi="Yu Gothic" w:cs="Yu Gothic" w:hint="eastAsia"/>
            <w:noProof/>
            <w:lang w:val="ru-RU"/>
          </w:rPr>
          <w:t>洁的</w:t>
        </w:r>
        <w:r>
          <w:rPr>
            <w:noProof/>
            <w:webHidden/>
          </w:rPr>
          <w:tab/>
        </w:r>
        <w:r>
          <w:rPr>
            <w:noProof/>
            <w:webHidden/>
          </w:rPr>
          <w:fldChar w:fldCharType="begin"/>
        </w:r>
        <w:r>
          <w:rPr>
            <w:noProof/>
            <w:webHidden/>
          </w:rPr>
          <w:instrText xml:space="preserve"> PAGEREF _Toc238576533 \h </w:instrText>
        </w:r>
        <w:r>
          <w:rPr>
            <w:noProof/>
            <w:webHidden/>
          </w:rPr>
        </w:r>
        <w:r>
          <w:rPr>
            <w:noProof/>
            <w:webHidden/>
          </w:rPr>
          <w:fldChar w:fldCharType="separate"/>
        </w:r>
        <w:r w:rsidR="007B5AC0">
          <w:rPr>
            <w:noProof/>
            <w:webHidden/>
          </w:rPr>
          <w:t>148</w:t>
        </w:r>
        <w:r>
          <w:rPr>
            <w:noProof/>
            <w:webHidden/>
          </w:rPr>
          <w:fldChar w:fldCharType="end"/>
        </w:r>
      </w:hyperlink>
    </w:p>
    <w:p w14:paraId="0A051291" w14:textId="48E99F12"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34" w:history="1">
        <w:r w:rsidRPr="00C04594">
          <w:rPr>
            <w:rStyle w:val="Hyperlink"/>
            <w:noProof/>
            <w:lang w:val="ru-RU"/>
          </w:rPr>
          <w:t xml:space="preserve">§180. </w:t>
        </w:r>
        <w:r w:rsidRPr="00C04594">
          <w:rPr>
            <w:rStyle w:val="Hyperlink"/>
            <w:rFonts w:ascii="MS Gothic" w:eastAsia="MS Gothic" w:hAnsi="MS Gothic" w:cs="MS Gothic" w:hint="eastAsia"/>
            <w:noProof/>
            <w:lang w:val="ru-RU"/>
          </w:rPr>
          <w:t>教会</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共融的</w:t>
        </w:r>
        <w:r>
          <w:rPr>
            <w:noProof/>
            <w:webHidden/>
          </w:rPr>
          <w:tab/>
        </w:r>
        <w:r>
          <w:rPr>
            <w:noProof/>
            <w:webHidden/>
          </w:rPr>
          <w:fldChar w:fldCharType="begin"/>
        </w:r>
        <w:r>
          <w:rPr>
            <w:noProof/>
            <w:webHidden/>
          </w:rPr>
          <w:instrText xml:space="preserve"> PAGEREF _Toc238576534 \h </w:instrText>
        </w:r>
        <w:r>
          <w:rPr>
            <w:noProof/>
            <w:webHidden/>
          </w:rPr>
        </w:r>
        <w:r>
          <w:rPr>
            <w:noProof/>
            <w:webHidden/>
          </w:rPr>
          <w:fldChar w:fldCharType="separate"/>
        </w:r>
        <w:r w:rsidR="007B5AC0">
          <w:rPr>
            <w:noProof/>
            <w:webHidden/>
          </w:rPr>
          <w:t>150</w:t>
        </w:r>
        <w:r>
          <w:rPr>
            <w:noProof/>
            <w:webHidden/>
          </w:rPr>
          <w:fldChar w:fldCharType="end"/>
        </w:r>
      </w:hyperlink>
    </w:p>
    <w:p w14:paraId="7FA6064F" w14:textId="18F8524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35" w:history="1">
        <w:r w:rsidRPr="00C04594">
          <w:rPr>
            <w:rStyle w:val="Hyperlink"/>
            <w:bCs/>
            <w:noProof/>
            <w:lang w:val="ru-RU"/>
          </w:rPr>
          <w:t>§181.</w:t>
        </w:r>
        <w:r w:rsidRPr="00C04594">
          <w:rPr>
            <w:rStyle w:val="Hyperlink"/>
            <w:noProof/>
            <w:lang w:val="ru-RU"/>
          </w:rPr>
          <w:t xml:space="preserve"> </w:t>
        </w:r>
        <w:r w:rsidRPr="00C04594">
          <w:rPr>
            <w:rStyle w:val="Hyperlink"/>
            <w:rFonts w:ascii="MS Gothic" w:eastAsia="MS Gothic" w:hAnsi="MS Gothic" w:cs="MS Gothic" w:hint="eastAsia"/>
            <w:noProof/>
            <w:lang w:val="ru-RU"/>
          </w:rPr>
          <w:t>教会</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使徒的</w:t>
        </w:r>
        <w:r>
          <w:rPr>
            <w:noProof/>
            <w:webHidden/>
          </w:rPr>
          <w:tab/>
        </w:r>
        <w:r>
          <w:rPr>
            <w:noProof/>
            <w:webHidden/>
          </w:rPr>
          <w:fldChar w:fldCharType="begin"/>
        </w:r>
        <w:r>
          <w:rPr>
            <w:noProof/>
            <w:webHidden/>
          </w:rPr>
          <w:instrText xml:space="preserve"> PAGEREF _Toc238576535 \h </w:instrText>
        </w:r>
        <w:r>
          <w:rPr>
            <w:noProof/>
            <w:webHidden/>
          </w:rPr>
        </w:r>
        <w:r>
          <w:rPr>
            <w:noProof/>
            <w:webHidden/>
          </w:rPr>
          <w:fldChar w:fldCharType="separate"/>
        </w:r>
        <w:r w:rsidR="007B5AC0">
          <w:rPr>
            <w:noProof/>
            <w:webHidden/>
          </w:rPr>
          <w:t>152</w:t>
        </w:r>
        <w:r>
          <w:rPr>
            <w:noProof/>
            <w:webHidden/>
          </w:rPr>
          <w:fldChar w:fldCharType="end"/>
        </w:r>
      </w:hyperlink>
    </w:p>
    <w:p w14:paraId="1F4D0966" w14:textId="38AAE99A"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36" w:history="1">
        <w:r w:rsidRPr="00C04594">
          <w:rPr>
            <w:rStyle w:val="Hyperlink"/>
            <w:bCs/>
            <w:noProof/>
            <w:lang w:val="ru-RU"/>
          </w:rPr>
          <w:t>§182.</w:t>
        </w:r>
        <w:r w:rsidRPr="00C04594">
          <w:rPr>
            <w:rStyle w:val="Hyperlink"/>
            <w:noProof/>
            <w:lang w:val="ru-RU"/>
          </w:rPr>
          <w:t xml:space="preserve"> </w:t>
        </w:r>
        <w:r w:rsidRPr="00C04594">
          <w:rPr>
            <w:rStyle w:val="Hyperlink"/>
            <w:rFonts w:ascii="MS Gothic" w:eastAsia="MS Gothic" w:hAnsi="MS Gothic" w:cs="MS Gothic" w:hint="eastAsia"/>
            <w:noProof/>
            <w:lang w:val="ru-RU"/>
          </w:rPr>
          <w:t>教</w:t>
        </w:r>
        <w:r w:rsidRPr="00C04594">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_Toc238576536 \h </w:instrText>
        </w:r>
        <w:r>
          <w:rPr>
            <w:noProof/>
            <w:webHidden/>
          </w:rPr>
        </w:r>
        <w:r>
          <w:rPr>
            <w:noProof/>
            <w:webHidden/>
          </w:rPr>
          <w:fldChar w:fldCharType="separate"/>
        </w:r>
        <w:r w:rsidR="007B5AC0">
          <w:rPr>
            <w:noProof/>
            <w:webHidden/>
          </w:rPr>
          <w:t>153</w:t>
        </w:r>
        <w:r>
          <w:rPr>
            <w:noProof/>
            <w:webHidden/>
          </w:rPr>
          <w:fldChar w:fldCharType="end"/>
        </w:r>
      </w:hyperlink>
    </w:p>
    <w:p w14:paraId="696E5BE7" w14:textId="4E31CAFC" w:rsidR="0097554A" w:rsidRDefault="0097554A" w:rsidP="0097554A">
      <w:pPr>
        <w:pStyle w:val="TOC3"/>
        <w:tabs>
          <w:tab w:val="right" w:leader="dot" w:pos="10790"/>
        </w:tabs>
        <w:rPr>
          <w:rFonts w:eastAsiaTheme="minorEastAsia" w:cstheme="minorBidi"/>
          <w:noProof/>
          <w:kern w:val="2"/>
          <w:sz w:val="24"/>
          <w:lang w:bidi="ta-IN"/>
          <w14:ligatures w14:val="standardContextual"/>
        </w:rPr>
      </w:pPr>
      <w:hyperlink w:anchor="_Toc238576537" w:history="1">
        <w:r w:rsidRPr="00C04594">
          <w:rPr>
            <w:rStyle w:val="Hyperlink"/>
            <w:rFonts w:ascii="MS Gothic" w:eastAsia="MS Gothic" w:hAnsi="MS Gothic" w:cs="MS Gothic" w:hint="eastAsia"/>
            <w:bCs/>
            <w:noProof/>
          </w:rPr>
          <w:t>第二条</w:t>
        </w:r>
        <w:r w:rsidRPr="00C04594">
          <w:rPr>
            <w:rStyle w:val="Hyperlink"/>
            <w:rFonts w:ascii="MS Gothic" w:eastAsia="MS Gothic" w:hAnsi="MS Gothic" w:cs="MS Gothic" w:hint="eastAsia"/>
            <w:bCs/>
            <w:noProof/>
            <w:lang w:val="ru-RU"/>
          </w:rPr>
          <w:t>。</w:t>
        </w:r>
        <w:r w:rsidRPr="00C04594">
          <w:rPr>
            <w:rStyle w:val="Hyperlink"/>
            <w:bCs/>
            <w:noProof/>
            <w:lang w:val="ru-RU"/>
          </w:rPr>
          <w:t xml:space="preserve"> </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论神的恩典，即主藉此使我们成圣的大能</w:t>
        </w:r>
        <w:r>
          <w:rPr>
            <w:noProof/>
            <w:webHidden/>
          </w:rPr>
          <w:tab/>
        </w:r>
        <w:r>
          <w:rPr>
            <w:noProof/>
            <w:webHidden/>
          </w:rPr>
          <w:fldChar w:fldCharType="begin"/>
        </w:r>
        <w:r>
          <w:rPr>
            <w:noProof/>
            <w:webHidden/>
          </w:rPr>
          <w:instrText xml:space="preserve"> PAGEREF _Toc238576537 \h </w:instrText>
        </w:r>
        <w:r>
          <w:rPr>
            <w:noProof/>
            <w:webHidden/>
          </w:rPr>
        </w:r>
        <w:r>
          <w:rPr>
            <w:noProof/>
            <w:webHidden/>
          </w:rPr>
          <w:fldChar w:fldCharType="separate"/>
        </w:r>
        <w:r w:rsidR="007B5AC0">
          <w:rPr>
            <w:noProof/>
            <w:webHidden/>
          </w:rPr>
          <w:t>154</w:t>
        </w:r>
        <w:r>
          <w:rPr>
            <w:noProof/>
            <w:webHidden/>
          </w:rPr>
          <w:fldChar w:fldCharType="end"/>
        </w:r>
      </w:hyperlink>
    </w:p>
    <w:p w14:paraId="49C8A28E" w14:textId="6008A7FA"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38" w:history="1">
        <w:r w:rsidRPr="00C04594">
          <w:rPr>
            <w:rStyle w:val="Hyperlink"/>
            <w:bCs/>
            <w:noProof/>
            <w:lang w:val="ru-RU"/>
          </w:rPr>
          <w:t>§183.</w:t>
        </w:r>
        <w:r w:rsidRPr="00C04594">
          <w:rPr>
            <w:rStyle w:val="Hyperlink"/>
            <w:noProof/>
            <w:lang w:val="ru-RU"/>
          </w:rPr>
          <w:t xml:space="preserve"> </w:t>
        </w:r>
        <w:r w:rsidRPr="00C04594">
          <w:rPr>
            <w:rStyle w:val="Hyperlink"/>
            <w:rFonts w:ascii="MS Gothic" w:eastAsia="MS Gothic" w:hAnsi="MS Gothic" w:cs="MS Gothic" w:hint="eastAsia"/>
            <w:noProof/>
            <w:lang w:val="ru-RU"/>
          </w:rPr>
          <w:t>关于上帝恩典的</w:t>
        </w:r>
        <w:r w:rsidRPr="00C04594">
          <w:rPr>
            <w:rStyle w:val="Hyperlink"/>
            <w:rFonts w:ascii="Microsoft JhengHei" w:eastAsia="Microsoft JhengHei" w:hAnsi="Microsoft JhengHei" w:cs="Microsoft JhengHei" w:hint="eastAsia"/>
            <w:noProof/>
            <w:lang w:val="ru-RU"/>
          </w:rPr>
          <w:t>总体概念</w:t>
        </w:r>
        <w:r w:rsidRPr="00C04594">
          <w:rPr>
            <w:rStyle w:val="Hyperlink"/>
            <w:rFonts w:ascii="MS Gothic" w:eastAsia="MS Gothic" w:hAnsi="MS Gothic" w:cs="MS Gothic" w:hint="eastAsia"/>
            <w:noProof/>
          </w:rPr>
          <w:t>及其</w:t>
        </w:r>
        <w:r w:rsidRPr="00C04594">
          <w:rPr>
            <w:rStyle w:val="Hyperlink"/>
            <w:rFonts w:ascii="MS Gothic" w:eastAsia="MS Gothic" w:hAnsi="MS Gothic" w:cs="MS Gothic" w:hint="eastAsia"/>
            <w:noProof/>
            <w:lang w:val="ru-RU"/>
          </w:rPr>
          <w:t>种</w:t>
        </w:r>
        <w:r w:rsidRPr="00C04594">
          <w:rPr>
            <w:rStyle w:val="Hyperlink"/>
            <w:rFonts w:ascii="Yu Gothic" w:eastAsia="Yu Gothic" w:hAnsi="Yu Gothic" w:cs="Yu Gothic" w:hint="eastAsia"/>
            <w:noProof/>
            <w:lang w:val="ru-RU"/>
          </w:rPr>
          <w:t>类；关于使罪人成圣的恩典的概念及其分类</w:t>
        </w:r>
        <w:r>
          <w:rPr>
            <w:noProof/>
            <w:webHidden/>
          </w:rPr>
          <w:tab/>
        </w:r>
        <w:r>
          <w:rPr>
            <w:noProof/>
            <w:webHidden/>
          </w:rPr>
          <w:fldChar w:fldCharType="begin"/>
        </w:r>
        <w:r>
          <w:rPr>
            <w:noProof/>
            <w:webHidden/>
          </w:rPr>
          <w:instrText xml:space="preserve"> PAGEREF _Toc238576538 \h </w:instrText>
        </w:r>
        <w:r>
          <w:rPr>
            <w:noProof/>
            <w:webHidden/>
          </w:rPr>
        </w:r>
        <w:r>
          <w:rPr>
            <w:noProof/>
            <w:webHidden/>
          </w:rPr>
          <w:fldChar w:fldCharType="separate"/>
        </w:r>
        <w:r w:rsidR="007B5AC0">
          <w:rPr>
            <w:noProof/>
            <w:webHidden/>
          </w:rPr>
          <w:t>154</w:t>
        </w:r>
        <w:r>
          <w:rPr>
            <w:noProof/>
            <w:webHidden/>
          </w:rPr>
          <w:fldChar w:fldCharType="end"/>
        </w:r>
      </w:hyperlink>
    </w:p>
    <w:p w14:paraId="3111022B" w14:textId="588886E0"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39" w:history="1">
        <w:r w:rsidRPr="00C04594">
          <w:rPr>
            <w:rStyle w:val="Hyperlink"/>
            <w:bCs/>
            <w:noProof/>
            <w:lang w:val="ru-RU"/>
          </w:rPr>
          <w:t>§184.</w:t>
        </w:r>
        <w:r w:rsidRPr="00C04594">
          <w:rPr>
            <w:rStyle w:val="Hyperlink"/>
            <w:noProof/>
            <w:lang w:val="ru-RU"/>
          </w:rPr>
          <w:t xml:space="preserve"> </w:t>
        </w:r>
        <w:r w:rsidRPr="00C04594">
          <w:rPr>
            <w:rStyle w:val="Hyperlink"/>
            <w:rFonts w:ascii="MS Gothic" w:eastAsia="MS Gothic" w:hAnsi="MS Gothic" w:cs="MS Gothic" w:hint="eastAsia"/>
            <w:noProof/>
            <w:lang w:val="ru-RU"/>
          </w:rPr>
          <w:t>关于</w:t>
        </w:r>
        <w:r w:rsidRPr="00C04594">
          <w:rPr>
            <w:rStyle w:val="Hyperlink"/>
            <w:rFonts w:ascii="Microsoft JhengHei" w:eastAsia="Microsoft JhengHei" w:hAnsi="Microsoft JhengHei" w:cs="Microsoft JhengHei" w:hint="eastAsia"/>
            <w:noProof/>
            <w:lang w:val="ru-RU"/>
          </w:rPr>
          <w:t>该教义的错误观点简述、东正教会的教义及其构成</w:t>
        </w:r>
        <w:r>
          <w:rPr>
            <w:noProof/>
            <w:webHidden/>
          </w:rPr>
          <w:tab/>
        </w:r>
        <w:r>
          <w:rPr>
            <w:noProof/>
            <w:webHidden/>
          </w:rPr>
          <w:fldChar w:fldCharType="begin"/>
        </w:r>
        <w:r>
          <w:rPr>
            <w:noProof/>
            <w:webHidden/>
          </w:rPr>
          <w:instrText xml:space="preserve"> PAGEREF _Toc238576539 \h </w:instrText>
        </w:r>
        <w:r>
          <w:rPr>
            <w:noProof/>
            <w:webHidden/>
          </w:rPr>
        </w:r>
        <w:r>
          <w:rPr>
            <w:noProof/>
            <w:webHidden/>
          </w:rPr>
          <w:fldChar w:fldCharType="separate"/>
        </w:r>
        <w:r w:rsidR="007B5AC0">
          <w:rPr>
            <w:noProof/>
            <w:webHidden/>
          </w:rPr>
          <w:t>155</w:t>
        </w:r>
        <w:r>
          <w:rPr>
            <w:noProof/>
            <w:webHidden/>
          </w:rPr>
          <w:fldChar w:fldCharType="end"/>
        </w:r>
      </w:hyperlink>
    </w:p>
    <w:p w14:paraId="748D0AA1" w14:textId="27212296"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40" w:history="1">
        <w:r w:rsidRPr="00C04594">
          <w:rPr>
            <w:rStyle w:val="Hyperlink"/>
            <w:bCs/>
            <w:noProof/>
          </w:rPr>
          <w:t>I</w:t>
        </w:r>
        <w:r w:rsidRPr="00C04594">
          <w:rPr>
            <w:rStyle w:val="Hyperlink"/>
            <w:bCs/>
            <w:noProof/>
            <w:lang w:val="ru-RU"/>
          </w:rPr>
          <w:t>.</w:t>
        </w:r>
        <w:r w:rsidRPr="00C04594">
          <w:rPr>
            <w:rStyle w:val="Hyperlink"/>
            <w:noProof/>
            <w:lang w:val="ru-RU"/>
          </w:rPr>
          <w:t xml:space="preserve"> </w:t>
        </w:r>
        <w:r w:rsidRPr="00C04594">
          <w:rPr>
            <w:rStyle w:val="Hyperlink"/>
            <w:rFonts w:ascii="MS Gothic" w:eastAsia="MS Gothic" w:hAnsi="MS Gothic" w:cs="MS Gothic" w:hint="eastAsia"/>
            <w:noProof/>
            <w:lang w:val="ru-RU"/>
          </w:rPr>
          <w:t>关于人的成圣必</w:t>
        </w:r>
        <w:r w:rsidRPr="00C04594">
          <w:rPr>
            <w:rStyle w:val="Hyperlink"/>
            <w:rFonts w:ascii="Microsoft JhengHei" w:eastAsia="Microsoft JhengHei" w:hAnsi="Microsoft JhengHei" w:cs="Microsoft JhengHei" w:hint="eastAsia"/>
            <w:noProof/>
            <w:lang w:val="ru-RU"/>
          </w:rPr>
          <w:t>须依靠上帝恩典</w:t>
        </w:r>
        <w:r>
          <w:rPr>
            <w:noProof/>
            <w:webHidden/>
          </w:rPr>
          <w:tab/>
        </w:r>
        <w:r>
          <w:rPr>
            <w:noProof/>
            <w:webHidden/>
          </w:rPr>
          <w:fldChar w:fldCharType="begin"/>
        </w:r>
        <w:r>
          <w:rPr>
            <w:noProof/>
            <w:webHidden/>
          </w:rPr>
          <w:instrText xml:space="preserve"> PAGEREF _Toc238576540 \h </w:instrText>
        </w:r>
        <w:r>
          <w:rPr>
            <w:noProof/>
            <w:webHidden/>
          </w:rPr>
        </w:r>
        <w:r>
          <w:rPr>
            <w:noProof/>
            <w:webHidden/>
          </w:rPr>
          <w:fldChar w:fldCharType="separate"/>
        </w:r>
        <w:r w:rsidR="007B5AC0">
          <w:rPr>
            <w:noProof/>
            <w:webHidden/>
          </w:rPr>
          <w:t>160</w:t>
        </w:r>
        <w:r>
          <w:rPr>
            <w:noProof/>
            <w:webHidden/>
          </w:rPr>
          <w:fldChar w:fldCharType="end"/>
        </w:r>
      </w:hyperlink>
    </w:p>
    <w:p w14:paraId="61DDA89D" w14:textId="3E51B4EB"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41" w:history="1">
        <w:r w:rsidRPr="00C04594">
          <w:rPr>
            <w:rStyle w:val="Hyperlink"/>
            <w:bCs/>
            <w:noProof/>
            <w:lang w:val="ru-RU"/>
          </w:rPr>
          <w:t>§185.</w:t>
        </w:r>
        <w:r w:rsidRPr="00C04594">
          <w:rPr>
            <w:rStyle w:val="Hyperlink"/>
            <w:noProof/>
            <w:lang w:val="ru-RU"/>
          </w:rPr>
          <w:t xml:space="preserve"> </w:t>
        </w:r>
        <w:r w:rsidRPr="00C04594">
          <w:rPr>
            <w:rStyle w:val="Hyperlink"/>
            <w:rFonts w:ascii="MS Gothic" w:eastAsia="MS Gothic" w:hAnsi="MS Gothic" w:cs="MS Gothic" w:hint="eastAsia"/>
            <w:noProof/>
            <w:lang w:val="ru-RU"/>
          </w:rPr>
          <w:t>教</w:t>
        </w:r>
        <w:r w:rsidRPr="00C04594">
          <w:rPr>
            <w:rStyle w:val="Hyperlink"/>
            <w:rFonts w:ascii="Microsoft JhengHei" w:eastAsia="Microsoft JhengHei" w:hAnsi="Microsoft JhengHei" w:cs="Microsoft JhengHei" w:hint="eastAsia"/>
            <w:noProof/>
            <w:lang w:val="ru-RU"/>
          </w:rPr>
          <w:t>义的组成部分</w:t>
        </w:r>
        <w:r>
          <w:rPr>
            <w:noProof/>
            <w:webHidden/>
          </w:rPr>
          <w:tab/>
        </w:r>
        <w:r>
          <w:rPr>
            <w:noProof/>
            <w:webHidden/>
          </w:rPr>
          <w:fldChar w:fldCharType="begin"/>
        </w:r>
        <w:r>
          <w:rPr>
            <w:noProof/>
            <w:webHidden/>
          </w:rPr>
          <w:instrText xml:space="preserve"> PAGEREF _Toc238576541 \h </w:instrText>
        </w:r>
        <w:r>
          <w:rPr>
            <w:noProof/>
            <w:webHidden/>
          </w:rPr>
        </w:r>
        <w:r>
          <w:rPr>
            <w:noProof/>
            <w:webHidden/>
          </w:rPr>
          <w:fldChar w:fldCharType="separate"/>
        </w:r>
        <w:r w:rsidR="007B5AC0">
          <w:rPr>
            <w:noProof/>
            <w:webHidden/>
          </w:rPr>
          <w:t>160</w:t>
        </w:r>
        <w:r>
          <w:rPr>
            <w:noProof/>
            <w:webHidden/>
          </w:rPr>
          <w:fldChar w:fldCharType="end"/>
        </w:r>
      </w:hyperlink>
    </w:p>
    <w:p w14:paraId="0F9A7F0E" w14:textId="2B0CDF6D"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42" w:history="1">
        <w:r w:rsidRPr="00C04594">
          <w:rPr>
            <w:rStyle w:val="Hyperlink"/>
            <w:bCs/>
            <w:noProof/>
            <w:lang w:val="ru-RU"/>
          </w:rPr>
          <w:t>§186.</w:t>
        </w:r>
        <w:r w:rsidRPr="00C04594">
          <w:rPr>
            <w:rStyle w:val="Hyperlink"/>
            <w:noProof/>
            <w:lang w:val="ru-RU"/>
          </w:rPr>
          <w:t xml:space="preserve"> </w:t>
        </w:r>
        <w:r w:rsidRPr="00C04594">
          <w:rPr>
            <w:rStyle w:val="Hyperlink"/>
            <w:rFonts w:ascii="MS Gothic" w:eastAsia="MS Gothic" w:hAnsi="MS Gothic" w:cs="MS Gothic" w:hint="eastAsia"/>
            <w:noProof/>
            <w:lang w:val="ru-RU"/>
          </w:rPr>
          <w:t>恩典</w:t>
        </w:r>
        <w:r w:rsidRPr="00C04594">
          <w:rPr>
            <w:rStyle w:val="Hyperlink"/>
            <w:rFonts w:ascii="Microsoft JhengHei" w:eastAsia="Microsoft JhengHei" w:hAnsi="Microsoft JhengHei" w:cs="Microsoft JhengHei" w:hint="eastAsia"/>
            <w:noProof/>
            <w:lang w:val="ru-RU"/>
          </w:rPr>
          <w:t>对人的成圣的普遍必要性</w:t>
        </w:r>
        <w:r>
          <w:rPr>
            <w:noProof/>
            <w:webHidden/>
          </w:rPr>
          <w:tab/>
        </w:r>
        <w:r>
          <w:rPr>
            <w:noProof/>
            <w:webHidden/>
          </w:rPr>
          <w:fldChar w:fldCharType="begin"/>
        </w:r>
        <w:r>
          <w:rPr>
            <w:noProof/>
            <w:webHidden/>
          </w:rPr>
          <w:instrText xml:space="preserve"> PAGEREF _Toc238576542 \h </w:instrText>
        </w:r>
        <w:r>
          <w:rPr>
            <w:noProof/>
            <w:webHidden/>
          </w:rPr>
        </w:r>
        <w:r>
          <w:rPr>
            <w:noProof/>
            <w:webHidden/>
          </w:rPr>
          <w:fldChar w:fldCharType="separate"/>
        </w:r>
        <w:r w:rsidR="007B5AC0">
          <w:rPr>
            <w:noProof/>
            <w:webHidden/>
          </w:rPr>
          <w:t>160</w:t>
        </w:r>
        <w:r>
          <w:rPr>
            <w:noProof/>
            <w:webHidden/>
          </w:rPr>
          <w:fldChar w:fldCharType="end"/>
        </w:r>
      </w:hyperlink>
    </w:p>
    <w:p w14:paraId="350904C4" w14:textId="783C06A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43" w:history="1">
        <w:r w:rsidRPr="00C04594">
          <w:rPr>
            <w:rStyle w:val="Hyperlink"/>
            <w:bCs/>
            <w:noProof/>
            <w:lang w:val="ru-RU"/>
          </w:rPr>
          <w:t>§187.</w:t>
        </w:r>
        <w:r w:rsidRPr="00C04594">
          <w:rPr>
            <w:rStyle w:val="Hyperlink"/>
            <w:noProof/>
            <w:lang w:val="ru-RU"/>
          </w:rPr>
          <w:t xml:space="preserve"> </w:t>
        </w:r>
        <w:r w:rsidRPr="00C04594">
          <w:rPr>
            <w:rStyle w:val="Hyperlink"/>
            <w:rFonts w:ascii="MS Gothic" w:eastAsia="MS Gothic" w:hAnsi="MS Gothic" w:cs="MS Gothic" w:hint="eastAsia"/>
            <w:noProof/>
            <w:lang w:val="ru-RU"/>
          </w:rPr>
          <w:t>恩典</w:t>
        </w:r>
        <w:r w:rsidRPr="00C04594">
          <w:rPr>
            <w:rStyle w:val="Hyperlink"/>
            <w:rFonts w:ascii="Microsoft JhengHei" w:eastAsia="Microsoft JhengHei" w:hAnsi="Microsoft JhengHei" w:cs="Microsoft JhengHei" w:hint="eastAsia"/>
            <w:noProof/>
            <w:lang w:val="ru-RU"/>
          </w:rPr>
          <w:t>对信仰及信仰之始，或对人归信基督教的必要性</w:t>
        </w:r>
        <w:r>
          <w:rPr>
            <w:noProof/>
            <w:webHidden/>
          </w:rPr>
          <w:tab/>
        </w:r>
        <w:r>
          <w:rPr>
            <w:noProof/>
            <w:webHidden/>
          </w:rPr>
          <w:fldChar w:fldCharType="begin"/>
        </w:r>
        <w:r>
          <w:rPr>
            <w:noProof/>
            <w:webHidden/>
          </w:rPr>
          <w:instrText xml:space="preserve"> PAGEREF _Toc238576543 \h </w:instrText>
        </w:r>
        <w:r>
          <w:rPr>
            <w:noProof/>
            <w:webHidden/>
          </w:rPr>
        </w:r>
        <w:r>
          <w:rPr>
            <w:noProof/>
            <w:webHidden/>
          </w:rPr>
          <w:fldChar w:fldCharType="separate"/>
        </w:r>
        <w:r w:rsidR="007B5AC0">
          <w:rPr>
            <w:noProof/>
            <w:webHidden/>
          </w:rPr>
          <w:t>163</w:t>
        </w:r>
        <w:r>
          <w:rPr>
            <w:noProof/>
            <w:webHidden/>
          </w:rPr>
          <w:fldChar w:fldCharType="end"/>
        </w:r>
      </w:hyperlink>
    </w:p>
    <w:p w14:paraId="3608B463" w14:textId="7BFC1436"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44" w:history="1">
        <w:r w:rsidRPr="00C04594">
          <w:rPr>
            <w:rStyle w:val="Hyperlink"/>
            <w:noProof/>
            <w:lang w:val="ru-RU"/>
          </w:rPr>
          <w:t xml:space="preserve">§188. </w:t>
        </w:r>
        <w:r w:rsidRPr="00C04594">
          <w:rPr>
            <w:rStyle w:val="Hyperlink"/>
            <w:rFonts w:ascii="MS Gothic" w:eastAsia="MS Gothic" w:hAnsi="MS Gothic" w:cs="MS Gothic" w:hint="eastAsia"/>
            <w:noProof/>
            <w:lang w:val="ru-RU"/>
          </w:rPr>
          <w:t>人皈依基督教后，恩典</w:t>
        </w:r>
        <w:r w:rsidRPr="00C04594">
          <w:rPr>
            <w:rStyle w:val="Hyperlink"/>
            <w:rFonts w:ascii="Microsoft JhengHei" w:eastAsia="Microsoft JhengHei" w:hAnsi="Microsoft JhengHei" w:cs="Microsoft JhengHei" w:hint="eastAsia"/>
            <w:noProof/>
            <w:lang w:val="ru-RU"/>
          </w:rPr>
          <w:t>对美德的必要性</w:t>
        </w:r>
        <w:r>
          <w:rPr>
            <w:noProof/>
            <w:webHidden/>
          </w:rPr>
          <w:tab/>
        </w:r>
        <w:r>
          <w:rPr>
            <w:noProof/>
            <w:webHidden/>
          </w:rPr>
          <w:fldChar w:fldCharType="begin"/>
        </w:r>
        <w:r>
          <w:rPr>
            <w:noProof/>
            <w:webHidden/>
          </w:rPr>
          <w:instrText xml:space="preserve"> PAGEREF _Toc238576544 \h </w:instrText>
        </w:r>
        <w:r>
          <w:rPr>
            <w:noProof/>
            <w:webHidden/>
          </w:rPr>
        </w:r>
        <w:r>
          <w:rPr>
            <w:noProof/>
            <w:webHidden/>
          </w:rPr>
          <w:fldChar w:fldCharType="separate"/>
        </w:r>
        <w:r w:rsidR="007B5AC0">
          <w:rPr>
            <w:noProof/>
            <w:webHidden/>
          </w:rPr>
          <w:t>167</w:t>
        </w:r>
        <w:r>
          <w:rPr>
            <w:noProof/>
            <w:webHidden/>
          </w:rPr>
          <w:fldChar w:fldCharType="end"/>
        </w:r>
      </w:hyperlink>
    </w:p>
    <w:p w14:paraId="06FD03FF" w14:textId="6FDE9C6A"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45" w:history="1">
        <w:r w:rsidRPr="00C04594">
          <w:rPr>
            <w:rStyle w:val="Hyperlink"/>
            <w:noProof/>
            <w:lang w:val="ru-RU"/>
          </w:rPr>
          <w:t xml:space="preserve">§189. </w:t>
        </w:r>
        <w:r w:rsidRPr="00C04594">
          <w:rPr>
            <w:rStyle w:val="Hyperlink"/>
            <w:rFonts w:ascii="MS Gothic" w:eastAsia="MS Gothic" w:hAnsi="MS Gothic" w:cs="MS Gothic" w:hint="eastAsia"/>
            <w:noProof/>
            <w:lang w:val="ru-RU"/>
          </w:rPr>
          <w:t>人要</w:t>
        </w:r>
        <w:r w:rsidRPr="00C04594">
          <w:rPr>
            <w:rStyle w:val="Hyperlink"/>
            <w:rFonts w:ascii="Microsoft JhengHei" w:eastAsia="Microsoft JhengHei" w:hAnsi="Microsoft JhengHei" w:cs="Microsoft JhengHei" w:hint="eastAsia"/>
            <w:noProof/>
            <w:lang w:val="ru-RU"/>
          </w:rPr>
          <w:t>终生持守信仰与基督徒美德，恩典不可或缺</w:t>
        </w:r>
        <w:r>
          <w:rPr>
            <w:noProof/>
            <w:webHidden/>
          </w:rPr>
          <w:tab/>
        </w:r>
        <w:r>
          <w:rPr>
            <w:noProof/>
            <w:webHidden/>
          </w:rPr>
          <w:fldChar w:fldCharType="begin"/>
        </w:r>
        <w:r>
          <w:rPr>
            <w:noProof/>
            <w:webHidden/>
          </w:rPr>
          <w:instrText xml:space="preserve"> PAGEREF _Toc238576545 \h </w:instrText>
        </w:r>
        <w:r>
          <w:rPr>
            <w:noProof/>
            <w:webHidden/>
          </w:rPr>
        </w:r>
        <w:r>
          <w:rPr>
            <w:noProof/>
            <w:webHidden/>
          </w:rPr>
          <w:fldChar w:fldCharType="separate"/>
        </w:r>
        <w:r w:rsidR="007B5AC0">
          <w:rPr>
            <w:noProof/>
            <w:webHidden/>
          </w:rPr>
          <w:t>169</w:t>
        </w:r>
        <w:r>
          <w:rPr>
            <w:noProof/>
            <w:webHidden/>
          </w:rPr>
          <w:fldChar w:fldCharType="end"/>
        </w:r>
      </w:hyperlink>
    </w:p>
    <w:p w14:paraId="338F12CC" w14:textId="4F4C6347"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46" w:history="1">
        <w:r w:rsidRPr="00C04594">
          <w:rPr>
            <w:rStyle w:val="Hyperlink"/>
            <w:bCs/>
            <w:noProof/>
          </w:rPr>
          <w:t>II</w:t>
        </w:r>
        <w:r w:rsidRPr="00C04594">
          <w:rPr>
            <w:rStyle w:val="Hyperlink"/>
            <w:bCs/>
            <w:noProof/>
            <w:lang w:val="ru-RU"/>
          </w:rPr>
          <w:t>.</w:t>
        </w:r>
        <w:r w:rsidRPr="00C04594">
          <w:rPr>
            <w:rStyle w:val="Hyperlink"/>
            <w:noProof/>
            <w:lang w:val="ru-RU"/>
          </w:rPr>
          <w:t xml:space="preserve"> </w:t>
        </w:r>
        <w:r w:rsidRPr="00C04594">
          <w:rPr>
            <w:rStyle w:val="Hyperlink"/>
            <w:rFonts w:ascii="MS Gothic" w:eastAsia="MS Gothic" w:hAnsi="MS Gothic" w:cs="MS Gothic" w:hint="eastAsia"/>
            <w:noProof/>
            <w:lang w:val="ru-RU"/>
          </w:rPr>
          <w:t>关于恩典的普世性及其与人的自由的关系</w:t>
        </w:r>
        <w:r>
          <w:rPr>
            <w:noProof/>
            <w:webHidden/>
          </w:rPr>
          <w:tab/>
        </w:r>
        <w:r>
          <w:rPr>
            <w:noProof/>
            <w:webHidden/>
          </w:rPr>
          <w:fldChar w:fldCharType="begin"/>
        </w:r>
        <w:r>
          <w:rPr>
            <w:noProof/>
            <w:webHidden/>
          </w:rPr>
          <w:instrText xml:space="preserve"> PAGEREF _Toc238576546 \h </w:instrText>
        </w:r>
        <w:r>
          <w:rPr>
            <w:noProof/>
            <w:webHidden/>
          </w:rPr>
        </w:r>
        <w:r>
          <w:rPr>
            <w:noProof/>
            <w:webHidden/>
          </w:rPr>
          <w:fldChar w:fldCharType="separate"/>
        </w:r>
        <w:r w:rsidR="007B5AC0">
          <w:rPr>
            <w:noProof/>
            <w:webHidden/>
          </w:rPr>
          <w:t>171</w:t>
        </w:r>
        <w:r>
          <w:rPr>
            <w:noProof/>
            <w:webHidden/>
          </w:rPr>
          <w:fldChar w:fldCharType="end"/>
        </w:r>
      </w:hyperlink>
    </w:p>
    <w:p w14:paraId="12D0E8B0" w14:textId="74BC577A"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47" w:history="1">
        <w:r w:rsidRPr="00C04594">
          <w:rPr>
            <w:rStyle w:val="Hyperlink"/>
            <w:noProof/>
            <w:lang w:val="ru-RU"/>
          </w:rPr>
          <w:t xml:space="preserve">§190. </w:t>
        </w:r>
        <w:r w:rsidRPr="00C04594">
          <w:rPr>
            <w:rStyle w:val="Hyperlink"/>
            <w:rFonts w:ascii="MS Gothic" w:eastAsia="MS Gothic" w:hAnsi="MS Gothic" w:cs="MS Gothic" w:hint="eastAsia"/>
            <w:noProof/>
            <w:lang w:val="ru-RU"/>
          </w:rPr>
          <w:t>教</w:t>
        </w:r>
        <w:r w:rsidRPr="00C04594">
          <w:rPr>
            <w:rStyle w:val="Hyperlink"/>
            <w:rFonts w:ascii="Microsoft JhengHei" w:eastAsia="Microsoft JhengHei" w:hAnsi="Microsoft JhengHei" w:cs="Microsoft JhengHei" w:hint="eastAsia"/>
            <w:noProof/>
            <w:lang w:val="ru-RU"/>
          </w:rPr>
          <w:t>义的组成部分</w:t>
        </w:r>
        <w:r>
          <w:rPr>
            <w:noProof/>
            <w:webHidden/>
          </w:rPr>
          <w:tab/>
        </w:r>
        <w:r>
          <w:rPr>
            <w:noProof/>
            <w:webHidden/>
          </w:rPr>
          <w:fldChar w:fldCharType="begin"/>
        </w:r>
        <w:r>
          <w:rPr>
            <w:noProof/>
            <w:webHidden/>
          </w:rPr>
          <w:instrText xml:space="preserve"> PAGEREF _Toc238576547 \h </w:instrText>
        </w:r>
        <w:r>
          <w:rPr>
            <w:noProof/>
            <w:webHidden/>
          </w:rPr>
        </w:r>
        <w:r>
          <w:rPr>
            <w:noProof/>
            <w:webHidden/>
          </w:rPr>
          <w:fldChar w:fldCharType="separate"/>
        </w:r>
        <w:r w:rsidR="007B5AC0">
          <w:rPr>
            <w:noProof/>
            <w:webHidden/>
          </w:rPr>
          <w:t>171</w:t>
        </w:r>
        <w:r>
          <w:rPr>
            <w:noProof/>
            <w:webHidden/>
          </w:rPr>
          <w:fldChar w:fldCharType="end"/>
        </w:r>
      </w:hyperlink>
    </w:p>
    <w:p w14:paraId="737B73D6" w14:textId="36214AAC"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48" w:history="1">
        <w:r w:rsidRPr="00C04594">
          <w:rPr>
            <w:rStyle w:val="Hyperlink"/>
            <w:bCs/>
            <w:noProof/>
            <w:lang w:val="ru-RU"/>
          </w:rPr>
          <w:t>§191.</w:t>
        </w:r>
        <w:r w:rsidRPr="00C04594">
          <w:rPr>
            <w:rStyle w:val="Hyperlink"/>
            <w:noProof/>
            <w:lang w:val="ru-RU"/>
          </w:rPr>
          <w:t xml:space="preserve"> </w:t>
        </w:r>
        <w:r w:rsidRPr="00C04594">
          <w:rPr>
            <w:rStyle w:val="Hyperlink"/>
            <w:rFonts w:ascii="MS Gothic" w:eastAsia="MS Gothic" w:hAnsi="MS Gothic" w:cs="MS Gothic" w:hint="eastAsia"/>
            <w:noProof/>
            <w:lang w:val="ru-RU"/>
          </w:rPr>
          <w:t>神的恩典遍及所有的人，而不</w:t>
        </w:r>
        <w:r w:rsidRPr="00C04594">
          <w:rPr>
            <w:rStyle w:val="Hyperlink"/>
            <w:rFonts w:ascii="Microsoft JhengHei" w:eastAsia="Microsoft JhengHei" w:hAnsi="Microsoft JhengHei" w:cs="Microsoft JhengHei" w:hint="eastAsia"/>
            <w:noProof/>
            <w:lang w:val="ru-RU"/>
          </w:rPr>
          <w:t>仅仅限于那些被预定得享义和永恒福乐的人</w:t>
        </w:r>
        <w:r>
          <w:rPr>
            <w:noProof/>
            <w:webHidden/>
          </w:rPr>
          <w:tab/>
        </w:r>
        <w:r>
          <w:rPr>
            <w:noProof/>
            <w:webHidden/>
          </w:rPr>
          <w:fldChar w:fldCharType="begin"/>
        </w:r>
        <w:r>
          <w:rPr>
            <w:noProof/>
            <w:webHidden/>
          </w:rPr>
          <w:instrText xml:space="preserve"> PAGEREF _Toc238576548 \h </w:instrText>
        </w:r>
        <w:r>
          <w:rPr>
            <w:noProof/>
            <w:webHidden/>
          </w:rPr>
        </w:r>
        <w:r>
          <w:rPr>
            <w:noProof/>
            <w:webHidden/>
          </w:rPr>
          <w:fldChar w:fldCharType="separate"/>
        </w:r>
        <w:r w:rsidR="007B5AC0">
          <w:rPr>
            <w:noProof/>
            <w:webHidden/>
          </w:rPr>
          <w:t>171</w:t>
        </w:r>
        <w:r>
          <w:rPr>
            <w:noProof/>
            <w:webHidden/>
          </w:rPr>
          <w:fldChar w:fldCharType="end"/>
        </w:r>
      </w:hyperlink>
    </w:p>
    <w:p w14:paraId="6217D905" w14:textId="7DF6F83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49" w:history="1">
        <w:r w:rsidRPr="00C04594">
          <w:rPr>
            <w:rStyle w:val="Hyperlink"/>
            <w:bCs/>
            <w:noProof/>
            <w:lang w:val="ru-RU"/>
          </w:rPr>
          <w:t>§192.</w:t>
        </w:r>
        <w:r w:rsidRPr="00C04594">
          <w:rPr>
            <w:rStyle w:val="Hyperlink"/>
            <w:noProof/>
            <w:lang w:val="ru-RU"/>
          </w:rPr>
          <w:t xml:space="preserve"> </w:t>
        </w:r>
        <w:r w:rsidRPr="00C04594">
          <w:rPr>
            <w:rStyle w:val="Hyperlink"/>
            <w:rFonts w:ascii="MS Gothic" w:eastAsia="MS Gothic" w:hAnsi="MS Gothic" w:cs="MS Gothic" w:hint="eastAsia"/>
            <w:noProof/>
            <w:lang w:val="ru-RU"/>
          </w:rPr>
          <w:t>上帝</w:t>
        </w:r>
        <w:r w:rsidRPr="00C04594">
          <w:rPr>
            <w:rStyle w:val="Hyperlink"/>
            <w:rFonts w:ascii="Microsoft JhengHei" w:eastAsia="Microsoft JhengHei" w:hAnsi="Microsoft JhengHei" w:cs="Microsoft JhengHei" w:hint="eastAsia"/>
            <w:noProof/>
            <w:lang w:val="ru-RU"/>
          </w:rPr>
          <w:t>预定一些人得享永恒的福乐，另一些人受永恒的定罪，这是有条件的，其依据在于预知他们是否会接受恩典</w:t>
        </w:r>
        <w:r>
          <w:rPr>
            <w:noProof/>
            <w:webHidden/>
          </w:rPr>
          <w:tab/>
        </w:r>
        <w:r>
          <w:rPr>
            <w:noProof/>
            <w:webHidden/>
          </w:rPr>
          <w:fldChar w:fldCharType="begin"/>
        </w:r>
        <w:r>
          <w:rPr>
            <w:noProof/>
            <w:webHidden/>
          </w:rPr>
          <w:instrText xml:space="preserve"> PAGEREF _Toc238576549 \h </w:instrText>
        </w:r>
        <w:r>
          <w:rPr>
            <w:noProof/>
            <w:webHidden/>
          </w:rPr>
        </w:r>
        <w:r>
          <w:rPr>
            <w:noProof/>
            <w:webHidden/>
          </w:rPr>
          <w:fldChar w:fldCharType="separate"/>
        </w:r>
        <w:r w:rsidR="007B5AC0">
          <w:rPr>
            <w:noProof/>
            <w:webHidden/>
          </w:rPr>
          <w:t>173</w:t>
        </w:r>
        <w:r>
          <w:rPr>
            <w:noProof/>
            <w:webHidden/>
          </w:rPr>
          <w:fldChar w:fldCharType="end"/>
        </w:r>
      </w:hyperlink>
    </w:p>
    <w:p w14:paraId="47ED6D75" w14:textId="45E464F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50" w:history="1">
        <w:r w:rsidRPr="00C04594">
          <w:rPr>
            <w:rStyle w:val="Hyperlink"/>
            <w:bCs/>
            <w:noProof/>
            <w:lang w:val="ru-RU"/>
          </w:rPr>
          <w:t>§193.</w:t>
        </w:r>
        <w:r w:rsidRPr="00C04594">
          <w:rPr>
            <w:rStyle w:val="Hyperlink"/>
            <w:noProof/>
            <w:lang w:val="ru-RU"/>
          </w:rPr>
          <w:t xml:space="preserve"> </w:t>
        </w:r>
        <w:r w:rsidRPr="00C04594">
          <w:rPr>
            <w:rStyle w:val="Hyperlink"/>
            <w:rFonts w:ascii="MS Gothic" w:eastAsia="MS Gothic" w:hAnsi="MS Gothic" w:cs="MS Gothic" w:hint="eastAsia"/>
            <w:noProof/>
            <w:lang w:val="ru-RU"/>
          </w:rPr>
          <w:t>神的恩典不会限制人的自由，也不会</w:t>
        </w:r>
        <w:r w:rsidRPr="00C04594">
          <w:rPr>
            <w:rStyle w:val="Hyperlink"/>
            <w:rFonts w:ascii="Microsoft JhengHei" w:eastAsia="Microsoft JhengHei" w:hAnsi="Microsoft JhengHei" w:cs="Microsoft JhengHei" w:hint="eastAsia"/>
            <w:noProof/>
            <w:lang w:val="ru-RU"/>
          </w:rPr>
          <w:t>对其产生不可抗拒的影响</w:t>
        </w:r>
        <w:r>
          <w:rPr>
            <w:noProof/>
            <w:webHidden/>
          </w:rPr>
          <w:tab/>
        </w:r>
        <w:r>
          <w:rPr>
            <w:noProof/>
            <w:webHidden/>
          </w:rPr>
          <w:fldChar w:fldCharType="begin"/>
        </w:r>
        <w:r>
          <w:rPr>
            <w:noProof/>
            <w:webHidden/>
          </w:rPr>
          <w:instrText xml:space="preserve"> PAGEREF _Toc238576550 \h </w:instrText>
        </w:r>
        <w:r>
          <w:rPr>
            <w:noProof/>
            <w:webHidden/>
          </w:rPr>
        </w:r>
        <w:r>
          <w:rPr>
            <w:noProof/>
            <w:webHidden/>
          </w:rPr>
          <w:fldChar w:fldCharType="separate"/>
        </w:r>
        <w:r w:rsidR="007B5AC0">
          <w:rPr>
            <w:noProof/>
            <w:webHidden/>
          </w:rPr>
          <w:t>176</w:t>
        </w:r>
        <w:r>
          <w:rPr>
            <w:noProof/>
            <w:webHidden/>
          </w:rPr>
          <w:fldChar w:fldCharType="end"/>
        </w:r>
      </w:hyperlink>
    </w:p>
    <w:p w14:paraId="7A8CF6C5" w14:textId="0A1B4B1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51" w:history="1">
        <w:r w:rsidRPr="00C04594">
          <w:rPr>
            <w:rStyle w:val="Hyperlink"/>
            <w:bCs/>
            <w:noProof/>
            <w:lang w:val="ru-RU"/>
          </w:rPr>
          <w:t xml:space="preserve">§194. </w:t>
        </w:r>
        <w:r w:rsidRPr="00C04594">
          <w:rPr>
            <w:rStyle w:val="Hyperlink"/>
            <w:rFonts w:ascii="MS Gothic" w:eastAsia="MS Gothic" w:hAnsi="MS Gothic" w:cs="MS Gothic" w:hint="eastAsia"/>
            <w:noProof/>
            <w:lang w:val="ru-RU"/>
          </w:rPr>
          <w:t>人</w:t>
        </w:r>
        <w:r w:rsidRPr="00C04594">
          <w:rPr>
            <w:rStyle w:val="Hyperlink"/>
            <w:rFonts w:ascii="Microsoft JhengHei" w:eastAsia="Microsoft JhengHei" w:hAnsi="Microsoft JhengHei" w:cs="Microsoft JhengHei" w:hint="eastAsia"/>
            <w:noProof/>
            <w:lang w:val="ru-RU"/>
          </w:rPr>
          <w:t>积极参与了上帝的恩典在他身上以及通过他所成就的事工</w:t>
        </w:r>
        <w:r>
          <w:rPr>
            <w:noProof/>
            <w:webHidden/>
          </w:rPr>
          <w:tab/>
        </w:r>
        <w:r>
          <w:rPr>
            <w:noProof/>
            <w:webHidden/>
          </w:rPr>
          <w:fldChar w:fldCharType="begin"/>
        </w:r>
        <w:r>
          <w:rPr>
            <w:noProof/>
            <w:webHidden/>
          </w:rPr>
          <w:instrText xml:space="preserve"> PAGEREF _Toc238576551 \h </w:instrText>
        </w:r>
        <w:r>
          <w:rPr>
            <w:noProof/>
            <w:webHidden/>
          </w:rPr>
        </w:r>
        <w:r>
          <w:rPr>
            <w:noProof/>
            <w:webHidden/>
          </w:rPr>
          <w:fldChar w:fldCharType="separate"/>
        </w:r>
        <w:r w:rsidR="007B5AC0">
          <w:rPr>
            <w:noProof/>
            <w:webHidden/>
          </w:rPr>
          <w:t>178</w:t>
        </w:r>
        <w:r>
          <w:rPr>
            <w:noProof/>
            <w:webHidden/>
          </w:rPr>
          <w:fldChar w:fldCharType="end"/>
        </w:r>
      </w:hyperlink>
    </w:p>
    <w:p w14:paraId="0CE3D888" w14:textId="0BCC3C6F"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52" w:history="1">
        <w:r w:rsidRPr="00C04594">
          <w:rPr>
            <w:rStyle w:val="Hyperlink"/>
            <w:bCs/>
            <w:noProof/>
          </w:rPr>
          <w:t>III</w:t>
        </w:r>
        <w:r w:rsidRPr="00C04594">
          <w:rPr>
            <w:rStyle w:val="Hyperlink"/>
            <w:bCs/>
            <w:noProof/>
            <w:lang w:val="ru-RU"/>
          </w:rPr>
          <w:t>.</w:t>
        </w:r>
        <w:r w:rsidRPr="00C04594">
          <w:rPr>
            <w:rStyle w:val="Hyperlink"/>
            <w:noProof/>
            <w:lang w:val="ru-RU"/>
          </w:rPr>
          <w:t xml:space="preserve"> </w:t>
        </w:r>
        <w:r w:rsidRPr="00C04594">
          <w:rPr>
            <w:rStyle w:val="Hyperlink"/>
            <w:rFonts w:ascii="MS Gothic" w:eastAsia="MS Gothic" w:hAnsi="MS Gothic" w:cs="MS Gothic" w:hint="eastAsia"/>
            <w:noProof/>
            <w:lang w:val="ru-RU"/>
          </w:rPr>
          <w:t>关于人藉天主恩</w:t>
        </w:r>
        <w:r w:rsidRPr="00C04594">
          <w:rPr>
            <w:rStyle w:val="Hyperlink"/>
            <w:rFonts w:ascii="Microsoft JhengHei" w:eastAsia="Microsoft JhengHei" w:hAnsi="Microsoft JhengHei" w:cs="Microsoft JhengHei" w:hint="eastAsia"/>
            <w:noProof/>
            <w:lang w:val="ru-RU"/>
          </w:rPr>
          <w:t>宠而成圣的本质与条件</w:t>
        </w:r>
        <w:r>
          <w:rPr>
            <w:noProof/>
            <w:webHidden/>
          </w:rPr>
          <w:tab/>
        </w:r>
        <w:r>
          <w:rPr>
            <w:noProof/>
            <w:webHidden/>
          </w:rPr>
          <w:fldChar w:fldCharType="begin"/>
        </w:r>
        <w:r>
          <w:rPr>
            <w:noProof/>
            <w:webHidden/>
          </w:rPr>
          <w:instrText xml:space="preserve"> PAGEREF _Toc238576552 \h </w:instrText>
        </w:r>
        <w:r>
          <w:rPr>
            <w:noProof/>
            <w:webHidden/>
          </w:rPr>
        </w:r>
        <w:r>
          <w:rPr>
            <w:noProof/>
            <w:webHidden/>
          </w:rPr>
          <w:fldChar w:fldCharType="separate"/>
        </w:r>
        <w:r w:rsidR="007B5AC0">
          <w:rPr>
            <w:noProof/>
            <w:webHidden/>
          </w:rPr>
          <w:t>180</w:t>
        </w:r>
        <w:r>
          <w:rPr>
            <w:noProof/>
            <w:webHidden/>
          </w:rPr>
          <w:fldChar w:fldCharType="end"/>
        </w:r>
      </w:hyperlink>
    </w:p>
    <w:p w14:paraId="1BF6A1B7" w14:textId="20015CAC"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53" w:history="1">
        <w:r w:rsidRPr="00C04594">
          <w:rPr>
            <w:rStyle w:val="Hyperlink"/>
            <w:bCs/>
            <w:noProof/>
            <w:lang w:val="ru-RU"/>
          </w:rPr>
          <w:t>§195.</w:t>
        </w:r>
        <w:r w:rsidRPr="00C04594">
          <w:rPr>
            <w:rStyle w:val="Hyperlink"/>
            <w:noProof/>
            <w:lang w:val="ru-RU"/>
          </w:rPr>
          <w:t xml:space="preserve"> </w:t>
        </w:r>
        <w:r w:rsidRPr="00C04594">
          <w:rPr>
            <w:rStyle w:val="Hyperlink"/>
            <w:rFonts w:ascii="MS Gothic" w:eastAsia="MS Gothic" w:hAnsi="MS Gothic" w:cs="MS Gothic" w:hint="eastAsia"/>
            <w:noProof/>
            <w:lang w:val="ru-RU"/>
          </w:rPr>
          <w:t>教</w:t>
        </w:r>
        <w:r w:rsidRPr="00C04594">
          <w:rPr>
            <w:rStyle w:val="Hyperlink"/>
            <w:rFonts w:ascii="Microsoft JhengHei" w:eastAsia="Microsoft JhengHei" w:hAnsi="Microsoft JhengHei" w:cs="Microsoft JhengHei" w:hint="eastAsia"/>
            <w:noProof/>
            <w:lang w:val="ru-RU"/>
          </w:rPr>
          <w:t>义的组成部分</w:t>
        </w:r>
        <w:r>
          <w:rPr>
            <w:noProof/>
            <w:webHidden/>
          </w:rPr>
          <w:tab/>
        </w:r>
        <w:r>
          <w:rPr>
            <w:noProof/>
            <w:webHidden/>
          </w:rPr>
          <w:fldChar w:fldCharType="begin"/>
        </w:r>
        <w:r>
          <w:rPr>
            <w:noProof/>
            <w:webHidden/>
          </w:rPr>
          <w:instrText xml:space="preserve"> PAGEREF _Toc238576553 \h </w:instrText>
        </w:r>
        <w:r>
          <w:rPr>
            <w:noProof/>
            <w:webHidden/>
          </w:rPr>
        </w:r>
        <w:r>
          <w:rPr>
            <w:noProof/>
            <w:webHidden/>
          </w:rPr>
          <w:fldChar w:fldCharType="separate"/>
        </w:r>
        <w:r w:rsidR="007B5AC0">
          <w:rPr>
            <w:noProof/>
            <w:webHidden/>
          </w:rPr>
          <w:t>180</w:t>
        </w:r>
        <w:r>
          <w:rPr>
            <w:noProof/>
            <w:webHidden/>
          </w:rPr>
          <w:fldChar w:fldCharType="end"/>
        </w:r>
      </w:hyperlink>
    </w:p>
    <w:p w14:paraId="5FA6A7D2" w14:textId="75C56D06"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54" w:history="1">
        <w:r w:rsidRPr="00C04594">
          <w:rPr>
            <w:rStyle w:val="Hyperlink"/>
            <w:bCs/>
            <w:noProof/>
            <w:lang w:val="ru-RU"/>
          </w:rPr>
          <w:t>§196.</w:t>
        </w:r>
        <w:r w:rsidRPr="00C04594">
          <w:rPr>
            <w:rStyle w:val="Hyperlink"/>
            <w:noProof/>
            <w:lang w:val="ru-RU"/>
          </w:rPr>
          <w:t xml:space="preserve"> </w:t>
        </w:r>
        <w:r w:rsidRPr="00C04594">
          <w:rPr>
            <w:rStyle w:val="Hyperlink"/>
            <w:rFonts w:ascii="MS Gothic" w:eastAsia="MS Gothic" w:hAnsi="MS Gothic" w:cs="MS Gothic" w:hint="eastAsia"/>
            <w:noProof/>
            <w:lang w:val="ru-RU"/>
          </w:rPr>
          <w:t>人的成圣在于：他确</w:t>
        </w:r>
        <w:r w:rsidRPr="00C04594">
          <w:rPr>
            <w:rStyle w:val="Hyperlink"/>
            <w:rFonts w:ascii="Microsoft JhengHei" w:eastAsia="Microsoft JhengHei" w:hAnsi="Microsoft JhengHei" w:cs="Microsoft JhengHei" w:hint="eastAsia"/>
            <w:noProof/>
            <w:lang w:val="ru-RU"/>
          </w:rPr>
          <w:t>实借着上帝的恩典从罪中得洁净，并被造就为义人和圣人</w:t>
        </w:r>
        <w:r>
          <w:rPr>
            <w:noProof/>
            <w:webHidden/>
          </w:rPr>
          <w:tab/>
        </w:r>
        <w:r>
          <w:rPr>
            <w:noProof/>
            <w:webHidden/>
          </w:rPr>
          <w:fldChar w:fldCharType="begin"/>
        </w:r>
        <w:r>
          <w:rPr>
            <w:noProof/>
            <w:webHidden/>
          </w:rPr>
          <w:instrText xml:space="preserve"> PAGEREF _Toc238576554 \h </w:instrText>
        </w:r>
        <w:r>
          <w:rPr>
            <w:noProof/>
            <w:webHidden/>
          </w:rPr>
        </w:r>
        <w:r>
          <w:rPr>
            <w:noProof/>
            <w:webHidden/>
          </w:rPr>
          <w:fldChar w:fldCharType="separate"/>
        </w:r>
        <w:r w:rsidR="007B5AC0">
          <w:rPr>
            <w:noProof/>
            <w:webHidden/>
          </w:rPr>
          <w:t>180</w:t>
        </w:r>
        <w:r>
          <w:rPr>
            <w:noProof/>
            <w:webHidden/>
          </w:rPr>
          <w:fldChar w:fldCharType="end"/>
        </w:r>
      </w:hyperlink>
    </w:p>
    <w:p w14:paraId="178101ED" w14:textId="0CECD72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55" w:history="1">
        <w:r w:rsidRPr="00C04594">
          <w:rPr>
            <w:rStyle w:val="Hyperlink"/>
            <w:bCs/>
            <w:noProof/>
            <w:lang w:val="ru-RU"/>
          </w:rPr>
          <w:t>§197.</w:t>
        </w:r>
        <w:r w:rsidRPr="00C04594">
          <w:rPr>
            <w:rStyle w:val="Hyperlink"/>
            <w:noProof/>
            <w:lang w:val="ru-RU"/>
          </w:rPr>
          <w:t xml:space="preserve"> </w:t>
        </w:r>
        <w:r w:rsidRPr="00C04594">
          <w:rPr>
            <w:rStyle w:val="Hyperlink"/>
            <w:rFonts w:ascii="MS Gothic" w:eastAsia="MS Gothic" w:hAnsi="MS Gothic" w:cs="MS Gothic" w:hint="eastAsia"/>
            <w:noProof/>
            <w:lang w:val="ru-RU"/>
          </w:rPr>
          <w:t>信心是人得成圣及随之而来的得救的首要条件</w:t>
        </w:r>
        <w:r>
          <w:rPr>
            <w:noProof/>
            <w:webHidden/>
          </w:rPr>
          <w:tab/>
        </w:r>
        <w:r>
          <w:rPr>
            <w:noProof/>
            <w:webHidden/>
          </w:rPr>
          <w:fldChar w:fldCharType="begin"/>
        </w:r>
        <w:r>
          <w:rPr>
            <w:noProof/>
            <w:webHidden/>
          </w:rPr>
          <w:instrText xml:space="preserve"> PAGEREF _Toc238576555 \h </w:instrText>
        </w:r>
        <w:r>
          <w:rPr>
            <w:noProof/>
            <w:webHidden/>
          </w:rPr>
        </w:r>
        <w:r>
          <w:rPr>
            <w:noProof/>
            <w:webHidden/>
          </w:rPr>
          <w:fldChar w:fldCharType="separate"/>
        </w:r>
        <w:r w:rsidR="007B5AC0">
          <w:rPr>
            <w:noProof/>
            <w:webHidden/>
          </w:rPr>
          <w:t>183</w:t>
        </w:r>
        <w:r>
          <w:rPr>
            <w:noProof/>
            <w:webHidden/>
          </w:rPr>
          <w:fldChar w:fldCharType="end"/>
        </w:r>
      </w:hyperlink>
    </w:p>
    <w:p w14:paraId="4B33A462" w14:textId="27ECA717"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56" w:history="1">
        <w:r w:rsidRPr="00C04594">
          <w:rPr>
            <w:rStyle w:val="Hyperlink"/>
            <w:noProof/>
            <w:lang w:val="ru-RU"/>
          </w:rPr>
          <w:t xml:space="preserve">§198. </w:t>
        </w:r>
        <w:r w:rsidRPr="00C04594">
          <w:rPr>
            <w:rStyle w:val="Hyperlink"/>
            <w:rFonts w:ascii="MS Gothic" w:eastAsia="MS Gothic" w:hAnsi="MS Gothic" w:cs="MS Gothic" w:hint="eastAsia"/>
            <w:noProof/>
            <w:lang w:val="ru-RU"/>
          </w:rPr>
          <w:t>除了信仰之外，</w:t>
        </w:r>
        <w:r w:rsidRPr="00C04594">
          <w:rPr>
            <w:rStyle w:val="Hyperlink"/>
            <w:rFonts w:ascii="Microsoft JhengHei" w:eastAsia="Microsoft JhengHei" w:hAnsi="Microsoft JhengHei" w:cs="Microsoft JhengHei" w:hint="eastAsia"/>
            <w:noProof/>
            <w:lang w:val="ru-RU"/>
          </w:rPr>
          <w:t>为了使人得到成圣与救赎，还要求他行善</w:t>
        </w:r>
        <w:r>
          <w:rPr>
            <w:noProof/>
            <w:webHidden/>
          </w:rPr>
          <w:tab/>
        </w:r>
        <w:r>
          <w:rPr>
            <w:noProof/>
            <w:webHidden/>
          </w:rPr>
          <w:fldChar w:fldCharType="begin"/>
        </w:r>
        <w:r>
          <w:rPr>
            <w:noProof/>
            <w:webHidden/>
          </w:rPr>
          <w:instrText xml:space="preserve"> PAGEREF _Toc238576556 \h </w:instrText>
        </w:r>
        <w:r>
          <w:rPr>
            <w:noProof/>
            <w:webHidden/>
          </w:rPr>
        </w:r>
        <w:r>
          <w:rPr>
            <w:noProof/>
            <w:webHidden/>
          </w:rPr>
          <w:fldChar w:fldCharType="separate"/>
        </w:r>
        <w:r w:rsidR="007B5AC0">
          <w:rPr>
            <w:noProof/>
            <w:webHidden/>
          </w:rPr>
          <w:t>188</w:t>
        </w:r>
        <w:r>
          <w:rPr>
            <w:noProof/>
            <w:webHidden/>
          </w:rPr>
          <w:fldChar w:fldCharType="end"/>
        </w:r>
      </w:hyperlink>
    </w:p>
    <w:p w14:paraId="173621CA" w14:textId="00403A6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57" w:history="1">
        <w:r w:rsidRPr="00C04594">
          <w:rPr>
            <w:rStyle w:val="Hyperlink"/>
            <w:noProof/>
            <w:lang w:val="ru-RU"/>
          </w:rPr>
          <w:t xml:space="preserve">§199. </w:t>
        </w:r>
        <w:r w:rsidRPr="00C04594">
          <w:rPr>
            <w:rStyle w:val="Hyperlink"/>
            <w:rFonts w:ascii="MS Gothic" w:eastAsia="MS Gothic" w:hAnsi="MS Gothic" w:cs="MS Gothic" w:hint="eastAsia"/>
            <w:noProof/>
            <w:lang w:val="ru-RU"/>
          </w:rPr>
          <w:t>教</w:t>
        </w:r>
        <w:r w:rsidRPr="00C04594">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_Toc238576557 \h </w:instrText>
        </w:r>
        <w:r>
          <w:rPr>
            <w:noProof/>
            <w:webHidden/>
          </w:rPr>
        </w:r>
        <w:r>
          <w:rPr>
            <w:noProof/>
            <w:webHidden/>
          </w:rPr>
          <w:fldChar w:fldCharType="separate"/>
        </w:r>
        <w:r w:rsidR="007B5AC0">
          <w:rPr>
            <w:noProof/>
            <w:webHidden/>
          </w:rPr>
          <w:t>192</w:t>
        </w:r>
        <w:r>
          <w:rPr>
            <w:noProof/>
            <w:webHidden/>
          </w:rPr>
          <w:fldChar w:fldCharType="end"/>
        </w:r>
      </w:hyperlink>
    </w:p>
    <w:p w14:paraId="12BB023A" w14:textId="2FEDD4F6" w:rsidR="0097554A" w:rsidRDefault="0097554A" w:rsidP="0097554A">
      <w:pPr>
        <w:pStyle w:val="TOC3"/>
        <w:tabs>
          <w:tab w:val="right" w:leader="dot" w:pos="10790"/>
        </w:tabs>
        <w:rPr>
          <w:rFonts w:eastAsiaTheme="minorEastAsia" w:cstheme="minorBidi"/>
          <w:noProof/>
          <w:kern w:val="2"/>
          <w:sz w:val="24"/>
          <w:lang w:bidi="ta-IN"/>
          <w14:ligatures w14:val="standardContextual"/>
        </w:rPr>
      </w:pPr>
      <w:hyperlink w:anchor="_Toc238576558" w:history="1">
        <w:r w:rsidRPr="00C04594">
          <w:rPr>
            <w:rStyle w:val="Hyperlink"/>
            <w:rFonts w:ascii="MS Gothic" w:eastAsia="MS Gothic" w:hAnsi="MS Gothic" w:cs="MS Gothic" w:hint="eastAsia"/>
            <w:bCs/>
            <w:noProof/>
          </w:rPr>
          <w:t>第三条</w:t>
        </w:r>
        <w:r w:rsidRPr="00C04594">
          <w:rPr>
            <w:rStyle w:val="Hyperlink"/>
            <w:rFonts w:ascii="MS Gothic" w:eastAsia="MS Gothic" w:hAnsi="MS Gothic" w:cs="MS Gothic" w:hint="eastAsia"/>
            <w:bCs/>
            <w:noProof/>
            <w:lang w:val="ru-RU"/>
          </w:rPr>
          <w:t>。</w:t>
        </w:r>
        <w:r w:rsidRPr="00C04594">
          <w:rPr>
            <w:rStyle w:val="Hyperlink"/>
            <w:bCs/>
            <w:noProof/>
            <w:lang w:val="ru-RU"/>
          </w:rPr>
          <w:t xml:space="preserve"> </w:t>
        </w:r>
        <w:r w:rsidRPr="00C04594">
          <w:rPr>
            <w:rStyle w:val="Hyperlink"/>
            <w:noProof/>
            <w:lang w:val="ru-RU"/>
          </w:rPr>
          <w:t xml:space="preserve"> </w:t>
        </w:r>
        <w:r w:rsidRPr="00C04594">
          <w:rPr>
            <w:rStyle w:val="Hyperlink"/>
            <w:rFonts w:ascii="MS Gothic" w:eastAsia="MS Gothic" w:hAnsi="MS Gothic" w:cs="MS Gothic" w:hint="eastAsia"/>
            <w:noProof/>
            <w:lang w:val="ru-RU"/>
          </w:rPr>
          <w:t>关于教会的圣礼，作</w:t>
        </w:r>
        <w:r w:rsidRPr="00C04594">
          <w:rPr>
            <w:rStyle w:val="Hyperlink"/>
            <w:rFonts w:ascii="Microsoft JhengHei" w:eastAsia="Microsoft JhengHei" w:hAnsi="Microsoft JhengHei" w:cs="Microsoft JhengHei" w:hint="eastAsia"/>
            <w:noProof/>
            <w:lang w:val="ru-RU"/>
          </w:rPr>
          <w:t>为向我们传递上帝恩典的媒介</w:t>
        </w:r>
        <w:r>
          <w:rPr>
            <w:noProof/>
            <w:webHidden/>
          </w:rPr>
          <w:tab/>
        </w:r>
        <w:r>
          <w:rPr>
            <w:noProof/>
            <w:webHidden/>
          </w:rPr>
          <w:fldChar w:fldCharType="begin"/>
        </w:r>
        <w:r>
          <w:rPr>
            <w:noProof/>
            <w:webHidden/>
          </w:rPr>
          <w:instrText xml:space="preserve"> PAGEREF _Toc238576558 \h </w:instrText>
        </w:r>
        <w:r>
          <w:rPr>
            <w:noProof/>
            <w:webHidden/>
          </w:rPr>
        </w:r>
        <w:r>
          <w:rPr>
            <w:noProof/>
            <w:webHidden/>
          </w:rPr>
          <w:fldChar w:fldCharType="separate"/>
        </w:r>
        <w:r w:rsidR="007B5AC0">
          <w:rPr>
            <w:noProof/>
            <w:webHidden/>
          </w:rPr>
          <w:t>193</w:t>
        </w:r>
        <w:r>
          <w:rPr>
            <w:noProof/>
            <w:webHidden/>
          </w:rPr>
          <w:fldChar w:fldCharType="end"/>
        </w:r>
      </w:hyperlink>
    </w:p>
    <w:p w14:paraId="2B511542" w14:textId="3F573FE5"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59" w:history="1">
        <w:r w:rsidRPr="00C04594">
          <w:rPr>
            <w:rStyle w:val="Hyperlink"/>
            <w:noProof/>
            <w:lang w:val="ru-RU"/>
          </w:rPr>
          <w:t xml:space="preserve">§200. </w:t>
        </w:r>
        <w:r w:rsidRPr="00C04594">
          <w:rPr>
            <w:rStyle w:val="Hyperlink"/>
            <w:rFonts w:ascii="Microsoft JhengHei" w:eastAsia="Microsoft JhengHei" w:hAnsi="Microsoft JhengHei" w:cs="Microsoft JhengHei" w:hint="eastAsia"/>
            <w:noProof/>
            <w:lang w:val="ru-RU"/>
          </w:rPr>
          <w:t>东正教会关于圣礼的教义、对该教义的错误观点简要概述，以及成员构成</w:t>
        </w:r>
        <w:r>
          <w:rPr>
            <w:noProof/>
            <w:webHidden/>
          </w:rPr>
          <w:tab/>
        </w:r>
        <w:r>
          <w:rPr>
            <w:noProof/>
            <w:webHidden/>
          </w:rPr>
          <w:fldChar w:fldCharType="begin"/>
        </w:r>
        <w:r>
          <w:rPr>
            <w:noProof/>
            <w:webHidden/>
          </w:rPr>
          <w:instrText xml:space="preserve"> PAGEREF _Toc238576559 \h </w:instrText>
        </w:r>
        <w:r>
          <w:rPr>
            <w:noProof/>
            <w:webHidden/>
          </w:rPr>
        </w:r>
        <w:r>
          <w:rPr>
            <w:noProof/>
            <w:webHidden/>
          </w:rPr>
          <w:fldChar w:fldCharType="separate"/>
        </w:r>
        <w:r w:rsidR="007B5AC0">
          <w:rPr>
            <w:noProof/>
            <w:webHidden/>
          </w:rPr>
          <w:t>193</w:t>
        </w:r>
        <w:r>
          <w:rPr>
            <w:noProof/>
            <w:webHidden/>
          </w:rPr>
          <w:fldChar w:fldCharType="end"/>
        </w:r>
      </w:hyperlink>
    </w:p>
    <w:p w14:paraId="60A94291" w14:textId="1F3A75BD"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60" w:history="1">
        <w:r w:rsidRPr="00C04594">
          <w:rPr>
            <w:rStyle w:val="Hyperlink"/>
            <w:bCs/>
            <w:noProof/>
            <w:lang w:val="ru-RU"/>
          </w:rPr>
          <w:t>1.</w:t>
        </w:r>
        <w:r w:rsidRPr="00C04594">
          <w:rPr>
            <w:rStyle w:val="Hyperlink"/>
            <w:noProof/>
            <w:lang w:val="ru-RU"/>
          </w:rPr>
          <w:t xml:space="preserve"> </w:t>
        </w:r>
        <w:r w:rsidRPr="00C04594">
          <w:rPr>
            <w:rStyle w:val="Hyperlink"/>
            <w:rFonts w:ascii="MS Gothic" w:eastAsia="MS Gothic" w:hAnsi="MS Gothic" w:cs="MS Gothic" w:hint="eastAsia"/>
            <w:noProof/>
            <w:lang w:val="ru-RU"/>
          </w:rPr>
          <w:t>关于洗礼圣事</w:t>
        </w:r>
        <w:r>
          <w:rPr>
            <w:noProof/>
            <w:webHidden/>
          </w:rPr>
          <w:tab/>
        </w:r>
        <w:r>
          <w:rPr>
            <w:noProof/>
            <w:webHidden/>
          </w:rPr>
          <w:fldChar w:fldCharType="begin"/>
        </w:r>
        <w:r>
          <w:rPr>
            <w:noProof/>
            <w:webHidden/>
          </w:rPr>
          <w:instrText xml:space="preserve"> PAGEREF _Toc238576560 \h </w:instrText>
        </w:r>
        <w:r>
          <w:rPr>
            <w:noProof/>
            <w:webHidden/>
          </w:rPr>
        </w:r>
        <w:r>
          <w:rPr>
            <w:noProof/>
            <w:webHidden/>
          </w:rPr>
          <w:fldChar w:fldCharType="separate"/>
        </w:r>
        <w:r w:rsidR="007B5AC0">
          <w:rPr>
            <w:noProof/>
            <w:webHidden/>
          </w:rPr>
          <w:t>195</w:t>
        </w:r>
        <w:r>
          <w:rPr>
            <w:noProof/>
            <w:webHidden/>
          </w:rPr>
          <w:fldChar w:fldCharType="end"/>
        </w:r>
      </w:hyperlink>
    </w:p>
    <w:p w14:paraId="586B9A5A" w14:textId="0B48F72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61" w:history="1">
        <w:r w:rsidRPr="00C04594">
          <w:rPr>
            <w:rStyle w:val="Hyperlink"/>
            <w:bCs/>
            <w:noProof/>
            <w:lang w:val="ru-RU"/>
          </w:rPr>
          <w:t>§201.</w:t>
        </w:r>
        <w:r w:rsidRPr="00C04594">
          <w:rPr>
            <w:rStyle w:val="Hyperlink"/>
            <w:noProof/>
            <w:lang w:val="ru-RU"/>
          </w:rPr>
          <w:t xml:space="preserve"> </w:t>
        </w:r>
        <w:r w:rsidRPr="00C04594">
          <w:rPr>
            <w:rStyle w:val="Hyperlink"/>
            <w:rFonts w:ascii="MS Gothic" w:eastAsia="MS Gothic" w:hAnsi="MS Gothic" w:cs="MS Gothic" w:hint="eastAsia"/>
            <w:noProof/>
            <w:lang w:val="ru-RU"/>
          </w:rPr>
          <w:t>洗礼圣事在其他圣事中的地位、洗礼的概念及其不同名称</w:t>
        </w:r>
        <w:r>
          <w:rPr>
            <w:noProof/>
            <w:webHidden/>
          </w:rPr>
          <w:tab/>
        </w:r>
        <w:r>
          <w:rPr>
            <w:noProof/>
            <w:webHidden/>
          </w:rPr>
          <w:fldChar w:fldCharType="begin"/>
        </w:r>
        <w:r>
          <w:rPr>
            <w:noProof/>
            <w:webHidden/>
          </w:rPr>
          <w:instrText xml:space="preserve"> PAGEREF _Toc238576561 \h </w:instrText>
        </w:r>
        <w:r>
          <w:rPr>
            <w:noProof/>
            <w:webHidden/>
          </w:rPr>
        </w:r>
        <w:r>
          <w:rPr>
            <w:noProof/>
            <w:webHidden/>
          </w:rPr>
          <w:fldChar w:fldCharType="separate"/>
        </w:r>
        <w:r w:rsidR="007B5AC0">
          <w:rPr>
            <w:noProof/>
            <w:webHidden/>
          </w:rPr>
          <w:t>195</w:t>
        </w:r>
        <w:r>
          <w:rPr>
            <w:noProof/>
            <w:webHidden/>
          </w:rPr>
          <w:fldChar w:fldCharType="end"/>
        </w:r>
      </w:hyperlink>
    </w:p>
    <w:p w14:paraId="330D5B31" w14:textId="5CE2F00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62" w:history="1">
        <w:r w:rsidRPr="00C04594">
          <w:rPr>
            <w:rStyle w:val="Hyperlink"/>
            <w:bCs/>
            <w:noProof/>
            <w:lang w:val="ru-RU"/>
          </w:rPr>
          <w:t>§202.</w:t>
        </w:r>
        <w:r w:rsidRPr="00C04594">
          <w:rPr>
            <w:rStyle w:val="Hyperlink"/>
            <w:noProof/>
            <w:lang w:val="ru-RU"/>
          </w:rPr>
          <w:t xml:space="preserve"> </w:t>
        </w:r>
        <w:r w:rsidRPr="00C04594">
          <w:rPr>
            <w:rStyle w:val="Hyperlink"/>
            <w:rFonts w:ascii="MS Gothic" w:eastAsia="MS Gothic" w:hAnsi="MS Gothic" w:cs="MS Gothic" w:hint="eastAsia"/>
            <w:noProof/>
            <w:lang w:val="ru-RU"/>
          </w:rPr>
          <w:t>洗礼圣礼的神圣</w:t>
        </w:r>
        <w:r w:rsidRPr="00C04594">
          <w:rPr>
            <w:rStyle w:val="Hyperlink"/>
            <w:rFonts w:ascii="Microsoft JhengHei" w:eastAsia="Microsoft JhengHei" w:hAnsi="Microsoft JhengHei" w:cs="Microsoft JhengHei" w:hint="eastAsia"/>
            <w:noProof/>
            <w:lang w:val="ru-RU"/>
          </w:rPr>
          <w:t>设立</w:t>
        </w:r>
        <w:r>
          <w:rPr>
            <w:noProof/>
            <w:webHidden/>
          </w:rPr>
          <w:tab/>
        </w:r>
        <w:r>
          <w:rPr>
            <w:noProof/>
            <w:webHidden/>
          </w:rPr>
          <w:fldChar w:fldCharType="begin"/>
        </w:r>
        <w:r>
          <w:rPr>
            <w:noProof/>
            <w:webHidden/>
          </w:rPr>
          <w:instrText xml:space="preserve"> PAGEREF _Toc238576562 \h </w:instrText>
        </w:r>
        <w:r>
          <w:rPr>
            <w:noProof/>
            <w:webHidden/>
          </w:rPr>
        </w:r>
        <w:r>
          <w:rPr>
            <w:noProof/>
            <w:webHidden/>
          </w:rPr>
          <w:fldChar w:fldCharType="separate"/>
        </w:r>
        <w:r w:rsidR="007B5AC0">
          <w:rPr>
            <w:noProof/>
            <w:webHidden/>
          </w:rPr>
          <w:t>196</w:t>
        </w:r>
        <w:r>
          <w:rPr>
            <w:noProof/>
            <w:webHidden/>
          </w:rPr>
          <w:fldChar w:fldCharType="end"/>
        </w:r>
      </w:hyperlink>
    </w:p>
    <w:p w14:paraId="2270413E" w14:textId="3640F236"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63" w:history="1">
        <w:r w:rsidRPr="00C04594">
          <w:rPr>
            <w:rStyle w:val="Hyperlink"/>
            <w:bCs/>
            <w:noProof/>
            <w:lang w:val="ru-RU"/>
          </w:rPr>
          <w:t>§203.</w:t>
        </w:r>
        <w:r w:rsidRPr="00C04594">
          <w:rPr>
            <w:rStyle w:val="Hyperlink"/>
            <w:noProof/>
            <w:lang w:val="ru-RU"/>
          </w:rPr>
          <w:t xml:space="preserve"> </w:t>
        </w:r>
        <w:r w:rsidRPr="00C04594">
          <w:rPr>
            <w:rStyle w:val="Hyperlink"/>
            <w:rFonts w:ascii="MS Gothic" w:eastAsia="MS Gothic" w:hAnsi="MS Gothic" w:cs="MS Gothic" w:hint="eastAsia"/>
            <w:noProof/>
            <w:lang w:val="ru-RU"/>
          </w:rPr>
          <w:t>洗礼圣事的可</w:t>
        </w:r>
        <w:r w:rsidRPr="00C04594">
          <w:rPr>
            <w:rStyle w:val="Hyperlink"/>
            <w:rFonts w:ascii="Microsoft JhengHei" w:eastAsia="Microsoft JhengHei" w:hAnsi="Microsoft JhengHei" w:cs="Microsoft JhengHei" w:hint="eastAsia"/>
            <w:noProof/>
            <w:lang w:val="ru-RU"/>
          </w:rPr>
          <w:t>见方面</w:t>
        </w:r>
        <w:r>
          <w:rPr>
            <w:noProof/>
            <w:webHidden/>
          </w:rPr>
          <w:tab/>
        </w:r>
        <w:r>
          <w:rPr>
            <w:noProof/>
            <w:webHidden/>
          </w:rPr>
          <w:fldChar w:fldCharType="begin"/>
        </w:r>
        <w:r>
          <w:rPr>
            <w:noProof/>
            <w:webHidden/>
          </w:rPr>
          <w:instrText xml:space="preserve"> PAGEREF _Toc238576563 \h </w:instrText>
        </w:r>
        <w:r>
          <w:rPr>
            <w:noProof/>
            <w:webHidden/>
          </w:rPr>
        </w:r>
        <w:r>
          <w:rPr>
            <w:noProof/>
            <w:webHidden/>
          </w:rPr>
          <w:fldChar w:fldCharType="separate"/>
        </w:r>
        <w:r w:rsidR="007B5AC0">
          <w:rPr>
            <w:noProof/>
            <w:webHidden/>
          </w:rPr>
          <w:t>199</w:t>
        </w:r>
        <w:r>
          <w:rPr>
            <w:noProof/>
            <w:webHidden/>
          </w:rPr>
          <w:fldChar w:fldCharType="end"/>
        </w:r>
      </w:hyperlink>
    </w:p>
    <w:p w14:paraId="4783A437" w14:textId="265332B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64" w:history="1">
        <w:r w:rsidRPr="00C04594">
          <w:rPr>
            <w:rStyle w:val="Hyperlink"/>
            <w:bCs/>
            <w:noProof/>
            <w:lang w:val="ru-RU"/>
          </w:rPr>
          <w:t>§204.</w:t>
        </w:r>
        <w:r w:rsidRPr="00C04594">
          <w:rPr>
            <w:rStyle w:val="Hyperlink"/>
            <w:noProof/>
            <w:lang w:val="ru-RU"/>
          </w:rPr>
          <w:t xml:space="preserve"> </w:t>
        </w:r>
        <w:r w:rsidRPr="00C04594">
          <w:rPr>
            <w:rStyle w:val="Hyperlink"/>
            <w:rFonts w:ascii="MS Gothic" w:eastAsia="MS Gothic" w:hAnsi="MS Gothic" w:cs="MS Gothic" w:hint="eastAsia"/>
            <w:noProof/>
            <w:lang w:val="ru-RU"/>
          </w:rPr>
          <w:t>洗礼圣事中不可</w:t>
        </w:r>
        <w:r w:rsidRPr="00C04594">
          <w:rPr>
            <w:rStyle w:val="Hyperlink"/>
            <w:rFonts w:ascii="Microsoft JhengHei" w:eastAsia="Microsoft JhengHei" w:hAnsi="Microsoft JhengHei" w:cs="Microsoft JhengHei" w:hint="eastAsia"/>
            <w:noProof/>
            <w:lang w:val="ru-RU"/>
          </w:rPr>
          <w:t>见的作用及其不可重复性</w:t>
        </w:r>
        <w:r>
          <w:rPr>
            <w:noProof/>
            <w:webHidden/>
          </w:rPr>
          <w:tab/>
        </w:r>
        <w:r>
          <w:rPr>
            <w:noProof/>
            <w:webHidden/>
          </w:rPr>
          <w:fldChar w:fldCharType="begin"/>
        </w:r>
        <w:r>
          <w:rPr>
            <w:noProof/>
            <w:webHidden/>
          </w:rPr>
          <w:instrText xml:space="preserve"> PAGEREF _Toc238576564 \h </w:instrText>
        </w:r>
        <w:r>
          <w:rPr>
            <w:noProof/>
            <w:webHidden/>
          </w:rPr>
        </w:r>
        <w:r>
          <w:rPr>
            <w:noProof/>
            <w:webHidden/>
          </w:rPr>
          <w:fldChar w:fldCharType="separate"/>
        </w:r>
        <w:r w:rsidR="007B5AC0">
          <w:rPr>
            <w:noProof/>
            <w:webHidden/>
          </w:rPr>
          <w:t>203</w:t>
        </w:r>
        <w:r>
          <w:rPr>
            <w:noProof/>
            <w:webHidden/>
          </w:rPr>
          <w:fldChar w:fldCharType="end"/>
        </w:r>
      </w:hyperlink>
    </w:p>
    <w:p w14:paraId="203FB0C4" w14:textId="71FCBDE1"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65" w:history="1">
        <w:r w:rsidRPr="00C04594">
          <w:rPr>
            <w:rStyle w:val="Hyperlink"/>
            <w:bCs/>
            <w:noProof/>
            <w:lang w:val="ru-RU"/>
          </w:rPr>
          <w:t>§205.</w:t>
        </w:r>
        <w:r w:rsidRPr="00C04594">
          <w:rPr>
            <w:rStyle w:val="Hyperlink"/>
            <w:noProof/>
            <w:lang w:val="ru-RU"/>
          </w:rPr>
          <w:t xml:space="preserve"> </w:t>
        </w:r>
        <w:r w:rsidRPr="00C04594">
          <w:rPr>
            <w:rStyle w:val="Hyperlink"/>
            <w:rFonts w:ascii="MS Gothic" w:eastAsia="MS Gothic" w:hAnsi="MS Gothic" w:cs="MS Gothic" w:hint="eastAsia"/>
            <w:noProof/>
            <w:lang w:val="ru-RU"/>
          </w:rPr>
          <w:t>洗礼</w:t>
        </w:r>
        <w:r w:rsidRPr="00C04594">
          <w:rPr>
            <w:rStyle w:val="Hyperlink"/>
            <w:rFonts w:ascii="Microsoft JhengHei" w:eastAsia="Microsoft JhengHei" w:hAnsi="Microsoft JhengHei" w:cs="Microsoft JhengHei" w:hint="eastAsia"/>
            <w:noProof/>
            <w:lang w:val="ru-RU"/>
          </w:rPr>
          <w:t>对所有人的必要性；婴儿洗礼；血洗礼</w:t>
        </w:r>
        <w:r>
          <w:rPr>
            <w:noProof/>
            <w:webHidden/>
          </w:rPr>
          <w:tab/>
        </w:r>
        <w:r>
          <w:rPr>
            <w:noProof/>
            <w:webHidden/>
          </w:rPr>
          <w:fldChar w:fldCharType="begin"/>
        </w:r>
        <w:r>
          <w:rPr>
            <w:noProof/>
            <w:webHidden/>
          </w:rPr>
          <w:instrText xml:space="preserve"> PAGEREF _Toc238576565 \h </w:instrText>
        </w:r>
        <w:r>
          <w:rPr>
            <w:noProof/>
            <w:webHidden/>
          </w:rPr>
        </w:r>
        <w:r>
          <w:rPr>
            <w:noProof/>
            <w:webHidden/>
          </w:rPr>
          <w:fldChar w:fldCharType="separate"/>
        </w:r>
        <w:r w:rsidR="007B5AC0">
          <w:rPr>
            <w:noProof/>
            <w:webHidden/>
          </w:rPr>
          <w:t>207</w:t>
        </w:r>
        <w:r>
          <w:rPr>
            <w:noProof/>
            <w:webHidden/>
          </w:rPr>
          <w:fldChar w:fldCharType="end"/>
        </w:r>
      </w:hyperlink>
    </w:p>
    <w:p w14:paraId="466D206D" w14:textId="00FFB55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66" w:history="1">
        <w:r w:rsidRPr="00C04594">
          <w:rPr>
            <w:rStyle w:val="Hyperlink"/>
            <w:bCs/>
            <w:noProof/>
            <w:lang w:val="ru-RU"/>
          </w:rPr>
          <w:t>§206.</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谁可以施行洗礼？受洗者需要满足哪些条件？</w:t>
        </w:r>
        <w:r>
          <w:rPr>
            <w:noProof/>
            <w:webHidden/>
          </w:rPr>
          <w:tab/>
        </w:r>
        <w:r>
          <w:rPr>
            <w:noProof/>
            <w:webHidden/>
          </w:rPr>
          <w:fldChar w:fldCharType="begin"/>
        </w:r>
        <w:r>
          <w:rPr>
            <w:noProof/>
            <w:webHidden/>
          </w:rPr>
          <w:instrText xml:space="preserve"> PAGEREF _Toc238576566 \h </w:instrText>
        </w:r>
        <w:r>
          <w:rPr>
            <w:noProof/>
            <w:webHidden/>
          </w:rPr>
        </w:r>
        <w:r>
          <w:rPr>
            <w:noProof/>
            <w:webHidden/>
          </w:rPr>
          <w:fldChar w:fldCharType="separate"/>
        </w:r>
        <w:r w:rsidR="007B5AC0">
          <w:rPr>
            <w:noProof/>
            <w:webHidden/>
          </w:rPr>
          <w:t>210</w:t>
        </w:r>
        <w:r>
          <w:rPr>
            <w:noProof/>
            <w:webHidden/>
          </w:rPr>
          <w:fldChar w:fldCharType="end"/>
        </w:r>
      </w:hyperlink>
    </w:p>
    <w:p w14:paraId="6381CB8A" w14:textId="4971B696"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67" w:history="1">
        <w:r w:rsidRPr="00C04594">
          <w:rPr>
            <w:rStyle w:val="Hyperlink"/>
            <w:bCs/>
            <w:noProof/>
            <w:lang w:val="ru-RU"/>
          </w:rPr>
          <w:t>2.</w:t>
        </w:r>
        <w:r w:rsidRPr="00C04594">
          <w:rPr>
            <w:rStyle w:val="Hyperlink"/>
            <w:noProof/>
            <w:lang w:val="ru-RU"/>
          </w:rPr>
          <w:t xml:space="preserve"> </w:t>
        </w:r>
        <w:r w:rsidRPr="00C04594">
          <w:rPr>
            <w:rStyle w:val="Hyperlink"/>
            <w:rFonts w:ascii="MS Gothic" w:eastAsia="MS Gothic" w:hAnsi="MS Gothic" w:cs="MS Gothic" w:hint="eastAsia"/>
            <w:noProof/>
            <w:lang w:val="ru-RU"/>
          </w:rPr>
          <w:t>关于圣油礼</w:t>
        </w:r>
        <w:r>
          <w:rPr>
            <w:noProof/>
            <w:webHidden/>
          </w:rPr>
          <w:tab/>
        </w:r>
        <w:r>
          <w:rPr>
            <w:noProof/>
            <w:webHidden/>
          </w:rPr>
          <w:fldChar w:fldCharType="begin"/>
        </w:r>
        <w:r>
          <w:rPr>
            <w:noProof/>
            <w:webHidden/>
          </w:rPr>
          <w:instrText xml:space="preserve"> PAGEREF _Toc238576567 \h </w:instrText>
        </w:r>
        <w:r>
          <w:rPr>
            <w:noProof/>
            <w:webHidden/>
          </w:rPr>
        </w:r>
        <w:r>
          <w:rPr>
            <w:noProof/>
            <w:webHidden/>
          </w:rPr>
          <w:fldChar w:fldCharType="separate"/>
        </w:r>
        <w:r w:rsidR="007B5AC0">
          <w:rPr>
            <w:noProof/>
            <w:webHidden/>
          </w:rPr>
          <w:t>213</w:t>
        </w:r>
        <w:r>
          <w:rPr>
            <w:noProof/>
            <w:webHidden/>
          </w:rPr>
          <w:fldChar w:fldCharType="end"/>
        </w:r>
      </w:hyperlink>
    </w:p>
    <w:p w14:paraId="056A5417" w14:textId="1CAB3CF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68" w:history="1">
        <w:r w:rsidRPr="00C04594">
          <w:rPr>
            <w:rStyle w:val="Hyperlink"/>
            <w:bCs/>
            <w:noProof/>
            <w:lang w:val="ru-RU"/>
          </w:rPr>
          <w:t>§207.</w:t>
        </w:r>
        <w:r w:rsidRPr="00C04594">
          <w:rPr>
            <w:rStyle w:val="Hyperlink"/>
            <w:noProof/>
            <w:lang w:val="ru-RU"/>
          </w:rPr>
          <w:t xml:space="preserve">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联、圣油礼在其他圣礼中的地位、对该圣礼的理解及其名称</w:t>
        </w:r>
        <w:r>
          <w:rPr>
            <w:noProof/>
            <w:webHidden/>
          </w:rPr>
          <w:tab/>
        </w:r>
        <w:r>
          <w:rPr>
            <w:noProof/>
            <w:webHidden/>
          </w:rPr>
          <w:fldChar w:fldCharType="begin"/>
        </w:r>
        <w:r>
          <w:rPr>
            <w:noProof/>
            <w:webHidden/>
          </w:rPr>
          <w:instrText xml:space="preserve"> PAGEREF _Toc238576568 \h </w:instrText>
        </w:r>
        <w:r>
          <w:rPr>
            <w:noProof/>
            <w:webHidden/>
          </w:rPr>
        </w:r>
        <w:r>
          <w:rPr>
            <w:noProof/>
            <w:webHidden/>
          </w:rPr>
          <w:fldChar w:fldCharType="separate"/>
        </w:r>
        <w:r w:rsidR="007B5AC0">
          <w:rPr>
            <w:noProof/>
            <w:webHidden/>
          </w:rPr>
          <w:t>213</w:t>
        </w:r>
        <w:r>
          <w:rPr>
            <w:noProof/>
            <w:webHidden/>
          </w:rPr>
          <w:fldChar w:fldCharType="end"/>
        </w:r>
      </w:hyperlink>
    </w:p>
    <w:p w14:paraId="5B28997F" w14:textId="7BBC385D"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69" w:history="1">
        <w:r w:rsidRPr="00C04594">
          <w:rPr>
            <w:rStyle w:val="Hyperlink"/>
            <w:noProof/>
            <w:lang w:val="ru-RU"/>
          </w:rPr>
          <w:t xml:space="preserve">§208. </w:t>
        </w:r>
        <w:r w:rsidRPr="00C04594">
          <w:rPr>
            <w:rStyle w:val="Hyperlink"/>
            <w:rFonts w:ascii="MS Gothic" w:eastAsia="MS Gothic" w:hAnsi="MS Gothic" w:cs="MS Gothic" w:hint="eastAsia"/>
            <w:noProof/>
            <w:lang w:val="ru-RU"/>
          </w:rPr>
          <w:t>圣油礼的神圣</w:t>
        </w:r>
        <w:r w:rsidRPr="00C04594">
          <w:rPr>
            <w:rStyle w:val="Hyperlink"/>
            <w:rFonts w:ascii="Microsoft JhengHei" w:eastAsia="Microsoft JhengHei" w:hAnsi="Microsoft JhengHei" w:cs="Microsoft JhengHei" w:hint="eastAsia"/>
            <w:noProof/>
            <w:lang w:val="ru-RU"/>
          </w:rPr>
          <w:t>设立、其与洗礼的区别及其独立性</w:t>
        </w:r>
        <w:r>
          <w:rPr>
            <w:noProof/>
            <w:webHidden/>
          </w:rPr>
          <w:tab/>
        </w:r>
        <w:r>
          <w:rPr>
            <w:noProof/>
            <w:webHidden/>
          </w:rPr>
          <w:fldChar w:fldCharType="begin"/>
        </w:r>
        <w:r>
          <w:rPr>
            <w:noProof/>
            <w:webHidden/>
          </w:rPr>
          <w:instrText xml:space="preserve"> PAGEREF _Toc238576569 \h </w:instrText>
        </w:r>
        <w:r>
          <w:rPr>
            <w:noProof/>
            <w:webHidden/>
          </w:rPr>
        </w:r>
        <w:r>
          <w:rPr>
            <w:noProof/>
            <w:webHidden/>
          </w:rPr>
          <w:fldChar w:fldCharType="separate"/>
        </w:r>
        <w:r w:rsidR="007B5AC0">
          <w:rPr>
            <w:noProof/>
            <w:webHidden/>
          </w:rPr>
          <w:t>214</w:t>
        </w:r>
        <w:r>
          <w:rPr>
            <w:noProof/>
            <w:webHidden/>
          </w:rPr>
          <w:fldChar w:fldCharType="end"/>
        </w:r>
      </w:hyperlink>
    </w:p>
    <w:p w14:paraId="3F957E3E" w14:textId="563116B1"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70" w:history="1">
        <w:r w:rsidRPr="00C04594">
          <w:rPr>
            <w:rStyle w:val="Hyperlink"/>
            <w:noProof/>
            <w:lang w:val="ru-RU"/>
          </w:rPr>
          <w:t xml:space="preserve">§209. </w:t>
        </w:r>
        <w:r w:rsidRPr="00C04594">
          <w:rPr>
            <w:rStyle w:val="Hyperlink"/>
            <w:rFonts w:ascii="MS Gothic" w:eastAsia="MS Gothic" w:hAnsi="MS Gothic" w:cs="MS Gothic" w:hint="eastAsia"/>
            <w:noProof/>
            <w:lang w:val="ru-RU"/>
          </w:rPr>
          <w:t>圣油礼的可</w:t>
        </w:r>
        <w:r w:rsidRPr="00C04594">
          <w:rPr>
            <w:rStyle w:val="Hyperlink"/>
            <w:rFonts w:ascii="Microsoft JhengHei" w:eastAsia="Microsoft JhengHei" w:hAnsi="Microsoft JhengHei" w:cs="Microsoft JhengHei" w:hint="eastAsia"/>
            <w:noProof/>
            <w:lang w:val="ru-RU"/>
          </w:rPr>
          <w:t>见方面</w:t>
        </w:r>
        <w:r>
          <w:rPr>
            <w:noProof/>
            <w:webHidden/>
          </w:rPr>
          <w:tab/>
        </w:r>
        <w:r>
          <w:rPr>
            <w:noProof/>
            <w:webHidden/>
          </w:rPr>
          <w:fldChar w:fldCharType="begin"/>
        </w:r>
        <w:r>
          <w:rPr>
            <w:noProof/>
            <w:webHidden/>
          </w:rPr>
          <w:instrText xml:space="preserve"> PAGEREF _Toc238576570 \h </w:instrText>
        </w:r>
        <w:r>
          <w:rPr>
            <w:noProof/>
            <w:webHidden/>
          </w:rPr>
        </w:r>
        <w:r>
          <w:rPr>
            <w:noProof/>
            <w:webHidden/>
          </w:rPr>
          <w:fldChar w:fldCharType="separate"/>
        </w:r>
        <w:r w:rsidR="007B5AC0">
          <w:rPr>
            <w:noProof/>
            <w:webHidden/>
          </w:rPr>
          <w:t>218</w:t>
        </w:r>
        <w:r>
          <w:rPr>
            <w:noProof/>
            <w:webHidden/>
          </w:rPr>
          <w:fldChar w:fldCharType="end"/>
        </w:r>
      </w:hyperlink>
    </w:p>
    <w:p w14:paraId="6518F9F2" w14:textId="273CBC2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71" w:history="1">
        <w:r w:rsidRPr="00C04594">
          <w:rPr>
            <w:rStyle w:val="Hyperlink"/>
            <w:noProof/>
            <w:lang w:val="ru-RU"/>
          </w:rPr>
          <w:t xml:space="preserve">§210. </w:t>
        </w:r>
        <w:r w:rsidRPr="00C04594">
          <w:rPr>
            <w:rStyle w:val="Hyperlink"/>
            <w:rFonts w:ascii="MS Gothic" w:eastAsia="MS Gothic" w:hAnsi="MS Gothic" w:cs="MS Gothic" w:hint="eastAsia"/>
            <w:noProof/>
            <w:lang w:val="ru-RU"/>
          </w:rPr>
          <w:t>圣油礼中不可</w:t>
        </w:r>
        <w:r w:rsidRPr="00C04594">
          <w:rPr>
            <w:rStyle w:val="Hyperlink"/>
            <w:rFonts w:ascii="Microsoft JhengHei" w:eastAsia="Microsoft JhengHei" w:hAnsi="Microsoft JhengHei" w:cs="Microsoft JhengHei" w:hint="eastAsia"/>
            <w:noProof/>
            <w:lang w:val="ru-RU"/>
          </w:rPr>
          <w:t>见的作用及其不可重复性</w:t>
        </w:r>
        <w:r>
          <w:rPr>
            <w:noProof/>
            <w:webHidden/>
          </w:rPr>
          <w:tab/>
        </w:r>
        <w:r>
          <w:rPr>
            <w:noProof/>
            <w:webHidden/>
          </w:rPr>
          <w:fldChar w:fldCharType="begin"/>
        </w:r>
        <w:r>
          <w:rPr>
            <w:noProof/>
            <w:webHidden/>
          </w:rPr>
          <w:instrText xml:space="preserve"> PAGEREF _Toc238576571 \h </w:instrText>
        </w:r>
        <w:r>
          <w:rPr>
            <w:noProof/>
            <w:webHidden/>
          </w:rPr>
        </w:r>
        <w:r>
          <w:rPr>
            <w:noProof/>
            <w:webHidden/>
          </w:rPr>
          <w:fldChar w:fldCharType="separate"/>
        </w:r>
        <w:r w:rsidR="007B5AC0">
          <w:rPr>
            <w:noProof/>
            <w:webHidden/>
          </w:rPr>
          <w:t>221</w:t>
        </w:r>
        <w:r>
          <w:rPr>
            <w:noProof/>
            <w:webHidden/>
          </w:rPr>
          <w:fldChar w:fldCharType="end"/>
        </w:r>
      </w:hyperlink>
    </w:p>
    <w:p w14:paraId="0A39A890" w14:textId="2BC62567"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72" w:history="1">
        <w:r w:rsidRPr="00C04594">
          <w:rPr>
            <w:rStyle w:val="Hyperlink"/>
            <w:bCs/>
            <w:noProof/>
            <w:lang w:val="ru-RU"/>
          </w:rPr>
          <w:t>§211.</w:t>
        </w:r>
        <w:r w:rsidRPr="00C04594">
          <w:rPr>
            <w:rStyle w:val="Hyperlink"/>
            <w:noProof/>
            <w:lang w:val="ru-RU"/>
          </w:rPr>
          <w:t xml:space="preserve"> </w:t>
        </w:r>
        <w:r w:rsidRPr="00C04594">
          <w:rPr>
            <w:rStyle w:val="Hyperlink"/>
            <w:rFonts w:ascii="MS Gothic" w:eastAsia="MS Gothic" w:hAnsi="MS Gothic" w:cs="MS Gothic" w:hint="eastAsia"/>
            <w:noProof/>
            <w:lang w:val="ru-RU"/>
          </w:rPr>
          <w:t>施行圣油礼的</w:t>
        </w:r>
        <w:r w:rsidRPr="00C04594">
          <w:rPr>
            <w:rStyle w:val="Hyperlink"/>
            <w:rFonts w:ascii="Yu Gothic" w:eastAsia="Yu Gothic" w:hAnsi="Yu Gothic" w:cs="Yu Gothic" w:hint="eastAsia"/>
            <w:noProof/>
            <w:lang w:val="ru-RU"/>
          </w:rPr>
          <w:t>权利</w:t>
        </w:r>
        <w:r w:rsidRPr="00C04594">
          <w:rPr>
            <w:rStyle w:val="Hyperlink"/>
            <w:rFonts w:ascii="Microsoft JhengHei" w:eastAsia="Microsoft JhengHei" w:hAnsi="Microsoft JhengHei" w:cs="Microsoft JhengHei" w:hint="eastAsia"/>
            <w:noProof/>
            <w:lang w:val="ru-RU"/>
          </w:rPr>
          <w:t>归属于谁？应向谁施行，又应在何时施行？</w:t>
        </w:r>
        <w:r>
          <w:rPr>
            <w:noProof/>
            <w:webHidden/>
          </w:rPr>
          <w:tab/>
        </w:r>
        <w:r>
          <w:rPr>
            <w:noProof/>
            <w:webHidden/>
          </w:rPr>
          <w:fldChar w:fldCharType="begin"/>
        </w:r>
        <w:r>
          <w:rPr>
            <w:noProof/>
            <w:webHidden/>
          </w:rPr>
          <w:instrText xml:space="preserve"> PAGEREF _Toc238576572 \h </w:instrText>
        </w:r>
        <w:r>
          <w:rPr>
            <w:noProof/>
            <w:webHidden/>
          </w:rPr>
        </w:r>
        <w:r>
          <w:rPr>
            <w:noProof/>
            <w:webHidden/>
          </w:rPr>
          <w:fldChar w:fldCharType="separate"/>
        </w:r>
        <w:r w:rsidR="007B5AC0">
          <w:rPr>
            <w:noProof/>
            <w:webHidden/>
          </w:rPr>
          <w:t>223</w:t>
        </w:r>
        <w:r>
          <w:rPr>
            <w:noProof/>
            <w:webHidden/>
          </w:rPr>
          <w:fldChar w:fldCharType="end"/>
        </w:r>
      </w:hyperlink>
    </w:p>
    <w:p w14:paraId="61044226" w14:textId="673768C1"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73" w:history="1">
        <w:r w:rsidRPr="00C04594">
          <w:rPr>
            <w:rStyle w:val="Hyperlink"/>
            <w:bCs/>
            <w:noProof/>
            <w:lang w:val="ru-RU"/>
          </w:rPr>
          <w:t>3.</w:t>
        </w:r>
        <w:r w:rsidRPr="00C04594">
          <w:rPr>
            <w:rStyle w:val="Hyperlink"/>
            <w:noProof/>
            <w:lang w:val="ru-RU"/>
          </w:rPr>
          <w:t xml:space="preserve"> </w:t>
        </w:r>
        <w:r w:rsidRPr="00C04594">
          <w:rPr>
            <w:rStyle w:val="Hyperlink"/>
            <w:rFonts w:ascii="MS Gothic" w:eastAsia="MS Gothic" w:hAnsi="MS Gothic" w:cs="MS Gothic" w:hint="eastAsia"/>
            <w:noProof/>
            <w:lang w:val="ru-RU"/>
          </w:rPr>
          <w:t>关于圣体圣事或</w:t>
        </w:r>
        <w:r w:rsidRPr="00C04594">
          <w:rPr>
            <w:rStyle w:val="Hyperlink"/>
            <w:rFonts w:ascii="Microsoft JhengHei" w:eastAsia="Microsoft JhengHei" w:hAnsi="Microsoft JhengHei" w:cs="Microsoft JhengHei" w:hint="eastAsia"/>
            <w:noProof/>
            <w:lang w:val="ru-RU"/>
          </w:rPr>
          <w:t>领圣体</w:t>
        </w:r>
        <w:r>
          <w:rPr>
            <w:noProof/>
            <w:webHidden/>
          </w:rPr>
          <w:tab/>
        </w:r>
        <w:r>
          <w:rPr>
            <w:noProof/>
            <w:webHidden/>
          </w:rPr>
          <w:fldChar w:fldCharType="begin"/>
        </w:r>
        <w:r>
          <w:rPr>
            <w:noProof/>
            <w:webHidden/>
          </w:rPr>
          <w:instrText xml:space="preserve"> PAGEREF _Toc238576573 \h </w:instrText>
        </w:r>
        <w:r>
          <w:rPr>
            <w:noProof/>
            <w:webHidden/>
          </w:rPr>
        </w:r>
        <w:r>
          <w:rPr>
            <w:noProof/>
            <w:webHidden/>
          </w:rPr>
          <w:fldChar w:fldCharType="separate"/>
        </w:r>
        <w:r w:rsidR="007B5AC0">
          <w:rPr>
            <w:noProof/>
            <w:webHidden/>
          </w:rPr>
          <w:t>226</w:t>
        </w:r>
        <w:r>
          <w:rPr>
            <w:noProof/>
            <w:webHidden/>
          </w:rPr>
          <w:fldChar w:fldCharType="end"/>
        </w:r>
      </w:hyperlink>
    </w:p>
    <w:p w14:paraId="7B6AA197" w14:textId="39B8FAB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74" w:history="1">
        <w:r w:rsidRPr="00C04594">
          <w:rPr>
            <w:rStyle w:val="Hyperlink"/>
            <w:bCs/>
            <w:noProof/>
            <w:lang w:val="ru-RU"/>
          </w:rPr>
          <w:t>§212.</w:t>
        </w:r>
        <w:r w:rsidRPr="00C04594">
          <w:rPr>
            <w:rStyle w:val="Hyperlink"/>
            <w:noProof/>
            <w:lang w:val="ru-RU"/>
          </w:rPr>
          <w:t xml:space="preserve">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联、圣体圣事的概念、其卓越性及其不同名称</w:t>
        </w:r>
        <w:r>
          <w:rPr>
            <w:noProof/>
            <w:webHidden/>
          </w:rPr>
          <w:tab/>
        </w:r>
        <w:r>
          <w:rPr>
            <w:noProof/>
            <w:webHidden/>
          </w:rPr>
          <w:fldChar w:fldCharType="begin"/>
        </w:r>
        <w:r>
          <w:rPr>
            <w:noProof/>
            <w:webHidden/>
          </w:rPr>
          <w:instrText xml:space="preserve"> PAGEREF _Toc238576574 \h </w:instrText>
        </w:r>
        <w:r>
          <w:rPr>
            <w:noProof/>
            <w:webHidden/>
          </w:rPr>
        </w:r>
        <w:r>
          <w:rPr>
            <w:noProof/>
            <w:webHidden/>
          </w:rPr>
          <w:fldChar w:fldCharType="separate"/>
        </w:r>
        <w:r w:rsidR="007B5AC0">
          <w:rPr>
            <w:noProof/>
            <w:webHidden/>
          </w:rPr>
          <w:t>226</w:t>
        </w:r>
        <w:r>
          <w:rPr>
            <w:noProof/>
            <w:webHidden/>
          </w:rPr>
          <w:fldChar w:fldCharType="end"/>
        </w:r>
      </w:hyperlink>
    </w:p>
    <w:p w14:paraId="44C60C60" w14:textId="66F39476"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75" w:history="1">
        <w:r w:rsidRPr="00C04594">
          <w:rPr>
            <w:rStyle w:val="Hyperlink"/>
            <w:bCs/>
            <w:noProof/>
            <w:lang w:val="ru-RU"/>
          </w:rPr>
          <w:t>§213.</w:t>
        </w:r>
        <w:r w:rsidRPr="00C04594">
          <w:rPr>
            <w:rStyle w:val="Hyperlink"/>
            <w:noProof/>
            <w:lang w:val="ru-RU"/>
          </w:rPr>
          <w:t xml:space="preserve"> </w:t>
        </w:r>
        <w:r w:rsidRPr="00C04594">
          <w:rPr>
            <w:rStyle w:val="Hyperlink"/>
            <w:rFonts w:ascii="MS Gothic" w:eastAsia="MS Gothic" w:hAnsi="MS Gothic" w:cs="MS Gothic" w:hint="eastAsia"/>
            <w:noProof/>
            <w:lang w:val="ru-RU"/>
          </w:rPr>
          <w:t>关于圣体圣事的神圣</w:t>
        </w:r>
        <w:r w:rsidRPr="00C04594">
          <w:rPr>
            <w:rStyle w:val="Hyperlink"/>
            <w:rFonts w:ascii="Microsoft JhengHei" w:eastAsia="Microsoft JhengHei" w:hAnsi="Microsoft JhengHei" w:cs="Microsoft JhengHei" w:hint="eastAsia"/>
            <w:noProof/>
            <w:lang w:val="ru-RU"/>
          </w:rPr>
          <w:t>应许及其设立</w:t>
        </w:r>
        <w:r>
          <w:rPr>
            <w:noProof/>
            <w:webHidden/>
          </w:rPr>
          <w:tab/>
        </w:r>
        <w:r>
          <w:rPr>
            <w:noProof/>
            <w:webHidden/>
          </w:rPr>
          <w:fldChar w:fldCharType="begin"/>
        </w:r>
        <w:r>
          <w:rPr>
            <w:noProof/>
            <w:webHidden/>
          </w:rPr>
          <w:instrText xml:space="preserve"> PAGEREF _Toc238576575 \h </w:instrText>
        </w:r>
        <w:r>
          <w:rPr>
            <w:noProof/>
            <w:webHidden/>
          </w:rPr>
        </w:r>
        <w:r>
          <w:rPr>
            <w:noProof/>
            <w:webHidden/>
          </w:rPr>
          <w:fldChar w:fldCharType="separate"/>
        </w:r>
        <w:r w:rsidR="007B5AC0">
          <w:rPr>
            <w:noProof/>
            <w:webHidden/>
          </w:rPr>
          <w:t>227</w:t>
        </w:r>
        <w:r>
          <w:rPr>
            <w:noProof/>
            <w:webHidden/>
          </w:rPr>
          <w:fldChar w:fldCharType="end"/>
        </w:r>
      </w:hyperlink>
    </w:p>
    <w:p w14:paraId="7CD595B7" w14:textId="15D26C52"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76" w:history="1">
        <w:r w:rsidRPr="00C04594">
          <w:rPr>
            <w:rStyle w:val="Hyperlink"/>
            <w:bCs/>
            <w:noProof/>
            <w:lang w:val="ru-RU"/>
          </w:rPr>
          <w:t>§214.</w:t>
        </w:r>
        <w:r w:rsidRPr="00C04594">
          <w:rPr>
            <w:rStyle w:val="Hyperlink"/>
            <w:noProof/>
            <w:lang w:val="ru-RU"/>
          </w:rPr>
          <w:t xml:space="preserve"> </w:t>
        </w:r>
        <w:r w:rsidRPr="00C04594">
          <w:rPr>
            <w:rStyle w:val="Hyperlink"/>
            <w:rFonts w:ascii="MS Gothic" w:eastAsia="MS Gothic" w:hAnsi="MS Gothic" w:cs="MS Gothic" w:hint="eastAsia"/>
            <w:noProof/>
            <w:lang w:val="ru-RU"/>
          </w:rPr>
          <w:t>圣体圣事的外在</w:t>
        </w:r>
        <w:r w:rsidRPr="00C04594">
          <w:rPr>
            <w:rStyle w:val="Hyperlink"/>
            <w:rFonts w:ascii="Microsoft JhengHei" w:eastAsia="Microsoft JhengHei" w:hAnsi="Microsoft JhengHei" w:cs="Microsoft JhengHei" w:hint="eastAsia"/>
            <w:noProof/>
            <w:lang w:val="ru-RU"/>
          </w:rPr>
          <w:t>层面</w:t>
        </w:r>
        <w:r>
          <w:rPr>
            <w:noProof/>
            <w:webHidden/>
          </w:rPr>
          <w:tab/>
        </w:r>
        <w:r>
          <w:rPr>
            <w:noProof/>
            <w:webHidden/>
          </w:rPr>
          <w:fldChar w:fldCharType="begin"/>
        </w:r>
        <w:r>
          <w:rPr>
            <w:noProof/>
            <w:webHidden/>
          </w:rPr>
          <w:instrText xml:space="preserve"> PAGEREF _Toc238576576 \h </w:instrText>
        </w:r>
        <w:r>
          <w:rPr>
            <w:noProof/>
            <w:webHidden/>
          </w:rPr>
        </w:r>
        <w:r>
          <w:rPr>
            <w:noProof/>
            <w:webHidden/>
          </w:rPr>
          <w:fldChar w:fldCharType="separate"/>
        </w:r>
        <w:r w:rsidR="007B5AC0">
          <w:rPr>
            <w:noProof/>
            <w:webHidden/>
          </w:rPr>
          <w:t>229</w:t>
        </w:r>
        <w:r>
          <w:rPr>
            <w:noProof/>
            <w:webHidden/>
          </w:rPr>
          <w:fldChar w:fldCharType="end"/>
        </w:r>
      </w:hyperlink>
    </w:p>
    <w:p w14:paraId="28DD7B54" w14:textId="3B7A570B"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77" w:history="1">
        <w:r w:rsidRPr="00C04594">
          <w:rPr>
            <w:rStyle w:val="Hyperlink"/>
            <w:bCs/>
            <w:noProof/>
            <w:lang w:val="ru-RU"/>
          </w:rPr>
          <w:t>§215.</w:t>
        </w:r>
        <w:r w:rsidRPr="00C04594">
          <w:rPr>
            <w:rStyle w:val="Hyperlink"/>
            <w:noProof/>
            <w:lang w:val="ru-RU"/>
          </w:rPr>
          <w:t xml:space="preserve"> </w:t>
        </w:r>
        <w:r w:rsidRPr="00C04594">
          <w:rPr>
            <w:rStyle w:val="Hyperlink"/>
            <w:rFonts w:ascii="MS Gothic" w:eastAsia="MS Gothic" w:hAnsi="MS Gothic" w:cs="MS Gothic" w:hint="eastAsia"/>
            <w:noProof/>
            <w:lang w:val="ru-RU"/>
          </w:rPr>
          <w:t>圣体圣事中不可</w:t>
        </w:r>
        <w:r w:rsidRPr="00C04594">
          <w:rPr>
            <w:rStyle w:val="Hyperlink"/>
            <w:rFonts w:ascii="Microsoft JhengHei" w:eastAsia="Microsoft JhengHei" w:hAnsi="Microsoft JhengHei" w:cs="Microsoft JhengHei" w:hint="eastAsia"/>
            <w:noProof/>
            <w:lang w:val="ru-RU"/>
          </w:rPr>
          <w:t>见的存在：</w:t>
        </w:r>
        <w:r w:rsidRPr="00C04594">
          <w:rPr>
            <w:rStyle w:val="Hyperlink"/>
            <w:bCs/>
            <w:noProof/>
            <w:lang w:val="ru-RU"/>
          </w:rPr>
          <w:t>a)</w:t>
        </w:r>
        <w:r w:rsidRPr="00C04594">
          <w:rPr>
            <w:rStyle w:val="Hyperlink"/>
            <w:noProof/>
            <w:lang w:val="ru-RU"/>
          </w:rPr>
          <w:t xml:space="preserve">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稣基督在此圣事中的真实临在</w:t>
        </w:r>
        <w:r>
          <w:rPr>
            <w:noProof/>
            <w:webHidden/>
          </w:rPr>
          <w:tab/>
        </w:r>
        <w:r>
          <w:rPr>
            <w:noProof/>
            <w:webHidden/>
          </w:rPr>
          <w:fldChar w:fldCharType="begin"/>
        </w:r>
        <w:r>
          <w:rPr>
            <w:noProof/>
            <w:webHidden/>
          </w:rPr>
          <w:instrText xml:space="preserve"> PAGEREF _Toc238576577 \h </w:instrText>
        </w:r>
        <w:r>
          <w:rPr>
            <w:noProof/>
            <w:webHidden/>
          </w:rPr>
        </w:r>
        <w:r>
          <w:rPr>
            <w:noProof/>
            <w:webHidden/>
          </w:rPr>
          <w:fldChar w:fldCharType="separate"/>
        </w:r>
        <w:r w:rsidR="007B5AC0">
          <w:rPr>
            <w:noProof/>
            <w:webHidden/>
          </w:rPr>
          <w:t>236</w:t>
        </w:r>
        <w:r>
          <w:rPr>
            <w:noProof/>
            <w:webHidden/>
          </w:rPr>
          <w:fldChar w:fldCharType="end"/>
        </w:r>
      </w:hyperlink>
    </w:p>
    <w:p w14:paraId="53D10414" w14:textId="0557CCA0"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78" w:history="1">
        <w:r w:rsidRPr="00C04594">
          <w:rPr>
            <w:rStyle w:val="Hyperlink"/>
            <w:bCs/>
            <w:noProof/>
            <w:lang w:val="ru-RU"/>
          </w:rPr>
          <w:t>§216. b)</w:t>
        </w:r>
        <w:r w:rsidRPr="00C04594">
          <w:rPr>
            <w:rStyle w:val="Hyperlink"/>
            <w:noProof/>
            <w:lang w:val="ru-RU"/>
          </w:rPr>
          <w:t xml:space="preserve"> </w:t>
        </w:r>
        <w:r w:rsidRPr="00C04594">
          <w:rPr>
            <w:rStyle w:val="Hyperlink"/>
            <w:rFonts w:ascii="MS Gothic" w:eastAsia="MS Gothic" w:hAnsi="MS Gothic" w:cs="MS Gothic" w:hint="eastAsia"/>
            <w:noProof/>
            <w:lang w:val="ru-RU"/>
          </w:rPr>
          <w:t>耶</w:t>
        </w:r>
        <w:r w:rsidRPr="00C04594">
          <w:rPr>
            <w:rStyle w:val="Hyperlink"/>
            <w:rFonts w:ascii="Microsoft JhengHei" w:eastAsia="Microsoft JhengHei" w:hAnsi="Microsoft JhengHei" w:cs="Microsoft JhengHei" w:hint="eastAsia"/>
            <w:noProof/>
            <w:lang w:val="ru-RU"/>
          </w:rPr>
          <w:t>稣基督在圣体圣事中的临在形式及其后果</w:t>
        </w:r>
        <w:r>
          <w:rPr>
            <w:noProof/>
            <w:webHidden/>
          </w:rPr>
          <w:tab/>
        </w:r>
        <w:r>
          <w:rPr>
            <w:noProof/>
            <w:webHidden/>
          </w:rPr>
          <w:fldChar w:fldCharType="begin"/>
        </w:r>
        <w:r>
          <w:rPr>
            <w:noProof/>
            <w:webHidden/>
          </w:rPr>
          <w:instrText xml:space="preserve"> PAGEREF _Toc238576578 \h </w:instrText>
        </w:r>
        <w:r>
          <w:rPr>
            <w:noProof/>
            <w:webHidden/>
          </w:rPr>
        </w:r>
        <w:r>
          <w:rPr>
            <w:noProof/>
            <w:webHidden/>
          </w:rPr>
          <w:fldChar w:fldCharType="separate"/>
        </w:r>
        <w:r w:rsidR="007B5AC0">
          <w:rPr>
            <w:noProof/>
            <w:webHidden/>
          </w:rPr>
          <w:t>244</w:t>
        </w:r>
        <w:r>
          <w:rPr>
            <w:noProof/>
            <w:webHidden/>
          </w:rPr>
          <w:fldChar w:fldCharType="end"/>
        </w:r>
      </w:hyperlink>
    </w:p>
    <w:p w14:paraId="149666CF" w14:textId="1EDE3F92"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79" w:history="1">
        <w:r w:rsidRPr="00C04594">
          <w:rPr>
            <w:rStyle w:val="Hyperlink"/>
            <w:bCs/>
            <w:noProof/>
            <w:lang w:val="ru-RU"/>
          </w:rPr>
          <w:t>§217.</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谁可以主持圣体圣事；谁可以领受此圣事；以及为此应作何准备？</w:t>
        </w:r>
        <w:r>
          <w:rPr>
            <w:noProof/>
            <w:webHidden/>
          </w:rPr>
          <w:tab/>
        </w:r>
        <w:r>
          <w:rPr>
            <w:noProof/>
            <w:webHidden/>
          </w:rPr>
          <w:fldChar w:fldCharType="begin"/>
        </w:r>
        <w:r>
          <w:rPr>
            <w:noProof/>
            <w:webHidden/>
          </w:rPr>
          <w:instrText xml:space="preserve"> PAGEREF _Toc238576579 \h </w:instrText>
        </w:r>
        <w:r>
          <w:rPr>
            <w:noProof/>
            <w:webHidden/>
          </w:rPr>
        </w:r>
        <w:r>
          <w:rPr>
            <w:noProof/>
            <w:webHidden/>
          </w:rPr>
          <w:fldChar w:fldCharType="separate"/>
        </w:r>
        <w:r w:rsidR="007B5AC0">
          <w:rPr>
            <w:noProof/>
            <w:webHidden/>
          </w:rPr>
          <w:t>248</w:t>
        </w:r>
        <w:r>
          <w:rPr>
            <w:noProof/>
            <w:webHidden/>
          </w:rPr>
          <w:fldChar w:fldCharType="end"/>
        </w:r>
      </w:hyperlink>
    </w:p>
    <w:p w14:paraId="68F2CA1F" w14:textId="6CE9BAC2"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80" w:history="1">
        <w:r w:rsidRPr="00C04594">
          <w:rPr>
            <w:rStyle w:val="Hyperlink"/>
            <w:noProof/>
            <w:lang w:val="ru-RU"/>
          </w:rPr>
          <w:t xml:space="preserve">§218. </w:t>
        </w:r>
        <w:r w:rsidRPr="00C04594">
          <w:rPr>
            <w:rStyle w:val="Hyperlink"/>
            <w:rFonts w:ascii="Microsoft JhengHei" w:eastAsia="Microsoft JhengHei" w:hAnsi="Microsoft JhengHei" w:cs="Microsoft JhengHei" w:hint="eastAsia"/>
            <w:noProof/>
            <w:lang w:val="ru-RU"/>
          </w:rPr>
          <w:t>领受圣体圣事（即以两种形式领受）的必要性，以及圣事的果效</w:t>
        </w:r>
        <w:r>
          <w:rPr>
            <w:noProof/>
            <w:webHidden/>
          </w:rPr>
          <w:tab/>
        </w:r>
        <w:r>
          <w:rPr>
            <w:noProof/>
            <w:webHidden/>
          </w:rPr>
          <w:fldChar w:fldCharType="begin"/>
        </w:r>
        <w:r>
          <w:rPr>
            <w:noProof/>
            <w:webHidden/>
          </w:rPr>
          <w:instrText xml:space="preserve"> PAGEREF _Toc238576580 \h </w:instrText>
        </w:r>
        <w:r>
          <w:rPr>
            <w:noProof/>
            <w:webHidden/>
          </w:rPr>
        </w:r>
        <w:r>
          <w:rPr>
            <w:noProof/>
            <w:webHidden/>
          </w:rPr>
          <w:fldChar w:fldCharType="separate"/>
        </w:r>
        <w:r w:rsidR="007B5AC0">
          <w:rPr>
            <w:noProof/>
            <w:webHidden/>
          </w:rPr>
          <w:t>250</w:t>
        </w:r>
        <w:r>
          <w:rPr>
            <w:noProof/>
            <w:webHidden/>
          </w:rPr>
          <w:fldChar w:fldCharType="end"/>
        </w:r>
      </w:hyperlink>
    </w:p>
    <w:p w14:paraId="4540E692" w14:textId="0D1659C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81" w:history="1">
        <w:r w:rsidRPr="00C04594">
          <w:rPr>
            <w:rStyle w:val="Hyperlink"/>
            <w:noProof/>
            <w:lang w:val="ru-RU"/>
          </w:rPr>
          <w:t xml:space="preserve">§219. </w:t>
        </w:r>
        <w:r w:rsidRPr="00C04594">
          <w:rPr>
            <w:rStyle w:val="Hyperlink"/>
            <w:rFonts w:ascii="MS Gothic" w:eastAsia="MS Gothic" w:hAnsi="MS Gothic" w:cs="MS Gothic" w:hint="eastAsia"/>
            <w:noProof/>
            <w:lang w:val="ru-RU"/>
          </w:rPr>
          <w:t>圣体圣事作</w:t>
        </w:r>
        <w:r w:rsidRPr="00C04594">
          <w:rPr>
            <w:rStyle w:val="Hyperlink"/>
            <w:rFonts w:ascii="Microsoft JhengHei" w:eastAsia="Microsoft JhengHei" w:hAnsi="Microsoft JhengHei" w:cs="Microsoft JhengHei" w:hint="eastAsia"/>
            <w:noProof/>
            <w:lang w:val="ru-RU"/>
          </w:rPr>
          <w:t>为牺牲：</w:t>
        </w:r>
        <w:r w:rsidRPr="00C04594">
          <w:rPr>
            <w:rStyle w:val="Hyperlink"/>
            <w:bCs/>
            <w:noProof/>
            <w:lang w:val="ru-RU"/>
          </w:rPr>
          <w:t>a)</w:t>
        </w:r>
        <w:r w:rsidRPr="00C04594">
          <w:rPr>
            <w:rStyle w:val="Hyperlink"/>
            <w:noProof/>
            <w:lang w:val="ru-RU"/>
          </w:rPr>
          <w:t xml:space="preserve"> </w:t>
        </w:r>
        <w:r w:rsidRPr="00C04594">
          <w:rPr>
            <w:rStyle w:val="Hyperlink"/>
            <w:rFonts w:ascii="MS Gothic" w:eastAsia="MS Gothic" w:hAnsi="MS Gothic" w:cs="MS Gothic" w:hint="eastAsia"/>
            <w:noProof/>
            <w:lang w:val="ru-RU"/>
          </w:rPr>
          <w:t>此</w:t>
        </w:r>
        <w:r w:rsidRPr="00C04594">
          <w:rPr>
            <w:rStyle w:val="Hyperlink"/>
            <w:rFonts w:ascii="Microsoft JhengHei" w:eastAsia="Microsoft JhengHei" w:hAnsi="Microsoft JhengHei" w:cs="Microsoft JhengHei" w:hint="eastAsia"/>
            <w:noProof/>
            <w:lang w:val="ru-RU"/>
          </w:rPr>
          <w:t>牺牲的真实性或有效性</w:t>
        </w:r>
        <w:r>
          <w:rPr>
            <w:noProof/>
            <w:webHidden/>
          </w:rPr>
          <w:tab/>
        </w:r>
        <w:r>
          <w:rPr>
            <w:noProof/>
            <w:webHidden/>
          </w:rPr>
          <w:fldChar w:fldCharType="begin"/>
        </w:r>
        <w:r>
          <w:rPr>
            <w:noProof/>
            <w:webHidden/>
          </w:rPr>
          <w:instrText xml:space="preserve"> PAGEREF _Toc238576581 \h </w:instrText>
        </w:r>
        <w:r>
          <w:rPr>
            <w:noProof/>
            <w:webHidden/>
          </w:rPr>
        </w:r>
        <w:r>
          <w:rPr>
            <w:noProof/>
            <w:webHidden/>
          </w:rPr>
          <w:fldChar w:fldCharType="separate"/>
        </w:r>
        <w:r w:rsidR="007B5AC0">
          <w:rPr>
            <w:noProof/>
            <w:webHidden/>
          </w:rPr>
          <w:t>255</w:t>
        </w:r>
        <w:r>
          <w:rPr>
            <w:noProof/>
            <w:webHidden/>
          </w:rPr>
          <w:fldChar w:fldCharType="end"/>
        </w:r>
      </w:hyperlink>
    </w:p>
    <w:p w14:paraId="65DA4AAD" w14:textId="2737396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82" w:history="1">
        <w:r w:rsidRPr="00C04594">
          <w:rPr>
            <w:rStyle w:val="Hyperlink"/>
            <w:noProof/>
            <w:lang w:val="ru-RU"/>
          </w:rPr>
          <w:t xml:space="preserve">§220. </w:t>
        </w:r>
        <w:r w:rsidRPr="00C04594">
          <w:rPr>
            <w:rStyle w:val="Hyperlink"/>
            <w:bCs/>
            <w:noProof/>
            <w:lang w:val="ru-RU"/>
          </w:rPr>
          <w:t>b)</w:t>
        </w:r>
        <w:r w:rsidRPr="00C04594">
          <w:rPr>
            <w:rStyle w:val="Hyperlink"/>
            <w:noProof/>
            <w:lang w:val="ru-RU"/>
          </w:rPr>
          <w:t xml:space="preserve"> </w:t>
        </w:r>
        <w:r w:rsidRPr="00C04594">
          <w:rPr>
            <w:rStyle w:val="Hyperlink"/>
            <w:rFonts w:ascii="MS Gothic" w:eastAsia="MS Gothic" w:hAnsi="MS Gothic" w:cs="MS Gothic" w:hint="eastAsia"/>
            <w:noProof/>
            <w:lang w:val="ru-RU"/>
          </w:rPr>
          <w:t>此祭与十字架之祭的关系及其性</w:t>
        </w:r>
        <w:r w:rsidRPr="00C04594">
          <w:rPr>
            <w:rStyle w:val="Hyperlink"/>
            <w:rFonts w:ascii="Microsoft JhengHei" w:eastAsia="Microsoft JhengHei" w:hAnsi="Microsoft JhengHei" w:cs="Microsoft JhengHei" w:hint="eastAsia"/>
            <w:noProof/>
            <w:lang w:val="ru-RU"/>
          </w:rPr>
          <w:t>质</w:t>
        </w:r>
        <w:r>
          <w:rPr>
            <w:noProof/>
            <w:webHidden/>
          </w:rPr>
          <w:tab/>
        </w:r>
        <w:r>
          <w:rPr>
            <w:noProof/>
            <w:webHidden/>
          </w:rPr>
          <w:fldChar w:fldCharType="begin"/>
        </w:r>
        <w:r>
          <w:rPr>
            <w:noProof/>
            <w:webHidden/>
          </w:rPr>
          <w:instrText xml:space="preserve"> PAGEREF _Toc238576582 \h </w:instrText>
        </w:r>
        <w:r>
          <w:rPr>
            <w:noProof/>
            <w:webHidden/>
          </w:rPr>
        </w:r>
        <w:r>
          <w:rPr>
            <w:noProof/>
            <w:webHidden/>
          </w:rPr>
          <w:fldChar w:fldCharType="separate"/>
        </w:r>
        <w:r w:rsidR="007B5AC0">
          <w:rPr>
            <w:noProof/>
            <w:webHidden/>
          </w:rPr>
          <w:t>258</w:t>
        </w:r>
        <w:r>
          <w:rPr>
            <w:noProof/>
            <w:webHidden/>
          </w:rPr>
          <w:fldChar w:fldCharType="end"/>
        </w:r>
      </w:hyperlink>
    </w:p>
    <w:p w14:paraId="026FAE4F" w14:textId="2668A73A"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83" w:history="1">
        <w:r w:rsidRPr="00C04594">
          <w:rPr>
            <w:rStyle w:val="Hyperlink"/>
            <w:bCs/>
            <w:noProof/>
            <w:lang w:val="ru-RU"/>
          </w:rPr>
          <w:t>4.</w:t>
        </w:r>
        <w:r w:rsidRPr="00C04594">
          <w:rPr>
            <w:rStyle w:val="Hyperlink"/>
            <w:noProof/>
            <w:lang w:val="ru-RU"/>
          </w:rPr>
          <w:t xml:space="preserve"> </w:t>
        </w:r>
        <w:r w:rsidRPr="00C04594">
          <w:rPr>
            <w:rStyle w:val="Hyperlink"/>
            <w:rFonts w:ascii="MS Gothic" w:eastAsia="MS Gothic" w:hAnsi="MS Gothic" w:cs="MS Gothic" w:hint="eastAsia"/>
            <w:noProof/>
            <w:lang w:val="ru-RU"/>
          </w:rPr>
          <w:t>关于</w:t>
        </w:r>
        <w:r w:rsidRPr="00C04594">
          <w:rPr>
            <w:rStyle w:val="Hyperlink"/>
            <w:rFonts w:ascii="Microsoft JhengHei" w:eastAsia="Microsoft JhengHei" w:hAnsi="Microsoft JhengHei" w:cs="Microsoft JhengHei" w:hint="eastAsia"/>
            <w:noProof/>
            <w:lang w:val="ru-RU"/>
          </w:rPr>
          <w:t>忏悔圣事</w:t>
        </w:r>
        <w:r>
          <w:rPr>
            <w:noProof/>
            <w:webHidden/>
          </w:rPr>
          <w:tab/>
        </w:r>
        <w:r>
          <w:rPr>
            <w:noProof/>
            <w:webHidden/>
          </w:rPr>
          <w:fldChar w:fldCharType="begin"/>
        </w:r>
        <w:r>
          <w:rPr>
            <w:noProof/>
            <w:webHidden/>
          </w:rPr>
          <w:instrText xml:space="preserve"> PAGEREF _Toc238576583 \h </w:instrText>
        </w:r>
        <w:r>
          <w:rPr>
            <w:noProof/>
            <w:webHidden/>
          </w:rPr>
        </w:r>
        <w:r>
          <w:rPr>
            <w:noProof/>
            <w:webHidden/>
          </w:rPr>
          <w:fldChar w:fldCharType="separate"/>
        </w:r>
        <w:r w:rsidR="007B5AC0">
          <w:rPr>
            <w:noProof/>
            <w:webHidden/>
          </w:rPr>
          <w:t>261</w:t>
        </w:r>
        <w:r>
          <w:rPr>
            <w:noProof/>
            <w:webHidden/>
          </w:rPr>
          <w:fldChar w:fldCharType="end"/>
        </w:r>
      </w:hyperlink>
    </w:p>
    <w:p w14:paraId="117ECFEA" w14:textId="249C8F5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84" w:history="1">
        <w:r w:rsidRPr="00C04594">
          <w:rPr>
            <w:rStyle w:val="Hyperlink"/>
            <w:bCs/>
            <w:noProof/>
            <w:lang w:val="ru-RU"/>
          </w:rPr>
          <w:t>§221.</w:t>
        </w:r>
        <w:r w:rsidRPr="00C04594">
          <w:rPr>
            <w:rStyle w:val="Hyperlink"/>
            <w:noProof/>
            <w:lang w:val="ru-RU"/>
          </w:rPr>
          <w:t xml:space="preserve">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联、忏悔圣事的概念及其不同名称</w:t>
        </w:r>
        <w:r>
          <w:rPr>
            <w:noProof/>
            <w:webHidden/>
          </w:rPr>
          <w:tab/>
        </w:r>
        <w:r>
          <w:rPr>
            <w:noProof/>
            <w:webHidden/>
          </w:rPr>
          <w:fldChar w:fldCharType="begin"/>
        </w:r>
        <w:r>
          <w:rPr>
            <w:noProof/>
            <w:webHidden/>
          </w:rPr>
          <w:instrText xml:space="preserve"> PAGEREF _Toc238576584 \h </w:instrText>
        </w:r>
        <w:r>
          <w:rPr>
            <w:noProof/>
            <w:webHidden/>
          </w:rPr>
        </w:r>
        <w:r>
          <w:rPr>
            <w:noProof/>
            <w:webHidden/>
          </w:rPr>
          <w:fldChar w:fldCharType="separate"/>
        </w:r>
        <w:r w:rsidR="007B5AC0">
          <w:rPr>
            <w:noProof/>
            <w:webHidden/>
          </w:rPr>
          <w:t>261</w:t>
        </w:r>
        <w:r>
          <w:rPr>
            <w:noProof/>
            <w:webHidden/>
          </w:rPr>
          <w:fldChar w:fldCharType="end"/>
        </w:r>
      </w:hyperlink>
    </w:p>
    <w:p w14:paraId="48FAF4DD" w14:textId="766E12AD"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85" w:history="1">
        <w:r w:rsidRPr="00C04594">
          <w:rPr>
            <w:rStyle w:val="Hyperlink"/>
            <w:bCs/>
            <w:noProof/>
            <w:lang w:val="ru-RU"/>
          </w:rPr>
          <w:t>§222.</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忏悔圣事的</w:t>
        </w:r>
        <w:r w:rsidRPr="00C04594">
          <w:rPr>
            <w:rStyle w:val="Hyperlink"/>
            <w:noProof/>
            <w:lang w:val="ru-RU"/>
          </w:rPr>
          <w:t xml:space="preserve"> divine </w:t>
        </w:r>
        <w:r w:rsidRPr="00C04594">
          <w:rPr>
            <w:rStyle w:val="Hyperlink"/>
            <w:rFonts w:ascii="Microsoft JhengHei" w:eastAsia="Microsoft JhengHei" w:hAnsi="Microsoft JhengHei" w:cs="Microsoft JhengHei" w:hint="eastAsia"/>
            <w:noProof/>
            <w:lang w:val="ru-RU"/>
          </w:rPr>
          <w:t>设立与有效性</w:t>
        </w:r>
        <w:r>
          <w:rPr>
            <w:noProof/>
            <w:webHidden/>
          </w:rPr>
          <w:tab/>
        </w:r>
        <w:r>
          <w:rPr>
            <w:noProof/>
            <w:webHidden/>
          </w:rPr>
          <w:fldChar w:fldCharType="begin"/>
        </w:r>
        <w:r>
          <w:rPr>
            <w:noProof/>
            <w:webHidden/>
          </w:rPr>
          <w:instrText xml:space="preserve"> PAGEREF _Toc238576585 \h </w:instrText>
        </w:r>
        <w:r>
          <w:rPr>
            <w:noProof/>
            <w:webHidden/>
          </w:rPr>
        </w:r>
        <w:r>
          <w:rPr>
            <w:noProof/>
            <w:webHidden/>
          </w:rPr>
          <w:fldChar w:fldCharType="separate"/>
        </w:r>
        <w:r w:rsidR="007B5AC0">
          <w:rPr>
            <w:noProof/>
            <w:webHidden/>
          </w:rPr>
          <w:t>262</w:t>
        </w:r>
        <w:r>
          <w:rPr>
            <w:noProof/>
            <w:webHidden/>
          </w:rPr>
          <w:fldChar w:fldCharType="end"/>
        </w:r>
      </w:hyperlink>
    </w:p>
    <w:p w14:paraId="5E909D3F" w14:textId="6DFFD4EB"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86" w:history="1">
        <w:r w:rsidRPr="00C04594">
          <w:rPr>
            <w:rStyle w:val="Hyperlink"/>
            <w:bCs/>
            <w:noProof/>
            <w:lang w:val="ru-RU"/>
          </w:rPr>
          <w:t>§223.</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谁可以施行忏悔圣事，谁可以领受此圣事？</w:t>
        </w:r>
        <w:r>
          <w:rPr>
            <w:noProof/>
            <w:webHidden/>
          </w:rPr>
          <w:tab/>
        </w:r>
        <w:r>
          <w:rPr>
            <w:noProof/>
            <w:webHidden/>
          </w:rPr>
          <w:fldChar w:fldCharType="begin"/>
        </w:r>
        <w:r>
          <w:rPr>
            <w:noProof/>
            <w:webHidden/>
          </w:rPr>
          <w:instrText xml:space="preserve"> PAGEREF _Toc238576586 \h </w:instrText>
        </w:r>
        <w:r>
          <w:rPr>
            <w:noProof/>
            <w:webHidden/>
          </w:rPr>
        </w:r>
        <w:r>
          <w:rPr>
            <w:noProof/>
            <w:webHidden/>
          </w:rPr>
          <w:fldChar w:fldCharType="separate"/>
        </w:r>
        <w:r w:rsidR="007B5AC0">
          <w:rPr>
            <w:noProof/>
            <w:webHidden/>
          </w:rPr>
          <w:t>264</w:t>
        </w:r>
        <w:r>
          <w:rPr>
            <w:noProof/>
            <w:webHidden/>
          </w:rPr>
          <w:fldChar w:fldCharType="end"/>
        </w:r>
      </w:hyperlink>
    </w:p>
    <w:p w14:paraId="6CED675B" w14:textId="091BF73A"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87" w:history="1">
        <w:r w:rsidRPr="00C04594">
          <w:rPr>
            <w:rStyle w:val="Hyperlink"/>
            <w:bCs/>
            <w:noProof/>
            <w:lang w:val="ru-RU"/>
          </w:rPr>
          <w:t>§224.</w:t>
        </w:r>
        <w:r w:rsidRPr="00C04594">
          <w:rPr>
            <w:rStyle w:val="Hyperlink"/>
            <w:noProof/>
            <w:lang w:val="ru-RU"/>
          </w:rPr>
          <w:t xml:space="preserve"> </w:t>
        </w:r>
        <w:r w:rsidRPr="00C04594">
          <w:rPr>
            <w:rStyle w:val="Hyperlink"/>
            <w:rFonts w:ascii="MS Gothic" w:eastAsia="MS Gothic" w:hAnsi="MS Gothic" w:cs="MS Gothic" w:hint="eastAsia"/>
            <w:noProof/>
            <w:lang w:val="ru-RU"/>
          </w:rPr>
          <w:t>接受</w:t>
        </w:r>
        <w:r w:rsidRPr="00C04594">
          <w:rPr>
            <w:rStyle w:val="Hyperlink"/>
            <w:rFonts w:ascii="Microsoft JhengHei" w:eastAsia="Microsoft JhengHei" w:hAnsi="Microsoft JhengHei" w:cs="Microsoft JhengHei" w:hint="eastAsia"/>
            <w:noProof/>
            <w:lang w:val="ru-RU"/>
          </w:rPr>
          <w:t>忏悔圣事者应具备哪些条件？</w:t>
        </w:r>
        <w:r>
          <w:rPr>
            <w:noProof/>
            <w:webHidden/>
          </w:rPr>
          <w:tab/>
        </w:r>
        <w:r>
          <w:rPr>
            <w:noProof/>
            <w:webHidden/>
          </w:rPr>
          <w:fldChar w:fldCharType="begin"/>
        </w:r>
        <w:r>
          <w:rPr>
            <w:noProof/>
            <w:webHidden/>
          </w:rPr>
          <w:instrText xml:space="preserve"> PAGEREF _Toc238576587 \h </w:instrText>
        </w:r>
        <w:r>
          <w:rPr>
            <w:noProof/>
            <w:webHidden/>
          </w:rPr>
        </w:r>
        <w:r>
          <w:rPr>
            <w:noProof/>
            <w:webHidden/>
          </w:rPr>
          <w:fldChar w:fldCharType="separate"/>
        </w:r>
        <w:r w:rsidR="007B5AC0">
          <w:rPr>
            <w:noProof/>
            <w:webHidden/>
          </w:rPr>
          <w:t>265</w:t>
        </w:r>
        <w:r>
          <w:rPr>
            <w:noProof/>
            <w:webHidden/>
          </w:rPr>
          <w:fldChar w:fldCharType="end"/>
        </w:r>
      </w:hyperlink>
    </w:p>
    <w:p w14:paraId="6AA2F65B" w14:textId="359E9D8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88" w:history="1">
        <w:r w:rsidRPr="00C04594">
          <w:rPr>
            <w:rStyle w:val="Hyperlink"/>
            <w:bCs/>
            <w:noProof/>
            <w:lang w:val="ru-RU"/>
          </w:rPr>
          <w:t>§225.</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忏悔圣事的可见方面、其不可见的功效及其广度</w:t>
        </w:r>
        <w:r>
          <w:rPr>
            <w:noProof/>
            <w:webHidden/>
          </w:rPr>
          <w:tab/>
        </w:r>
        <w:r>
          <w:rPr>
            <w:noProof/>
            <w:webHidden/>
          </w:rPr>
          <w:fldChar w:fldCharType="begin"/>
        </w:r>
        <w:r>
          <w:rPr>
            <w:noProof/>
            <w:webHidden/>
          </w:rPr>
          <w:instrText xml:space="preserve"> PAGEREF _Toc238576588 \h </w:instrText>
        </w:r>
        <w:r>
          <w:rPr>
            <w:noProof/>
            <w:webHidden/>
          </w:rPr>
        </w:r>
        <w:r>
          <w:rPr>
            <w:noProof/>
            <w:webHidden/>
          </w:rPr>
          <w:fldChar w:fldCharType="separate"/>
        </w:r>
        <w:r w:rsidR="007B5AC0">
          <w:rPr>
            <w:noProof/>
            <w:webHidden/>
          </w:rPr>
          <w:t>269</w:t>
        </w:r>
        <w:r>
          <w:rPr>
            <w:noProof/>
            <w:webHidden/>
          </w:rPr>
          <w:fldChar w:fldCharType="end"/>
        </w:r>
      </w:hyperlink>
    </w:p>
    <w:p w14:paraId="08D1FB45" w14:textId="5E2EC584"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89" w:history="1">
        <w:r w:rsidRPr="00C04594">
          <w:rPr>
            <w:rStyle w:val="Hyperlink"/>
            <w:bCs/>
            <w:noProof/>
            <w:lang w:val="ru-RU"/>
          </w:rPr>
          <w:t>§226.</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补赎、其起源及在教会中的应用</w:t>
        </w:r>
        <w:r>
          <w:rPr>
            <w:noProof/>
            <w:webHidden/>
          </w:rPr>
          <w:tab/>
        </w:r>
        <w:r>
          <w:rPr>
            <w:noProof/>
            <w:webHidden/>
          </w:rPr>
          <w:fldChar w:fldCharType="begin"/>
        </w:r>
        <w:r>
          <w:rPr>
            <w:noProof/>
            <w:webHidden/>
          </w:rPr>
          <w:instrText xml:space="preserve"> PAGEREF _Toc238576589 \h </w:instrText>
        </w:r>
        <w:r>
          <w:rPr>
            <w:noProof/>
            <w:webHidden/>
          </w:rPr>
        </w:r>
        <w:r>
          <w:rPr>
            <w:noProof/>
            <w:webHidden/>
          </w:rPr>
          <w:fldChar w:fldCharType="separate"/>
        </w:r>
        <w:r w:rsidR="007B5AC0">
          <w:rPr>
            <w:noProof/>
            <w:webHidden/>
          </w:rPr>
          <w:t>271</w:t>
        </w:r>
        <w:r>
          <w:rPr>
            <w:noProof/>
            <w:webHidden/>
          </w:rPr>
          <w:fldChar w:fldCharType="end"/>
        </w:r>
      </w:hyperlink>
    </w:p>
    <w:p w14:paraId="7AA1435B" w14:textId="481A4D9C"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90" w:history="1">
        <w:r w:rsidRPr="00C04594">
          <w:rPr>
            <w:rStyle w:val="Hyperlink"/>
            <w:bCs/>
            <w:noProof/>
            <w:lang w:val="ru-RU"/>
          </w:rPr>
          <w:t>§227.</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补赎的意义</w:t>
        </w:r>
        <w:r>
          <w:rPr>
            <w:noProof/>
            <w:webHidden/>
          </w:rPr>
          <w:tab/>
        </w:r>
        <w:r>
          <w:rPr>
            <w:noProof/>
            <w:webHidden/>
          </w:rPr>
          <w:fldChar w:fldCharType="begin"/>
        </w:r>
        <w:r>
          <w:rPr>
            <w:noProof/>
            <w:webHidden/>
          </w:rPr>
          <w:instrText xml:space="preserve"> PAGEREF _Toc238576590 \h </w:instrText>
        </w:r>
        <w:r>
          <w:rPr>
            <w:noProof/>
            <w:webHidden/>
          </w:rPr>
        </w:r>
        <w:r>
          <w:rPr>
            <w:noProof/>
            <w:webHidden/>
          </w:rPr>
          <w:fldChar w:fldCharType="separate"/>
        </w:r>
        <w:r w:rsidR="007B5AC0">
          <w:rPr>
            <w:noProof/>
            <w:webHidden/>
          </w:rPr>
          <w:t>272</w:t>
        </w:r>
        <w:r>
          <w:rPr>
            <w:noProof/>
            <w:webHidden/>
          </w:rPr>
          <w:fldChar w:fldCharType="end"/>
        </w:r>
      </w:hyperlink>
    </w:p>
    <w:p w14:paraId="17A1EA3B" w14:textId="5239DC3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91" w:history="1">
        <w:r w:rsidRPr="00C04594">
          <w:rPr>
            <w:rStyle w:val="Hyperlink"/>
            <w:noProof/>
            <w:lang w:val="ru-RU"/>
          </w:rPr>
          <w:t xml:space="preserve">§228. </w:t>
        </w:r>
        <w:r w:rsidRPr="00C04594">
          <w:rPr>
            <w:rStyle w:val="Hyperlink"/>
            <w:rFonts w:ascii="Microsoft JhengHei" w:eastAsia="Microsoft JhengHei" w:hAnsi="Microsoft JhengHei" w:cs="Microsoft JhengHei" w:hint="eastAsia"/>
            <w:noProof/>
            <w:lang w:val="ru-RU"/>
          </w:rPr>
          <w:t>罗马教会关于赎罪券教义的不公正性</w:t>
        </w:r>
        <w:r>
          <w:rPr>
            <w:noProof/>
            <w:webHidden/>
          </w:rPr>
          <w:tab/>
        </w:r>
        <w:r>
          <w:rPr>
            <w:noProof/>
            <w:webHidden/>
          </w:rPr>
          <w:fldChar w:fldCharType="begin"/>
        </w:r>
        <w:r>
          <w:rPr>
            <w:noProof/>
            <w:webHidden/>
          </w:rPr>
          <w:instrText xml:space="preserve"> PAGEREF _Toc238576591 \h </w:instrText>
        </w:r>
        <w:r>
          <w:rPr>
            <w:noProof/>
            <w:webHidden/>
          </w:rPr>
        </w:r>
        <w:r>
          <w:rPr>
            <w:noProof/>
            <w:webHidden/>
          </w:rPr>
          <w:fldChar w:fldCharType="separate"/>
        </w:r>
        <w:r w:rsidR="007B5AC0">
          <w:rPr>
            <w:noProof/>
            <w:webHidden/>
          </w:rPr>
          <w:t>279</w:t>
        </w:r>
        <w:r>
          <w:rPr>
            <w:noProof/>
            <w:webHidden/>
          </w:rPr>
          <w:fldChar w:fldCharType="end"/>
        </w:r>
      </w:hyperlink>
    </w:p>
    <w:p w14:paraId="39A389C3" w14:textId="6A8CE21D"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92" w:history="1">
        <w:r w:rsidRPr="00C04594">
          <w:rPr>
            <w:rStyle w:val="Hyperlink"/>
            <w:bCs/>
            <w:noProof/>
            <w:lang w:val="ru-RU"/>
          </w:rPr>
          <w:t>5.</w:t>
        </w:r>
        <w:r w:rsidRPr="00C04594">
          <w:rPr>
            <w:rStyle w:val="Hyperlink"/>
            <w:noProof/>
            <w:lang w:val="ru-RU"/>
          </w:rPr>
          <w:t xml:space="preserve"> </w:t>
        </w:r>
        <w:r w:rsidRPr="00C04594">
          <w:rPr>
            <w:rStyle w:val="Hyperlink"/>
            <w:rFonts w:ascii="MS Gothic" w:eastAsia="MS Gothic" w:hAnsi="MS Gothic" w:cs="MS Gothic" w:hint="eastAsia"/>
            <w:noProof/>
            <w:lang w:val="ru-RU"/>
          </w:rPr>
          <w:t>关于傅油圣事</w:t>
        </w:r>
        <w:r>
          <w:rPr>
            <w:noProof/>
            <w:webHidden/>
          </w:rPr>
          <w:tab/>
        </w:r>
        <w:r>
          <w:rPr>
            <w:noProof/>
            <w:webHidden/>
          </w:rPr>
          <w:fldChar w:fldCharType="begin"/>
        </w:r>
        <w:r>
          <w:rPr>
            <w:noProof/>
            <w:webHidden/>
          </w:rPr>
          <w:instrText xml:space="preserve"> PAGEREF _Toc238576592 \h </w:instrText>
        </w:r>
        <w:r>
          <w:rPr>
            <w:noProof/>
            <w:webHidden/>
          </w:rPr>
        </w:r>
        <w:r>
          <w:rPr>
            <w:noProof/>
            <w:webHidden/>
          </w:rPr>
          <w:fldChar w:fldCharType="separate"/>
        </w:r>
        <w:r w:rsidR="007B5AC0">
          <w:rPr>
            <w:noProof/>
            <w:webHidden/>
          </w:rPr>
          <w:t>284</w:t>
        </w:r>
        <w:r>
          <w:rPr>
            <w:noProof/>
            <w:webHidden/>
          </w:rPr>
          <w:fldChar w:fldCharType="end"/>
        </w:r>
      </w:hyperlink>
    </w:p>
    <w:p w14:paraId="51E8DDBF" w14:textId="4D0BEDA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93" w:history="1">
        <w:r w:rsidRPr="00C04594">
          <w:rPr>
            <w:rStyle w:val="Hyperlink"/>
            <w:noProof/>
            <w:lang w:val="ru-RU"/>
          </w:rPr>
          <w:t xml:space="preserve">§229.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联、关于傅油圣事的概念及其名称</w:t>
        </w:r>
        <w:r>
          <w:rPr>
            <w:noProof/>
            <w:webHidden/>
          </w:rPr>
          <w:tab/>
        </w:r>
        <w:r>
          <w:rPr>
            <w:noProof/>
            <w:webHidden/>
          </w:rPr>
          <w:fldChar w:fldCharType="begin"/>
        </w:r>
        <w:r>
          <w:rPr>
            <w:noProof/>
            <w:webHidden/>
          </w:rPr>
          <w:instrText xml:space="preserve"> PAGEREF _Toc238576593 \h </w:instrText>
        </w:r>
        <w:r>
          <w:rPr>
            <w:noProof/>
            <w:webHidden/>
          </w:rPr>
        </w:r>
        <w:r>
          <w:rPr>
            <w:noProof/>
            <w:webHidden/>
          </w:rPr>
          <w:fldChar w:fldCharType="separate"/>
        </w:r>
        <w:r w:rsidR="007B5AC0">
          <w:rPr>
            <w:noProof/>
            <w:webHidden/>
          </w:rPr>
          <w:t>284</w:t>
        </w:r>
        <w:r>
          <w:rPr>
            <w:noProof/>
            <w:webHidden/>
          </w:rPr>
          <w:fldChar w:fldCharType="end"/>
        </w:r>
      </w:hyperlink>
    </w:p>
    <w:p w14:paraId="6D8FD568" w14:textId="670EB24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94" w:history="1">
        <w:r w:rsidRPr="00C04594">
          <w:rPr>
            <w:rStyle w:val="Hyperlink"/>
            <w:noProof/>
            <w:lang w:val="ru-RU"/>
          </w:rPr>
          <w:t xml:space="preserve">§230. </w:t>
        </w:r>
        <w:r w:rsidRPr="00C04594">
          <w:rPr>
            <w:rStyle w:val="Hyperlink"/>
            <w:rFonts w:ascii="MS Gothic" w:eastAsia="MS Gothic" w:hAnsi="MS Gothic" w:cs="MS Gothic" w:hint="eastAsia"/>
            <w:noProof/>
            <w:lang w:val="ru-RU"/>
          </w:rPr>
          <w:t>圣油圣事的</w:t>
        </w:r>
        <w:r w:rsidRPr="00C04594">
          <w:rPr>
            <w:rStyle w:val="Hyperlink"/>
            <w:noProof/>
            <w:lang w:val="ru-RU"/>
          </w:rPr>
          <w:t xml:space="preserve"> divine </w:t>
        </w:r>
        <w:r w:rsidRPr="00C04594">
          <w:rPr>
            <w:rStyle w:val="Hyperlink"/>
            <w:rFonts w:ascii="Microsoft JhengHei" w:eastAsia="Microsoft JhengHei" w:hAnsi="Microsoft JhengHei" w:cs="Microsoft JhengHei" w:hint="eastAsia"/>
            <w:noProof/>
            <w:lang w:val="ru-RU"/>
          </w:rPr>
          <w:t>设立及其有效性</w:t>
        </w:r>
        <w:r>
          <w:rPr>
            <w:noProof/>
            <w:webHidden/>
          </w:rPr>
          <w:tab/>
        </w:r>
        <w:r>
          <w:rPr>
            <w:noProof/>
            <w:webHidden/>
          </w:rPr>
          <w:fldChar w:fldCharType="begin"/>
        </w:r>
        <w:r>
          <w:rPr>
            <w:noProof/>
            <w:webHidden/>
          </w:rPr>
          <w:instrText xml:space="preserve"> PAGEREF _Toc238576594 \h </w:instrText>
        </w:r>
        <w:r>
          <w:rPr>
            <w:noProof/>
            <w:webHidden/>
          </w:rPr>
        </w:r>
        <w:r>
          <w:rPr>
            <w:noProof/>
            <w:webHidden/>
          </w:rPr>
          <w:fldChar w:fldCharType="separate"/>
        </w:r>
        <w:r w:rsidR="007B5AC0">
          <w:rPr>
            <w:noProof/>
            <w:webHidden/>
          </w:rPr>
          <w:t>284</w:t>
        </w:r>
        <w:r>
          <w:rPr>
            <w:noProof/>
            <w:webHidden/>
          </w:rPr>
          <w:fldChar w:fldCharType="end"/>
        </w:r>
      </w:hyperlink>
    </w:p>
    <w:p w14:paraId="41FADBA3" w14:textId="2A6D4883"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95" w:history="1">
        <w:r w:rsidRPr="00C04594">
          <w:rPr>
            <w:rStyle w:val="Hyperlink"/>
            <w:bCs/>
            <w:noProof/>
            <w:lang w:val="ru-RU"/>
          </w:rPr>
          <w:t>§231.</w:t>
        </w:r>
        <w:r w:rsidRPr="00C04594">
          <w:rPr>
            <w:rStyle w:val="Hyperlink"/>
            <w:noProof/>
            <w:lang w:val="ru-RU"/>
          </w:rPr>
          <w:t xml:space="preserve"> </w:t>
        </w:r>
        <w:r w:rsidRPr="00C04594">
          <w:rPr>
            <w:rStyle w:val="Hyperlink"/>
            <w:rFonts w:ascii="MS Gothic" w:eastAsia="MS Gothic" w:hAnsi="MS Gothic" w:cs="MS Gothic" w:hint="eastAsia"/>
            <w:noProof/>
            <w:lang w:val="ru-RU"/>
          </w:rPr>
          <w:t>圣油圣事可由</w:t>
        </w:r>
        <w:r w:rsidRPr="00C04594">
          <w:rPr>
            <w:rStyle w:val="Hyperlink"/>
            <w:rFonts w:ascii="Microsoft JhengHei" w:eastAsia="Microsoft JhengHei" w:hAnsi="Microsoft JhengHei" w:cs="Microsoft JhengHei" w:hint="eastAsia"/>
            <w:noProof/>
            <w:lang w:val="ru-RU"/>
          </w:rPr>
          <w:t>谁授予，又可授予谁？</w:t>
        </w:r>
        <w:r>
          <w:rPr>
            <w:noProof/>
            <w:webHidden/>
          </w:rPr>
          <w:tab/>
        </w:r>
        <w:r>
          <w:rPr>
            <w:noProof/>
            <w:webHidden/>
          </w:rPr>
          <w:fldChar w:fldCharType="begin"/>
        </w:r>
        <w:r>
          <w:rPr>
            <w:noProof/>
            <w:webHidden/>
          </w:rPr>
          <w:instrText xml:space="preserve"> PAGEREF _Toc238576595 \h </w:instrText>
        </w:r>
        <w:r>
          <w:rPr>
            <w:noProof/>
            <w:webHidden/>
          </w:rPr>
        </w:r>
        <w:r>
          <w:rPr>
            <w:noProof/>
            <w:webHidden/>
          </w:rPr>
          <w:fldChar w:fldCharType="separate"/>
        </w:r>
        <w:r w:rsidR="007B5AC0">
          <w:rPr>
            <w:noProof/>
            <w:webHidden/>
          </w:rPr>
          <w:t>287</w:t>
        </w:r>
        <w:r>
          <w:rPr>
            <w:noProof/>
            <w:webHidden/>
          </w:rPr>
          <w:fldChar w:fldCharType="end"/>
        </w:r>
      </w:hyperlink>
    </w:p>
    <w:p w14:paraId="4FC8C292" w14:textId="7AD74A86"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96" w:history="1">
        <w:r w:rsidRPr="00C04594">
          <w:rPr>
            <w:rStyle w:val="Hyperlink"/>
            <w:bCs/>
            <w:noProof/>
            <w:lang w:val="ru-RU"/>
          </w:rPr>
          <w:t>§232.</w:t>
        </w:r>
        <w:r w:rsidRPr="00C04594">
          <w:rPr>
            <w:rStyle w:val="Hyperlink"/>
            <w:noProof/>
            <w:lang w:val="ru-RU"/>
          </w:rPr>
          <w:t xml:space="preserve"> </w:t>
        </w:r>
        <w:r w:rsidRPr="00C04594">
          <w:rPr>
            <w:rStyle w:val="Hyperlink"/>
            <w:rFonts w:ascii="MS Gothic" w:eastAsia="MS Gothic" w:hAnsi="MS Gothic" w:cs="MS Gothic" w:hint="eastAsia"/>
            <w:noProof/>
            <w:lang w:val="ru-RU"/>
          </w:rPr>
          <w:t>傅油圣事的可</w:t>
        </w:r>
        <w:r w:rsidRPr="00C04594">
          <w:rPr>
            <w:rStyle w:val="Hyperlink"/>
            <w:rFonts w:ascii="Microsoft JhengHei" w:eastAsia="Microsoft JhengHei" w:hAnsi="Microsoft JhengHei" w:cs="Microsoft JhengHei" w:hint="eastAsia"/>
            <w:noProof/>
            <w:lang w:val="ru-RU"/>
          </w:rPr>
          <w:t>见方面及其不可见的、充满恩典的功效</w:t>
        </w:r>
        <w:r>
          <w:rPr>
            <w:noProof/>
            <w:webHidden/>
          </w:rPr>
          <w:tab/>
        </w:r>
        <w:r>
          <w:rPr>
            <w:noProof/>
            <w:webHidden/>
          </w:rPr>
          <w:fldChar w:fldCharType="begin"/>
        </w:r>
        <w:r>
          <w:rPr>
            <w:noProof/>
            <w:webHidden/>
          </w:rPr>
          <w:instrText xml:space="preserve"> PAGEREF _Toc238576596 \h </w:instrText>
        </w:r>
        <w:r>
          <w:rPr>
            <w:noProof/>
            <w:webHidden/>
          </w:rPr>
        </w:r>
        <w:r>
          <w:rPr>
            <w:noProof/>
            <w:webHidden/>
          </w:rPr>
          <w:fldChar w:fldCharType="separate"/>
        </w:r>
        <w:r w:rsidR="007B5AC0">
          <w:rPr>
            <w:noProof/>
            <w:webHidden/>
          </w:rPr>
          <w:t>288</w:t>
        </w:r>
        <w:r>
          <w:rPr>
            <w:noProof/>
            <w:webHidden/>
          </w:rPr>
          <w:fldChar w:fldCharType="end"/>
        </w:r>
      </w:hyperlink>
    </w:p>
    <w:p w14:paraId="63DD4A61" w14:textId="76BF9156"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597" w:history="1">
        <w:r w:rsidRPr="00C04594">
          <w:rPr>
            <w:rStyle w:val="Hyperlink"/>
            <w:bCs/>
            <w:noProof/>
            <w:lang w:val="ru-RU"/>
          </w:rPr>
          <w:t>6.</w:t>
        </w:r>
        <w:r w:rsidRPr="00C04594">
          <w:rPr>
            <w:rStyle w:val="Hyperlink"/>
            <w:noProof/>
            <w:lang w:val="ru-RU"/>
          </w:rPr>
          <w:t xml:space="preserve"> </w:t>
        </w:r>
        <w:r w:rsidRPr="00C04594">
          <w:rPr>
            <w:rStyle w:val="Hyperlink"/>
            <w:rFonts w:ascii="MS Gothic" w:eastAsia="MS Gothic" w:hAnsi="MS Gothic" w:cs="MS Gothic" w:hint="eastAsia"/>
            <w:noProof/>
            <w:lang w:val="ru-RU"/>
          </w:rPr>
          <w:t>关于婚姻</w:t>
        </w:r>
        <w:r w:rsidRPr="00C04594">
          <w:rPr>
            <w:rStyle w:val="Hyperlink"/>
            <w:rFonts w:ascii="MS Gothic" w:eastAsia="MS Gothic" w:hAnsi="MS Gothic" w:cs="MS Gothic" w:hint="eastAsia"/>
            <w:noProof/>
          </w:rPr>
          <w:t>圣事</w:t>
        </w:r>
        <w:r>
          <w:rPr>
            <w:noProof/>
            <w:webHidden/>
          </w:rPr>
          <w:tab/>
        </w:r>
        <w:r>
          <w:rPr>
            <w:noProof/>
            <w:webHidden/>
          </w:rPr>
          <w:fldChar w:fldCharType="begin"/>
        </w:r>
        <w:r>
          <w:rPr>
            <w:noProof/>
            <w:webHidden/>
          </w:rPr>
          <w:instrText xml:space="preserve"> PAGEREF _Toc238576597 \h </w:instrText>
        </w:r>
        <w:r>
          <w:rPr>
            <w:noProof/>
            <w:webHidden/>
          </w:rPr>
        </w:r>
        <w:r>
          <w:rPr>
            <w:noProof/>
            <w:webHidden/>
          </w:rPr>
          <w:fldChar w:fldCharType="separate"/>
        </w:r>
        <w:r w:rsidR="007B5AC0">
          <w:rPr>
            <w:noProof/>
            <w:webHidden/>
          </w:rPr>
          <w:t>290</w:t>
        </w:r>
        <w:r>
          <w:rPr>
            <w:noProof/>
            <w:webHidden/>
          </w:rPr>
          <w:fldChar w:fldCharType="end"/>
        </w:r>
      </w:hyperlink>
    </w:p>
    <w:p w14:paraId="3B7B684B" w14:textId="21F87668"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98" w:history="1">
        <w:r w:rsidRPr="00C04594">
          <w:rPr>
            <w:rStyle w:val="Hyperlink"/>
            <w:bCs/>
            <w:noProof/>
            <w:lang w:val="ru-RU"/>
          </w:rPr>
          <w:t>§233.</w:t>
        </w:r>
        <w:r w:rsidRPr="00C04594">
          <w:rPr>
            <w:rStyle w:val="Hyperlink"/>
            <w:noProof/>
            <w:lang w:val="ru-RU"/>
          </w:rPr>
          <w:t xml:space="preserve">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联；婚姻作为上帝的设立及其目的；婚姻作为圣事的概念及其名称</w:t>
        </w:r>
        <w:r>
          <w:rPr>
            <w:noProof/>
            <w:webHidden/>
          </w:rPr>
          <w:tab/>
        </w:r>
        <w:r>
          <w:rPr>
            <w:noProof/>
            <w:webHidden/>
          </w:rPr>
          <w:fldChar w:fldCharType="begin"/>
        </w:r>
        <w:r>
          <w:rPr>
            <w:noProof/>
            <w:webHidden/>
          </w:rPr>
          <w:instrText xml:space="preserve"> PAGEREF _Toc238576598 \h </w:instrText>
        </w:r>
        <w:r>
          <w:rPr>
            <w:noProof/>
            <w:webHidden/>
          </w:rPr>
        </w:r>
        <w:r>
          <w:rPr>
            <w:noProof/>
            <w:webHidden/>
          </w:rPr>
          <w:fldChar w:fldCharType="separate"/>
        </w:r>
        <w:r w:rsidR="007B5AC0">
          <w:rPr>
            <w:noProof/>
            <w:webHidden/>
          </w:rPr>
          <w:t>290</w:t>
        </w:r>
        <w:r>
          <w:rPr>
            <w:noProof/>
            <w:webHidden/>
          </w:rPr>
          <w:fldChar w:fldCharType="end"/>
        </w:r>
      </w:hyperlink>
    </w:p>
    <w:p w14:paraId="085CE528" w14:textId="4DC770B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599" w:history="1">
        <w:r w:rsidRPr="00C04594">
          <w:rPr>
            <w:rStyle w:val="Hyperlink"/>
            <w:bCs/>
            <w:noProof/>
            <w:lang w:val="ru-RU"/>
          </w:rPr>
          <w:t>§234.</w:t>
        </w:r>
        <w:r w:rsidRPr="00C04594">
          <w:rPr>
            <w:rStyle w:val="Hyperlink"/>
            <w:noProof/>
            <w:lang w:val="ru-RU"/>
          </w:rPr>
          <w:t xml:space="preserve"> </w:t>
        </w:r>
        <w:r w:rsidRPr="00C04594">
          <w:rPr>
            <w:rStyle w:val="Hyperlink"/>
            <w:rFonts w:ascii="MS Gothic" w:eastAsia="MS Gothic" w:hAnsi="MS Gothic" w:cs="MS Gothic" w:hint="eastAsia"/>
            <w:noProof/>
            <w:lang w:val="ru-RU"/>
          </w:rPr>
          <w:t>婚姻圣事的</w:t>
        </w:r>
        <w:r w:rsidRPr="00C04594">
          <w:rPr>
            <w:rStyle w:val="Hyperlink"/>
            <w:noProof/>
            <w:lang w:val="ru-RU"/>
          </w:rPr>
          <w:t xml:space="preserve"> divine </w:t>
        </w:r>
        <w:r w:rsidRPr="00C04594">
          <w:rPr>
            <w:rStyle w:val="Hyperlink"/>
            <w:rFonts w:ascii="Microsoft JhengHei" w:eastAsia="Microsoft JhengHei" w:hAnsi="Microsoft JhengHei" w:cs="Microsoft JhengHei" w:hint="eastAsia"/>
            <w:noProof/>
            <w:lang w:val="ru-RU"/>
          </w:rPr>
          <w:t>设立及其有效性</w:t>
        </w:r>
        <w:r>
          <w:rPr>
            <w:noProof/>
            <w:webHidden/>
          </w:rPr>
          <w:tab/>
        </w:r>
        <w:r>
          <w:rPr>
            <w:noProof/>
            <w:webHidden/>
          </w:rPr>
          <w:fldChar w:fldCharType="begin"/>
        </w:r>
        <w:r>
          <w:rPr>
            <w:noProof/>
            <w:webHidden/>
          </w:rPr>
          <w:instrText xml:space="preserve"> PAGEREF _Toc238576599 \h </w:instrText>
        </w:r>
        <w:r>
          <w:rPr>
            <w:noProof/>
            <w:webHidden/>
          </w:rPr>
        </w:r>
        <w:r>
          <w:rPr>
            <w:noProof/>
            <w:webHidden/>
          </w:rPr>
          <w:fldChar w:fldCharType="separate"/>
        </w:r>
        <w:r w:rsidR="007B5AC0">
          <w:rPr>
            <w:noProof/>
            <w:webHidden/>
          </w:rPr>
          <w:t>292</w:t>
        </w:r>
        <w:r>
          <w:rPr>
            <w:noProof/>
            <w:webHidden/>
          </w:rPr>
          <w:fldChar w:fldCharType="end"/>
        </w:r>
      </w:hyperlink>
    </w:p>
    <w:p w14:paraId="6ECFF630" w14:textId="795918D4"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00" w:history="1">
        <w:r w:rsidRPr="00C04594">
          <w:rPr>
            <w:rStyle w:val="Hyperlink"/>
            <w:bCs/>
            <w:noProof/>
            <w:lang w:val="ru-RU"/>
          </w:rPr>
          <w:t>§235.</w:t>
        </w:r>
        <w:r w:rsidRPr="00C04594">
          <w:rPr>
            <w:rStyle w:val="Hyperlink"/>
            <w:noProof/>
            <w:lang w:val="ru-RU"/>
          </w:rPr>
          <w:t xml:space="preserve"> </w:t>
        </w:r>
        <w:r w:rsidRPr="00C04594">
          <w:rPr>
            <w:rStyle w:val="Hyperlink"/>
            <w:rFonts w:ascii="MS Gothic" w:eastAsia="MS Gothic" w:hAnsi="MS Gothic" w:cs="MS Gothic" w:hint="eastAsia"/>
            <w:noProof/>
            <w:lang w:val="ru-RU"/>
          </w:rPr>
          <w:t>婚姻圣事的可</w:t>
        </w:r>
        <w:r w:rsidRPr="00C04594">
          <w:rPr>
            <w:rStyle w:val="Hyperlink"/>
            <w:rFonts w:ascii="Microsoft JhengHei" w:eastAsia="Microsoft JhengHei" w:hAnsi="Microsoft JhengHei" w:cs="Microsoft JhengHei" w:hint="eastAsia"/>
            <w:noProof/>
            <w:lang w:val="ru-RU"/>
          </w:rPr>
          <w:t>见方面与不可见行为</w:t>
        </w:r>
        <w:r>
          <w:rPr>
            <w:noProof/>
            <w:webHidden/>
          </w:rPr>
          <w:tab/>
        </w:r>
        <w:r>
          <w:rPr>
            <w:noProof/>
            <w:webHidden/>
          </w:rPr>
          <w:fldChar w:fldCharType="begin"/>
        </w:r>
        <w:r>
          <w:rPr>
            <w:noProof/>
            <w:webHidden/>
          </w:rPr>
          <w:instrText xml:space="preserve"> PAGEREF _Toc238576600 \h </w:instrText>
        </w:r>
        <w:r>
          <w:rPr>
            <w:noProof/>
            <w:webHidden/>
          </w:rPr>
        </w:r>
        <w:r>
          <w:rPr>
            <w:noProof/>
            <w:webHidden/>
          </w:rPr>
          <w:fldChar w:fldCharType="separate"/>
        </w:r>
        <w:r w:rsidR="007B5AC0">
          <w:rPr>
            <w:noProof/>
            <w:webHidden/>
          </w:rPr>
          <w:t>295</w:t>
        </w:r>
        <w:r>
          <w:rPr>
            <w:noProof/>
            <w:webHidden/>
          </w:rPr>
          <w:fldChar w:fldCharType="end"/>
        </w:r>
      </w:hyperlink>
    </w:p>
    <w:p w14:paraId="3B24744B" w14:textId="117CCA8C"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01" w:history="1">
        <w:r w:rsidRPr="00C04594">
          <w:rPr>
            <w:rStyle w:val="Hyperlink"/>
            <w:bCs/>
            <w:noProof/>
            <w:lang w:val="ru-RU"/>
          </w:rPr>
          <w:t>§236.</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谁可以主持婚姻圣事？接受此圣事者需要满足哪些条件？</w:t>
        </w:r>
        <w:r>
          <w:rPr>
            <w:noProof/>
            <w:webHidden/>
          </w:rPr>
          <w:tab/>
        </w:r>
        <w:r>
          <w:rPr>
            <w:noProof/>
            <w:webHidden/>
          </w:rPr>
          <w:fldChar w:fldCharType="begin"/>
        </w:r>
        <w:r>
          <w:rPr>
            <w:noProof/>
            <w:webHidden/>
          </w:rPr>
          <w:instrText xml:space="preserve"> PAGEREF _Toc238576601 \h </w:instrText>
        </w:r>
        <w:r>
          <w:rPr>
            <w:noProof/>
            <w:webHidden/>
          </w:rPr>
        </w:r>
        <w:r>
          <w:rPr>
            <w:noProof/>
            <w:webHidden/>
          </w:rPr>
          <w:fldChar w:fldCharType="separate"/>
        </w:r>
        <w:r w:rsidR="007B5AC0">
          <w:rPr>
            <w:noProof/>
            <w:webHidden/>
          </w:rPr>
          <w:t>296</w:t>
        </w:r>
        <w:r>
          <w:rPr>
            <w:noProof/>
            <w:webHidden/>
          </w:rPr>
          <w:fldChar w:fldCharType="end"/>
        </w:r>
      </w:hyperlink>
    </w:p>
    <w:p w14:paraId="008E279C" w14:textId="09CA9375"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02" w:history="1">
        <w:r w:rsidRPr="00C04594">
          <w:rPr>
            <w:rStyle w:val="Hyperlink"/>
            <w:bCs/>
            <w:noProof/>
            <w:lang w:val="ru-RU"/>
          </w:rPr>
          <w:t>§237.</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经圣事圣化之基督教婚姻的特性</w:t>
        </w:r>
        <w:r>
          <w:rPr>
            <w:noProof/>
            <w:webHidden/>
          </w:rPr>
          <w:tab/>
        </w:r>
        <w:r>
          <w:rPr>
            <w:noProof/>
            <w:webHidden/>
          </w:rPr>
          <w:fldChar w:fldCharType="begin"/>
        </w:r>
        <w:r>
          <w:rPr>
            <w:noProof/>
            <w:webHidden/>
          </w:rPr>
          <w:instrText xml:space="preserve"> PAGEREF _Toc238576602 \h </w:instrText>
        </w:r>
        <w:r>
          <w:rPr>
            <w:noProof/>
            <w:webHidden/>
          </w:rPr>
        </w:r>
        <w:r>
          <w:rPr>
            <w:noProof/>
            <w:webHidden/>
          </w:rPr>
          <w:fldChar w:fldCharType="separate"/>
        </w:r>
        <w:r w:rsidR="007B5AC0">
          <w:rPr>
            <w:noProof/>
            <w:webHidden/>
          </w:rPr>
          <w:t>297</w:t>
        </w:r>
        <w:r>
          <w:rPr>
            <w:noProof/>
            <w:webHidden/>
          </w:rPr>
          <w:fldChar w:fldCharType="end"/>
        </w:r>
      </w:hyperlink>
    </w:p>
    <w:p w14:paraId="68922E49" w14:textId="6052E886"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603" w:history="1">
        <w:r w:rsidRPr="00C04594">
          <w:rPr>
            <w:rStyle w:val="Hyperlink"/>
            <w:bCs/>
            <w:noProof/>
            <w:lang w:val="ru-RU"/>
          </w:rPr>
          <w:t>7.</w:t>
        </w:r>
        <w:r w:rsidRPr="00C04594">
          <w:rPr>
            <w:rStyle w:val="Hyperlink"/>
            <w:noProof/>
            <w:lang w:val="ru-RU"/>
          </w:rPr>
          <w:t xml:space="preserve"> </w:t>
        </w:r>
        <w:r w:rsidRPr="00C04594">
          <w:rPr>
            <w:rStyle w:val="Hyperlink"/>
            <w:rFonts w:ascii="MS Gothic" w:eastAsia="MS Gothic" w:hAnsi="MS Gothic" w:cs="MS Gothic" w:hint="eastAsia"/>
            <w:noProof/>
            <w:lang w:val="ru-RU"/>
          </w:rPr>
          <w:t>关于司</w:t>
        </w:r>
        <w:r w:rsidRPr="00C04594">
          <w:rPr>
            <w:rStyle w:val="Hyperlink"/>
            <w:rFonts w:ascii="Microsoft JhengHei" w:eastAsia="Microsoft JhengHei" w:hAnsi="Microsoft JhengHei" w:cs="Microsoft JhengHei" w:hint="eastAsia"/>
            <w:noProof/>
            <w:lang w:val="ru-RU"/>
          </w:rPr>
          <w:t>铎圣事</w:t>
        </w:r>
        <w:r>
          <w:rPr>
            <w:noProof/>
            <w:webHidden/>
          </w:rPr>
          <w:tab/>
        </w:r>
        <w:r>
          <w:rPr>
            <w:noProof/>
            <w:webHidden/>
          </w:rPr>
          <w:fldChar w:fldCharType="begin"/>
        </w:r>
        <w:r>
          <w:rPr>
            <w:noProof/>
            <w:webHidden/>
          </w:rPr>
          <w:instrText xml:space="preserve"> PAGEREF _Toc238576603 \h </w:instrText>
        </w:r>
        <w:r>
          <w:rPr>
            <w:noProof/>
            <w:webHidden/>
          </w:rPr>
        </w:r>
        <w:r>
          <w:rPr>
            <w:noProof/>
            <w:webHidden/>
          </w:rPr>
          <w:fldChar w:fldCharType="separate"/>
        </w:r>
        <w:r w:rsidR="007B5AC0">
          <w:rPr>
            <w:noProof/>
            <w:webHidden/>
          </w:rPr>
          <w:t>299</w:t>
        </w:r>
        <w:r>
          <w:rPr>
            <w:noProof/>
            <w:webHidden/>
          </w:rPr>
          <w:fldChar w:fldCharType="end"/>
        </w:r>
      </w:hyperlink>
    </w:p>
    <w:p w14:paraId="4B06A393" w14:textId="488ED532"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04" w:history="1">
        <w:r w:rsidRPr="00C04594">
          <w:rPr>
            <w:rStyle w:val="Hyperlink"/>
            <w:noProof/>
            <w:lang w:val="ru-RU"/>
          </w:rPr>
          <w:t xml:space="preserve">§238.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联；圣职作为教会中由上帝设立的特殊事工（教会等级制度）及其三个等级；关于圣职作为圣事的概念</w:t>
        </w:r>
        <w:r>
          <w:rPr>
            <w:noProof/>
            <w:webHidden/>
          </w:rPr>
          <w:tab/>
        </w:r>
        <w:r>
          <w:rPr>
            <w:noProof/>
            <w:webHidden/>
          </w:rPr>
          <w:fldChar w:fldCharType="begin"/>
        </w:r>
        <w:r>
          <w:rPr>
            <w:noProof/>
            <w:webHidden/>
          </w:rPr>
          <w:instrText xml:space="preserve"> PAGEREF _Toc238576604 \h </w:instrText>
        </w:r>
        <w:r>
          <w:rPr>
            <w:noProof/>
            <w:webHidden/>
          </w:rPr>
        </w:r>
        <w:r>
          <w:rPr>
            <w:noProof/>
            <w:webHidden/>
          </w:rPr>
          <w:fldChar w:fldCharType="separate"/>
        </w:r>
        <w:r w:rsidR="007B5AC0">
          <w:rPr>
            <w:noProof/>
            <w:webHidden/>
          </w:rPr>
          <w:t>299</w:t>
        </w:r>
        <w:r>
          <w:rPr>
            <w:noProof/>
            <w:webHidden/>
          </w:rPr>
          <w:fldChar w:fldCharType="end"/>
        </w:r>
      </w:hyperlink>
    </w:p>
    <w:p w14:paraId="58BE29C6" w14:textId="4B1581FC"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05" w:history="1">
        <w:r w:rsidRPr="00C04594">
          <w:rPr>
            <w:rStyle w:val="Hyperlink"/>
            <w:noProof/>
            <w:lang w:val="ru-RU"/>
          </w:rPr>
          <w:t xml:space="preserve">§239. </w:t>
        </w:r>
        <w:r w:rsidRPr="00C04594">
          <w:rPr>
            <w:rStyle w:val="Hyperlink"/>
            <w:rFonts w:ascii="MS Gothic" w:eastAsia="MS Gothic" w:hAnsi="MS Gothic" w:cs="MS Gothic" w:hint="eastAsia"/>
            <w:noProof/>
            <w:lang w:val="ru-RU"/>
          </w:rPr>
          <w:t>司</w:t>
        </w:r>
        <w:r w:rsidRPr="00C04594">
          <w:rPr>
            <w:rStyle w:val="Hyperlink"/>
            <w:rFonts w:ascii="Microsoft JhengHei" w:eastAsia="Microsoft JhengHei" w:hAnsi="Microsoft JhengHei" w:cs="Microsoft JhengHei" w:hint="eastAsia"/>
            <w:noProof/>
            <w:lang w:val="ru-RU"/>
          </w:rPr>
          <w:t>铎圣事的</w:t>
        </w:r>
        <w:r w:rsidRPr="00C04594">
          <w:rPr>
            <w:rStyle w:val="Hyperlink"/>
            <w:noProof/>
            <w:lang w:val="ru-RU"/>
          </w:rPr>
          <w:t xml:space="preserve"> divine </w:t>
        </w:r>
        <w:r w:rsidRPr="00C04594">
          <w:rPr>
            <w:rStyle w:val="Hyperlink"/>
            <w:rFonts w:ascii="Microsoft JhengHei" w:eastAsia="Microsoft JhengHei" w:hAnsi="Microsoft JhengHei" w:cs="Microsoft JhengHei" w:hint="eastAsia"/>
            <w:noProof/>
            <w:lang w:val="ru-RU"/>
          </w:rPr>
          <w:t>设立及其有效性</w:t>
        </w:r>
        <w:r>
          <w:rPr>
            <w:noProof/>
            <w:webHidden/>
          </w:rPr>
          <w:tab/>
        </w:r>
        <w:r>
          <w:rPr>
            <w:noProof/>
            <w:webHidden/>
          </w:rPr>
          <w:fldChar w:fldCharType="begin"/>
        </w:r>
        <w:r>
          <w:rPr>
            <w:noProof/>
            <w:webHidden/>
          </w:rPr>
          <w:instrText xml:space="preserve"> PAGEREF _Toc238576605 \h </w:instrText>
        </w:r>
        <w:r>
          <w:rPr>
            <w:noProof/>
            <w:webHidden/>
          </w:rPr>
        </w:r>
        <w:r>
          <w:rPr>
            <w:noProof/>
            <w:webHidden/>
          </w:rPr>
          <w:fldChar w:fldCharType="separate"/>
        </w:r>
        <w:r w:rsidR="007B5AC0">
          <w:rPr>
            <w:noProof/>
            <w:webHidden/>
          </w:rPr>
          <w:t>300</w:t>
        </w:r>
        <w:r>
          <w:rPr>
            <w:noProof/>
            <w:webHidden/>
          </w:rPr>
          <w:fldChar w:fldCharType="end"/>
        </w:r>
      </w:hyperlink>
    </w:p>
    <w:p w14:paraId="125575F0" w14:textId="152ADFC6"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06" w:history="1">
        <w:r w:rsidRPr="00C04594">
          <w:rPr>
            <w:rStyle w:val="Hyperlink"/>
            <w:noProof/>
            <w:lang w:val="ru-RU"/>
          </w:rPr>
          <w:t xml:space="preserve">§240. </w:t>
        </w:r>
        <w:r w:rsidRPr="00C04594">
          <w:rPr>
            <w:rStyle w:val="Hyperlink"/>
            <w:rFonts w:ascii="MS Gothic" w:eastAsia="MS Gothic" w:hAnsi="MS Gothic" w:cs="MS Gothic" w:hint="eastAsia"/>
            <w:noProof/>
            <w:lang w:val="ru-RU"/>
          </w:rPr>
          <w:t>圣</w:t>
        </w:r>
        <w:r w:rsidRPr="00C04594">
          <w:rPr>
            <w:rStyle w:val="Hyperlink"/>
            <w:rFonts w:ascii="Microsoft JhengHei" w:eastAsia="Microsoft JhengHei" w:hAnsi="Microsoft JhengHei" w:cs="Microsoft JhengHei" w:hint="eastAsia"/>
            <w:noProof/>
            <w:lang w:val="ru-RU"/>
          </w:rPr>
          <w:t>职圣事的可见方面、其不可见的作用及其不可重复性</w:t>
        </w:r>
        <w:r>
          <w:rPr>
            <w:noProof/>
            <w:webHidden/>
          </w:rPr>
          <w:tab/>
        </w:r>
        <w:r>
          <w:rPr>
            <w:noProof/>
            <w:webHidden/>
          </w:rPr>
          <w:fldChar w:fldCharType="begin"/>
        </w:r>
        <w:r>
          <w:rPr>
            <w:noProof/>
            <w:webHidden/>
          </w:rPr>
          <w:instrText xml:space="preserve"> PAGEREF _Toc238576606 \h </w:instrText>
        </w:r>
        <w:r>
          <w:rPr>
            <w:noProof/>
            <w:webHidden/>
          </w:rPr>
        </w:r>
        <w:r>
          <w:rPr>
            <w:noProof/>
            <w:webHidden/>
          </w:rPr>
          <w:fldChar w:fldCharType="separate"/>
        </w:r>
        <w:r w:rsidR="007B5AC0">
          <w:rPr>
            <w:noProof/>
            <w:webHidden/>
          </w:rPr>
          <w:t>301</w:t>
        </w:r>
        <w:r>
          <w:rPr>
            <w:noProof/>
            <w:webHidden/>
          </w:rPr>
          <w:fldChar w:fldCharType="end"/>
        </w:r>
      </w:hyperlink>
    </w:p>
    <w:p w14:paraId="739A25F7" w14:textId="6CCCA016"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07" w:history="1">
        <w:r w:rsidRPr="00C04594">
          <w:rPr>
            <w:rStyle w:val="Hyperlink"/>
            <w:bCs/>
            <w:noProof/>
            <w:lang w:val="ru-RU"/>
          </w:rPr>
          <w:t>§241.</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谁可以施行司铎圣事，以及接受者应具备哪些条件</w:t>
        </w:r>
        <w:r>
          <w:rPr>
            <w:noProof/>
            <w:webHidden/>
          </w:rPr>
          <w:tab/>
        </w:r>
        <w:r>
          <w:rPr>
            <w:noProof/>
            <w:webHidden/>
          </w:rPr>
          <w:fldChar w:fldCharType="begin"/>
        </w:r>
        <w:r>
          <w:rPr>
            <w:noProof/>
            <w:webHidden/>
          </w:rPr>
          <w:instrText xml:space="preserve"> PAGEREF _Toc238576607 \h </w:instrText>
        </w:r>
        <w:r>
          <w:rPr>
            <w:noProof/>
            <w:webHidden/>
          </w:rPr>
        </w:r>
        <w:r>
          <w:rPr>
            <w:noProof/>
            <w:webHidden/>
          </w:rPr>
          <w:fldChar w:fldCharType="separate"/>
        </w:r>
        <w:r w:rsidR="007B5AC0">
          <w:rPr>
            <w:noProof/>
            <w:webHidden/>
          </w:rPr>
          <w:t>304</w:t>
        </w:r>
        <w:r>
          <w:rPr>
            <w:noProof/>
            <w:webHidden/>
          </w:rPr>
          <w:fldChar w:fldCharType="end"/>
        </w:r>
      </w:hyperlink>
    </w:p>
    <w:p w14:paraId="7BAF7441" w14:textId="35E43C05"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608" w:history="1">
        <w:r w:rsidRPr="00C04594">
          <w:rPr>
            <w:rStyle w:val="Hyperlink"/>
            <w:noProof/>
            <w:lang w:val="ru-RU"/>
          </w:rPr>
          <w:t xml:space="preserve">8. </w:t>
        </w:r>
        <w:r w:rsidRPr="00C04594">
          <w:rPr>
            <w:rStyle w:val="Hyperlink"/>
            <w:rFonts w:ascii="MS Gothic" w:eastAsia="MS Gothic" w:hAnsi="MS Gothic" w:cs="MS Gothic" w:hint="eastAsia"/>
            <w:noProof/>
            <w:lang w:val="ru-RU"/>
          </w:rPr>
          <w:t>关于圣事的</w:t>
        </w:r>
        <w:r w:rsidRPr="00C04594">
          <w:rPr>
            <w:rStyle w:val="Hyperlink"/>
            <w:rFonts w:ascii="Microsoft JhengHei" w:eastAsia="Microsoft JhengHei" w:hAnsi="Microsoft JhengHei" w:cs="Microsoft JhengHei" w:hint="eastAsia"/>
            <w:noProof/>
            <w:lang w:val="ru-RU"/>
          </w:rPr>
          <w:t>总体评论</w:t>
        </w:r>
        <w:r>
          <w:rPr>
            <w:noProof/>
            <w:webHidden/>
          </w:rPr>
          <w:tab/>
        </w:r>
        <w:r>
          <w:rPr>
            <w:noProof/>
            <w:webHidden/>
          </w:rPr>
          <w:fldChar w:fldCharType="begin"/>
        </w:r>
        <w:r>
          <w:rPr>
            <w:noProof/>
            <w:webHidden/>
          </w:rPr>
          <w:instrText xml:space="preserve"> PAGEREF _Toc238576608 \h </w:instrText>
        </w:r>
        <w:r>
          <w:rPr>
            <w:noProof/>
            <w:webHidden/>
          </w:rPr>
        </w:r>
        <w:r>
          <w:rPr>
            <w:noProof/>
            <w:webHidden/>
          </w:rPr>
          <w:fldChar w:fldCharType="separate"/>
        </w:r>
        <w:r w:rsidR="007B5AC0">
          <w:rPr>
            <w:noProof/>
            <w:webHidden/>
          </w:rPr>
          <w:t>307</w:t>
        </w:r>
        <w:r>
          <w:rPr>
            <w:noProof/>
            <w:webHidden/>
          </w:rPr>
          <w:fldChar w:fldCharType="end"/>
        </w:r>
      </w:hyperlink>
    </w:p>
    <w:p w14:paraId="150BE7D0" w14:textId="090C5282"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09" w:history="1">
        <w:r w:rsidRPr="00C04594">
          <w:rPr>
            <w:rStyle w:val="Hyperlink"/>
            <w:bCs/>
            <w:noProof/>
            <w:lang w:val="ru-RU"/>
          </w:rPr>
          <w:t>§242.</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这些评论的对象</w:t>
        </w:r>
        <w:r>
          <w:rPr>
            <w:noProof/>
            <w:webHidden/>
          </w:rPr>
          <w:tab/>
        </w:r>
        <w:r>
          <w:rPr>
            <w:noProof/>
            <w:webHidden/>
          </w:rPr>
          <w:fldChar w:fldCharType="begin"/>
        </w:r>
        <w:r>
          <w:rPr>
            <w:noProof/>
            <w:webHidden/>
          </w:rPr>
          <w:instrText xml:space="preserve"> PAGEREF _Toc238576609 \h </w:instrText>
        </w:r>
        <w:r>
          <w:rPr>
            <w:noProof/>
            <w:webHidden/>
          </w:rPr>
        </w:r>
        <w:r>
          <w:rPr>
            <w:noProof/>
            <w:webHidden/>
          </w:rPr>
          <w:fldChar w:fldCharType="separate"/>
        </w:r>
        <w:r w:rsidR="007B5AC0">
          <w:rPr>
            <w:noProof/>
            <w:webHidden/>
          </w:rPr>
          <w:t>307</w:t>
        </w:r>
        <w:r>
          <w:rPr>
            <w:noProof/>
            <w:webHidden/>
          </w:rPr>
          <w:fldChar w:fldCharType="end"/>
        </w:r>
      </w:hyperlink>
    </w:p>
    <w:p w14:paraId="04C8D655" w14:textId="1B7BBEB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10" w:history="1">
        <w:r w:rsidRPr="00C04594">
          <w:rPr>
            <w:rStyle w:val="Hyperlink"/>
            <w:bCs/>
            <w:noProof/>
            <w:lang w:val="ru-RU"/>
          </w:rPr>
          <w:t>§243.</w:t>
        </w:r>
        <w:r w:rsidRPr="00C04594">
          <w:rPr>
            <w:rStyle w:val="Hyperlink"/>
            <w:noProof/>
            <w:lang w:val="ru-RU"/>
          </w:rPr>
          <w:t xml:space="preserve"> </w:t>
        </w:r>
        <w:r w:rsidRPr="00C04594">
          <w:rPr>
            <w:rStyle w:val="Hyperlink"/>
            <w:rFonts w:ascii="MS Gothic" w:eastAsia="MS Gothic" w:hAnsi="MS Gothic" w:cs="MS Gothic" w:hint="eastAsia"/>
            <w:noProof/>
            <w:lang w:val="ru-RU"/>
          </w:rPr>
          <w:t>关于圣礼的本</w:t>
        </w:r>
        <w:r w:rsidRPr="00C04594">
          <w:rPr>
            <w:rStyle w:val="Hyperlink"/>
            <w:rFonts w:ascii="Microsoft JhengHei" w:eastAsia="Microsoft JhengHei" w:hAnsi="Microsoft JhengHei" w:cs="Microsoft JhengHei" w:hint="eastAsia"/>
            <w:noProof/>
            <w:lang w:val="ru-RU"/>
          </w:rPr>
          <w:t>质</w:t>
        </w:r>
        <w:r>
          <w:rPr>
            <w:noProof/>
            <w:webHidden/>
          </w:rPr>
          <w:tab/>
        </w:r>
        <w:r>
          <w:rPr>
            <w:noProof/>
            <w:webHidden/>
          </w:rPr>
          <w:fldChar w:fldCharType="begin"/>
        </w:r>
        <w:r>
          <w:rPr>
            <w:noProof/>
            <w:webHidden/>
          </w:rPr>
          <w:instrText xml:space="preserve"> PAGEREF _Toc238576610 \h </w:instrText>
        </w:r>
        <w:r>
          <w:rPr>
            <w:noProof/>
            <w:webHidden/>
          </w:rPr>
        </w:r>
        <w:r>
          <w:rPr>
            <w:noProof/>
            <w:webHidden/>
          </w:rPr>
          <w:fldChar w:fldCharType="separate"/>
        </w:r>
        <w:r w:rsidR="007B5AC0">
          <w:rPr>
            <w:noProof/>
            <w:webHidden/>
          </w:rPr>
          <w:t>307</w:t>
        </w:r>
        <w:r>
          <w:rPr>
            <w:noProof/>
            <w:webHidden/>
          </w:rPr>
          <w:fldChar w:fldCharType="end"/>
        </w:r>
      </w:hyperlink>
    </w:p>
    <w:p w14:paraId="27D31E19" w14:textId="46E8ABB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11" w:history="1">
        <w:r w:rsidRPr="00C04594">
          <w:rPr>
            <w:rStyle w:val="Hyperlink"/>
            <w:bCs/>
            <w:noProof/>
            <w:lang w:val="ru-RU"/>
          </w:rPr>
          <w:t>§244.</w:t>
        </w:r>
        <w:r w:rsidRPr="00C04594">
          <w:rPr>
            <w:rStyle w:val="Hyperlink"/>
            <w:noProof/>
            <w:lang w:val="ru-RU"/>
          </w:rPr>
          <w:t xml:space="preserve"> </w:t>
        </w:r>
        <w:r w:rsidRPr="00C04594">
          <w:rPr>
            <w:rStyle w:val="Hyperlink"/>
            <w:rFonts w:ascii="MS Gothic" w:eastAsia="MS Gothic" w:hAnsi="MS Gothic" w:cs="MS Gothic" w:hint="eastAsia"/>
            <w:noProof/>
            <w:lang w:val="ru-RU"/>
          </w:rPr>
          <w:t>关于七件圣事的数量</w:t>
        </w:r>
        <w:r>
          <w:rPr>
            <w:noProof/>
            <w:webHidden/>
          </w:rPr>
          <w:tab/>
        </w:r>
        <w:r>
          <w:rPr>
            <w:noProof/>
            <w:webHidden/>
          </w:rPr>
          <w:fldChar w:fldCharType="begin"/>
        </w:r>
        <w:r>
          <w:rPr>
            <w:noProof/>
            <w:webHidden/>
          </w:rPr>
          <w:instrText xml:space="preserve"> PAGEREF _Toc238576611 \h </w:instrText>
        </w:r>
        <w:r>
          <w:rPr>
            <w:noProof/>
            <w:webHidden/>
          </w:rPr>
        </w:r>
        <w:r>
          <w:rPr>
            <w:noProof/>
            <w:webHidden/>
          </w:rPr>
          <w:fldChar w:fldCharType="separate"/>
        </w:r>
        <w:r w:rsidR="007B5AC0">
          <w:rPr>
            <w:noProof/>
            <w:webHidden/>
          </w:rPr>
          <w:t>309</w:t>
        </w:r>
        <w:r>
          <w:rPr>
            <w:noProof/>
            <w:webHidden/>
          </w:rPr>
          <w:fldChar w:fldCharType="end"/>
        </w:r>
      </w:hyperlink>
    </w:p>
    <w:p w14:paraId="693666CB" w14:textId="0829356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12" w:history="1">
        <w:r w:rsidRPr="00C04594">
          <w:rPr>
            <w:rStyle w:val="Hyperlink"/>
            <w:bCs/>
            <w:noProof/>
            <w:lang w:val="ru-RU"/>
          </w:rPr>
          <w:t>§245.</w:t>
        </w:r>
        <w:r w:rsidRPr="00C04594">
          <w:rPr>
            <w:rStyle w:val="Hyperlink"/>
            <w:noProof/>
            <w:lang w:val="ru-RU"/>
          </w:rPr>
          <w:t xml:space="preserve"> </w:t>
        </w:r>
        <w:r w:rsidRPr="00C04594">
          <w:rPr>
            <w:rStyle w:val="Hyperlink"/>
            <w:rFonts w:ascii="MS Gothic" w:eastAsia="MS Gothic" w:hAnsi="MS Gothic" w:cs="MS Gothic" w:hint="eastAsia"/>
            <w:noProof/>
            <w:lang w:val="ru-RU"/>
          </w:rPr>
          <w:t>关于圣事施行与生效的条件</w:t>
        </w:r>
        <w:r>
          <w:rPr>
            <w:noProof/>
            <w:webHidden/>
          </w:rPr>
          <w:tab/>
        </w:r>
        <w:r>
          <w:rPr>
            <w:noProof/>
            <w:webHidden/>
          </w:rPr>
          <w:fldChar w:fldCharType="begin"/>
        </w:r>
        <w:r>
          <w:rPr>
            <w:noProof/>
            <w:webHidden/>
          </w:rPr>
          <w:instrText xml:space="preserve"> PAGEREF _Toc238576612 \h </w:instrText>
        </w:r>
        <w:r>
          <w:rPr>
            <w:noProof/>
            <w:webHidden/>
          </w:rPr>
        </w:r>
        <w:r>
          <w:rPr>
            <w:noProof/>
            <w:webHidden/>
          </w:rPr>
          <w:fldChar w:fldCharType="separate"/>
        </w:r>
        <w:r w:rsidR="007B5AC0">
          <w:rPr>
            <w:noProof/>
            <w:webHidden/>
          </w:rPr>
          <w:t>312</w:t>
        </w:r>
        <w:r>
          <w:rPr>
            <w:noProof/>
            <w:webHidden/>
          </w:rPr>
          <w:fldChar w:fldCharType="end"/>
        </w:r>
      </w:hyperlink>
    </w:p>
    <w:p w14:paraId="67125F0C" w14:textId="0F6B330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13" w:history="1">
        <w:r w:rsidRPr="00C04594">
          <w:rPr>
            <w:rStyle w:val="Hyperlink"/>
            <w:bCs/>
            <w:noProof/>
            <w:lang w:val="ru-RU"/>
          </w:rPr>
          <w:t>§246.</w:t>
        </w:r>
        <w:r w:rsidRPr="00C04594">
          <w:rPr>
            <w:rStyle w:val="Hyperlink"/>
            <w:noProof/>
            <w:lang w:val="ru-RU"/>
          </w:rPr>
          <w:t xml:space="preserve"> </w:t>
        </w:r>
        <w:r w:rsidRPr="00C04594">
          <w:rPr>
            <w:rStyle w:val="Hyperlink"/>
            <w:rFonts w:ascii="MS Gothic" w:eastAsia="MS Gothic" w:hAnsi="MS Gothic" w:cs="MS Gothic" w:hint="eastAsia"/>
            <w:noProof/>
            <w:lang w:val="ru-RU"/>
          </w:rPr>
          <w:t>关于圣事教</w:t>
        </w:r>
        <w:r w:rsidRPr="00C04594">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_Toc238576613 \h </w:instrText>
        </w:r>
        <w:r>
          <w:rPr>
            <w:noProof/>
            <w:webHidden/>
          </w:rPr>
        </w:r>
        <w:r>
          <w:rPr>
            <w:noProof/>
            <w:webHidden/>
          </w:rPr>
          <w:fldChar w:fldCharType="separate"/>
        </w:r>
        <w:r w:rsidR="007B5AC0">
          <w:rPr>
            <w:noProof/>
            <w:webHidden/>
          </w:rPr>
          <w:t>315</w:t>
        </w:r>
        <w:r>
          <w:rPr>
            <w:noProof/>
            <w:webHidden/>
          </w:rPr>
          <w:fldChar w:fldCharType="end"/>
        </w:r>
      </w:hyperlink>
    </w:p>
    <w:p w14:paraId="46D53F61" w14:textId="543F3CA4" w:rsidR="0097554A" w:rsidRDefault="0097554A" w:rsidP="0097554A">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6614" w:history="1">
        <w:r w:rsidRPr="00C04594">
          <w:rPr>
            <w:rStyle w:val="Hyperlink"/>
            <w:rFonts w:ascii="MS Gothic" w:eastAsia="MS Gothic" w:hAnsi="MS Gothic" w:cs="MS Gothic" w:hint="eastAsia"/>
            <w:noProof/>
          </w:rPr>
          <w:t>第二</w:t>
        </w:r>
        <w:r w:rsidRPr="00C04594">
          <w:rPr>
            <w:rStyle w:val="Hyperlink"/>
            <w:rFonts w:ascii="MS Gothic" w:eastAsia="MS Gothic" w:hAnsi="MS Gothic" w:cs="MS Gothic" w:hint="eastAsia"/>
            <w:noProof/>
            <w:lang w:val="ru-RU"/>
          </w:rPr>
          <w:t>章。</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论上帝作为审判者与赏赐者</w:t>
        </w:r>
        <w:r>
          <w:rPr>
            <w:noProof/>
            <w:webHidden/>
          </w:rPr>
          <w:tab/>
        </w:r>
        <w:r>
          <w:rPr>
            <w:noProof/>
            <w:webHidden/>
          </w:rPr>
          <w:fldChar w:fldCharType="begin"/>
        </w:r>
        <w:r>
          <w:rPr>
            <w:noProof/>
            <w:webHidden/>
          </w:rPr>
          <w:instrText xml:space="preserve"> PAGEREF _Toc238576614 \h </w:instrText>
        </w:r>
        <w:r>
          <w:rPr>
            <w:noProof/>
            <w:webHidden/>
          </w:rPr>
        </w:r>
        <w:r>
          <w:rPr>
            <w:noProof/>
            <w:webHidden/>
          </w:rPr>
          <w:fldChar w:fldCharType="separate"/>
        </w:r>
        <w:r w:rsidR="007B5AC0">
          <w:rPr>
            <w:noProof/>
            <w:webHidden/>
          </w:rPr>
          <w:t>317</w:t>
        </w:r>
        <w:r>
          <w:rPr>
            <w:noProof/>
            <w:webHidden/>
          </w:rPr>
          <w:fldChar w:fldCharType="end"/>
        </w:r>
      </w:hyperlink>
    </w:p>
    <w:p w14:paraId="7DED34EA" w14:textId="2011C152"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15" w:history="1">
        <w:r w:rsidRPr="00C04594">
          <w:rPr>
            <w:rStyle w:val="Hyperlink"/>
            <w:bCs/>
            <w:noProof/>
            <w:lang w:val="ru-RU"/>
          </w:rPr>
          <w:t>§247.</w:t>
        </w:r>
        <w:r w:rsidRPr="00C04594">
          <w:rPr>
            <w:rStyle w:val="Hyperlink"/>
            <w:noProof/>
            <w:lang w:val="ru-RU"/>
          </w:rPr>
          <w:t xml:space="preserve">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联，关于上帝作为审判者与赏赐者的概念，以及教会关于此教义的阐述</w:t>
        </w:r>
        <w:r>
          <w:rPr>
            <w:noProof/>
            <w:webHidden/>
          </w:rPr>
          <w:tab/>
        </w:r>
        <w:r>
          <w:rPr>
            <w:noProof/>
            <w:webHidden/>
          </w:rPr>
          <w:fldChar w:fldCharType="begin"/>
        </w:r>
        <w:r>
          <w:rPr>
            <w:noProof/>
            <w:webHidden/>
          </w:rPr>
          <w:instrText xml:space="preserve"> PAGEREF _Toc238576615 \h </w:instrText>
        </w:r>
        <w:r>
          <w:rPr>
            <w:noProof/>
            <w:webHidden/>
          </w:rPr>
        </w:r>
        <w:r>
          <w:rPr>
            <w:noProof/>
            <w:webHidden/>
          </w:rPr>
          <w:fldChar w:fldCharType="separate"/>
        </w:r>
        <w:r w:rsidR="007B5AC0">
          <w:rPr>
            <w:noProof/>
            <w:webHidden/>
          </w:rPr>
          <w:t>317</w:t>
        </w:r>
        <w:r>
          <w:rPr>
            <w:noProof/>
            <w:webHidden/>
          </w:rPr>
          <w:fldChar w:fldCharType="end"/>
        </w:r>
      </w:hyperlink>
    </w:p>
    <w:p w14:paraId="1013FC8E" w14:textId="722368FE" w:rsidR="0097554A" w:rsidRDefault="0097554A" w:rsidP="0097554A">
      <w:pPr>
        <w:pStyle w:val="TOC3"/>
        <w:tabs>
          <w:tab w:val="right" w:leader="dot" w:pos="10790"/>
        </w:tabs>
        <w:rPr>
          <w:rFonts w:eastAsiaTheme="minorEastAsia" w:cstheme="minorBidi"/>
          <w:noProof/>
          <w:kern w:val="2"/>
          <w:sz w:val="24"/>
          <w:lang w:bidi="ta-IN"/>
          <w14:ligatures w14:val="standardContextual"/>
        </w:rPr>
      </w:pPr>
      <w:hyperlink w:anchor="_Toc238576616" w:history="1">
        <w:r w:rsidRPr="00C04594">
          <w:rPr>
            <w:rStyle w:val="Hyperlink"/>
            <w:rFonts w:ascii="MS Gothic" w:eastAsia="MS Gothic" w:hAnsi="MS Gothic" w:cs="MS Gothic" w:hint="eastAsia"/>
            <w:bCs/>
            <w:noProof/>
          </w:rPr>
          <w:t>第一条</w:t>
        </w:r>
        <w:r w:rsidRPr="00C04594">
          <w:rPr>
            <w:rStyle w:val="Hyperlink"/>
            <w:rFonts w:ascii="MS Gothic" w:eastAsia="MS Gothic" w:hAnsi="MS Gothic" w:cs="MS Gothic" w:hint="eastAsia"/>
            <w:bCs/>
            <w:noProof/>
            <w:lang w:val="ru-RU"/>
          </w:rPr>
          <w:t>。</w:t>
        </w:r>
        <w:r w:rsidRPr="00C04594">
          <w:rPr>
            <w:rStyle w:val="Hyperlink"/>
            <w:bCs/>
            <w:noProof/>
            <w:lang w:val="ru-RU"/>
          </w:rPr>
          <w:t xml:space="preserve"> </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论上帝作为每位人的审判者与赏罚者</w:t>
        </w:r>
        <w:r>
          <w:rPr>
            <w:noProof/>
            <w:webHidden/>
          </w:rPr>
          <w:tab/>
        </w:r>
        <w:r>
          <w:rPr>
            <w:noProof/>
            <w:webHidden/>
          </w:rPr>
          <w:fldChar w:fldCharType="begin"/>
        </w:r>
        <w:r>
          <w:rPr>
            <w:noProof/>
            <w:webHidden/>
          </w:rPr>
          <w:instrText xml:space="preserve"> PAGEREF _Toc238576616 \h </w:instrText>
        </w:r>
        <w:r>
          <w:rPr>
            <w:noProof/>
            <w:webHidden/>
          </w:rPr>
        </w:r>
        <w:r>
          <w:rPr>
            <w:noProof/>
            <w:webHidden/>
          </w:rPr>
          <w:fldChar w:fldCharType="separate"/>
        </w:r>
        <w:r w:rsidR="007B5AC0">
          <w:rPr>
            <w:noProof/>
            <w:webHidden/>
          </w:rPr>
          <w:t>318</w:t>
        </w:r>
        <w:r>
          <w:rPr>
            <w:noProof/>
            <w:webHidden/>
          </w:rPr>
          <w:fldChar w:fldCharType="end"/>
        </w:r>
      </w:hyperlink>
    </w:p>
    <w:p w14:paraId="69CC9DB0" w14:textId="67F470D8"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617" w:history="1">
        <w:r w:rsidRPr="00C04594">
          <w:rPr>
            <w:rStyle w:val="Hyperlink"/>
            <w:bCs/>
            <w:noProof/>
            <w:lang w:val="ru-RU"/>
          </w:rPr>
          <w:t>1.</w:t>
        </w:r>
        <w:r w:rsidRPr="00C04594">
          <w:rPr>
            <w:rStyle w:val="Hyperlink"/>
            <w:noProof/>
            <w:lang w:val="ru-RU"/>
          </w:rPr>
          <w:t xml:space="preserve"> </w:t>
        </w:r>
        <w:r w:rsidRPr="00C04594">
          <w:rPr>
            <w:rStyle w:val="Hyperlink"/>
            <w:rFonts w:ascii="MS Gothic" w:eastAsia="MS Gothic" w:hAnsi="MS Gothic" w:cs="MS Gothic" w:hint="eastAsia"/>
            <w:noProof/>
            <w:lang w:val="ru-RU"/>
          </w:rPr>
          <w:t>关于个</w:t>
        </w:r>
        <w:r w:rsidRPr="00C04594">
          <w:rPr>
            <w:rStyle w:val="Hyperlink"/>
            <w:rFonts w:ascii="Yu Gothic" w:eastAsia="Yu Gothic" w:hAnsi="Yu Gothic" w:cs="Yu Gothic" w:hint="eastAsia"/>
            <w:noProof/>
            <w:lang w:val="ru-RU"/>
          </w:rPr>
          <w:t>别</w:t>
        </w:r>
        <w:r w:rsidRPr="00C04594">
          <w:rPr>
            <w:rStyle w:val="Hyperlink"/>
            <w:rFonts w:ascii="Microsoft JhengHei" w:eastAsia="Microsoft JhengHei" w:hAnsi="Microsoft JhengHei" w:cs="Microsoft JhengHei" w:hint="eastAsia"/>
            <w:noProof/>
            <w:lang w:val="ru-RU"/>
          </w:rPr>
          <w:t>审判</w:t>
        </w:r>
        <w:r>
          <w:rPr>
            <w:noProof/>
            <w:webHidden/>
          </w:rPr>
          <w:tab/>
        </w:r>
        <w:r>
          <w:rPr>
            <w:noProof/>
            <w:webHidden/>
          </w:rPr>
          <w:fldChar w:fldCharType="begin"/>
        </w:r>
        <w:r>
          <w:rPr>
            <w:noProof/>
            <w:webHidden/>
          </w:rPr>
          <w:instrText xml:space="preserve"> PAGEREF _Toc238576617 \h </w:instrText>
        </w:r>
        <w:r>
          <w:rPr>
            <w:noProof/>
            <w:webHidden/>
          </w:rPr>
        </w:r>
        <w:r>
          <w:rPr>
            <w:noProof/>
            <w:webHidden/>
          </w:rPr>
          <w:fldChar w:fldCharType="separate"/>
        </w:r>
        <w:r w:rsidR="007B5AC0">
          <w:rPr>
            <w:noProof/>
            <w:webHidden/>
          </w:rPr>
          <w:t>318</w:t>
        </w:r>
        <w:r>
          <w:rPr>
            <w:noProof/>
            <w:webHidden/>
          </w:rPr>
          <w:fldChar w:fldCharType="end"/>
        </w:r>
      </w:hyperlink>
    </w:p>
    <w:p w14:paraId="69CA5B6D" w14:textId="5AAD9F9D"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18" w:history="1">
        <w:r w:rsidRPr="00C04594">
          <w:rPr>
            <w:rStyle w:val="Hyperlink"/>
            <w:noProof/>
            <w:lang w:val="ru-RU"/>
          </w:rPr>
          <w:t xml:space="preserve">§248. </w:t>
        </w:r>
        <w:r w:rsidRPr="00C04594">
          <w:rPr>
            <w:rStyle w:val="Hyperlink"/>
            <w:rFonts w:ascii="MS Gothic" w:eastAsia="MS Gothic" w:hAnsi="MS Gothic" w:cs="MS Gothic" w:hint="eastAsia"/>
            <w:noProof/>
            <w:lang w:val="ru-RU"/>
          </w:rPr>
          <w:t>个人</w:t>
        </w:r>
        <w:r w:rsidRPr="00C04594">
          <w:rPr>
            <w:rStyle w:val="Hyperlink"/>
            <w:rFonts w:ascii="Microsoft JhengHei" w:eastAsia="Microsoft JhengHei" w:hAnsi="Microsoft JhengHei" w:cs="Microsoft JhengHei" w:hint="eastAsia"/>
            <w:noProof/>
            <w:lang w:val="ru-RU"/>
          </w:rPr>
          <w:t>审判的前置条件：人的死亡</w:t>
        </w:r>
        <w:r>
          <w:rPr>
            <w:noProof/>
            <w:webHidden/>
          </w:rPr>
          <w:tab/>
        </w:r>
        <w:r>
          <w:rPr>
            <w:noProof/>
            <w:webHidden/>
          </w:rPr>
          <w:fldChar w:fldCharType="begin"/>
        </w:r>
        <w:r>
          <w:rPr>
            <w:noProof/>
            <w:webHidden/>
          </w:rPr>
          <w:instrText xml:space="preserve"> PAGEREF _Toc238576618 \h </w:instrText>
        </w:r>
        <w:r>
          <w:rPr>
            <w:noProof/>
            <w:webHidden/>
          </w:rPr>
        </w:r>
        <w:r>
          <w:rPr>
            <w:noProof/>
            <w:webHidden/>
          </w:rPr>
          <w:fldChar w:fldCharType="separate"/>
        </w:r>
        <w:r w:rsidR="007B5AC0">
          <w:rPr>
            <w:noProof/>
            <w:webHidden/>
          </w:rPr>
          <w:t>319</w:t>
        </w:r>
        <w:r>
          <w:rPr>
            <w:noProof/>
            <w:webHidden/>
          </w:rPr>
          <w:fldChar w:fldCharType="end"/>
        </w:r>
      </w:hyperlink>
    </w:p>
    <w:p w14:paraId="1322536B" w14:textId="622B9996"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19" w:history="1">
        <w:r w:rsidRPr="00C04594">
          <w:rPr>
            <w:rStyle w:val="Hyperlink"/>
            <w:noProof/>
            <w:lang w:val="ru-RU"/>
          </w:rPr>
          <w:t xml:space="preserve">§249. </w:t>
        </w:r>
        <w:r w:rsidRPr="00C04594">
          <w:rPr>
            <w:rStyle w:val="Hyperlink"/>
            <w:rFonts w:ascii="MS Gothic" w:eastAsia="MS Gothic" w:hAnsi="MS Gothic" w:cs="MS Gothic" w:hint="eastAsia"/>
            <w:noProof/>
            <w:lang w:val="ru-RU"/>
          </w:rPr>
          <w:t>个人</w:t>
        </w:r>
        <w:r w:rsidRPr="00C04594">
          <w:rPr>
            <w:rStyle w:val="Hyperlink"/>
            <w:rFonts w:ascii="Microsoft JhengHei" w:eastAsia="Microsoft JhengHei" w:hAnsi="Microsoft JhengHei" w:cs="Microsoft JhengHei" w:hint="eastAsia"/>
            <w:noProof/>
            <w:lang w:val="ru-RU"/>
          </w:rPr>
          <w:t>审判的有效性</w:t>
        </w:r>
        <w:r>
          <w:rPr>
            <w:noProof/>
            <w:webHidden/>
          </w:rPr>
          <w:tab/>
        </w:r>
        <w:r>
          <w:rPr>
            <w:noProof/>
            <w:webHidden/>
          </w:rPr>
          <w:fldChar w:fldCharType="begin"/>
        </w:r>
        <w:r>
          <w:rPr>
            <w:noProof/>
            <w:webHidden/>
          </w:rPr>
          <w:instrText xml:space="preserve"> PAGEREF _Toc238576619 \h </w:instrText>
        </w:r>
        <w:r>
          <w:rPr>
            <w:noProof/>
            <w:webHidden/>
          </w:rPr>
        </w:r>
        <w:r>
          <w:rPr>
            <w:noProof/>
            <w:webHidden/>
          </w:rPr>
          <w:fldChar w:fldCharType="separate"/>
        </w:r>
        <w:r w:rsidR="007B5AC0">
          <w:rPr>
            <w:noProof/>
            <w:webHidden/>
          </w:rPr>
          <w:t>320</w:t>
        </w:r>
        <w:r>
          <w:rPr>
            <w:noProof/>
            <w:webHidden/>
          </w:rPr>
          <w:fldChar w:fldCharType="end"/>
        </w:r>
      </w:hyperlink>
    </w:p>
    <w:p w14:paraId="26E6FC26" w14:textId="20BC91D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20" w:history="1">
        <w:r w:rsidRPr="00C04594">
          <w:rPr>
            <w:rStyle w:val="Hyperlink"/>
            <w:noProof/>
            <w:lang w:val="ru-RU"/>
          </w:rPr>
          <w:t xml:space="preserve">§250. </w:t>
        </w:r>
        <w:r w:rsidRPr="00C04594">
          <w:rPr>
            <w:rStyle w:val="Hyperlink"/>
            <w:rFonts w:ascii="MS Gothic" w:eastAsia="MS Gothic" w:hAnsi="MS Gothic" w:cs="MS Gothic" w:hint="eastAsia"/>
            <w:noProof/>
            <w:lang w:val="ru-RU"/>
          </w:rPr>
          <w:t>关于个</w:t>
        </w:r>
        <w:r w:rsidRPr="00C04594">
          <w:rPr>
            <w:rStyle w:val="Hyperlink"/>
            <w:rFonts w:ascii="Yu Gothic" w:eastAsia="Yu Gothic" w:hAnsi="Yu Gothic" w:cs="Yu Gothic" w:hint="eastAsia"/>
            <w:noProof/>
            <w:lang w:val="ru-RU"/>
          </w:rPr>
          <w:t>别</w:t>
        </w:r>
        <w:r w:rsidRPr="00C04594">
          <w:rPr>
            <w:rStyle w:val="Hyperlink"/>
            <w:rFonts w:ascii="Microsoft JhengHei" w:eastAsia="Microsoft JhengHei" w:hAnsi="Microsoft JhengHei" w:cs="Microsoft JhengHei" w:hint="eastAsia"/>
            <w:noProof/>
            <w:lang w:val="ru-RU"/>
          </w:rPr>
          <w:t>审判的描述：关于</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税吏之苦</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的教</w:t>
        </w:r>
        <w:r w:rsidRPr="00C04594">
          <w:rPr>
            <w:rStyle w:val="Hyperlink"/>
            <w:rFonts w:ascii="Microsoft JhengHei" w:eastAsia="Microsoft JhengHei" w:hAnsi="Microsoft JhengHei" w:cs="Microsoft JhengHei" w:hint="eastAsia"/>
            <w:noProof/>
            <w:lang w:val="ru-RU"/>
          </w:rPr>
          <w:t>义</w:t>
        </w:r>
        <w:r>
          <w:rPr>
            <w:noProof/>
            <w:webHidden/>
          </w:rPr>
          <w:tab/>
        </w:r>
        <w:r>
          <w:rPr>
            <w:noProof/>
            <w:webHidden/>
          </w:rPr>
          <w:fldChar w:fldCharType="begin"/>
        </w:r>
        <w:r>
          <w:rPr>
            <w:noProof/>
            <w:webHidden/>
          </w:rPr>
          <w:instrText xml:space="preserve"> PAGEREF _Toc238576620 \h </w:instrText>
        </w:r>
        <w:r>
          <w:rPr>
            <w:noProof/>
            <w:webHidden/>
          </w:rPr>
        </w:r>
        <w:r>
          <w:rPr>
            <w:noProof/>
            <w:webHidden/>
          </w:rPr>
          <w:fldChar w:fldCharType="separate"/>
        </w:r>
        <w:r w:rsidR="007B5AC0">
          <w:rPr>
            <w:noProof/>
            <w:webHidden/>
          </w:rPr>
          <w:t>322</w:t>
        </w:r>
        <w:r>
          <w:rPr>
            <w:noProof/>
            <w:webHidden/>
          </w:rPr>
          <w:fldChar w:fldCharType="end"/>
        </w:r>
      </w:hyperlink>
    </w:p>
    <w:p w14:paraId="06641433" w14:textId="70D644E5"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621" w:history="1">
        <w:r w:rsidRPr="00C04594">
          <w:rPr>
            <w:rStyle w:val="Hyperlink"/>
            <w:bCs/>
            <w:noProof/>
            <w:lang w:val="ru-RU"/>
          </w:rPr>
          <w:t>2.</w:t>
        </w:r>
        <w:r w:rsidRPr="00C04594">
          <w:rPr>
            <w:rStyle w:val="Hyperlink"/>
            <w:noProof/>
            <w:lang w:val="ru-RU"/>
          </w:rPr>
          <w:t xml:space="preserve"> </w:t>
        </w:r>
        <w:r w:rsidRPr="00C04594">
          <w:rPr>
            <w:rStyle w:val="Hyperlink"/>
            <w:rFonts w:ascii="MS Gothic" w:eastAsia="MS Gothic" w:hAnsi="MS Gothic" w:cs="MS Gothic" w:hint="eastAsia"/>
            <w:noProof/>
            <w:lang w:val="ru-RU"/>
          </w:rPr>
          <w:t>关于私判后的</w:t>
        </w:r>
        <w:r w:rsidRPr="00C04594">
          <w:rPr>
            <w:rStyle w:val="Hyperlink"/>
            <w:rFonts w:ascii="Microsoft JhengHei" w:eastAsia="Microsoft JhengHei" w:hAnsi="Microsoft JhengHei" w:cs="Microsoft JhengHei" w:hint="eastAsia"/>
            <w:noProof/>
            <w:lang w:val="ru-RU"/>
          </w:rPr>
          <w:t>赏罚</w:t>
        </w:r>
        <w:r>
          <w:rPr>
            <w:noProof/>
            <w:webHidden/>
          </w:rPr>
          <w:tab/>
        </w:r>
        <w:r>
          <w:rPr>
            <w:noProof/>
            <w:webHidden/>
          </w:rPr>
          <w:fldChar w:fldCharType="begin"/>
        </w:r>
        <w:r>
          <w:rPr>
            <w:noProof/>
            <w:webHidden/>
          </w:rPr>
          <w:instrText xml:space="preserve"> PAGEREF _Toc238576621 \h </w:instrText>
        </w:r>
        <w:r>
          <w:rPr>
            <w:noProof/>
            <w:webHidden/>
          </w:rPr>
        </w:r>
        <w:r>
          <w:rPr>
            <w:noProof/>
            <w:webHidden/>
          </w:rPr>
          <w:fldChar w:fldCharType="separate"/>
        </w:r>
        <w:r w:rsidR="007B5AC0">
          <w:rPr>
            <w:noProof/>
            <w:webHidden/>
          </w:rPr>
          <w:t>328</w:t>
        </w:r>
        <w:r>
          <w:rPr>
            <w:noProof/>
            <w:webHidden/>
          </w:rPr>
          <w:fldChar w:fldCharType="end"/>
        </w:r>
      </w:hyperlink>
    </w:p>
    <w:p w14:paraId="4867AC90" w14:textId="028BAA6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22" w:history="1">
        <w:r w:rsidRPr="00C04594">
          <w:rPr>
            <w:rStyle w:val="Hyperlink"/>
            <w:bCs/>
            <w:noProof/>
            <w:lang w:val="ru-RU"/>
          </w:rPr>
          <w:t>§251.</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东正教会的教义及其构成</w:t>
        </w:r>
        <w:r>
          <w:rPr>
            <w:noProof/>
            <w:webHidden/>
          </w:rPr>
          <w:tab/>
        </w:r>
        <w:r>
          <w:rPr>
            <w:noProof/>
            <w:webHidden/>
          </w:rPr>
          <w:fldChar w:fldCharType="begin"/>
        </w:r>
        <w:r>
          <w:rPr>
            <w:noProof/>
            <w:webHidden/>
          </w:rPr>
          <w:instrText xml:space="preserve"> PAGEREF _Toc238576622 \h </w:instrText>
        </w:r>
        <w:r>
          <w:rPr>
            <w:noProof/>
            <w:webHidden/>
          </w:rPr>
        </w:r>
        <w:r>
          <w:rPr>
            <w:noProof/>
            <w:webHidden/>
          </w:rPr>
          <w:fldChar w:fldCharType="separate"/>
        </w:r>
        <w:r w:rsidR="007B5AC0">
          <w:rPr>
            <w:noProof/>
            <w:webHidden/>
          </w:rPr>
          <w:t>328</w:t>
        </w:r>
        <w:r>
          <w:rPr>
            <w:noProof/>
            <w:webHidden/>
          </w:rPr>
          <w:fldChar w:fldCharType="end"/>
        </w:r>
      </w:hyperlink>
    </w:p>
    <w:p w14:paraId="4C53E774" w14:textId="3B3E0E7A"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23" w:history="1">
        <w:r w:rsidRPr="00C04594">
          <w:rPr>
            <w:rStyle w:val="Hyperlink"/>
            <w:bCs/>
            <w:noProof/>
            <w:lang w:val="ru-RU"/>
          </w:rPr>
          <w:t xml:space="preserve">§252. </w:t>
        </w:r>
        <w:r w:rsidRPr="00C04594">
          <w:rPr>
            <w:rStyle w:val="Hyperlink"/>
            <w:rFonts w:ascii="Microsoft JhengHei" w:eastAsia="Microsoft JhengHei" w:hAnsi="Microsoft JhengHei" w:cs="Microsoft JhengHei" w:hint="eastAsia"/>
            <w:noProof/>
            <w:lang w:val="ru-RU"/>
          </w:rPr>
          <w:t>对义人的报偿：</w:t>
        </w:r>
        <w:r w:rsidRPr="00C04594">
          <w:rPr>
            <w:rStyle w:val="Hyperlink"/>
            <w:bCs/>
            <w:noProof/>
            <w:lang w:val="ru-RU"/>
          </w:rPr>
          <w:t>a)</w:t>
        </w:r>
        <w:r w:rsidRPr="00C04594">
          <w:rPr>
            <w:rStyle w:val="Hyperlink"/>
            <w:noProof/>
            <w:lang w:val="ru-RU"/>
          </w:rPr>
          <w:t xml:space="preserve"> </w:t>
        </w:r>
        <w:r w:rsidRPr="00C04594">
          <w:rPr>
            <w:rStyle w:val="Hyperlink"/>
            <w:rFonts w:ascii="MS Gothic" w:eastAsia="MS Gothic" w:hAnsi="MS Gothic" w:cs="MS Gothic" w:hint="eastAsia"/>
            <w:noProof/>
            <w:lang w:val="ru-RU"/>
          </w:rPr>
          <w:t>他</w:t>
        </w:r>
        <w:r w:rsidRPr="00C04594">
          <w:rPr>
            <w:rStyle w:val="Hyperlink"/>
            <w:rFonts w:ascii="Microsoft JhengHei" w:eastAsia="Microsoft JhengHei" w:hAnsi="Microsoft JhengHei" w:cs="Microsoft JhengHei" w:hint="eastAsia"/>
            <w:noProof/>
            <w:lang w:val="ru-RU"/>
          </w:rPr>
          <w:t>们在天上</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在得</w:t>
        </w:r>
        <w:r w:rsidRPr="00C04594">
          <w:rPr>
            <w:rStyle w:val="Hyperlink"/>
            <w:rFonts w:ascii="Microsoft JhengHei" w:eastAsia="Microsoft JhengHei" w:hAnsi="Microsoft JhengHei" w:cs="Microsoft JhengHei" w:hint="eastAsia"/>
            <w:noProof/>
            <w:lang w:val="ru-RU"/>
          </w:rPr>
          <w:t>胜的教会中</w:t>
        </w:r>
        <w:r w:rsidRPr="00C04594">
          <w:rPr>
            <w:rStyle w:val="Hyperlink"/>
            <w:rFonts w:ascii="Aptos" w:hAnsi="Aptos" w:cs="Aptos"/>
            <w:noProof/>
            <w:lang w:val="ru-RU"/>
          </w:rPr>
          <w:t>——</w:t>
        </w:r>
        <w:r w:rsidRPr="00C04594">
          <w:rPr>
            <w:rStyle w:val="Hyperlink"/>
            <w:rFonts w:ascii="Microsoft JhengHei" w:eastAsia="Microsoft JhengHei" w:hAnsi="Microsoft JhengHei" w:cs="Microsoft JhengHei" w:hint="eastAsia"/>
            <w:noProof/>
            <w:lang w:val="ru-RU"/>
          </w:rPr>
          <w:t>获得荣耀</w:t>
        </w:r>
        <w:r>
          <w:rPr>
            <w:noProof/>
            <w:webHidden/>
          </w:rPr>
          <w:tab/>
        </w:r>
        <w:r>
          <w:rPr>
            <w:noProof/>
            <w:webHidden/>
          </w:rPr>
          <w:fldChar w:fldCharType="begin"/>
        </w:r>
        <w:r>
          <w:rPr>
            <w:noProof/>
            <w:webHidden/>
          </w:rPr>
          <w:instrText xml:space="preserve"> PAGEREF _Toc238576623 \h </w:instrText>
        </w:r>
        <w:r>
          <w:rPr>
            <w:noProof/>
            <w:webHidden/>
          </w:rPr>
        </w:r>
        <w:r>
          <w:rPr>
            <w:noProof/>
            <w:webHidden/>
          </w:rPr>
          <w:fldChar w:fldCharType="separate"/>
        </w:r>
        <w:r w:rsidR="007B5AC0">
          <w:rPr>
            <w:noProof/>
            <w:webHidden/>
          </w:rPr>
          <w:t>328</w:t>
        </w:r>
        <w:r>
          <w:rPr>
            <w:noProof/>
            <w:webHidden/>
          </w:rPr>
          <w:fldChar w:fldCharType="end"/>
        </w:r>
      </w:hyperlink>
    </w:p>
    <w:p w14:paraId="49E3307F" w14:textId="5797AFE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24" w:history="1">
        <w:r w:rsidRPr="00C04594">
          <w:rPr>
            <w:rStyle w:val="Hyperlink"/>
            <w:bCs/>
            <w:noProof/>
            <w:lang w:val="ru-RU"/>
          </w:rPr>
          <w:t xml:space="preserve">§253. b) </w:t>
        </w:r>
        <w:r w:rsidRPr="00C04594">
          <w:rPr>
            <w:rStyle w:val="Hyperlink"/>
            <w:rFonts w:ascii="MS Gothic" w:eastAsia="MS Gothic" w:hAnsi="MS Gothic" w:cs="MS Gothic" w:hint="eastAsia"/>
            <w:noProof/>
            <w:lang w:val="ru-RU"/>
          </w:rPr>
          <w:t>在地上</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即在</w:t>
        </w:r>
        <w:r w:rsidRPr="00C04594">
          <w:rPr>
            <w:rStyle w:val="Hyperlink"/>
            <w:rFonts w:ascii="Microsoft JhengHei" w:eastAsia="Microsoft JhengHei" w:hAnsi="Microsoft JhengHei" w:cs="Microsoft JhengHei" w:hint="eastAsia"/>
            <w:noProof/>
            <w:lang w:val="ru-RU"/>
          </w:rPr>
          <w:t>战斗中的教会中</w:t>
        </w:r>
        <w:r w:rsidRPr="00C04594">
          <w:rPr>
            <w:rStyle w:val="Hyperlink"/>
            <w:rFonts w:ascii="Aptos" w:hAnsi="Aptos" w:cs="Aptos"/>
            <w:noProof/>
            <w:lang w:val="ru-RU"/>
          </w:rPr>
          <w:t>——</w:t>
        </w:r>
        <w:r w:rsidRPr="00C04594">
          <w:rPr>
            <w:rStyle w:val="Hyperlink"/>
            <w:rFonts w:ascii="Microsoft JhengHei" w:eastAsia="Microsoft JhengHei" w:hAnsi="Microsoft JhengHei" w:cs="Microsoft JhengHei" w:hint="eastAsia"/>
            <w:noProof/>
            <w:lang w:val="ru-RU"/>
          </w:rPr>
          <w:t>对义人的尊崇：</w:t>
        </w:r>
        <w:r w:rsidRPr="00C04594">
          <w:rPr>
            <w:rStyle w:val="Hyperlink"/>
            <w:bCs/>
            <w:noProof/>
            <w:lang w:val="ru-RU"/>
          </w:rPr>
          <w:t xml:space="preserve">aa) </w:t>
        </w:r>
        <w:r w:rsidRPr="00C04594">
          <w:rPr>
            <w:rStyle w:val="Hyperlink"/>
            <w:rFonts w:ascii="Microsoft JhengHei" w:eastAsia="Microsoft JhengHei" w:hAnsi="Microsoft JhengHei" w:cs="Microsoft JhengHei" w:hint="eastAsia"/>
            <w:noProof/>
            <w:lang w:val="ru-RU"/>
          </w:rPr>
          <w:t>对圣人的敬礼</w:t>
        </w:r>
        <w:r>
          <w:rPr>
            <w:noProof/>
            <w:webHidden/>
          </w:rPr>
          <w:tab/>
        </w:r>
        <w:r>
          <w:rPr>
            <w:noProof/>
            <w:webHidden/>
          </w:rPr>
          <w:fldChar w:fldCharType="begin"/>
        </w:r>
        <w:r>
          <w:rPr>
            <w:noProof/>
            <w:webHidden/>
          </w:rPr>
          <w:instrText xml:space="preserve"> PAGEREF _Toc238576624 \h </w:instrText>
        </w:r>
        <w:r>
          <w:rPr>
            <w:noProof/>
            <w:webHidden/>
          </w:rPr>
        </w:r>
        <w:r>
          <w:rPr>
            <w:noProof/>
            <w:webHidden/>
          </w:rPr>
          <w:fldChar w:fldCharType="separate"/>
        </w:r>
        <w:r w:rsidR="007B5AC0">
          <w:rPr>
            <w:noProof/>
            <w:webHidden/>
          </w:rPr>
          <w:t>333</w:t>
        </w:r>
        <w:r>
          <w:rPr>
            <w:noProof/>
            <w:webHidden/>
          </w:rPr>
          <w:fldChar w:fldCharType="end"/>
        </w:r>
      </w:hyperlink>
    </w:p>
    <w:p w14:paraId="2BC84C6F" w14:textId="06A68817"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25" w:history="1">
        <w:r w:rsidRPr="00C04594">
          <w:rPr>
            <w:rStyle w:val="Hyperlink"/>
            <w:bCs/>
            <w:noProof/>
            <w:lang w:val="ru-RU"/>
          </w:rPr>
          <w:t>§254. bb)</w:t>
        </w:r>
        <w:r w:rsidRPr="00C04594">
          <w:rPr>
            <w:rStyle w:val="Hyperlink"/>
            <w:noProof/>
            <w:lang w:val="ru-RU"/>
          </w:rPr>
          <w:t xml:space="preserve"> </w:t>
        </w:r>
        <w:r w:rsidRPr="00C04594">
          <w:rPr>
            <w:rStyle w:val="Hyperlink"/>
            <w:rFonts w:ascii="MS Gothic" w:eastAsia="MS Gothic" w:hAnsi="MS Gothic" w:cs="MS Gothic" w:hint="eastAsia"/>
            <w:noProof/>
            <w:lang w:val="ru-RU"/>
          </w:rPr>
          <w:t>呼求圣徒</w:t>
        </w:r>
        <w:r>
          <w:rPr>
            <w:noProof/>
            <w:webHidden/>
          </w:rPr>
          <w:tab/>
        </w:r>
        <w:r>
          <w:rPr>
            <w:noProof/>
            <w:webHidden/>
          </w:rPr>
          <w:fldChar w:fldCharType="begin"/>
        </w:r>
        <w:r>
          <w:rPr>
            <w:noProof/>
            <w:webHidden/>
          </w:rPr>
          <w:instrText xml:space="preserve"> PAGEREF _Toc238576625 \h </w:instrText>
        </w:r>
        <w:r>
          <w:rPr>
            <w:noProof/>
            <w:webHidden/>
          </w:rPr>
        </w:r>
        <w:r>
          <w:rPr>
            <w:noProof/>
            <w:webHidden/>
          </w:rPr>
          <w:fldChar w:fldCharType="separate"/>
        </w:r>
        <w:r w:rsidR="007B5AC0">
          <w:rPr>
            <w:noProof/>
            <w:webHidden/>
          </w:rPr>
          <w:t>337</w:t>
        </w:r>
        <w:r>
          <w:rPr>
            <w:noProof/>
            <w:webHidden/>
          </w:rPr>
          <w:fldChar w:fldCharType="end"/>
        </w:r>
      </w:hyperlink>
    </w:p>
    <w:p w14:paraId="3E28FF10" w14:textId="7A8860D7"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26" w:history="1">
        <w:r w:rsidRPr="00C04594">
          <w:rPr>
            <w:rStyle w:val="Hyperlink"/>
            <w:bCs/>
            <w:noProof/>
            <w:lang w:val="ru-RU"/>
          </w:rPr>
          <w:t>§255. vv)</w:t>
        </w:r>
        <w:r w:rsidRPr="00C04594">
          <w:rPr>
            <w:rStyle w:val="Hyperlink"/>
            <w:noProof/>
            <w:lang w:val="ru-RU"/>
          </w:rPr>
          <w:t xml:space="preserve"> </w:t>
        </w:r>
        <w:r w:rsidRPr="00C04594">
          <w:rPr>
            <w:rStyle w:val="Hyperlink"/>
            <w:rFonts w:ascii="MS Gothic" w:eastAsia="MS Gothic" w:hAnsi="MS Gothic" w:cs="MS Gothic" w:hint="eastAsia"/>
            <w:noProof/>
            <w:lang w:val="ru-RU"/>
          </w:rPr>
          <w:t>敬礼圣髑及上帝圣徒的其他</w:t>
        </w:r>
        <w:r w:rsidRPr="00C04594">
          <w:rPr>
            <w:rStyle w:val="Hyperlink"/>
            <w:rFonts w:ascii="Microsoft JhengHei" w:eastAsia="Microsoft JhengHei" w:hAnsi="Microsoft JhengHei" w:cs="Microsoft JhengHei" w:hint="eastAsia"/>
            <w:noProof/>
            <w:lang w:val="ru-RU"/>
          </w:rPr>
          <w:t>遗骸</w:t>
        </w:r>
        <w:r>
          <w:rPr>
            <w:noProof/>
            <w:webHidden/>
          </w:rPr>
          <w:tab/>
        </w:r>
        <w:r>
          <w:rPr>
            <w:noProof/>
            <w:webHidden/>
          </w:rPr>
          <w:fldChar w:fldCharType="begin"/>
        </w:r>
        <w:r>
          <w:rPr>
            <w:noProof/>
            <w:webHidden/>
          </w:rPr>
          <w:instrText xml:space="preserve"> PAGEREF _Toc238576626 \h </w:instrText>
        </w:r>
        <w:r>
          <w:rPr>
            <w:noProof/>
            <w:webHidden/>
          </w:rPr>
        </w:r>
        <w:r>
          <w:rPr>
            <w:noProof/>
            <w:webHidden/>
          </w:rPr>
          <w:fldChar w:fldCharType="separate"/>
        </w:r>
        <w:r w:rsidR="007B5AC0">
          <w:rPr>
            <w:noProof/>
            <w:webHidden/>
          </w:rPr>
          <w:t>343</w:t>
        </w:r>
        <w:r>
          <w:rPr>
            <w:noProof/>
            <w:webHidden/>
          </w:rPr>
          <w:fldChar w:fldCharType="end"/>
        </w:r>
      </w:hyperlink>
    </w:p>
    <w:p w14:paraId="45CDE041" w14:textId="312BCA17"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27" w:history="1">
        <w:r w:rsidRPr="00C04594">
          <w:rPr>
            <w:rStyle w:val="Hyperlink"/>
            <w:bCs/>
            <w:noProof/>
            <w:lang w:val="ru-RU"/>
          </w:rPr>
          <w:t xml:space="preserve">§256. (gg) </w:t>
        </w:r>
        <w:r w:rsidRPr="00C04594">
          <w:rPr>
            <w:rStyle w:val="Hyperlink"/>
            <w:rFonts w:ascii="Microsoft JhengHei" w:eastAsia="Microsoft JhengHei" w:hAnsi="Microsoft JhengHei" w:cs="Microsoft JhengHei" w:hint="eastAsia"/>
            <w:noProof/>
            <w:lang w:val="ru-RU"/>
          </w:rPr>
          <w:t>对圣像的敬礼</w:t>
        </w:r>
        <w:r>
          <w:rPr>
            <w:noProof/>
            <w:webHidden/>
          </w:rPr>
          <w:tab/>
        </w:r>
        <w:r>
          <w:rPr>
            <w:noProof/>
            <w:webHidden/>
          </w:rPr>
          <w:fldChar w:fldCharType="begin"/>
        </w:r>
        <w:r>
          <w:rPr>
            <w:noProof/>
            <w:webHidden/>
          </w:rPr>
          <w:instrText xml:space="preserve"> PAGEREF _Toc238576627 \h </w:instrText>
        </w:r>
        <w:r>
          <w:rPr>
            <w:noProof/>
            <w:webHidden/>
          </w:rPr>
        </w:r>
        <w:r>
          <w:rPr>
            <w:noProof/>
            <w:webHidden/>
          </w:rPr>
          <w:fldChar w:fldCharType="separate"/>
        </w:r>
        <w:r w:rsidR="007B5AC0">
          <w:rPr>
            <w:noProof/>
            <w:webHidden/>
          </w:rPr>
          <w:t>348</w:t>
        </w:r>
        <w:r>
          <w:rPr>
            <w:noProof/>
            <w:webHidden/>
          </w:rPr>
          <w:fldChar w:fldCharType="end"/>
        </w:r>
      </w:hyperlink>
    </w:p>
    <w:p w14:paraId="0620F67B" w14:textId="7F69F5BD"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28" w:history="1">
        <w:r w:rsidRPr="00C04594">
          <w:rPr>
            <w:rStyle w:val="Hyperlink"/>
            <w:bCs/>
            <w:noProof/>
            <w:lang w:val="ru-RU"/>
          </w:rPr>
          <w:t xml:space="preserve">§257. </w:t>
        </w:r>
        <w:r w:rsidRPr="00C04594">
          <w:rPr>
            <w:rStyle w:val="Hyperlink"/>
            <w:rFonts w:ascii="Microsoft JhengHei" w:eastAsia="Microsoft JhengHei" w:hAnsi="Microsoft JhengHei" w:cs="Microsoft JhengHei" w:hint="eastAsia"/>
            <w:noProof/>
            <w:lang w:val="ru-RU"/>
          </w:rPr>
          <w:t>对罪人的报应：</w:t>
        </w:r>
        <w:r w:rsidRPr="00C04594">
          <w:rPr>
            <w:rStyle w:val="Hyperlink"/>
            <w:bCs/>
            <w:noProof/>
            <w:lang w:val="ru-RU"/>
          </w:rPr>
          <w:t>a)</w:t>
        </w:r>
        <w:r w:rsidRPr="00C04594">
          <w:rPr>
            <w:rStyle w:val="Hyperlink"/>
            <w:noProof/>
            <w:lang w:val="ru-RU"/>
          </w:rPr>
          <w:t xml:space="preserve"> </w:t>
        </w:r>
        <w:r w:rsidRPr="00C04594">
          <w:rPr>
            <w:rStyle w:val="Hyperlink"/>
            <w:rFonts w:ascii="MS Gothic" w:eastAsia="MS Gothic" w:hAnsi="MS Gothic" w:cs="MS Gothic" w:hint="eastAsia"/>
            <w:noProof/>
            <w:lang w:val="ru-RU"/>
          </w:rPr>
          <w:t>他</w:t>
        </w:r>
        <w:r w:rsidRPr="00C04594">
          <w:rPr>
            <w:rStyle w:val="Hyperlink"/>
            <w:rFonts w:ascii="Microsoft JhengHei" w:eastAsia="Microsoft JhengHei" w:hAnsi="Microsoft JhengHei" w:cs="Microsoft JhengHei" w:hint="eastAsia"/>
            <w:noProof/>
            <w:lang w:val="ru-RU"/>
          </w:rPr>
          <w:t>们在阴间的惩罚</w:t>
        </w:r>
        <w:r>
          <w:rPr>
            <w:noProof/>
            <w:webHidden/>
          </w:rPr>
          <w:tab/>
        </w:r>
        <w:r>
          <w:rPr>
            <w:noProof/>
            <w:webHidden/>
          </w:rPr>
          <w:fldChar w:fldCharType="begin"/>
        </w:r>
        <w:r>
          <w:rPr>
            <w:noProof/>
            <w:webHidden/>
          </w:rPr>
          <w:instrText xml:space="preserve"> PAGEREF _Toc238576628 \h </w:instrText>
        </w:r>
        <w:r>
          <w:rPr>
            <w:noProof/>
            <w:webHidden/>
          </w:rPr>
        </w:r>
        <w:r>
          <w:rPr>
            <w:noProof/>
            <w:webHidden/>
          </w:rPr>
          <w:fldChar w:fldCharType="separate"/>
        </w:r>
        <w:r w:rsidR="007B5AC0">
          <w:rPr>
            <w:noProof/>
            <w:webHidden/>
          </w:rPr>
          <w:t>356</w:t>
        </w:r>
        <w:r>
          <w:rPr>
            <w:noProof/>
            <w:webHidden/>
          </w:rPr>
          <w:fldChar w:fldCharType="end"/>
        </w:r>
      </w:hyperlink>
    </w:p>
    <w:p w14:paraId="399C907F" w14:textId="2B9A0995"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29" w:history="1">
        <w:r w:rsidRPr="00C04594">
          <w:rPr>
            <w:rStyle w:val="Hyperlink"/>
            <w:noProof/>
            <w:lang w:val="ru-RU"/>
          </w:rPr>
          <w:t xml:space="preserve">§258. </w:t>
        </w:r>
        <w:r w:rsidRPr="00C04594">
          <w:rPr>
            <w:rStyle w:val="Hyperlink"/>
            <w:bCs/>
            <w:noProof/>
            <w:lang w:val="ru-RU"/>
          </w:rPr>
          <w:t>b)</w:t>
        </w:r>
        <w:r w:rsidRPr="00C04594">
          <w:rPr>
            <w:rStyle w:val="Hyperlink"/>
            <w:noProof/>
            <w:lang w:val="ru-RU"/>
          </w:rPr>
          <w:t xml:space="preserve"> </w:t>
        </w:r>
        <w:r w:rsidRPr="00C04594">
          <w:rPr>
            <w:rStyle w:val="Hyperlink"/>
            <w:rFonts w:ascii="MS Gothic" w:eastAsia="MS Gothic" w:hAnsi="MS Gothic" w:cs="MS Gothic" w:hint="eastAsia"/>
            <w:noProof/>
            <w:lang w:val="ru-RU"/>
          </w:rPr>
          <w:t>某些罪人通</w:t>
        </w:r>
        <w:r w:rsidRPr="00C04594">
          <w:rPr>
            <w:rStyle w:val="Hyperlink"/>
            <w:rFonts w:ascii="Microsoft JhengHei" w:eastAsia="Microsoft JhengHei" w:hAnsi="Microsoft JhengHei" w:cs="Microsoft JhengHei" w:hint="eastAsia"/>
            <w:noProof/>
            <w:lang w:val="ru-RU"/>
          </w:rPr>
          <w:t>过教会的祈祷，有可能获得地狱刑罚的减轻甚至免除</w:t>
        </w:r>
        <w:r>
          <w:rPr>
            <w:noProof/>
            <w:webHidden/>
          </w:rPr>
          <w:tab/>
        </w:r>
        <w:r>
          <w:rPr>
            <w:noProof/>
            <w:webHidden/>
          </w:rPr>
          <w:fldChar w:fldCharType="begin"/>
        </w:r>
        <w:r>
          <w:rPr>
            <w:noProof/>
            <w:webHidden/>
          </w:rPr>
          <w:instrText xml:space="preserve"> PAGEREF _Toc238576629 \h </w:instrText>
        </w:r>
        <w:r>
          <w:rPr>
            <w:noProof/>
            <w:webHidden/>
          </w:rPr>
        </w:r>
        <w:r>
          <w:rPr>
            <w:noProof/>
            <w:webHidden/>
          </w:rPr>
          <w:fldChar w:fldCharType="separate"/>
        </w:r>
        <w:r w:rsidR="007B5AC0">
          <w:rPr>
            <w:noProof/>
            <w:webHidden/>
          </w:rPr>
          <w:t>359</w:t>
        </w:r>
        <w:r>
          <w:rPr>
            <w:noProof/>
            <w:webHidden/>
          </w:rPr>
          <w:fldChar w:fldCharType="end"/>
        </w:r>
      </w:hyperlink>
    </w:p>
    <w:p w14:paraId="46601A60" w14:textId="5B3A85E5"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30" w:history="1">
        <w:r w:rsidRPr="00C04594">
          <w:rPr>
            <w:rStyle w:val="Hyperlink"/>
            <w:noProof/>
            <w:lang w:val="ru-RU"/>
          </w:rPr>
          <w:t xml:space="preserve">§259. </w:t>
        </w:r>
        <w:r w:rsidRPr="00C04594">
          <w:rPr>
            <w:rStyle w:val="Hyperlink"/>
            <w:bCs/>
            <w:noProof/>
            <w:lang w:val="ru-RU"/>
          </w:rPr>
          <w:t>c)</w:t>
        </w:r>
        <w:r w:rsidRPr="00C04594">
          <w:rPr>
            <w:rStyle w:val="Hyperlink"/>
            <w:noProof/>
            <w:lang w:val="ru-RU"/>
          </w:rPr>
          <w:t xml:space="preserve"> </w:t>
        </w:r>
        <w:r w:rsidRPr="00C04594">
          <w:rPr>
            <w:rStyle w:val="Hyperlink"/>
            <w:rFonts w:ascii="MS Gothic" w:eastAsia="MS Gothic" w:hAnsi="MS Gothic" w:cs="MS Gothic" w:hint="eastAsia"/>
            <w:noProof/>
            <w:lang w:val="ru-RU"/>
          </w:rPr>
          <w:t>关于</w:t>
        </w:r>
        <w:r w:rsidRPr="00C04594">
          <w:rPr>
            <w:rStyle w:val="Hyperlink"/>
            <w:rFonts w:ascii="Microsoft JhengHei" w:eastAsia="Microsoft JhengHei" w:hAnsi="Microsoft JhengHei" w:cs="Microsoft JhengHei" w:hint="eastAsia"/>
            <w:noProof/>
            <w:lang w:val="ru-RU"/>
          </w:rPr>
          <w:t>炼狱的说明</w:t>
        </w:r>
        <w:r>
          <w:rPr>
            <w:noProof/>
            <w:webHidden/>
          </w:rPr>
          <w:tab/>
        </w:r>
        <w:r>
          <w:rPr>
            <w:noProof/>
            <w:webHidden/>
          </w:rPr>
          <w:fldChar w:fldCharType="begin"/>
        </w:r>
        <w:r>
          <w:rPr>
            <w:noProof/>
            <w:webHidden/>
          </w:rPr>
          <w:instrText xml:space="preserve"> PAGEREF _Toc238576630 \h </w:instrText>
        </w:r>
        <w:r>
          <w:rPr>
            <w:noProof/>
            <w:webHidden/>
          </w:rPr>
        </w:r>
        <w:r>
          <w:rPr>
            <w:noProof/>
            <w:webHidden/>
          </w:rPr>
          <w:fldChar w:fldCharType="separate"/>
        </w:r>
        <w:r w:rsidR="007B5AC0">
          <w:rPr>
            <w:noProof/>
            <w:webHidden/>
          </w:rPr>
          <w:t>370</w:t>
        </w:r>
        <w:r>
          <w:rPr>
            <w:noProof/>
            <w:webHidden/>
          </w:rPr>
          <w:fldChar w:fldCharType="end"/>
        </w:r>
      </w:hyperlink>
    </w:p>
    <w:p w14:paraId="6FE09E3A" w14:textId="0C42EA3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31" w:history="1">
        <w:r w:rsidRPr="00C04594">
          <w:rPr>
            <w:rStyle w:val="Hyperlink"/>
            <w:noProof/>
            <w:lang w:val="ru-RU"/>
          </w:rPr>
          <w:t xml:space="preserve">§260. </w:t>
        </w:r>
        <w:r w:rsidRPr="00C04594">
          <w:rPr>
            <w:rStyle w:val="Hyperlink"/>
            <w:rFonts w:ascii="MS Gothic" w:eastAsia="MS Gothic" w:hAnsi="MS Gothic" w:cs="MS Gothic" w:hint="eastAsia"/>
            <w:noProof/>
            <w:lang w:val="ru-RU"/>
          </w:rPr>
          <w:t>关于</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个</w:t>
        </w:r>
        <w:r w:rsidRPr="00C04594">
          <w:rPr>
            <w:rStyle w:val="Hyperlink"/>
            <w:rFonts w:ascii="Yu Gothic" w:eastAsia="Yu Gothic" w:hAnsi="Yu Gothic" w:cs="Yu Gothic" w:hint="eastAsia"/>
            <w:noProof/>
            <w:lang w:val="ru-RU"/>
          </w:rPr>
          <w:t>别</w:t>
        </w:r>
        <w:r w:rsidRPr="00C04594">
          <w:rPr>
            <w:rStyle w:val="Hyperlink"/>
            <w:rFonts w:ascii="Microsoft JhengHei" w:eastAsia="Microsoft JhengHei" w:hAnsi="Microsoft JhengHei" w:cs="Microsoft JhengHei" w:hint="eastAsia"/>
            <w:noProof/>
            <w:lang w:val="ru-RU"/>
          </w:rPr>
          <w:t>审判与报应</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教</w:t>
        </w:r>
        <w:r w:rsidRPr="00C04594">
          <w:rPr>
            <w:rStyle w:val="Hyperlink"/>
            <w:rFonts w:ascii="Microsoft JhengHei" w:eastAsia="Microsoft JhengHei" w:hAnsi="Microsoft JhengHei" w:cs="Microsoft JhengHei" w:hint="eastAsia"/>
            <w:noProof/>
            <w:lang w:val="ru-RU"/>
          </w:rPr>
          <w:t>义的道德应用</w:t>
        </w:r>
        <w:r>
          <w:rPr>
            <w:noProof/>
            <w:webHidden/>
          </w:rPr>
          <w:tab/>
        </w:r>
        <w:r>
          <w:rPr>
            <w:noProof/>
            <w:webHidden/>
          </w:rPr>
          <w:fldChar w:fldCharType="begin"/>
        </w:r>
        <w:r>
          <w:rPr>
            <w:noProof/>
            <w:webHidden/>
          </w:rPr>
          <w:instrText xml:space="preserve"> PAGEREF _Toc238576631 \h </w:instrText>
        </w:r>
        <w:r>
          <w:rPr>
            <w:noProof/>
            <w:webHidden/>
          </w:rPr>
        </w:r>
        <w:r>
          <w:rPr>
            <w:noProof/>
            <w:webHidden/>
          </w:rPr>
          <w:fldChar w:fldCharType="separate"/>
        </w:r>
        <w:r w:rsidR="007B5AC0">
          <w:rPr>
            <w:noProof/>
            <w:webHidden/>
          </w:rPr>
          <w:t>373</w:t>
        </w:r>
        <w:r>
          <w:rPr>
            <w:noProof/>
            <w:webHidden/>
          </w:rPr>
          <w:fldChar w:fldCharType="end"/>
        </w:r>
      </w:hyperlink>
    </w:p>
    <w:p w14:paraId="1723109B" w14:textId="57372190" w:rsidR="0097554A" w:rsidRDefault="0097554A" w:rsidP="0097554A">
      <w:pPr>
        <w:pStyle w:val="TOC3"/>
        <w:tabs>
          <w:tab w:val="right" w:leader="dot" w:pos="10790"/>
        </w:tabs>
        <w:rPr>
          <w:rFonts w:eastAsiaTheme="minorEastAsia" w:cstheme="minorBidi"/>
          <w:noProof/>
          <w:kern w:val="2"/>
          <w:sz w:val="24"/>
          <w:lang w:bidi="ta-IN"/>
          <w14:ligatures w14:val="standardContextual"/>
        </w:rPr>
      </w:pPr>
      <w:hyperlink w:anchor="_Toc238576632" w:history="1">
        <w:r w:rsidRPr="00C04594">
          <w:rPr>
            <w:rStyle w:val="Hyperlink"/>
            <w:rFonts w:ascii="MS Gothic" w:eastAsia="MS Gothic" w:hAnsi="MS Gothic" w:cs="MS Gothic" w:hint="eastAsia"/>
            <w:bCs/>
            <w:noProof/>
          </w:rPr>
          <w:t>第二条</w:t>
        </w:r>
        <w:r w:rsidRPr="00C04594">
          <w:rPr>
            <w:rStyle w:val="Hyperlink"/>
            <w:rFonts w:ascii="MS Gothic" w:eastAsia="MS Gothic" w:hAnsi="MS Gothic" w:cs="MS Gothic" w:hint="eastAsia"/>
            <w:bCs/>
            <w:noProof/>
            <w:lang w:val="ru-RU"/>
          </w:rPr>
          <w:t>。</w:t>
        </w:r>
        <w:r w:rsidRPr="00C04594">
          <w:rPr>
            <w:rStyle w:val="Hyperlink"/>
            <w:bCs/>
            <w:noProof/>
            <w:lang w:val="ru-RU"/>
          </w:rPr>
          <w:t xml:space="preserve"> </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论上帝作为全人类的审判者与赏赐者</w:t>
        </w:r>
        <w:r>
          <w:rPr>
            <w:noProof/>
            <w:webHidden/>
          </w:rPr>
          <w:tab/>
        </w:r>
        <w:r>
          <w:rPr>
            <w:noProof/>
            <w:webHidden/>
          </w:rPr>
          <w:fldChar w:fldCharType="begin"/>
        </w:r>
        <w:r>
          <w:rPr>
            <w:noProof/>
            <w:webHidden/>
          </w:rPr>
          <w:instrText xml:space="preserve"> PAGEREF _Toc238576632 \h </w:instrText>
        </w:r>
        <w:r>
          <w:rPr>
            <w:noProof/>
            <w:webHidden/>
          </w:rPr>
        </w:r>
        <w:r>
          <w:rPr>
            <w:noProof/>
            <w:webHidden/>
          </w:rPr>
          <w:fldChar w:fldCharType="separate"/>
        </w:r>
        <w:r w:rsidR="007B5AC0">
          <w:rPr>
            <w:noProof/>
            <w:webHidden/>
          </w:rPr>
          <w:t>373</w:t>
        </w:r>
        <w:r>
          <w:rPr>
            <w:noProof/>
            <w:webHidden/>
          </w:rPr>
          <w:fldChar w:fldCharType="end"/>
        </w:r>
      </w:hyperlink>
    </w:p>
    <w:p w14:paraId="3740D5C3" w14:textId="5FBC86C5"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633" w:history="1">
        <w:r w:rsidRPr="00C04594">
          <w:rPr>
            <w:rStyle w:val="Hyperlink"/>
            <w:bCs/>
            <w:noProof/>
            <w:lang w:val="ru-RU"/>
          </w:rPr>
          <w:t>1.</w:t>
        </w:r>
        <w:r w:rsidRPr="00C04594">
          <w:rPr>
            <w:rStyle w:val="Hyperlink"/>
            <w:noProof/>
            <w:lang w:val="ru-RU"/>
          </w:rPr>
          <w:t xml:space="preserve"> </w:t>
        </w:r>
        <w:r w:rsidRPr="00C04594">
          <w:rPr>
            <w:rStyle w:val="Hyperlink"/>
            <w:rFonts w:ascii="MS Gothic" w:eastAsia="MS Gothic" w:hAnsi="MS Gothic" w:cs="MS Gothic" w:hint="eastAsia"/>
            <w:noProof/>
            <w:lang w:val="ru-RU"/>
          </w:rPr>
          <w:t>关于普世</w:t>
        </w:r>
        <w:r w:rsidRPr="00C04594">
          <w:rPr>
            <w:rStyle w:val="Hyperlink"/>
            <w:rFonts w:ascii="Microsoft JhengHei" w:eastAsia="Microsoft JhengHei" w:hAnsi="Microsoft JhengHei" w:cs="Microsoft JhengHei" w:hint="eastAsia"/>
            <w:noProof/>
            <w:lang w:val="ru-RU"/>
          </w:rPr>
          <w:t>审判</w:t>
        </w:r>
        <w:r>
          <w:rPr>
            <w:noProof/>
            <w:webHidden/>
          </w:rPr>
          <w:tab/>
        </w:r>
        <w:r>
          <w:rPr>
            <w:noProof/>
            <w:webHidden/>
          </w:rPr>
          <w:fldChar w:fldCharType="begin"/>
        </w:r>
        <w:r>
          <w:rPr>
            <w:noProof/>
            <w:webHidden/>
          </w:rPr>
          <w:instrText xml:space="preserve"> PAGEREF _Toc238576633 \h </w:instrText>
        </w:r>
        <w:r>
          <w:rPr>
            <w:noProof/>
            <w:webHidden/>
          </w:rPr>
        </w:r>
        <w:r>
          <w:rPr>
            <w:noProof/>
            <w:webHidden/>
          </w:rPr>
          <w:fldChar w:fldCharType="separate"/>
        </w:r>
        <w:r w:rsidR="007B5AC0">
          <w:rPr>
            <w:noProof/>
            <w:webHidden/>
          </w:rPr>
          <w:t>373</w:t>
        </w:r>
        <w:r>
          <w:rPr>
            <w:noProof/>
            <w:webHidden/>
          </w:rPr>
          <w:fldChar w:fldCharType="end"/>
        </w:r>
      </w:hyperlink>
    </w:p>
    <w:p w14:paraId="4D55704E" w14:textId="19208E5A"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34" w:history="1">
        <w:r w:rsidRPr="00C04594">
          <w:rPr>
            <w:rStyle w:val="Hyperlink"/>
            <w:bCs/>
            <w:noProof/>
            <w:lang w:val="ru-RU"/>
          </w:rPr>
          <w:t>§261.</w:t>
        </w:r>
        <w:r w:rsidRPr="00C04594">
          <w:rPr>
            <w:rStyle w:val="Hyperlink"/>
            <w:noProof/>
            <w:lang w:val="ru-RU"/>
          </w:rPr>
          <w:t xml:space="preserve">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联、末日审判之日、该日的不确定性及其临近的征兆，尤其是敌基督的出现</w:t>
        </w:r>
        <w:r>
          <w:rPr>
            <w:noProof/>
            <w:webHidden/>
          </w:rPr>
          <w:tab/>
        </w:r>
        <w:r>
          <w:rPr>
            <w:noProof/>
            <w:webHidden/>
          </w:rPr>
          <w:fldChar w:fldCharType="begin"/>
        </w:r>
        <w:r>
          <w:rPr>
            <w:noProof/>
            <w:webHidden/>
          </w:rPr>
          <w:instrText xml:space="preserve"> PAGEREF _Toc238576634 \h </w:instrText>
        </w:r>
        <w:r>
          <w:rPr>
            <w:noProof/>
            <w:webHidden/>
          </w:rPr>
        </w:r>
        <w:r>
          <w:rPr>
            <w:noProof/>
            <w:webHidden/>
          </w:rPr>
          <w:fldChar w:fldCharType="separate"/>
        </w:r>
        <w:r w:rsidR="007B5AC0">
          <w:rPr>
            <w:noProof/>
            <w:webHidden/>
          </w:rPr>
          <w:t>373</w:t>
        </w:r>
        <w:r>
          <w:rPr>
            <w:noProof/>
            <w:webHidden/>
          </w:rPr>
          <w:fldChar w:fldCharType="end"/>
        </w:r>
      </w:hyperlink>
    </w:p>
    <w:p w14:paraId="61C251B3" w14:textId="0BD19B06"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35" w:history="1">
        <w:r w:rsidRPr="00C04594">
          <w:rPr>
            <w:rStyle w:val="Hyperlink"/>
            <w:bCs/>
            <w:noProof/>
            <w:lang w:val="ru-RU"/>
          </w:rPr>
          <w:t>§262.</w:t>
        </w:r>
        <w:r w:rsidRPr="00C04594">
          <w:rPr>
            <w:rStyle w:val="Hyperlink"/>
            <w:noProof/>
            <w:lang w:val="ru-RU"/>
          </w:rPr>
          <w:t xml:space="preserve"> </w:t>
        </w:r>
        <w:r w:rsidRPr="00C04594">
          <w:rPr>
            <w:rStyle w:val="Hyperlink"/>
            <w:rFonts w:ascii="MS Gothic" w:eastAsia="MS Gothic" w:hAnsi="MS Gothic" w:cs="MS Gothic" w:hint="eastAsia"/>
            <w:noProof/>
            <w:lang w:val="ru-RU"/>
          </w:rPr>
          <w:t>末日</w:t>
        </w:r>
        <w:r w:rsidRPr="00C04594">
          <w:rPr>
            <w:rStyle w:val="Hyperlink"/>
            <w:rFonts w:ascii="Microsoft JhengHei" w:eastAsia="Microsoft JhengHei" w:hAnsi="Microsoft JhengHei" w:cs="Microsoft JhengHei" w:hint="eastAsia"/>
            <w:noProof/>
            <w:lang w:val="ru-RU"/>
          </w:rPr>
          <w:t>审判之日将要发生的事件及其顺序</w:t>
        </w:r>
        <w:r>
          <w:rPr>
            <w:noProof/>
            <w:webHidden/>
          </w:rPr>
          <w:tab/>
        </w:r>
        <w:r>
          <w:rPr>
            <w:noProof/>
            <w:webHidden/>
          </w:rPr>
          <w:fldChar w:fldCharType="begin"/>
        </w:r>
        <w:r>
          <w:rPr>
            <w:noProof/>
            <w:webHidden/>
          </w:rPr>
          <w:instrText xml:space="preserve"> PAGEREF _Toc238576635 \h </w:instrText>
        </w:r>
        <w:r>
          <w:rPr>
            <w:noProof/>
            <w:webHidden/>
          </w:rPr>
        </w:r>
        <w:r>
          <w:rPr>
            <w:noProof/>
            <w:webHidden/>
          </w:rPr>
          <w:fldChar w:fldCharType="separate"/>
        </w:r>
        <w:r w:rsidR="007B5AC0">
          <w:rPr>
            <w:noProof/>
            <w:webHidden/>
          </w:rPr>
          <w:t>377</w:t>
        </w:r>
        <w:r>
          <w:rPr>
            <w:noProof/>
            <w:webHidden/>
          </w:rPr>
          <w:fldChar w:fldCharType="end"/>
        </w:r>
      </w:hyperlink>
    </w:p>
    <w:p w14:paraId="76C53968" w14:textId="1E8C5531"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36" w:history="1">
        <w:r w:rsidRPr="00C04594">
          <w:rPr>
            <w:rStyle w:val="Hyperlink"/>
            <w:bCs/>
            <w:noProof/>
            <w:lang w:val="ru-RU"/>
          </w:rPr>
          <w:t>§263.</w:t>
        </w:r>
        <w:r w:rsidRPr="00C04594">
          <w:rPr>
            <w:rStyle w:val="Hyperlink"/>
            <w:noProof/>
            <w:lang w:val="ru-RU"/>
          </w:rPr>
          <w:t xml:space="preserve"> </w:t>
        </w:r>
        <w:r w:rsidRPr="00C04594">
          <w:rPr>
            <w:rStyle w:val="Hyperlink"/>
            <w:rFonts w:ascii="MS Gothic" w:eastAsia="MS Gothic" w:hAnsi="MS Gothic" w:cs="MS Gothic" w:hint="eastAsia"/>
            <w:noProof/>
            <w:lang w:val="ru-RU"/>
          </w:rPr>
          <w:t>末日</w:t>
        </w:r>
        <w:r w:rsidRPr="00C04594">
          <w:rPr>
            <w:rStyle w:val="Hyperlink"/>
            <w:rFonts w:ascii="Microsoft JhengHei" w:eastAsia="Microsoft JhengHei" w:hAnsi="Microsoft JhengHei" w:cs="Microsoft JhengHei" w:hint="eastAsia"/>
            <w:noProof/>
            <w:lang w:val="ru-RU"/>
          </w:rPr>
          <w:t>审判的先决条件：</w:t>
        </w:r>
        <w:r w:rsidRPr="00C04594">
          <w:rPr>
            <w:rStyle w:val="Hyperlink"/>
            <w:bCs/>
            <w:noProof/>
            <w:lang w:val="ru-RU"/>
          </w:rPr>
          <w:t>a)</w:t>
        </w:r>
        <w:r w:rsidRPr="00C04594">
          <w:rPr>
            <w:rStyle w:val="Hyperlink"/>
            <w:noProof/>
            <w:lang w:val="ru-RU"/>
          </w:rPr>
          <w:t xml:space="preserve"> </w:t>
        </w:r>
        <w:r w:rsidRPr="00C04594">
          <w:rPr>
            <w:rStyle w:val="Hyperlink"/>
            <w:rFonts w:ascii="MS Gothic" w:eastAsia="MS Gothic" w:hAnsi="MS Gothic" w:cs="MS Gothic" w:hint="eastAsia"/>
            <w:noProof/>
            <w:lang w:val="ru-RU"/>
          </w:rPr>
          <w:t>主</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活人死人的</w:t>
        </w:r>
        <w:r w:rsidRPr="00C04594">
          <w:rPr>
            <w:rStyle w:val="Hyperlink"/>
            <w:rFonts w:ascii="Microsoft JhengHei" w:eastAsia="Microsoft JhengHei" w:hAnsi="Microsoft JhengHei" w:cs="Microsoft JhengHei" w:hint="eastAsia"/>
            <w:noProof/>
            <w:lang w:val="ru-RU"/>
          </w:rPr>
          <w:t>审判者</w:t>
        </w:r>
        <w:r w:rsidRPr="00C04594">
          <w:rPr>
            <w:rStyle w:val="Hyperlink"/>
            <w:rFonts w:ascii="Aptos" w:hAnsi="Aptos" w:cs="Aptos"/>
            <w:noProof/>
            <w:lang w:val="ru-RU"/>
          </w:rPr>
          <w:t>——</w:t>
        </w:r>
        <w:r w:rsidRPr="00C04594">
          <w:rPr>
            <w:rStyle w:val="Hyperlink"/>
            <w:rFonts w:ascii="MS Gothic" w:eastAsia="MS Gothic" w:hAnsi="MS Gothic" w:cs="MS Gothic" w:hint="eastAsia"/>
            <w:noProof/>
            <w:lang w:val="ru-RU"/>
          </w:rPr>
          <w:t>的再来</w:t>
        </w:r>
        <w:r>
          <w:rPr>
            <w:noProof/>
            <w:webHidden/>
          </w:rPr>
          <w:tab/>
        </w:r>
        <w:r>
          <w:rPr>
            <w:noProof/>
            <w:webHidden/>
          </w:rPr>
          <w:fldChar w:fldCharType="begin"/>
        </w:r>
        <w:r>
          <w:rPr>
            <w:noProof/>
            <w:webHidden/>
          </w:rPr>
          <w:instrText xml:space="preserve"> PAGEREF _Toc238576636 \h </w:instrText>
        </w:r>
        <w:r>
          <w:rPr>
            <w:noProof/>
            <w:webHidden/>
          </w:rPr>
        </w:r>
        <w:r>
          <w:rPr>
            <w:noProof/>
            <w:webHidden/>
          </w:rPr>
          <w:fldChar w:fldCharType="separate"/>
        </w:r>
        <w:r w:rsidR="007B5AC0">
          <w:rPr>
            <w:noProof/>
            <w:webHidden/>
          </w:rPr>
          <w:t>378</w:t>
        </w:r>
        <w:r>
          <w:rPr>
            <w:noProof/>
            <w:webHidden/>
          </w:rPr>
          <w:fldChar w:fldCharType="end"/>
        </w:r>
      </w:hyperlink>
    </w:p>
    <w:p w14:paraId="073854E1" w14:textId="6D0E072C"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37" w:history="1">
        <w:r w:rsidRPr="00C04594">
          <w:rPr>
            <w:rStyle w:val="Hyperlink"/>
            <w:bCs/>
            <w:noProof/>
            <w:lang w:val="ru-RU"/>
          </w:rPr>
          <w:t>§264. b)</w:t>
        </w:r>
        <w:r w:rsidRPr="00C04594">
          <w:rPr>
            <w:rStyle w:val="Hyperlink"/>
            <w:noProof/>
            <w:lang w:val="ru-RU"/>
          </w:rPr>
          <w:t xml:space="preserve"> </w:t>
        </w:r>
        <w:r w:rsidRPr="00C04594">
          <w:rPr>
            <w:rStyle w:val="Hyperlink"/>
            <w:rFonts w:ascii="MS Gothic" w:eastAsia="MS Gothic" w:hAnsi="MS Gothic" w:cs="MS Gothic" w:hint="eastAsia"/>
            <w:noProof/>
            <w:lang w:val="ru-RU"/>
          </w:rPr>
          <w:t>死人复活与活人改</w:t>
        </w:r>
        <w:r w:rsidRPr="00C04594">
          <w:rPr>
            <w:rStyle w:val="Hyperlink"/>
            <w:rFonts w:ascii="Microsoft JhengHei" w:eastAsia="Microsoft JhengHei" w:hAnsi="Microsoft JhengHei" w:cs="Microsoft JhengHei" w:hint="eastAsia"/>
            <w:noProof/>
            <w:lang w:val="ru-RU"/>
          </w:rPr>
          <w:t>变</w:t>
        </w:r>
        <w:r>
          <w:rPr>
            <w:noProof/>
            <w:webHidden/>
          </w:rPr>
          <w:tab/>
        </w:r>
        <w:r>
          <w:rPr>
            <w:noProof/>
            <w:webHidden/>
          </w:rPr>
          <w:fldChar w:fldCharType="begin"/>
        </w:r>
        <w:r>
          <w:rPr>
            <w:noProof/>
            <w:webHidden/>
          </w:rPr>
          <w:instrText xml:space="preserve"> PAGEREF _Toc238576637 \h </w:instrText>
        </w:r>
        <w:r>
          <w:rPr>
            <w:noProof/>
            <w:webHidden/>
          </w:rPr>
        </w:r>
        <w:r>
          <w:rPr>
            <w:noProof/>
            <w:webHidden/>
          </w:rPr>
          <w:fldChar w:fldCharType="separate"/>
        </w:r>
        <w:r w:rsidR="007B5AC0">
          <w:rPr>
            <w:noProof/>
            <w:webHidden/>
          </w:rPr>
          <w:t>379</w:t>
        </w:r>
        <w:r>
          <w:rPr>
            <w:noProof/>
            <w:webHidden/>
          </w:rPr>
          <w:fldChar w:fldCharType="end"/>
        </w:r>
      </w:hyperlink>
    </w:p>
    <w:p w14:paraId="171CE63A" w14:textId="0C166F9A"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38" w:history="1">
        <w:r w:rsidRPr="00C04594">
          <w:rPr>
            <w:rStyle w:val="Hyperlink"/>
            <w:bCs/>
            <w:noProof/>
            <w:lang w:val="ru-RU"/>
          </w:rPr>
          <w:t>§265.</w:t>
        </w:r>
        <w:r w:rsidRPr="00C04594">
          <w:rPr>
            <w:rStyle w:val="Hyperlink"/>
            <w:noProof/>
            <w:lang w:val="ru-RU"/>
          </w:rPr>
          <w:t xml:space="preserve"> </w:t>
        </w:r>
        <w:r w:rsidRPr="00C04594">
          <w:rPr>
            <w:rStyle w:val="Hyperlink"/>
            <w:rFonts w:ascii="MS Gothic" w:eastAsia="MS Gothic" w:hAnsi="MS Gothic" w:cs="MS Gothic" w:hint="eastAsia"/>
            <w:noProof/>
            <w:lang w:val="ru-RU"/>
          </w:rPr>
          <w:t>普世</w:t>
        </w:r>
        <w:r w:rsidRPr="00C04594">
          <w:rPr>
            <w:rStyle w:val="Hyperlink"/>
            <w:rFonts w:ascii="Microsoft JhengHei" w:eastAsia="Microsoft JhengHei" w:hAnsi="Microsoft JhengHei" w:cs="Microsoft JhengHei" w:hint="eastAsia"/>
            <w:noProof/>
            <w:lang w:val="ru-RU"/>
          </w:rPr>
          <w:t>审判：其真实性、形式与特性</w:t>
        </w:r>
        <w:r>
          <w:rPr>
            <w:noProof/>
            <w:webHidden/>
          </w:rPr>
          <w:tab/>
        </w:r>
        <w:r>
          <w:rPr>
            <w:noProof/>
            <w:webHidden/>
          </w:rPr>
          <w:fldChar w:fldCharType="begin"/>
        </w:r>
        <w:r>
          <w:rPr>
            <w:noProof/>
            <w:webHidden/>
          </w:rPr>
          <w:instrText xml:space="preserve"> PAGEREF _Toc238576638 \h </w:instrText>
        </w:r>
        <w:r>
          <w:rPr>
            <w:noProof/>
            <w:webHidden/>
          </w:rPr>
        </w:r>
        <w:r>
          <w:rPr>
            <w:noProof/>
            <w:webHidden/>
          </w:rPr>
          <w:fldChar w:fldCharType="separate"/>
        </w:r>
        <w:r w:rsidR="007B5AC0">
          <w:rPr>
            <w:noProof/>
            <w:webHidden/>
          </w:rPr>
          <w:t>387</w:t>
        </w:r>
        <w:r>
          <w:rPr>
            <w:noProof/>
            <w:webHidden/>
          </w:rPr>
          <w:fldChar w:fldCharType="end"/>
        </w:r>
      </w:hyperlink>
    </w:p>
    <w:p w14:paraId="4AB8F22C" w14:textId="25A68DDD"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39" w:history="1">
        <w:r w:rsidRPr="00C04594">
          <w:rPr>
            <w:rStyle w:val="Hyperlink"/>
            <w:bCs/>
            <w:noProof/>
            <w:lang w:val="ru-RU"/>
          </w:rPr>
          <w:t>§266.</w:t>
        </w:r>
        <w:r w:rsidRPr="00C04594">
          <w:rPr>
            <w:rStyle w:val="Hyperlink"/>
            <w:noProof/>
            <w:lang w:val="ru-RU"/>
          </w:rPr>
          <w:t xml:space="preserve"> </w:t>
        </w:r>
        <w:r w:rsidRPr="00C04594">
          <w:rPr>
            <w:rStyle w:val="Hyperlink"/>
            <w:rFonts w:ascii="MS Gothic" w:eastAsia="MS Gothic" w:hAnsi="MS Gothic" w:cs="MS Gothic" w:hint="eastAsia"/>
            <w:noProof/>
            <w:lang w:val="ru-RU"/>
          </w:rPr>
          <w:t>末日</w:t>
        </w:r>
        <w:r w:rsidRPr="00C04594">
          <w:rPr>
            <w:rStyle w:val="Hyperlink"/>
            <w:rFonts w:ascii="Microsoft JhengHei" w:eastAsia="Microsoft JhengHei" w:hAnsi="Microsoft JhengHei" w:cs="Microsoft JhengHei" w:hint="eastAsia"/>
            <w:noProof/>
            <w:lang w:val="ru-RU"/>
          </w:rPr>
          <w:t>审判的伴随情况：</w:t>
        </w:r>
        <w:r w:rsidRPr="00C04594">
          <w:rPr>
            <w:rStyle w:val="Hyperlink"/>
            <w:bCs/>
            <w:noProof/>
            <w:lang w:val="ru-RU"/>
          </w:rPr>
          <w:t>a)</w:t>
        </w:r>
        <w:r w:rsidRPr="00C04594">
          <w:rPr>
            <w:rStyle w:val="Hyperlink"/>
            <w:noProof/>
            <w:lang w:val="ru-RU"/>
          </w:rPr>
          <w:t xml:space="preserve"> </w:t>
        </w:r>
        <w:r w:rsidRPr="00C04594">
          <w:rPr>
            <w:rStyle w:val="Hyperlink"/>
            <w:rFonts w:ascii="MS Gothic" w:eastAsia="MS Gothic" w:hAnsi="MS Gothic" w:cs="MS Gothic" w:hint="eastAsia"/>
            <w:noProof/>
            <w:lang w:val="ru-RU"/>
          </w:rPr>
          <w:t>世界的</w:t>
        </w:r>
        <w:r w:rsidRPr="00C04594">
          <w:rPr>
            <w:rStyle w:val="Hyperlink"/>
            <w:rFonts w:ascii="Microsoft JhengHei" w:eastAsia="Microsoft JhengHei" w:hAnsi="Microsoft JhengHei" w:cs="Microsoft JhengHei" w:hint="eastAsia"/>
            <w:noProof/>
            <w:lang w:val="ru-RU"/>
          </w:rPr>
          <w:t>终结</w:t>
        </w:r>
        <w:r>
          <w:rPr>
            <w:noProof/>
            <w:webHidden/>
          </w:rPr>
          <w:tab/>
        </w:r>
        <w:r>
          <w:rPr>
            <w:noProof/>
            <w:webHidden/>
          </w:rPr>
          <w:fldChar w:fldCharType="begin"/>
        </w:r>
        <w:r>
          <w:rPr>
            <w:noProof/>
            <w:webHidden/>
          </w:rPr>
          <w:instrText xml:space="preserve"> PAGEREF _Toc238576639 \h </w:instrText>
        </w:r>
        <w:r>
          <w:rPr>
            <w:noProof/>
            <w:webHidden/>
          </w:rPr>
        </w:r>
        <w:r>
          <w:rPr>
            <w:noProof/>
            <w:webHidden/>
          </w:rPr>
          <w:fldChar w:fldCharType="separate"/>
        </w:r>
        <w:r w:rsidR="007B5AC0">
          <w:rPr>
            <w:noProof/>
            <w:webHidden/>
          </w:rPr>
          <w:t>390</w:t>
        </w:r>
        <w:r>
          <w:rPr>
            <w:noProof/>
            <w:webHidden/>
          </w:rPr>
          <w:fldChar w:fldCharType="end"/>
        </w:r>
      </w:hyperlink>
    </w:p>
    <w:p w14:paraId="342F572E" w14:textId="054A579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40" w:history="1">
        <w:r w:rsidRPr="00C04594">
          <w:rPr>
            <w:rStyle w:val="Hyperlink"/>
            <w:bCs/>
            <w:noProof/>
            <w:lang w:val="ru-RU"/>
          </w:rPr>
          <w:t>§267. b)</w:t>
        </w:r>
        <w:r w:rsidRPr="00C04594">
          <w:rPr>
            <w:rStyle w:val="Hyperlink"/>
            <w:noProof/>
            <w:lang w:val="ru-RU"/>
          </w:rPr>
          <w:t xml:space="preserve"> </w:t>
        </w:r>
        <w:r w:rsidRPr="00C04594">
          <w:rPr>
            <w:rStyle w:val="Hyperlink"/>
            <w:rFonts w:ascii="MS Gothic" w:eastAsia="MS Gothic" w:hAnsi="MS Gothic" w:cs="MS Gothic" w:hint="eastAsia"/>
            <w:noProof/>
            <w:lang w:val="ru-RU"/>
          </w:rPr>
          <w:t>基督恩典之国的</w:t>
        </w:r>
        <w:r w:rsidRPr="00C04594">
          <w:rPr>
            <w:rStyle w:val="Hyperlink"/>
            <w:rFonts w:ascii="Microsoft JhengHei" w:eastAsia="Microsoft JhengHei" w:hAnsi="Microsoft JhengHei" w:cs="Microsoft JhengHei" w:hint="eastAsia"/>
            <w:noProof/>
            <w:lang w:val="ru-RU"/>
          </w:rPr>
          <w:t>终结与荣耀之国的开端；关于千禧年（即基督的千年王国）的注释</w:t>
        </w:r>
        <w:r>
          <w:rPr>
            <w:noProof/>
            <w:webHidden/>
          </w:rPr>
          <w:tab/>
        </w:r>
        <w:r>
          <w:rPr>
            <w:noProof/>
            <w:webHidden/>
          </w:rPr>
          <w:fldChar w:fldCharType="begin"/>
        </w:r>
        <w:r>
          <w:rPr>
            <w:noProof/>
            <w:webHidden/>
          </w:rPr>
          <w:instrText xml:space="preserve"> PAGEREF _Toc238576640 \h </w:instrText>
        </w:r>
        <w:r>
          <w:rPr>
            <w:noProof/>
            <w:webHidden/>
          </w:rPr>
        </w:r>
        <w:r>
          <w:rPr>
            <w:noProof/>
            <w:webHidden/>
          </w:rPr>
          <w:fldChar w:fldCharType="separate"/>
        </w:r>
        <w:r w:rsidR="007B5AC0">
          <w:rPr>
            <w:noProof/>
            <w:webHidden/>
          </w:rPr>
          <w:t>392</w:t>
        </w:r>
        <w:r>
          <w:rPr>
            <w:noProof/>
            <w:webHidden/>
          </w:rPr>
          <w:fldChar w:fldCharType="end"/>
        </w:r>
      </w:hyperlink>
    </w:p>
    <w:p w14:paraId="17304758" w14:textId="564BF7D6" w:rsidR="0097554A" w:rsidRDefault="0097554A" w:rsidP="0097554A">
      <w:pPr>
        <w:pStyle w:val="TOC4"/>
        <w:tabs>
          <w:tab w:val="right" w:leader="dot" w:pos="10790"/>
        </w:tabs>
        <w:rPr>
          <w:rFonts w:eastAsiaTheme="minorEastAsia" w:cstheme="minorBidi"/>
          <w:noProof/>
          <w:kern w:val="2"/>
          <w:sz w:val="24"/>
          <w:lang w:bidi="ta-IN"/>
          <w14:ligatures w14:val="standardContextual"/>
        </w:rPr>
      </w:pPr>
      <w:hyperlink w:anchor="_Toc238576641" w:history="1">
        <w:r w:rsidRPr="00C04594">
          <w:rPr>
            <w:rStyle w:val="Hyperlink"/>
            <w:bCs/>
            <w:noProof/>
            <w:lang w:val="ru-RU"/>
          </w:rPr>
          <w:t>2.</w:t>
        </w:r>
        <w:r w:rsidRPr="00C04594">
          <w:rPr>
            <w:rStyle w:val="Hyperlink"/>
            <w:noProof/>
            <w:lang w:val="ru-RU"/>
          </w:rPr>
          <w:t xml:space="preserve"> </w:t>
        </w:r>
        <w:r w:rsidRPr="00C04594">
          <w:rPr>
            <w:rStyle w:val="Hyperlink"/>
            <w:rFonts w:ascii="MS Gothic" w:eastAsia="MS Gothic" w:hAnsi="MS Gothic" w:cs="MS Gothic" w:hint="eastAsia"/>
            <w:noProof/>
            <w:lang w:val="ru-RU"/>
          </w:rPr>
          <w:t>关于普世</w:t>
        </w:r>
        <w:r w:rsidRPr="00C04594">
          <w:rPr>
            <w:rStyle w:val="Hyperlink"/>
            <w:rFonts w:ascii="Microsoft JhengHei" w:eastAsia="Microsoft JhengHei" w:hAnsi="Microsoft JhengHei" w:cs="Microsoft JhengHei" w:hint="eastAsia"/>
            <w:noProof/>
            <w:lang w:val="ru-RU"/>
          </w:rPr>
          <w:t>审判后的赏罚</w:t>
        </w:r>
        <w:r>
          <w:rPr>
            <w:noProof/>
            <w:webHidden/>
          </w:rPr>
          <w:tab/>
        </w:r>
        <w:r>
          <w:rPr>
            <w:noProof/>
            <w:webHidden/>
          </w:rPr>
          <w:fldChar w:fldCharType="begin"/>
        </w:r>
        <w:r>
          <w:rPr>
            <w:noProof/>
            <w:webHidden/>
          </w:rPr>
          <w:instrText xml:space="preserve"> PAGEREF _Toc238576641 \h </w:instrText>
        </w:r>
        <w:r>
          <w:rPr>
            <w:noProof/>
            <w:webHidden/>
          </w:rPr>
        </w:r>
        <w:r>
          <w:rPr>
            <w:noProof/>
            <w:webHidden/>
          </w:rPr>
          <w:fldChar w:fldCharType="separate"/>
        </w:r>
        <w:r w:rsidR="007B5AC0">
          <w:rPr>
            <w:noProof/>
            <w:webHidden/>
          </w:rPr>
          <w:t>396</w:t>
        </w:r>
        <w:r>
          <w:rPr>
            <w:noProof/>
            <w:webHidden/>
          </w:rPr>
          <w:fldChar w:fldCharType="end"/>
        </w:r>
      </w:hyperlink>
    </w:p>
    <w:p w14:paraId="322DC752" w14:textId="46E549E0"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42" w:history="1">
        <w:r w:rsidRPr="00C04594">
          <w:rPr>
            <w:rStyle w:val="Hyperlink"/>
            <w:noProof/>
            <w:lang w:val="ru-RU"/>
          </w:rPr>
          <w:t xml:space="preserve">§268. </w:t>
        </w:r>
        <w:r w:rsidRPr="00C04594">
          <w:rPr>
            <w:rStyle w:val="Hyperlink"/>
            <w:rFonts w:ascii="MS Gothic" w:eastAsia="MS Gothic" w:hAnsi="MS Gothic" w:cs="MS Gothic" w:hint="eastAsia"/>
            <w:noProof/>
            <w:lang w:val="ru-RU"/>
          </w:rPr>
          <w:t>与前文的关</w:t>
        </w:r>
        <w:r w:rsidRPr="00C04594">
          <w:rPr>
            <w:rStyle w:val="Hyperlink"/>
            <w:rFonts w:ascii="Microsoft JhengHei" w:eastAsia="Microsoft JhengHei" w:hAnsi="Microsoft JhengHei" w:cs="Microsoft JhengHei" w:hint="eastAsia"/>
            <w:noProof/>
            <w:lang w:val="ru-RU"/>
          </w:rPr>
          <w:t>联及此报应的特性</w:t>
        </w:r>
        <w:r>
          <w:rPr>
            <w:noProof/>
            <w:webHidden/>
          </w:rPr>
          <w:tab/>
        </w:r>
        <w:r>
          <w:rPr>
            <w:noProof/>
            <w:webHidden/>
          </w:rPr>
          <w:fldChar w:fldCharType="begin"/>
        </w:r>
        <w:r>
          <w:rPr>
            <w:noProof/>
            <w:webHidden/>
          </w:rPr>
          <w:instrText xml:space="preserve"> PAGEREF _Toc238576642 \h </w:instrText>
        </w:r>
        <w:r>
          <w:rPr>
            <w:noProof/>
            <w:webHidden/>
          </w:rPr>
        </w:r>
        <w:r>
          <w:rPr>
            <w:noProof/>
            <w:webHidden/>
          </w:rPr>
          <w:fldChar w:fldCharType="separate"/>
        </w:r>
        <w:r w:rsidR="007B5AC0">
          <w:rPr>
            <w:noProof/>
            <w:webHidden/>
          </w:rPr>
          <w:t>396</w:t>
        </w:r>
        <w:r>
          <w:rPr>
            <w:noProof/>
            <w:webHidden/>
          </w:rPr>
          <w:fldChar w:fldCharType="end"/>
        </w:r>
      </w:hyperlink>
    </w:p>
    <w:p w14:paraId="21447227" w14:textId="477CF71E"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43" w:history="1">
        <w:r w:rsidRPr="00C04594">
          <w:rPr>
            <w:rStyle w:val="Hyperlink"/>
            <w:noProof/>
            <w:lang w:val="ru-RU"/>
          </w:rPr>
          <w:t xml:space="preserve">§269. </w:t>
        </w:r>
        <w:r w:rsidRPr="00C04594">
          <w:rPr>
            <w:rStyle w:val="Hyperlink"/>
            <w:rFonts w:ascii="Microsoft JhengHei" w:eastAsia="Microsoft JhengHei" w:hAnsi="Microsoft JhengHei" w:cs="Microsoft JhengHei" w:hint="eastAsia"/>
            <w:noProof/>
            <w:lang w:val="ru-RU"/>
          </w:rPr>
          <w:t>对罪人的报应：</w:t>
        </w:r>
        <w:r w:rsidRPr="00C04594">
          <w:rPr>
            <w:rStyle w:val="Hyperlink"/>
            <w:bCs/>
            <w:noProof/>
            <w:lang w:val="ru-RU"/>
          </w:rPr>
          <w:t>a)</w:t>
        </w:r>
        <w:r w:rsidRPr="00C04594">
          <w:rPr>
            <w:rStyle w:val="Hyperlink"/>
            <w:noProof/>
            <w:lang w:val="ru-RU"/>
          </w:rPr>
          <w:t xml:space="preserve"> </w:t>
        </w:r>
        <w:r w:rsidRPr="00C04594">
          <w:rPr>
            <w:rStyle w:val="Hyperlink"/>
            <w:rFonts w:ascii="MS Gothic" w:eastAsia="MS Gothic" w:hAnsi="MS Gothic" w:cs="MS Gothic" w:hint="eastAsia"/>
            <w:noProof/>
            <w:lang w:val="ru-RU"/>
          </w:rPr>
          <w:t>他</w:t>
        </w:r>
        <w:r w:rsidRPr="00C04594">
          <w:rPr>
            <w:rStyle w:val="Hyperlink"/>
            <w:rFonts w:ascii="Microsoft JhengHei" w:eastAsia="Microsoft JhengHei" w:hAnsi="Microsoft JhengHei" w:cs="Microsoft JhengHei" w:hint="eastAsia"/>
            <w:noProof/>
            <w:lang w:val="ru-RU"/>
          </w:rPr>
          <w:t>们的痛苦将表现为何种形式？</w:t>
        </w:r>
        <w:r>
          <w:rPr>
            <w:noProof/>
            <w:webHidden/>
          </w:rPr>
          <w:tab/>
        </w:r>
        <w:r>
          <w:rPr>
            <w:noProof/>
            <w:webHidden/>
          </w:rPr>
          <w:fldChar w:fldCharType="begin"/>
        </w:r>
        <w:r>
          <w:rPr>
            <w:noProof/>
            <w:webHidden/>
          </w:rPr>
          <w:instrText xml:space="preserve"> PAGEREF _Toc238576643 \h </w:instrText>
        </w:r>
        <w:r>
          <w:rPr>
            <w:noProof/>
            <w:webHidden/>
          </w:rPr>
        </w:r>
        <w:r>
          <w:rPr>
            <w:noProof/>
            <w:webHidden/>
          </w:rPr>
          <w:fldChar w:fldCharType="separate"/>
        </w:r>
        <w:r w:rsidR="007B5AC0">
          <w:rPr>
            <w:noProof/>
            <w:webHidden/>
          </w:rPr>
          <w:t>397</w:t>
        </w:r>
        <w:r>
          <w:rPr>
            <w:noProof/>
            <w:webHidden/>
          </w:rPr>
          <w:fldChar w:fldCharType="end"/>
        </w:r>
      </w:hyperlink>
    </w:p>
    <w:p w14:paraId="59DC0215" w14:textId="2F69920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44" w:history="1">
        <w:r w:rsidRPr="00C04594">
          <w:rPr>
            <w:rStyle w:val="Hyperlink"/>
            <w:noProof/>
            <w:lang w:val="ru-RU"/>
          </w:rPr>
          <w:t xml:space="preserve">§270. </w:t>
        </w:r>
        <w:r w:rsidRPr="00C04594">
          <w:rPr>
            <w:rStyle w:val="Hyperlink"/>
            <w:bCs/>
            <w:noProof/>
            <w:lang w:val="ru-RU"/>
          </w:rPr>
          <w:t>b)</w:t>
        </w:r>
        <w:r w:rsidRPr="00C04594">
          <w:rPr>
            <w:rStyle w:val="Hyperlink"/>
            <w:noProof/>
            <w:lang w:val="ru-RU"/>
          </w:rPr>
          <w:t xml:space="preserve"> </w:t>
        </w:r>
        <w:r w:rsidRPr="00C04594">
          <w:rPr>
            <w:rStyle w:val="Hyperlink"/>
            <w:rFonts w:ascii="MS Gothic" w:eastAsia="MS Gothic" w:hAnsi="MS Gothic" w:cs="MS Gothic" w:hint="eastAsia"/>
            <w:noProof/>
            <w:lang w:val="ru-RU"/>
          </w:rPr>
          <w:t>地</w:t>
        </w:r>
        <w:r w:rsidRPr="00C04594">
          <w:rPr>
            <w:rStyle w:val="Hyperlink"/>
            <w:rFonts w:ascii="Microsoft JhengHei" w:eastAsia="Microsoft JhengHei" w:hAnsi="Microsoft JhengHei" w:cs="Microsoft JhengHei" w:hint="eastAsia"/>
            <w:noProof/>
            <w:lang w:val="ru-RU"/>
          </w:rPr>
          <w:t>狱折磨的程度</w:t>
        </w:r>
        <w:r>
          <w:rPr>
            <w:noProof/>
            <w:webHidden/>
          </w:rPr>
          <w:tab/>
        </w:r>
        <w:r>
          <w:rPr>
            <w:noProof/>
            <w:webHidden/>
          </w:rPr>
          <w:fldChar w:fldCharType="begin"/>
        </w:r>
        <w:r>
          <w:rPr>
            <w:noProof/>
            <w:webHidden/>
          </w:rPr>
          <w:instrText xml:space="preserve"> PAGEREF _Toc238576644 \h </w:instrText>
        </w:r>
        <w:r>
          <w:rPr>
            <w:noProof/>
            <w:webHidden/>
          </w:rPr>
        </w:r>
        <w:r>
          <w:rPr>
            <w:noProof/>
            <w:webHidden/>
          </w:rPr>
          <w:fldChar w:fldCharType="separate"/>
        </w:r>
        <w:r w:rsidR="007B5AC0">
          <w:rPr>
            <w:noProof/>
            <w:webHidden/>
          </w:rPr>
          <w:t>400</w:t>
        </w:r>
        <w:r>
          <w:rPr>
            <w:noProof/>
            <w:webHidden/>
          </w:rPr>
          <w:fldChar w:fldCharType="end"/>
        </w:r>
      </w:hyperlink>
    </w:p>
    <w:p w14:paraId="6848B725" w14:textId="4384FBBF"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45" w:history="1">
        <w:r w:rsidRPr="00C04594">
          <w:rPr>
            <w:rStyle w:val="Hyperlink"/>
            <w:bCs/>
            <w:noProof/>
            <w:lang w:val="ru-RU"/>
          </w:rPr>
          <w:t>§271. c)</w:t>
        </w:r>
        <w:r w:rsidRPr="00C04594">
          <w:rPr>
            <w:rStyle w:val="Hyperlink"/>
            <w:noProof/>
            <w:lang w:val="ru-RU"/>
          </w:rPr>
          <w:t xml:space="preserve"> </w:t>
        </w:r>
        <w:r w:rsidRPr="00C04594">
          <w:rPr>
            <w:rStyle w:val="Hyperlink"/>
            <w:rFonts w:ascii="MS Gothic" w:eastAsia="MS Gothic" w:hAnsi="MS Gothic" w:cs="MS Gothic" w:hint="eastAsia"/>
            <w:noProof/>
            <w:lang w:val="ru-RU"/>
          </w:rPr>
          <w:t>地</w:t>
        </w:r>
        <w:r w:rsidRPr="00C04594">
          <w:rPr>
            <w:rStyle w:val="Hyperlink"/>
            <w:rFonts w:ascii="Microsoft JhengHei" w:eastAsia="Microsoft JhengHei" w:hAnsi="Microsoft JhengHei" w:cs="Microsoft JhengHei" w:hint="eastAsia"/>
            <w:noProof/>
            <w:lang w:val="ru-RU"/>
          </w:rPr>
          <w:t>狱折磨的永恒性</w:t>
        </w:r>
        <w:r>
          <w:rPr>
            <w:noProof/>
            <w:webHidden/>
          </w:rPr>
          <w:tab/>
        </w:r>
        <w:r>
          <w:rPr>
            <w:noProof/>
            <w:webHidden/>
          </w:rPr>
          <w:fldChar w:fldCharType="begin"/>
        </w:r>
        <w:r>
          <w:rPr>
            <w:noProof/>
            <w:webHidden/>
          </w:rPr>
          <w:instrText xml:space="preserve"> PAGEREF _Toc238576645 \h </w:instrText>
        </w:r>
        <w:r>
          <w:rPr>
            <w:noProof/>
            <w:webHidden/>
          </w:rPr>
        </w:r>
        <w:r>
          <w:rPr>
            <w:noProof/>
            <w:webHidden/>
          </w:rPr>
          <w:fldChar w:fldCharType="separate"/>
        </w:r>
        <w:r w:rsidR="007B5AC0">
          <w:rPr>
            <w:noProof/>
            <w:webHidden/>
          </w:rPr>
          <w:t>401</w:t>
        </w:r>
        <w:r>
          <w:rPr>
            <w:noProof/>
            <w:webHidden/>
          </w:rPr>
          <w:fldChar w:fldCharType="end"/>
        </w:r>
      </w:hyperlink>
    </w:p>
    <w:p w14:paraId="48A6E646" w14:textId="192A7D7B"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46" w:history="1">
        <w:r w:rsidRPr="00C04594">
          <w:rPr>
            <w:rStyle w:val="Hyperlink"/>
            <w:bCs/>
            <w:noProof/>
            <w:lang w:val="ru-RU"/>
          </w:rPr>
          <w:t>§272.</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义人的赏报：</w:t>
        </w:r>
        <w:r w:rsidRPr="00C04594">
          <w:rPr>
            <w:rStyle w:val="Hyperlink"/>
            <w:bCs/>
            <w:noProof/>
            <w:lang w:val="ru-RU"/>
          </w:rPr>
          <w:t>a)</w:t>
        </w:r>
        <w:r w:rsidRPr="00C04594">
          <w:rPr>
            <w:rStyle w:val="Hyperlink"/>
            <w:noProof/>
            <w:lang w:val="ru-RU"/>
          </w:rPr>
          <w:t xml:space="preserve"> </w:t>
        </w:r>
        <w:r w:rsidRPr="00C04594">
          <w:rPr>
            <w:rStyle w:val="Hyperlink"/>
            <w:rFonts w:ascii="MS Gothic" w:eastAsia="MS Gothic" w:hAnsi="MS Gothic" w:cs="MS Gothic" w:hint="eastAsia"/>
            <w:noProof/>
            <w:lang w:val="ru-RU"/>
          </w:rPr>
          <w:t>他</w:t>
        </w:r>
        <w:r w:rsidRPr="00C04594">
          <w:rPr>
            <w:rStyle w:val="Hyperlink"/>
            <w:rFonts w:ascii="Microsoft JhengHei" w:eastAsia="Microsoft JhengHei" w:hAnsi="Microsoft JhengHei" w:cs="Microsoft JhengHei" w:hint="eastAsia"/>
            <w:noProof/>
            <w:lang w:val="ru-RU"/>
          </w:rPr>
          <w:t>们的福乐将体现在哪些方面？</w:t>
        </w:r>
        <w:r>
          <w:rPr>
            <w:noProof/>
            <w:webHidden/>
          </w:rPr>
          <w:tab/>
        </w:r>
        <w:r>
          <w:rPr>
            <w:noProof/>
            <w:webHidden/>
          </w:rPr>
          <w:fldChar w:fldCharType="begin"/>
        </w:r>
        <w:r>
          <w:rPr>
            <w:noProof/>
            <w:webHidden/>
          </w:rPr>
          <w:instrText xml:space="preserve"> PAGEREF _Toc238576646 \h </w:instrText>
        </w:r>
        <w:r>
          <w:rPr>
            <w:noProof/>
            <w:webHidden/>
          </w:rPr>
        </w:r>
        <w:r>
          <w:rPr>
            <w:noProof/>
            <w:webHidden/>
          </w:rPr>
          <w:fldChar w:fldCharType="separate"/>
        </w:r>
        <w:r w:rsidR="007B5AC0">
          <w:rPr>
            <w:noProof/>
            <w:webHidden/>
          </w:rPr>
          <w:t>405</w:t>
        </w:r>
        <w:r>
          <w:rPr>
            <w:noProof/>
            <w:webHidden/>
          </w:rPr>
          <w:fldChar w:fldCharType="end"/>
        </w:r>
      </w:hyperlink>
    </w:p>
    <w:p w14:paraId="45DCF17B" w14:textId="7C1E4701"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47" w:history="1">
        <w:r w:rsidRPr="00C04594">
          <w:rPr>
            <w:rStyle w:val="Hyperlink"/>
            <w:bCs/>
            <w:noProof/>
            <w:lang w:val="ru-RU"/>
          </w:rPr>
          <w:t>§273. b)</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义人福乐的等级</w:t>
        </w:r>
        <w:r>
          <w:rPr>
            <w:noProof/>
            <w:webHidden/>
          </w:rPr>
          <w:tab/>
        </w:r>
        <w:r>
          <w:rPr>
            <w:noProof/>
            <w:webHidden/>
          </w:rPr>
          <w:fldChar w:fldCharType="begin"/>
        </w:r>
        <w:r>
          <w:rPr>
            <w:noProof/>
            <w:webHidden/>
          </w:rPr>
          <w:instrText xml:space="preserve"> PAGEREF _Toc238576647 \h </w:instrText>
        </w:r>
        <w:r>
          <w:rPr>
            <w:noProof/>
            <w:webHidden/>
          </w:rPr>
        </w:r>
        <w:r>
          <w:rPr>
            <w:noProof/>
            <w:webHidden/>
          </w:rPr>
          <w:fldChar w:fldCharType="separate"/>
        </w:r>
        <w:r w:rsidR="007B5AC0">
          <w:rPr>
            <w:noProof/>
            <w:webHidden/>
          </w:rPr>
          <w:t>408</w:t>
        </w:r>
        <w:r>
          <w:rPr>
            <w:noProof/>
            <w:webHidden/>
          </w:rPr>
          <w:fldChar w:fldCharType="end"/>
        </w:r>
      </w:hyperlink>
    </w:p>
    <w:p w14:paraId="4828E4A8" w14:textId="2B8FC479"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48" w:history="1">
        <w:r w:rsidRPr="00C04594">
          <w:rPr>
            <w:rStyle w:val="Hyperlink"/>
            <w:bCs/>
            <w:noProof/>
            <w:lang w:val="ru-RU"/>
          </w:rPr>
          <w:t>§274. c)</w:t>
        </w:r>
        <w:r w:rsidRPr="00C04594">
          <w:rPr>
            <w:rStyle w:val="Hyperlink"/>
            <w:noProof/>
            <w:lang w:val="ru-RU"/>
          </w:rPr>
          <w:t xml:space="preserve"> </w:t>
        </w:r>
        <w:r w:rsidRPr="00C04594">
          <w:rPr>
            <w:rStyle w:val="Hyperlink"/>
            <w:rFonts w:ascii="Microsoft JhengHei" w:eastAsia="Microsoft JhengHei" w:hAnsi="Microsoft JhengHei" w:cs="Microsoft JhengHei" w:hint="eastAsia"/>
            <w:noProof/>
            <w:lang w:val="ru-RU"/>
          </w:rPr>
          <w:t>义人永恒的福乐</w:t>
        </w:r>
        <w:r>
          <w:rPr>
            <w:noProof/>
            <w:webHidden/>
          </w:rPr>
          <w:tab/>
        </w:r>
        <w:r>
          <w:rPr>
            <w:noProof/>
            <w:webHidden/>
          </w:rPr>
          <w:fldChar w:fldCharType="begin"/>
        </w:r>
        <w:r>
          <w:rPr>
            <w:noProof/>
            <w:webHidden/>
          </w:rPr>
          <w:instrText xml:space="preserve"> PAGEREF _Toc238576648 \h </w:instrText>
        </w:r>
        <w:r>
          <w:rPr>
            <w:noProof/>
            <w:webHidden/>
          </w:rPr>
        </w:r>
        <w:r>
          <w:rPr>
            <w:noProof/>
            <w:webHidden/>
          </w:rPr>
          <w:fldChar w:fldCharType="separate"/>
        </w:r>
        <w:r w:rsidR="007B5AC0">
          <w:rPr>
            <w:noProof/>
            <w:webHidden/>
          </w:rPr>
          <w:t>410</w:t>
        </w:r>
        <w:r>
          <w:rPr>
            <w:noProof/>
            <w:webHidden/>
          </w:rPr>
          <w:fldChar w:fldCharType="end"/>
        </w:r>
      </w:hyperlink>
    </w:p>
    <w:p w14:paraId="63D8ED3A" w14:textId="20ED662C" w:rsidR="0097554A" w:rsidRDefault="0097554A" w:rsidP="0097554A">
      <w:pPr>
        <w:pStyle w:val="TOC5"/>
        <w:tabs>
          <w:tab w:val="right" w:leader="dot" w:pos="10790"/>
        </w:tabs>
        <w:rPr>
          <w:rFonts w:eastAsiaTheme="minorEastAsia" w:cstheme="minorBidi"/>
          <w:noProof/>
          <w:kern w:val="2"/>
          <w:sz w:val="24"/>
          <w:lang w:bidi="ta-IN"/>
          <w14:ligatures w14:val="standardContextual"/>
        </w:rPr>
      </w:pPr>
      <w:hyperlink w:anchor="_Toc238576649" w:history="1">
        <w:r w:rsidRPr="00C04594">
          <w:rPr>
            <w:rStyle w:val="Hyperlink"/>
            <w:bCs/>
            <w:noProof/>
            <w:lang w:val="ru-RU"/>
          </w:rPr>
          <w:t>§275.</w:t>
        </w:r>
        <w:r w:rsidRPr="00C04594">
          <w:rPr>
            <w:rStyle w:val="Hyperlink"/>
            <w:noProof/>
            <w:lang w:val="ru-RU"/>
          </w:rPr>
          <w:t xml:space="preserve"> </w:t>
        </w:r>
        <w:r w:rsidRPr="00C04594">
          <w:rPr>
            <w:rStyle w:val="Hyperlink"/>
            <w:rFonts w:ascii="MS Gothic" w:eastAsia="MS Gothic" w:hAnsi="MS Gothic" w:cs="MS Gothic" w:hint="eastAsia"/>
            <w:noProof/>
            <w:lang w:val="ru-RU"/>
          </w:rPr>
          <w:t>关于普世</w:t>
        </w:r>
        <w:r w:rsidRPr="00C04594">
          <w:rPr>
            <w:rStyle w:val="Hyperlink"/>
            <w:rFonts w:ascii="Microsoft JhengHei" w:eastAsia="Microsoft JhengHei" w:hAnsi="Microsoft JhengHei" w:cs="Microsoft JhengHei" w:hint="eastAsia"/>
            <w:noProof/>
            <w:lang w:val="ru-RU"/>
          </w:rPr>
          <w:t>审判与报应教义的道德应用</w:t>
        </w:r>
        <w:r>
          <w:rPr>
            <w:noProof/>
            <w:webHidden/>
          </w:rPr>
          <w:tab/>
        </w:r>
        <w:r>
          <w:rPr>
            <w:noProof/>
            <w:webHidden/>
          </w:rPr>
          <w:fldChar w:fldCharType="begin"/>
        </w:r>
        <w:r>
          <w:rPr>
            <w:noProof/>
            <w:webHidden/>
          </w:rPr>
          <w:instrText xml:space="preserve"> PAGEREF _Toc238576649 \h </w:instrText>
        </w:r>
        <w:r>
          <w:rPr>
            <w:noProof/>
            <w:webHidden/>
          </w:rPr>
        </w:r>
        <w:r>
          <w:rPr>
            <w:noProof/>
            <w:webHidden/>
          </w:rPr>
          <w:fldChar w:fldCharType="separate"/>
        </w:r>
        <w:r w:rsidR="007B5AC0">
          <w:rPr>
            <w:noProof/>
            <w:webHidden/>
          </w:rPr>
          <w:t>411</w:t>
        </w:r>
        <w:r>
          <w:rPr>
            <w:noProof/>
            <w:webHidden/>
          </w:rPr>
          <w:fldChar w:fldCharType="end"/>
        </w:r>
      </w:hyperlink>
    </w:p>
    <w:p w14:paraId="405690B8" w14:textId="771EF1C7" w:rsidR="00D85B34" w:rsidRPr="00520243" w:rsidRDefault="0097554A" w:rsidP="00D85B34">
      <w:pPr>
        <w:rPr>
          <w:lang w:val="ru-RU"/>
        </w:rPr>
      </w:pPr>
      <w:r>
        <w:fldChar w:fldCharType="end"/>
      </w:r>
      <w:r w:rsidR="00000000">
        <w:rPr>
          <w:sz w:val="28"/>
          <w:szCs w:val="24"/>
          <w:lang w:val="ru-RU"/>
        </w:rPr>
        <w:pict w14:anchorId="42E6ECBE">
          <v:rect id="_x0000_i1027" style="width:0;height:1.5pt" o:hralign="center" o:hrstd="t" o:hr="t" fillcolor="#a0a0a0" stroked="f"/>
        </w:pict>
      </w:r>
    </w:p>
    <w:p w14:paraId="53FAC8E5" w14:textId="77777777" w:rsidR="00D85B34" w:rsidRPr="009A130A" w:rsidRDefault="00D85B34" w:rsidP="00D85B34">
      <w:pPr>
        <w:rPr>
          <w:lang w:val="ru-RU"/>
        </w:rPr>
      </w:pPr>
    </w:p>
    <w:p w14:paraId="56F9E22A" w14:textId="77777777" w:rsidR="00D85B34" w:rsidRPr="003150A5" w:rsidRDefault="00D85B34" w:rsidP="00D85B34">
      <w:pPr>
        <w:ind w:left="4248"/>
        <w:rPr>
          <w:lang w:val="ru-RU"/>
        </w:rPr>
      </w:pPr>
      <w:r w:rsidRPr="00F1433A">
        <w:rPr>
          <w:i/>
          <w:iCs/>
          <w:lang w:val="ru-RU"/>
        </w:rPr>
        <w:t>……是建在使徒和先知的根基上，以耶稣基督自己为房角石</w:t>
      </w:r>
      <w:r w:rsidRPr="003150A5">
        <w:rPr>
          <w:lang w:val="ru-RU"/>
        </w:rPr>
        <w:t>（弗 2</w:t>
      </w:r>
      <w:r w:rsidRPr="009C4CB2">
        <w:rPr>
          <w:lang w:val="ru-RU"/>
        </w:rPr>
        <w:t>:</w:t>
      </w:r>
      <w:r w:rsidRPr="003150A5">
        <w:rPr>
          <w:lang w:val="ru-RU"/>
        </w:rPr>
        <w:t>20）。</w:t>
      </w:r>
    </w:p>
    <w:p w14:paraId="4B665174" w14:textId="77777777" w:rsidR="00D85B34" w:rsidRPr="003150A5" w:rsidRDefault="00D85B34" w:rsidP="00D85B34">
      <w:pPr>
        <w:ind w:left="4248"/>
        <w:rPr>
          <w:lang w:val="ru-RU"/>
        </w:rPr>
      </w:pPr>
    </w:p>
    <w:p w14:paraId="2F4FB412" w14:textId="77777777" w:rsidR="00D85B34" w:rsidRPr="003150A5" w:rsidRDefault="00D85B34" w:rsidP="00D85B34">
      <w:pPr>
        <w:ind w:left="4248"/>
        <w:rPr>
          <w:lang w:val="ru-RU"/>
        </w:rPr>
      </w:pPr>
      <w:r w:rsidRPr="00F1433A">
        <w:rPr>
          <w:i/>
          <w:iCs/>
          <w:lang w:val="ru-RU"/>
        </w:rPr>
        <w:t>……使你知道当怎样在神的家中行事，这家就是永生神的教会，是真理的柱石和根基</w:t>
      </w:r>
      <w:r w:rsidRPr="003150A5">
        <w:rPr>
          <w:lang w:val="ru-RU"/>
        </w:rPr>
        <w:t>（提摩太前书 3</w:t>
      </w:r>
      <w:r w:rsidRPr="009C4CB2">
        <w:rPr>
          <w:lang w:val="ru-RU"/>
        </w:rPr>
        <w:t>:</w:t>
      </w:r>
      <w:r w:rsidRPr="003150A5">
        <w:rPr>
          <w:lang w:val="ru-RU"/>
        </w:rPr>
        <w:t>15）。</w:t>
      </w:r>
    </w:p>
    <w:p w14:paraId="1FBBE3B8" w14:textId="77777777" w:rsidR="00D85B34" w:rsidRPr="003150A5" w:rsidRDefault="00D85B34" w:rsidP="00D85B34">
      <w:pPr>
        <w:ind w:left="4248"/>
        <w:rPr>
          <w:lang w:val="ru-RU"/>
        </w:rPr>
      </w:pPr>
    </w:p>
    <w:p w14:paraId="061BC0C5" w14:textId="77777777" w:rsidR="00D85B34" w:rsidRDefault="00D85B34" w:rsidP="00D85B34">
      <w:pPr>
        <w:ind w:left="4248"/>
        <w:rPr>
          <w:lang w:val="ru-RU"/>
        </w:rPr>
      </w:pPr>
      <w:r w:rsidRPr="00F1433A">
        <w:rPr>
          <w:i/>
          <w:iCs/>
          <w:lang w:val="ru-RU"/>
        </w:rPr>
        <w:t>亲爱的弟兄们！不要信从每一个灵，总要试验那些灵，是否出于神</w:t>
      </w:r>
      <w:r w:rsidRPr="003150A5">
        <w:rPr>
          <w:lang w:val="ru-RU"/>
        </w:rPr>
        <w:t>（约壹4</w:t>
      </w:r>
      <w:r w:rsidRPr="009C4CB2">
        <w:rPr>
          <w:lang w:val="ru-RU"/>
        </w:rPr>
        <w:t>:</w:t>
      </w:r>
      <w:r w:rsidRPr="003150A5">
        <w:rPr>
          <w:lang w:val="ru-RU"/>
        </w:rPr>
        <w:t>1）。</w:t>
      </w:r>
    </w:p>
    <w:p w14:paraId="71BEFE82" w14:textId="77777777" w:rsidR="00D85B34" w:rsidRDefault="00D85B34" w:rsidP="00D85B34">
      <w:pPr>
        <w:rPr>
          <w:lang w:val="ru-RU"/>
        </w:rPr>
      </w:pPr>
    </w:p>
    <w:p w14:paraId="4736C33A" w14:textId="77777777" w:rsidR="00D85B34" w:rsidRDefault="00D85B34" w:rsidP="00D85B34">
      <w:pPr>
        <w:rPr>
          <w:lang w:val="ru-RU"/>
        </w:rPr>
      </w:pPr>
    </w:p>
    <w:p w14:paraId="1AEC679B" w14:textId="77777777" w:rsidR="00D85B34" w:rsidRPr="00794712" w:rsidRDefault="00D85B34" w:rsidP="007B240B">
      <w:pPr>
        <w:pStyle w:val="Heading5"/>
        <w:rPr>
          <w:lang w:val="ru-RU"/>
        </w:rPr>
      </w:pPr>
      <w:bookmarkStart w:id="0" w:name="_Toc133155548"/>
      <w:bookmarkStart w:id="1" w:name="_Toc180664561"/>
      <w:bookmarkStart w:id="2" w:name="_Toc180679182"/>
      <w:bookmarkStart w:id="3" w:name="_Toc180679239"/>
      <w:bookmarkStart w:id="4" w:name="_Toc180679762"/>
      <w:bookmarkStart w:id="5" w:name="_Toc238453643"/>
      <w:bookmarkStart w:id="6" w:name="_Toc238576459"/>
      <w:r w:rsidRPr="00794712">
        <w:rPr>
          <w:lang w:val="ru-RU"/>
        </w:rPr>
        <w:t>§122. 与前文的关联、该主题的重要性、教会对此的教义及其教义的分歧</w:t>
      </w:r>
      <w:bookmarkEnd w:id="0"/>
      <w:bookmarkEnd w:id="1"/>
      <w:bookmarkEnd w:id="2"/>
      <w:bookmarkEnd w:id="3"/>
      <w:bookmarkEnd w:id="4"/>
      <w:bookmarkEnd w:id="5"/>
      <w:bookmarkEnd w:id="6"/>
    </w:p>
    <w:p w14:paraId="7A4F6F7C" w14:textId="77777777" w:rsidR="00D85B34" w:rsidRPr="00794712" w:rsidRDefault="00D85B34" w:rsidP="00D85B34">
      <w:pPr>
        <w:ind w:firstLine="708"/>
        <w:rPr>
          <w:lang w:val="ru-RU"/>
        </w:rPr>
      </w:pPr>
      <w:r w:rsidRPr="00794712">
        <w:rPr>
          <w:lang w:val="ru-RU"/>
        </w:rPr>
        <w:t>迄今为止，我们可以说一直身处东正教教义神学的圣所之中；如今，我们将步入至圣所。 基督教不仅是一种宗教，更是一种被恢复的宗教。关于上帝本身及其与世界和人类的总体关系的信条——我们此前曾努力研究过这些信条——属于基督教，也属于宗教这一范畴；如果人类能够保留原始宗教，这些信条本应存在于其中： 因为亚当所认识的，除了真神之外别无他神，即三位一体的造物主与护佑者，他理应顺服祂并给予应有的敬拜——这正是他所实践的原始宗教的体现。现在，我们将阐述属于基督教——</w:t>
      </w:r>
      <w:r w:rsidRPr="00794712">
        <w:rPr>
          <w:lang w:val="ru-RU"/>
        </w:rPr>
        <w:lastRenderedPageBreak/>
        <w:t>作为一种被恢复的宗教——的教义，</w:t>
      </w:r>
      <w:r>
        <w:rPr>
          <w:lang w:val="ru-RU"/>
        </w:rPr>
        <w:t xml:space="preserve"> </w:t>
      </w:r>
      <w:r w:rsidRPr="00794712">
        <w:rPr>
          <w:lang w:val="ru-RU"/>
        </w:rPr>
        <w:t xml:space="preserve">——关于救主上帝及其与堕落之人之间特殊、超自然关系的信条，这些信条在原始宗教中是无法存在的，它们构成了福音宣讲的核心与精髓。 </w:t>
      </w:r>
      <w:r w:rsidRPr="00AE02D3">
        <w:rPr>
          <w:i/>
          <w:iCs/>
          <w:lang w:val="ru-RU"/>
        </w:rPr>
        <w:t>“我们传讲被钉十字架的基督</w:t>
      </w:r>
      <w:r w:rsidRPr="00794712">
        <w:rPr>
          <w:lang w:val="ru-RU"/>
        </w:rPr>
        <w:t>”（林前1</w:t>
      </w:r>
      <w:r w:rsidRPr="00A72A54">
        <w:rPr>
          <w:lang w:val="ru-RU"/>
        </w:rPr>
        <w:t>:</w:t>
      </w:r>
      <w:r w:rsidRPr="00794712">
        <w:rPr>
          <w:lang w:val="ru-RU"/>
        </w:rPr>
        <w:t>23）；</w:t>
      </w:r>
      <w:r w:rsidRPr="0083460D">
        <w:rPr>
          <w:i/>
          <w:iCs/>
          <w:lang w:val="ru-RU"/>
        </w:rPr>
        <w:t>“我曾定意在你们中间不知道别的，只知道耶稣基督，并且是被钉十字架的</w:t>
      </w:r>
      <w:r w:rsidRPr="00794712">
        <w:rPr>
          <w:lang w:val="ru-RU"/>
        </w:rPr>
        <w:t>”（林前2</w:t>
      </w:r>
      <w:r w:rsidRPr="00F06366">
        <w:rPr>
          <w:lang w:val="ru-RU"/>
        </w:rPr>
        <w:t>:</w:t>
      </w:r>
      <w:r w:rsidRPr="00794712">
        <w:rPr>
          <w:lang w:val="ru-RU"/>
        </w:rPr>
        <w:t>2），圣使徒保罗如此说道，旨在阐明基督教福音的核心主题。</w:t>
      </w:r>
    </w:p>
    <w:p w14:paraId="5474E181" w14:textId="77777777" w:rsidR="00D85B34" w:rsidRPr="00794712" w:rsidRDefault="00D85B34" w:rsidP="00D85B34">
      <w:pPr>
        <w:rPr>
          <w:lang w:val="ru-RU"/>
        </w:rPr>
      </w:pPr>
      <w:r w:rsidRPr="00794712">
        <w:rPr>
          <w:lang w:val="ru-RU"/>
        </w:rPr>
        <w:tab/>
        <w:t>这些教义的重要性，更因它们与我们有着特殊的亲近关系而愈发凸显。此前，在启示之光中，我们曾将上帝视为至高无上的存在，祂拥有无穷的完美，存于那不可企及的圣三一之中； 我们曾将上帝视为造物主和护理者，祂是所有受造物——包括我们在内——的共同主宰。如今，我们将看见上帝以最极致的方式亲近我们，并真诚地与我们的血肉结合（希伯来书 2</w:t>
      </w:r>
      <w:r w:rsidRPr="002B2E2A">
        <w:rPr>
          <w:lang w:val="ru-RU"/>
        </w:rPr>
        <w:t>:</w:t>
      </w:r>
      <w:r w:rsidRPr="00794712">
        <w:rPr>
          <w:lang w:val="ru-RU"/>
        </w:rPr>
        <w:t>14）； 我们将主要视祂为我们的上帝， 为我们的重造者、我们的护佑者、我们的救赎主和赏赐者；祂若将赐予我们的恩惠延伸至其他受造物，也仅是通过我们来实现的。</w:t>
      </w:r>
    </w:p>
    <w:p w14:paraId="22FBFCA3" w14:textId="77777777" w:rsidR="00D85B34" w:rsidRDefault="00D85B34" w:rsidP="00D85B34">
      <w:pPr>
        <w:rPr>
          <w:lang w:val="ru-RU"/>
        </w:rPr>
      </w:pPr>
      <w:r w:rsidRPr="00794712">
        <w:rPr>
          <w:lang w:val="ru-RU"/>
        </w:rPr>
        <w:tab/>
        <w:t>关于这一如此重要且与我们息息相关的话题，东正教教义的主要特征载于《尼西亚-君士坦丁堡信经》的最后十条，其表述如下：</w:t>
      </w:r>
    </w:p>
    <w:p w14:paraId="3817CCD6" w14:textId="77777777" w:rsidR="00D85B34" w:rsidRPr="00794712" w:rsidRDefault="00D85B34" w:rsidP="00D85B34">
      <w:pPr>
        <w:rPr>
          <w:lang w:val="ru-RU"/>
        </w:rPr>
      </w:pPr>
    </w:p>
    <w:p w14:paraId="0419FC7F" w14:textId="77777777" w:rsidR="00D85B34" w:rsidRPr="00E434F5" w:rsidRDefault="00D85B34" w:rsidP="00D85B34">
      <w:pPr>
        <w:ind w:left="708"/>
        <w:rPr>
          <w:lang w:val="ru-RU"/>
        </w:rPr>
      </w:pPr>
      <w:r w:rsidRPr="00097F95">
        <w:rPr>
          <w:b/>
          <w:bCs/>
          <w:lang w:val="ru-RU"/>
        </w:rPr>
        <w:t>3</w:t>
      </w:r>
      <w:r w:rsidRPr="00E434F5">
        <w:rPr>
          <w:lang w:val="ru-RU"/>
        </w:rPr>
        <w:t>. 为了我们，为了我们的救赎，祂从天降下，由圣灵和童贞女玛利亚成肉身，并成为人。</w:t>
      </w:r>
    </w:p>
    <w:p w14:paraId="73F843F0" w14:textId="77777777" w:rsidR="00D85B34" w:rsidRPr="00E434F5" w:rsidRDefault="00D85B34" w:rsidP="00D85B34">
      <w:pPr>
        <w:ind w:left="708"/>
        <w:rPr>
          <w:lang w:val="ru-RU"/>
        </w:rPr>
      </w:pPr>
      <w:r w:rsidRPr="00097F95">
        <w:rPr>
          <w:b/>
          <w:bCs/>
          <w:lang w:val="ru-RU"/>
        </w:rPr>
        <w:t>4</w:t>
      </w:r>
      <w:r w:rsidRPr="00E434F5">
        <w:rPr>
          <w:lang w:val="ru-RU"/>
        </w:rPr>
        <w:t>. 祂在彼拉多执政期间为我们被钉在十字架上，受苦，并被埋葬。</w:t>
      </w:r>
    </w:p>
    <w:p w14:paraId="16534A0C" w14:textId="77777777" w:rsidR="00D85B34" w:rsidRPr="00E434F5" w:rsidRDefault="00D85B34" w:rsidP="00D85B34">
      <w:pPr>
        <w:ind w:left="708"/>
        <w:rPr>
          <w:lang w:val="ru-RU"/>
        </w:rPr>
      </w:pPr>
      <w:r w:rsidRPr="00097F95">
        <w:rPr>
          <w:b/>
          <w:bCs/>
          <w:lang w:val="ru-RU"/>
        </w:rPr>
        <w:t>5</w:t>
      </w:r>
      <w:r w:rsidRPr="00E434F5">
        <w:rPr>
          <w:lang w:val="ru-RU"/>
        </w:rPr>
        <w:t>. 并照着圣经所载，第三天复活。</w:t>
      </w:r>
    </w:p>
    <w:p w14:paraId="144C6B94" w14:textId="77777777" w:rsidR="00D85B34" w:rsidRPr="00E434F5" w:rsidRDefault="00D85B34" w:rsidP="00D85B34">
      <w:pPr>
        <w:ind w:left="708"/>
        <w:rPr>
          <w:lang w:val="ru-RU"/>
        </w:rPr>
      </w:pPr>
      <w:r w:rsidRPr="00097F95">
        <w:rPr>
          <w:b/>
          <w:bCs/>
          <w:lang w:val="ru-RU"/>
        </w:rPr>
        <w:t>6</w:t>
      </w:r>
      <w:r w:rsidRPr="00E434F5">
        <w:rPr>
          <w:lang w:val="ru-RU"/>
        </w:rPr>
        <w:t>. 升天，坐在父的右边。</w:t>
      </w:r>
    </w:p>
    <w:p w14:paraId="52C7CF9A" w14:textId="77777777" w:rsidR="00D85B34" w:rsidRPr="00E434F5" w:rsidRDefault="00D85B34" w:rsidP="00D85B34">
      <w:pPr>
        <w:ind w:left="708"/>
        <w:rPr>
          <w:lang w:val="ru-RU"/>
        </w:rPr>
      </w:pPr>
      <w:r w:rsidRPr="00097F95">
        <w:rPr>
          <w:b/>
          <w:bCs/>
          <w:lang w:val="ru-RU"/>
        </w:rPr>
        <w:t>7</w:t>
      </w:r>
      <w:r w:rsidRPr="00E434F5">
        <w:rPr>
          <w:lang w:val="ru-RU"/>
        </w:rPr>
        <w:t>. 祂必再以荣耀降临，审判活人死人，祂的国度永无穷尽。</w:t>
      </w:r>
    </w:p>
    <w:p w14:paraId="567421AF" w14:textId="77777777" w:rsidR="00D85B34" w:rsidRPr="00E434F5" w:rsidRDefault="00D85B34" w:rsidP="00D85B34">
      <w:pPr>
        <w:ind w:left="708"/>
        <w:rPr>
          <w:lang w:val="ru-RU"/>
        </w:rPr>
      </w:pPr>
      <w:r w:rsidRPr="00097F95">
        <w:rPr>
          <w:b/>
          <w:bCs/>
          <w:lang w:val="ru-RU"/>
        </w:rPr>
        <w:t>8</w:t>
      </w:r>
      <w:r w:rsidRPr="00E434F5">
        <w:rPr>
          <w:lang w:val="ru-RU"/>
        </w:rPr>
        <w:t>. 并信圣灵，主，赐生命者，祂由父而出，与父及子同受敬拜、同受荣耀，先知们曾预言祂。</w:t>
      </w:r>
    </w:p>
    <w:p w14:paraId="403D0F24" w14:textId="77777777" w:rsidR="00D85B34" w:rsidRPr="00E434F5" w:rsidRDefault="00D85B34" w:rsidP="00D85B34">
      <w:pPr>
        <w:ind w:left="708"/>
        <w:rPr>
          <w:lang w:val="ru-RU"/>
        </w:rPr>
      </w:pPr>
      <w:r w:rsidRPr="00097F95">
        <w:rPr>
          <w:b/>
          <w:bCs/>
          <w:lang w:val="ru-RU"/>
        </w:rPr>
        <w:t>9</w:t>
      </w:r>
      <w:r w:rsidRPr="00E434F5">
        <w:rPr>
          <w:lang w:val="ru-RU"/>
        </w:rPr>
        <w:t>. 我信唯一、圣而公、使徒所传的教会。</w:t>
      </w:r>
    </w:p>
    <w:p w14:paraId="017AA662" w14:textId="77777777" w:rsidR="00D85B34" w:rsidRPr="00E434F5" w:rsidRDefault="00D85B34" w:rsidP="00D85B34">
      <w:pPr>
        <w:ind w:left="708"/>
        <w:rPr>
          <w:lang w:val="ru-RU"/>
        </w:rPr>
      </w:pPr>
      <w:r w:rsidRPr="00097F95">
        <w:rPr>
          <w:b/>
          <w:bCs/>
          <w:lang w:val="ru-RU"/>
        </w:rPr>
        <w:t>10</w:t>
      </w:r>
      <w:r w:rsidRPr="00E434F5">
        <w:rPr>
          <w:lang w:val="ru-RU"/>
        </w:rPr>
        <w:t>. 我承认唯一洗礼，以赦免罪过。</w:t>
      </w:r>
    </w:p>
    <w:p w14:paraId="594DA9F5" w14:textId="77777777" w:rsidR="00D85B34" w:rsidRPr="00E434F5" w:rsidRDefault="00D85B34" w:rsidP="00D85B34">
      <w:pPr>
        <w:ind w:left="708"/>
        <w:rPr>
          <w:lang w:val="ru-RU"/>
        </w:rPr>
      </w:pPr>
      <w:r w:rsidRPr="00097F95">
        <w:rPr>
          <w:b/>
          <w:bCs/>
          <w:lang w:val="ru-RU"/>
        </w:rPr>
        <w:t>11</w:t>
      </w:r>
      <w:r w:rsidRPr="00E434F5">
        <w:rPr>
          <w:lang w:val="ru-RU"/>
        </w:rPr>
        <w:t>. 我盼望死人复活，</w:t>
      </w:r>
    </w:p>
    <w:p w14:paraId="137E0A3A" w14:textId="77777777" w:rsidR="00D85B34" w:rsidRDefault="00D85B34" w:rsidP="00D85B34">
      <w:pPr>
        <w:ind w:left="708"/>
        <w:rPr>
          <w:lang w:val="ru-RU"/>
        </w:rPr>
      </w:pPr>
      <w:r w:rsidRPr="00097F95">
        <w:rPr>
          <w:b/>
          <w:bCs/>
          <w:lang w:val="ru-RU"/>
        </w:rPr>
        <w:t>12</w:t>
      </w:r>
      <w:r w:rsidRPr="00E434F5">
        <w:rPr>
          <w:lang w:val="ru-RU"/>
        </w:rPr>
        <w:t>. 以及来世的生命。阿们。</w:t>
      </w:r>
    </w:p>
    <w:p w14:paraId="655B196D" w14:textId="77777777" w:rsidR="00D85B34" w:rsidRPr="00794712" w:rsidRDefault="00D85B34" w:rsidP="00D85B34">
      <w:pPr>
        <w:rPr>
          <w:lang w:val="ru-RU"/>
        </w:rPr>
      </w:pPr>
    </w:p>
    <w:p w14:paraId="72EB59F0" w14:textId="77777777" w:rsidR="00D85B34" w:rsidRDefault="00D85B34" w:rsidP="00D85B34">
      <w:pPr>
        <w:rPr>
          <w:lang w:val="ru-RU"/>
        </w:rPr>
      </w:pPr>
      <w:r w:rsidRPr="00794712">
        <w:rPr>
          <w:lang w:val="ru-RU"/>
        </w:rPr>
        <w:tab/>
        <w:t>这里从两个方面呈现了我们得救的伟大工程：首先，作为完全属于救主上帝的事工，祂通过祂独生子成就了这一工程——祂道成肉身，在十字架上受难，复活并升天，如今坐在父的右边（</w:t>
      </w:r>
      <w:r>
        <w:rPr>
          <w:lang w:val="ru-RU"/>
        </w:rPr>
        <w:t>第3-6条</w:t>
      </w:r>
      <w:r w:rsidRPr="00794712">
        <w:rPr>
          <w:lang w:val="ru-RU"/>
        </w:rPr>
        <w:t>）； 其次，作为救主上帝赐予人类的事工，需在人类自身的参与下——即信、认、盼——</w:t>
      </w:r>
      <w:r>
        <w:rPr>
          <w:lang w:val="ru-RU"/>
        </w:rPr>
        <w:t xml:space="preserve"> </w:t>
      </w:r>
      <w:r w:rsidRPr="00794712">
        <w:rPr>
          <w:lang w:val="ru-RU"/>
        </w:rPr>
        <w:t>——通过教会、通过洗礼及其他圣礼，借着赐生命之圣灵的恩典而领受的；主将来必为这领受与否而降临，审判活人死人，并在来世按各人的行为报应各人（</w:t>
      </w:r>
      <w:r>
        <w:rPr>
          <w:lang w:val="ru-RU"/>
        </w:rPr>
        <w:t>第7-12条</w:t>
      </w:r>
      <w:r w:rsidRPr="00794712">
        <w:rPr>
          <w:lang w:val="ru-RU"/>
        </w:rPr>
        <w:t>）。换言之：此处阐述的教义</w:t>
      </w:r>
      <w:r>
        <w:rPr>
          <w:lang w:val="ru-RU"/>
        </w:rPr>
        <w:t xml:space="preserve">是—— </w:t>
      </w:r>
    </w:p>
    <w:p w14:paraId="49E6493E" w14:textId="77777777" w:rsidR="00D85B34" w:rsidRDefault="00F45CFB" w:rsidP="00D85B34">
      <w:pPr>
        <w:ind w:firstLine="708"/>
        <w:rPr>
          <w:lang w:val="ru-RU"/>
        </w:rPr>
      </w:pPr>
      <w:r w:rsidRPr="00F45CFB">
        <w:rPr>
          <w:b/>
          <w:bCs/>
          <w:lang w:val="ru-RU"/>
        </w:rPr>
        <w:t>1）</w:t>
      </w:r>
      <w:r w:rsidR="00D85B34" w:rsidRPr="00794712">
        <w:rPr>
          <w:lang w:val="ru-RU"/>
        </w:rPr>
        <w:t>关于救主上帝本身，即成就我们救恩的那一位，以及</w:t>
      </w:r>
      <w:r w:rsidR="00D85B34">
        <w:rPr>
          <w:lang w:val="ru-RU"/>
        </w:rPr>
        <w:t xml:space="preserve">—— </w:t>
      </w:r>
    </w:p>
    <w:p w14:paraId="2294AF82" w14:textId="77777777" w:rsidR="00D85B34" w:rsidRDefault="00F45CFB" w:rsidP="00D85B34">
      <w:pPr>
        <w:ind w:firstLine="708"/>
        <w:rPr>
          <w:lang w:val="ru-RU"/>
        </w:rPr>
      </w:pPr>
      <w:r w:rsidRPr="00F45CFB">
        <w:rPr>
          <w:b/>
          <w:bCs/>
          <w:lang w:val="ru-RU"/>
        </w:rPr>
        <w:t>2)</w:t>
      </w:r>
      <w:r w:rsidR="00D85B34" w:rsidRPr="00794712">
        <w:rPr>
          <w:lang w:val="ru-RU"/>
        </w:rPr>
        <w:t xml:space="preserve"> 关于救主上帝与其对人类的特殊关系。</w:t>
      </w:r>
    </w:p>
    <w:p w14:paraId="3D1DDBDA" w14:textId="77777777" w:rsidR="00D85B34" w:rsidRDefault="00D85B34" w:rsidP="00D85B34">
      <w:pPr>
        <w:ind w:firstLine="708"/>
        <w:rPr>
          <w:lang w:val="ru-RU"/>
        </w:rPr>
      </w:pPr>
    </w:p>
    <w:p w14:paraId="3D881AEE" w14:textId="77777777" w:rsidR="00D85B34" w:rsidRPr="00794712" w:rsidRDefault="00D85B34" w:rsidP="00D85B34">
      <w:pPr>
        <w:ind w:firstLine="708"/>
        <w:rPr>
          <w:lang w:val="ru-RU"/>
        </w:rPr>
      </w:pPr>
    </w:p>
    <w:p w14:paraId="297DE30C" w14:textId="77777777" w:rsidR="00D85B34" w:rsidRDefault="00D85B34" w:rsidP="007B240B">
      <w:pPr>
        <w:pStyle w:val="Heading1"/>
        <w:rPr>
          <w:lang w:val="ru-RU"/>
        </w:rPr>
      </w:pPr>
      <w:bookmarkStart w:id="7" w:name="_Toc238453644"/>
      <w:bookmarkStart w:id="8" w:name="_Toc238466391"/>
      <w:bookmarkStart w:id="9" w:name="_Toc238576460"/>
      <w:r>
        <w:t>第一</w:t>
      </w:r>
      <w:r w:rsidRPr="00794712">
        <w:rPr>
          <w:lang w:val="ru-RU"/>
        </w:rPr>
        <w:t>部分</w:t>
      </w:r>
      <w:r w:rsidRPr="00291D3D">
        <w:rPr>
          <w:lang w:val="ru-RU"/>
        </w:rPr>
        <w:t xml:space="preserve">。 </w:t>
      </w:r>
      <w:r w:rsidRPr="00291D3D">
        <w:rPr>
          <w:lang w:val="ru-RU"/>
        </w:rPr>
        <w:br/>
      </w:r>
      <w:r w:rsidRPr="00794712">
        <w:rPr>
          <w:lang w:val="ru-RU"/>
        </w:rPr>
        <w:t>论救主上帝</w:t>
      </w:r>
      <w:bookmarkEnd w:id="7"/>
      <w:bookmarkEnd w:id="8"/>
      <w:bookmarkEnd w:id="9"/>
    </w:p>
    <w:p w14:paraId="5D7BFAE1" w14:textId="77777777" w:rsidR="00D85B34" w:rsidRPr="00794712" w:rsidRDefault="00D85B34" w:rsidP="00D85B34">
      <w:pPr>
        <w:rPr>
          <w:lang w:val="ru-RU"/>
        </w:rPr>
      </w:pPr>
    </w:p>
    <w:p w14:paraId="78547A6D" w14:textId="77777777" w:rsidR="00D85B34" w:rsidRPr="00794712" w:rsidRDefault="00D85B34" w:rsidP="00D85B34">
      <w:pPr>
        <w:jc w:val="right"/>
        <w:rPr>
          <w:lang w:val="ru-RU"/>
        </w:rPr>
      </w:pPr>
      <w:r w:rsidRPr="00794712">
        <w:rPr>
          <w:lang w:val="ru-RU"/>
        </w:rPr>
        <w:lastRenderedPageBreak/>
        <w:tab/>
      </w:r>
      <w:r w:rsidRPr="008E058E">
        <w:rPr>
          <w:i/>
          <w:iCs/>
          <w:lang w:val="ru-RU"/>
        </w:rPr>
        <w:t>神在基督里使世界与祂和好</w:t>
      </w:r>
      <w:r w:rsidRPr="00794712">
        <w:rPr>
          <w:lang w:val="ru-RU"/>
        </w:rPr>
        <w:t>（林后5</w:t>
      </w:r>
      <w:r>
        <w:rPr>
          <w:lang w:val="ru-RU"/>
        </w:rPr>
        <w:t>:</w:t>
      </w:r>
      <w:r w:rsidRPr="00794712">
        <w:rPr>
          <w:lang w:val="ru-RU"/>
        </w:rPr>
        <w:t>19）。</w:t>
      </w:r>
    </w:p>
    <w:p w14:paraId="5BE9AEFE" w14:textId="77777777" w:rsidR="00D85B34" w:rsidRPr="00794712" w:rsidRDefault="00D85B34" w:rsidP="007B240B">
      <w:pPr>
        <w:pStyle w:val="Heading5"/>
        <w:rPr>
          <w:lang w:val="ru-RU"/>
        </w:rPr>
      </w:pPr>
      <w:bookmarkStart w:id="10" w:name="_Toc133155549"/>
      <w:bookmarkStart w:id="11" w:name="_Toc180664562"/>
      <w:bookmarkStart w:id="12" w:name="_Toc180679183"/>
      <w:bookmarkStart w:id="13" w:name="_Toc180679240"/>
      <w:bookmarkStart w:id="14" w:name="_Toc180679763"/>
      <w:bookmarkStart w:id="15" w:name="_Toc238453645"/>
      <w:bookmarkStart w:id="16" w:name="_Toc238576461"/>
      <w:r w:rsidRPr="00794712">
        <w:rPr>
          <w:lang w:val="ru-RU"/>
        </w:rPr>
        <w:t>§123. 本节的构成</w:t>
      </w:r>
      <w:bookmarkEnd w:id="10"/>
      <w:bookmarkEnd w:id="11"/>
      <w:bookmarkEnd w:id="12"/>
      <w:bookmarkEnd w:id="13"/>
      <w:bookmarkEnd w:id="14"/>
      <w:bookmarkEnd w:id="15"/>
      <w:bookmarkEnd w:id="16"/>
    </w:p>
    <w:p w14:paraId="2EEB28CE" w14:textId="77777777" w:rsidR="00D85B34" w:rsidRPr="00794712" w:rsidRDefault="00D85B34" w:rsidP="0085302E">
      <w:pPr>
        <w:ind w:firstLine="720"/>
        <w:rPr>
          <w:lang w:val="ru-RU"/>
        </w:rPr>
      </w:pPr>
      <w:r w:rsidRPr="00794712">
        <w:rPr>
          <w:lang w:val="ru-RU"/>
        </w:rPr>
        <w:t>在圣经和东正教会的教义中，我们的救赎之事既归于上帝本身——作为至圣三位一体所有位格的共同之事；也特别归于上帝之子、我们的主耶稣基督，他为了成就此事降临人间，道成肉身，受难并死在十字架上。 因此，有时将上帝本身称为我们的救主，</w:t>
      </w:r>
      <w:r w:rsidR="00943B37">
        <w:rPr>
          <w:rStyle w:val="FootnoteReference"/>
          <w:lang w:val="ru-RU"/>
        </w:rPr>
        <w:footnoteReference w:id="1"/>
      </w:r>
      <w:r w:rsidRPr="00794712">
        <w:rPr>
          <w:lang w:val="ru-RU"/>
        </w:rPr>
        <w:t xml:space="preserve"> ；有时则在最严格的意义上，将上帝之子 ——主耶稣——称为我们的救主。</w:t>
      </w:r>
      <w:r w:rsidR="009B573E">
        <w:rPr>
          <w:rStyle w:val="FootnoteReference"/>
          <w:lang w:val="ru-RU"/>
        </w:rPr>
        <w:footnoteReference w:id="2"/>
      </w:r>
      <w:r w:rsidRPr="00794712">
        <w:rPr>
          <w:lang w:val="ru-RU"/>
        </w:rPr>
        <w:t xml:space="preserve"> 基于此，在阐述关于“上帝是救主”的教义时，我们将论及：</w:t>
      </w:r>
      <w:r w:rsidR="00F45CFB" w:rsidRPr="00F45CFB">
        <w:rPr>
          <w:b/>
          <w:bCs/>
          <w:lang w:val="ru-RU"/>
        </w:rPr>
        <w:t xml:space="preserve">1) </w:t>
      </w:r>
      <w:r w:rsidRPr="00794712">
        <w:rPr>
          <w:lang w:val="ru-RU"/>
        </w:rPr>
        <w:t>关于作为我们救主的神，因为至圣三位一体的所有位格都参与了我们的救赎之事；</w:t>
      </w:r>
      <w:r>
        <w:rPr>
          <w:lang w:val="ru-RU"/>
        </w:rPr>
        <w:t>以及</w:t>
      </w:r>
      <w:r w:rsidR="00F45CFB" w:rsidRPr="00F45CFB">
        <w:rPr>
          <w:b/>
          <w:bCs/>
          <w:lang w:val="ru-RU"/>
        </w:rPr>
        <w:t>——2）</w:t>
      </w:r>
      <w:r w:rsidRPr="00794712">
        <w:rPr>
          <w:lang w:val="ru-RU"/>
        </w:rPr>
        <w:t>特别关于我们的主耶稣基督，作为</w:t>
      </w:r>
      <w:r w:rsidRPr="00D10EFB">
        <w:rPr>
          <w:i/>
          <w:iCs/>
          <w:lang w:val="ru-RU"/>
        </w:rPr>
        <w:t>我们信仰与救赎的创始者与成全者</w:t>
      </w:r>
      <w:r w:rsidRPr="00794712">
        <w:rPr>
          <w:lang w:val="ru-RU"/>
        </w:rPr>
        <w:t>（希伯来书 2</w:t>
      </w:r>
      <w:r w:rsidRPr="00D10EFB">
        <w:rPr>
          <w:lang w:val="ru-RU"/>
        </w:rPr>
        <w:t>:</w:t>
      </w:r>
      <w:r w:rsidRPr="00794712">
        <w:rPr>
          <w:lang w:val="ru-RU"/>
        </w:rPr>
        <w:t>10</w:t>
      </w:r>
      <w:r w:rsidR="0085302E" w:rsidRPr="00DA44A7">
        <w:rPr>
          <w:lang w:val="ru-RU"/>
        </w:rPr>
        <w:t>,</w:t>
      </w:r>
      <w:r w:rsidRPr="00794712">
        <w:rPr>
          <w:lang w:val="ru-RU"/>
        </w:rPr>
        <w:t xml:space="preserve"> 12</w:t>
      </w:r>
      <w:r w:rsidRPr="00D10EFB">
        <w:rPr>
          <w:lang w:val="ru-RU"/>
        </w:rPr>
        <w:t>:</w:t>
      </w:r>
      <w:r w:rsidRPr="00794712">
        <w:rPr>
          <w:lang w:val="ru-RU"/>
        </w:rPr>
        <w:t>2）。</w:t>
      </w:r>
    </w:p>
    <w:p w14:paraId="0E893B35" w14:textId="77777777" w:rsidR="00D85B34" w:rsidRDefault="00D85B34" w:rsidP="00D85B34">
      <w:pPr>
        <w:rPr>
          <w:lang w:val="ru-RU"/>
        </w:rPr>
      </w:pPr>
      <w:r w:rsidRPr="00794712">
        <w:rPr>
          <w:lang w:val="ru-RU"/>
        </w:rPr>
        <w:tab/>
      </w:r>
    </w:p>
    <w:p w14:paraId="41B127F6" w14:textId="77777777" w:rsidR="00D85B34" w:rsidRDefault="00D85B34" w:rsidP="00D85B34">
      <w:pPr>
        <w:rPr>
          <w:lang w:val="ru-RU"/>
        </w:rPr>
      </w:pPr>
    </w:p>
    <w:p w14:paraId="4456DBB0" w14:textId="77777777" w:rsidR="00D85B34" w:rsidRDefault="00D85B34" w:rsidP="007B240B">
      <w:pPr>
        <w:pStyle w:val="Heading2"/>
        <w:rPr>
          <w:lang w:val="ru-RU"/>
        </w:rPr>
      </w:pPr>
      <w:bookmarkStart w:id="17" w:name="_Toc133155550"/>
      <w:bookmarkStart w:id="18" w:name="_Toc180664563"/>
      <w:bookmarkStart w:id="19" w:name="_Toc180679184"/>
      <w:bookmarkStart w:id="20" w:name="_Toc180679241"/>
      <w:bookmarkStart w:id="21" w:name="_Toc180679764"/>
      <w:bookmarkStart w:id="22" w:name="_Toc238453406"/>
      <w:bookmarkStart w:id="23" w:name="_Toc238453646"/>
      <w:bookmarkStart w:id="24" w:name="_Toc238466392"/>
      <w:bookmarkStart w:id="25" w:name="_Toc238576462"/>
      <w:r>
        <w:t>第一</w:t>
      </w:r>
      <w:r w:rsidRPr="00794712">
        <w:rPr>
          <w:lang w:val="ru-RU"/>
        </w:rPr>
        <w:t xml:space="preserve">章。 </w:t>
      </w:r>
      <w:r>
        <w:rPr>
          <w:lang w:val="ru-RU"/>
        </w:rPr>
        <w:br/>
      </w:r>
      <w:r w:rsidRPr="00794712">
        <w:rPr>
          <w:lang w:val="ru-RU"/>
        </w:rPr>
        <w:t>论上帝作为我们普遍的救主</w:t>
      </w:r>
      <w:bookmarkEnd w:id="17"/>
      <w:bookmarkEnd w:id="18"/>
      <w:bookmarkEnd w:id="19"/>
      <w:bookmarkEnd w:id="20"/>
      <w:bookmarkEnd w:id="21"/>
      <w:bookmarkEnd w:id="22"/>
      <w:bookmarkEnd w:id="23"/>
      <w:bookmarkEnd w:id="24"/>
      <w:bookmarkEnd w:id="25"/>
    </w:p>
    <w:p w14:paraId="5336C82D" w14:textId="77777777" w:rsidR="00D85B34" w:rsidRPr="00E546DC" w:rsidRDefault="00D85B34" w:rsidP="00D85B34">
      <w:pPr>
        <w:rPr>
          <w:lang w:val="ru-RU"/>
        </w:rPr>
      </w:pPr>
    </w:p>
    <w:p w14:paraId="77AA4CFF" w14:textId="77777777" w:rsidR="00D85B34" w:rsidRPr="00794712" w:rsidRDefault="00D85B34" w:rsidP="007B240B">
      <w:pPr>
        <w:pStyle w:val="Heading5"/>
        <w:rPr>
          <w:lang w:val="ru-RU"/>
        </w:rPr>
      </w:pPr>
      <w:bookmarkStart w:id="26" w:name="_Toc133155551"/>
      <w:bookmarkStart w:id="27" w:name="_Toc180664564"/>
      <w:bookmarkStart w:id="28" w:name="_Toc180679185"/>
      <w:bookmarkStart w:id="29" w:name="_Toc180679242"/>
      <w:bookmarkStart w:id="30" w:name="_Toc180679765"/>
      <w:bookmarkStart w:id="31" w:name="_Toc238453647"/>
      <w:bookmarkStart w:id="32" w:name="_Toc238576463"/>
      <w:r w:rsidRPr="00794712">
        <w:rPr>
          <w:lang w:val="ru-RU"/>
        </w:rPr>
        <w:t>§124. 尽管人自身具备恢复的可能，但恢复人仍需神的帮助</w:t>
      </w:r>
      <w:bookmarkEnd w:id="26"/>
      <w:bookmarkEnd w:id="27"/>
      <w:bookmarkEnd w:id="28"/>
      <w:bookmarkEnd w:id="29"/>
      <w:bookmarkEnd w:id="30"/>
      <w:bookmarkEnd w:id="31"/>
      <w:bookmarkEnd w:id="32"/>
    </w:p>
    <w:p w14:paraId="5B58CCFE"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人类因未能坚守与上帝所立的原始盟约，犯下了三大罪恶：</w:t>
      </w:r>
      <w:r w:rsidR="00A95A76" w:rsidRPr="00A95A76">
        <w:rPr>
          <w:b/>
          <w:lang w:val="ru-RU"/>
        </w:rPr>
        <w:t>a)</w:t>
      </w:r>
      <w:r w:rsidR="00D85B34" w:rsidRPr="00794712">
        <w:rPr>
          <w:lang w:val="ru-RU"/>
        </w:rPr>
        <w:t xml:space="preserve"> 通过罪恶无限地冒犯了其无限仁慈、无限伟大、无限公义的造物主，并因此遭受了永恒的咒诅 </w:t>
      </w:r>
      <w:r w:rsidR="007E29CA" w:rsidRPr="007E29CA">
        <w:rPr>
          <w:lang w:val="ru-RU"/>
        </w:rPr>
        <w:t>[(</w:t>
      </w:r>
      <w:r w:rsidR="00D85B34" w:rsidRPr="00794712">
        <w:rPr>
          <w:lang w:val="ru-RU"/>
        </w:rPr>
        <w:t>创世记 3</w:t>
      </w:r>
      <w:r w:rsidR="00D85B34" w:rsidRPr="00B30CAF">
        <w:rPr>
          <w:lang w:val="ru-RU"/>
        </w:rPr>
        <w:t>:</w:t>
      </w:r>
      <w:r w:rsidR="00D85B34" w:rsidRPr="00794712">
        <w:rPr>
          <w:lang w:val="ru-RU"/>
        </w:rPr>
        <w:t>17-19</w:t>
      </w:r>
      <w:r w:rsidR="007E29CA" w:rsidRPr="007E29CA">
        <w:rPr>
          <w:lang w:val="ru-RU"/>
        </w:rPr>
        <w:t>)</w:t>
      </w:r>
      <w:r w:rsidR="00D85B34" w:rsidRPr="00794712">
        <w:rPr>
          <w:lang w:val="ru-RU"/>
        </w:rPr>
        <w:t xml:space="preserve">；引自 </w:t>
      </w:r>
      <w:r w:rsidR="007E29CA" w:rsidRPr="007E29CA">
        <w:rPr>
          <w:lang w:val="ru-RU"/>
        </w:rPr>
        <w:t>(</w:t>
      </w:r>
      <w:r w:rsidR="007E29CA">
        <w:rPr>
          <w:lang w:val="ru-RU"/>
        </w:rPr>
        <w:t>创世记</w:t>
      </w:r>
      <w:r w:rsidR="00D85B34" w:rsidRPr="00794712">
        <w:rPr>
          <w:lang w:val="ru-RU"/>
        </w:rPr>
        <w:t xml:space="preserve"> 27</w:t>
      </w:r>
      <w:r w:rsidR="00D85B34" w:rsidRPr="007307C2">
        <w:rPr>
          <w:lang w:val="ru-RU"/>
        </w:rPr>
        <w:t>:</w:t>
      </w:r>
      <w:r w:rsidR="00D85B34" w:rsidRPr="00794712">
        <w:rPr>
          <w:lang w:val="ru-RU"/>
        </w:rPr>
        <w:t>26</w:t>
      </w:r>
      <w:r w:rsidR="007E29CA" w:rsidRPr="007E29CA">
        <w:rPr>
          <w:lang w:val="ru-RU"/>
        </w:rPr>
        <w:t>)]</w:t>
      </w:r>
      <w:r w:rsidR="00D85B34" w:rsidRPr="00794712">
        <w:rPr>
          <w:lang w:val="ru-RU"/>
        </w:rPr>
        <w:t>；</w:t>
      </w:r>
      <w:r w:rsidR="00A95A76" w:rsidRPr="00A95A76">
        <w:rPr>
          <w:b/>
          <w:lang w:val="ru-RU"/>
        </w:rPr>
        <w:t>b)</w:t>
      </w:r>
      <w:r w:rsidR="00D85B34" w:rsidRPr="00794712">
        <w:rPr>
          <w:lang w:val="ru-RU"/>
        </w:rPr>
        <w:t xml:space="preserve"> 使自己原本由善所创造的整个存在都染上了罪：蒙蔽了自己的理智，败坏了意志，扭曲了内心的上帝形象；</w:t>
      </w:r>
      <w:r w:rsidR="00A95A76" w:rsidRPr="00A95A76">
        <w:rPr>
          <w:b/>
          <w:lang w:val="ru-RU"/>
        </w:rPr>
        <w:t>c)</w:t>
      </w:r>
      <w:r w:rsidR="00D85B34" w:rsidRPr="00794712">
        <w:rPr>
          <w:lang w:val="ru-RU"/>
        </w:rPr>
        <w:t xml:space="preserve"> 因罪在自身的本性及外部自然中引发了毁灭性的后果。</w:t>
      </w:r>
      <w:r w:rsidR="00AC412A">
        <w:rPr>
          <w:rStyle w:val="FootnoteReference"/>
          <w:lang w:val="ru-RU"/>
        </w:rPr>
        <w:footnoteReference w:id="3"/>
      </w:r>
      <w:r w:rsidR="00D85B34" w:rsidRPr="00794712">
        <w:rPr>
          <w:lang w:val="ru-RU"/>
        </w:rPr>
        <w:t xml:space="preserve"> 因此，为了将人从这一切邪恶中拯救出来，使他与上帝重新联合并再次获得福乐，必须：</w:t>
      </w:r>
      <w:r w:rsidR="00A95A76" w:rsidRPr="00A95A76">
        <w:rPr>
          <w:b/>
          <w:lang w:val="ru-RU"/>
        </w:rPr>
        <w:t xml:space="preserve">a) </w:t>
      </w:r>
      <w:r w:rsidR="00D85B34" w:rsidRPr="00794712">
        <w:rPr>
          <w:lang w:val="ru-RU"/>
        </w:rPr>
        <w:t>为罪人向因其堕落而受冒犯的上帝无限公义作出补偿——并非因为上帝寻求报复，而是因为上帝的任何属性都不能被剥夺其固有的作用： 若不满足这一条件，人就永远会在上帝的公义面前成为“愤怒之子”（以弗所书 2</w:t>
      </w:r>
      <w:r w:rsidR="00D85B34" w:rsidRPr="0093176C">
        <w:rPr>
          <w:lang w:val="ru-RU"/>
        </w:rPr>
        <w:t>:</w:t>
      </w:r>
      <w:r w:rsidR="00D85B34" w:rsidRPr="00794712">
        <w:rPr>
          <w:lang w:val="ru-RU"/>
        </w:rPr>
        <w:t>3）、“咒诅之子”（加拉太书 3</w:t>
      </w:r>
      <w:r w:rsidR="00D85B34" w:rsidRPr="006D1BF4">
        <w:rPr>
          <w:lang w:val="ru-RU"/>
        </w:rPr>
        <w:t>:</w:t>
      </w:r>
      <w:r w:rsidR="00D85B34" w:rsidRPr="00794712">
        <w:rPr>
          <w:lang w:val="ru-RU"/>
        </w:rPr>
        <w:t>10），而上帝与人的和解与重归于一甚至无法开始；</w:t>
      </w:r>
      <w:r w:rsidR="00A95A76" w:rsidRPr="00A95A76">
        <w:rPr>
          <w:b/>
          <w:lang w:val="ru-RU"/>
        </w:rPr>
        <w:t xml:space="preserve"> b)</w:t>
      </w:r>
      <w:r w:rsidR="00D85B34" w:rsidRPr="00794712">
        <w:rPr>
          <w:lang w:val="ru-RU"/>
        </w:rPr>
        <w:t xml:space="preserve"> </w:t>
      </w:r>
      <w:r w:rsidR="00D85B34" w:rsidRPr="00794712">
        <w:rPr>
          <w:lang w:val="ru-RU"/>
        </w:rPr>
        <w:lastRenderedPageBreak/>
        <w:t>彻底清除人整个本性中的罪，启迪其理智，纠正其意志，在其内恢复神的形象： 因为，即使满足了神的公义，若人的本性仍属罪恶且不洁，若其理智仍陷于黑暗之中，神的形像仍被</w:t>
      </w:r>
      <w:r w:rsidR="00D85B34">
        <w:rPr>
          <w:lang w:val="ru-RU"/>
        </w:rPr>
        <w:t>扭曲——</w:t>
      </w:r>
      <w:r w:rsidR="00D85B34" w:rsidRPr="00794712">
        <w:rPr>
          <w:lang w:val="ru-RU"/>
        </w:rPr>
        <w:t>那么，神与人之间的交通便无法实现，正如光与暗之间无法共存（林后6</w:t>
      </w:r>
      <w:r w:rsidR="00D85B34" w:rsidRPr="00F035E4">
        <w:rPr>
          <w:lang w:val="ru-RU"/>
        </w:rPr>
        <w:t>:</w:t>
      </w:r>
      <w:r w:rsidR="00D85B34" w:rsidRPr="00794712">
        <w:rPr>
          <w:lang w:val="ru-RU"/>
        </w:rPr>
        <w:t>14）；</w:t>
      </w:r>
      <w:r w:rsidR="00A95A76" w:rsidRPr="00A95A76">
        <w:rPr>
          <w:b/>
          <w:lang w:val="ru-RU"/>
        </w:rPr>
        <w:t xml:space="preserve"> c)</w:t>
      </w:r>
      <w:r w:rsidR="00D85B34" w:rsidRPr="00794712">
        <w:rPr>
          <w:lang w:val="ru-RU"/>
        </w:rPr>
        <w:t xml:space="preserve"> 消除人类罪恶在其本性及外部自然中造成的毁灭性后果：因为，即使神与人的重聚已经开始并得以实现，只要人仍在自身内或外部感受到这些灾难性的后果，他就无法重获福乐。</w:t>
      </w:r>
    </w:p>
    <w:p w14:paraId="78BD1DF0" w14:textId="77777777" w:rsidR="00D85B34" w:rsidRPr="00794712" w:rsidRDefault="00D85B34" w:rsidP="00D85B34">
      <w:pPr>
        <w:rPr>
          <w:lang w:val="ru-RU"/>
        </w:rPr>
      </w:pPr>
      <w:r w:rsidRPr="00794712">
        <w:rPr>
          <w:lang w:val="ru-RU"/>
        </w:rPr>
        <w:tab/>
        <w:t>那么，谁能满足上述所有条件呢？除了独一的上帝，无人能及。</w:t>
      </w:r>
    </w:p>
    <w:p w14:paraId="0A326F16" w14:textId="77777777" w:rsidR="00D85B34" w:rsidRPr="00794712" w:rsidRDefault="00D85B34" w:rsidP="00D85B34">
      <w:pPr>
        <w:rPr>
          <w:lang w:val="ru-RU"/>
        </w:rPr>
      </w:pPr>
      <w:r w:rsidRPr="00794712">
        <w:rPr>
          <w:lang w:val="ru-RU"/>
        </w:rPr>
        <w:tab/>
        <w:t>为了满足第一个条件，即为了因人的罪而满足神的公义，所需的赎罪祭必须与人加诸神身上的冒犯一样无限巨大，也必须与永恒的公义本身一样无限。 但世上无人能献上这样的牺牲：因为所有的人，无一例外，都完全被罪所玷污，因此，所有人都完全处于上帝的咒诅之下。 因此，无论他们中的任何人献上什么——无论是为自己还是为他人，无论他们做出何种行为，无论他们承受何种苦难与</w:t>
      </w:r>
      <w:r>
        <w:rPr>
          <w:lang w:val="ru-RU"/>
        </w:rPr>
        <w:t>折磨</w:t>
      </w:r>
      <w:r w:rsidRPr="00794712">
        <w:rPr>
          <w:lang w:val="ru-RU"/>
        </w:rPr>
        <w:t>——这一切都无法蒙神喜悦，也无法使祂息怒：</w:t>
      </w:r>
      <w:r w:rsidRPr="00680E70">
        <w:rPr>
          <w:i/>
          <w:iCs/>
          <w:lang w:val="ru-RU"/>
        </w:rPr>
        <w:t>“人绝不能为弟兄赎罪，也不能将赎价 献给神”</w:t>
      </w:r>
      <w:r w:rsidRPr="00794712">
        <w:rPr>
          <w:lang w:val="ru-RU"/>
        </w:rPr>
        <w:t xml:space="preserve"> （诗篇 48</w:t>
      </w:r>
      <w:r w:rsidRPr="00680E70">
        <w:rPr>
          <w:lang w:val="ru-RU"/>
        </w:rPr>
        <w:t>:</w:t>
      </w:r>
      <w:r w:rsidRPr="00794712">
        <w:rPr>
          <w:lang w:val="ru-RU"/>
        </w:rPr>
        <w:t>8）。</w:t>
      </w:r>
      <w:r w:rsidR="00AC412A">
        <w:rPr>
          <w:rStyle w:val="FootnoteReference"/>
          <w:lang w:val="ru-RU"/>
        </w:rPr>
        <w:footnoteReference w:id="4"/>
      </w:r>
      <w:r w:rsidRPr="00794712">
        <w:rPr>
          <w:lang w:val="ru-RU"/>
        </w:rPr>
        <w:t xml:space="preserve"> 即便是至高的受造灵，即使愿意，也无法为人类向神献上如此无限伟大的牺牲：一方面是因为受造灵的牺牲——即便是它们全体联合起来，无论其形式如何——由于其本身的局限性，都不可能具有无限的价值； </w:t>
      </w:r>
      <w:r>
        <w:rPr>
          <w:lang w:val="ru-RU"/>
        </w:rPr>
        <w:t>另一方面</w:t>
      </w:r>
      <w:r w:rsidRPr="00794712">
        <w:rPr>
          <w:lang w:val="ru-RU"/>
        </w:rPr>
        <w:t>，也是因为受造灵所行的一切善事并非凭自身之力，而是借助神的恩典，</w:t>
      </w:r>
      <w:r w:rsidR="00AC412A">
        <w:rPr>
          <w:rStyle w:val="FootnoteReference"/>
          <w:lang w:val="ru-RU"/>
        </w:rPr>
        <w:footnoteReference w:id="5"/>
      </w:r>
      <w:r w:rsidRPr="00794712">
        <w:rPr>
          <w:lang w:val="ru-RU"/>
        </w:rPr>
        <w:t xml:space="preserve"> 及以下</w:t>
      </w:r>
      <w:r>
        <w:rPr>
          <w:lang w:val="ru-RU"/>
        </w:rPr>
        <w:t>经文；</w:t>
      </w:r>
      <w:r w:rsidRPr="00794712">
        <w:rPr>
          <w:lang w:val="ru-RU"/>
        </w:rPr>
        <w:t>因此，他们为人类利益所作的一切自我牺牲，都不属于他们自己，在神的公义眼中也无法算作功德。 唯有至高至智、全能的上帝，才能获得并献上这为人类罪孽而作的赎罪祭，这祭物完全足以满足无限的公义。</w:t>
      </w:r>
      <w:r w:rsidR="00AC412A">
        <w:rPr>
          <w:rStyle w:val="FootnoteReference"/>
          <w:lang w:val="ru-RU"/>
        </w:rPr>
        <w:footnoteReference w:id="6"/>
      </w:r>
    </w:p>
    <w:p w14:paraId="4BDC4BE0" w14:textId="77777777" w:rsidR="00D85B34" w:rsidRPr="00794712" w:rsidRDefault="00D85B34" w:rsidP="00D85B34">
      <w:pPr>
        <w:rPr>
          <w:lang w:val="ru-RU"/>
        </w:rPr>
      </w:pPr>
      <w:r w:rsidRPr="00794712">
        <w:rPr>
          <w:lang w:val="ru-RU"/>
        </w:rPr>
        <w:tab/>
        <w:t>为了满足第二个条件，</w:t>
      </w:r>
      <w:r>
        <w:rPr>
          <w:lang w:val="ru-RU"/>
        </w:rPr>
        <w:t>即</w:t>
      </w:r>
      <w:r w:rsidRPr="00794712">
        <w:rPr>
          <w:lang w:val="ru-RU"/>
        </w:rPr>
        <w:t>——在人的整个本性中消除罪恶，启迪其理智，纠正其意志，在他里面恢复神的形象，</w:t>
      </w:r>
      <w:r>
        <w:rPr>
          <w:lang w:val="ru-RU"/>
        </w:rPr>
        <w:t xml:space="preserve"> </w:t>
      </w:r>
      <w:r w:rsidRPr="00794712">
        <w:rPr>
          <w:lang w:val="ru-RU"/>
        </w:rPr>
        <w:t xml:space="preserve">——这至少需要重新创造人类：因为罪在我们里面并非某种外在之物，相反，它渗透了我们的整个本性，用它的毒液感染了我们的一切力量，败坏了我们的能力；它在种子和根源上损害了我们每个人——因为我们在罪中受孕，也在罪中诞生。 但毫无疑问，无论是那患病、软弱、被剥夺了上帝恩典的人类自身，还是那些能力有限的天使，都绝无可能重造人类。 </w:t>
      </w:r>
      <w:r w:rsidRPr="00794712">
        <w:rPr>
          <w:lang w:val="ru-RU"/>
        </w:rPr>
        <w:lastRenderedPageBreak/>
        <w:t>唯有那位在起初创造人类、并曾宣告：</w:t>
      </w:r>
      <w:r w:rsidRPr="00493643">
        <w:rPr>
          <w:i/>
          <w:iCs/>
          <w:lang w:val="ru-RU"/>
        </w:rPr>
        <w:t>“我必为我自己的缘故</w:t>
      </w:r>
      <w:r w:rsidRPr="00794712">
        <w:rPr>
          <w:lang w:val="ru-RU"/>
        </w:rPr>
        <w:t>，</w:t>
      </w:r>
      <w:r w:rsidRPr="00493643">
        <w:rPr>
          <w:i/>
          <w:iCs/>
          <w:lang w:val="ru-RU"/>
        </w:rPr>
        <w:t>亲自涂抹你的过犯</w:t>
      </w:r>
      <w:r w:rsidR="0041152E" w:rsidRPr="0041152E">
        <w:rPr>
          <w:lang w:val="ru-RU"/>
        </w:rPr>
        <w:t>”</w:t>
      </w:r>
      <w:r w:rsidRPr="00794712">
        <w:rPr>
          <w:lang w:val="ru-RU"/>
        </w:rPr>
        <w:t>[（赛43</w:t>
      </w:r>
      <w:r>
        <w:rPr>
          <w:lang w:val="ru-RU"/>
        </w:rPr>
        <w:t>:</w:t>
      </w:r>
      <w:r w:rsidRPr="00794712">
        <w:rPr>
          <w:lang w:val="ru-RU"/>
        </w:rPr>
        <w:t>25</w:t>
      </w:r>
      <w:r w:rsidR="0041152E" w:rsidRPr="0041152E">
        <w:rPr>
          <w:lang w:val="ru-RU"/>
        </w:rPr>
        <w:t>）</w:t>
      </w:r>
      <w:r w:rsidRPr="00794712">
        <w:rPr>
          <w:lang w:val="ru-RU"/>
        </w:rPr>
        <w:t>；参</w:t>
      </w:r>
      <w:r w:rsidR="0041152E" w:rsidRPr="00112931">
        <w:rPr>
          <w:lang w:val="ru-RU"/>
        </w:rPr>
        <w:t>（</w:t>
      </w:r>
      <w:r w:rsidRPr="00794712">
        <w:rPr>
          <w:lang w:val="ru-RU"/>
        </w:rPr>
        <w:t>诗102</w:t>
      </w:r>
      <w:r>
        <w:rPr>
          <w:lang w:val="ru-RU"/>
        </w:rPr>
        <w:t>:</w:t>
      </w:r>
      <w:r w:rsidRPr="00794712">
        <w:rPr>
          <w:lang w:val="ru-RU"/>
        </w:rPr>
        <w:t>3）</w:t>
      </w:r>
      <w:r w:rsidR="0041152E" w:rsidRPr="0041152E">
        <w:rPr>
          <w:lang w:val="ru-RU"/>
        </w:rPr>
        <w:t>]</w:t>
      </w:r>
      <w:r w:rsidRPr="00794712">
        <w:rPr>
          <w:lang w:val="ru-RU"/>
        </w:rPr>
        <w:t>的主，才能重造人类并洗净其罪孽。</w:t>
      </w:r>
      <w:r w:rsidR="00196E35">
        <w:rPr>
          <w:rStyle w:val="FootnoteReference"/>
          <w:lang w:val="ru-RU"/>
        </w:rPr>
        <w:footnoteReference w:id="7"/>
      </w:r>
    </w:p>
    <w:p w14:paraId="5D57A2A5" w14:textId="77777777" w:rsidR="00D85B34" w:rsidRPr="00794712" w:rsidRDefault="00D85B34" w:rsidP="00D85B34">
      <w:pPr>
        <w:rPr>
          <w:lang w:val="ru-RU"/>
        </w:rPr>
      </w:pPr>
      <w:r w:rsidRPr="00794712">
        <w:rPr>
          <w:lang w:val="ru-RU"/>
        </w:rPr>
        <w:tab/>
        <w:t>最后，为了消除人类罪恶在其本性及外部自然界中造成的后果，消除疾病、苦难与死亡，消除</w:t>
      </w:r>
      <w:r w:rsidRPr="00887CA1">
        <w:rPr>
          <w:i/>
          <w:iCs/>
          <w:lang w:val="ru-RU"/>
        </w:rPr>
        <w:t>受造物并非自愿、而是顺服于征服者的意志所陷入的</w:t>
      </w:r>
      <w:r w:rsidRPr="00794712">
        <w:rPr>
          <w:lang w:val="ru-RU"/>
        </w:rPr>
        <w:t>混乱与虚空——</w:t>
      </w:r>
      <w:r w:rsidRPr="00887CA1">
        <w:rPr>
          <w:i/>
          <w:iCs/>
          <w:lang w:val="ru-RU"/>
        </w:rPr>
        <w:t>这顺服是出于对未来的盼望</w:t>
      </w:r>
      <w:r w:rsidRPr="00794712">
        <w:rPr>
          <w:lang w:val="ru-RU"/>
        </w:rPr>
        <w:t>（罗8</w:t>
      </w:r>
      <w:r w:rsidRPr="00A13534">
        <w:rPr>
          <w:lang w:val="ru-RU"/>
        </w:rPr>
        <w:t>:</w:t>
      </w:r>
      <w:r w:rsidRPr="00794712">
        <w:rPr>
          <w:lang w:val="ru-RU"/>
        </w:rPr>
        <w:t>20）—— 就必须不仅重造人类，还要重造整个自然界——这一点从上述后果的本质特征中便可显而易见。</w:t>
      </w:r>
      <w:r w:rsidR="00431E89">
        <w:rPr>
          <w:lang w:val="ru-RU"/>
        </w:rPr>
        <w:t>因此</w:t>
      </w:r>
      <w:r w:rsidRPr="00794712">
        <w:rPr>
          <w:lang w:val="ru-RU"/>
        </w:rPr>
        <w:t>，更不用说，无论是人类还是任何天使，都无法满足这一最后条件，唯有上帝才能做到。</w:t>
      </w:r>
      <w:r w:rsidR="00CD5030">
        <w:rPr>
          <w:rStyle w:val="FootnoteReference"/>
          <w:lang w:val="ru-RU"/>
        </w:rPr>
        <w:footnoteReference w:id="8"/>
      </w:r>
    </w:p>
    <w:p w14:paraId="06077EB8"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然而，堕落的人类虽然无法凭自身力量站起来，也无法满足实现这一目标所需的所有条件，但仍保留了被神圣力量恢复的可能性。 通过堕落，他在自己身上玷污了上帝的形象——这形象构成了我们信仰的基础；但他并未抹去或摧毁这一形象，因此也没有丧失与上帝重新联合的能力。 他蒙蔽了自己的理智；但并未蒙蔽到连认知和接受那从上头赐下的、现成的真理都无能为力的地步。 他堕落了自己的意志， 并使其倾向于邪恶；但并未达到使意志变得完全邪恶、不愿行善、不爱善的程度。</w:t>
      </w:r>
      <w:r w:rsidR="00CD5030">
        <w:rPr>
          <w:rStyle w:val="FootnoteReference"/>
          <w:lang w:val="ru-RU"/>
        </w:rPr>
        <w:footnoteReference w:id="9"/>
      </w:r>
      <w:r w:rsidR="00D85B34" w:rsidRPr="00794712">
        <w:rPr>
          <w:lang w:val="ru-RU"/>
        </w:rPr>
        <w:t xml:space="preserve"> 另一方面，虽然堕落的人因原罪而在上帝公义的审判面前彻底失去了辩护的资格，但他却并未因此而变得不配蒙受上帝的怜悯。 他擅自违背了造物主的诫命——那本是一条容易遵守的诫命，尽管他拥有遵守它的所有动机和手段；但他之所以违背，是因为受了魔鬼的诱惑，而非出于某种固执，也非像魔鬼那样对上帝的旨意进行蓄意而顽固的对抗。 我们的始祖虽然犯了罪；但随后他顺服地承受了上帝为他定下的惩罚，并将自己漫长的生命都献给了忏悔。 人类后续的历史表明，尽管人们一点一点地偏离了真理与正义，但宗教情感从未在他们心中被彻底泯灭：他们寻求上帝，尽管因自身的盲目，大多未能找到祂；他们努力侍奉并取悦祂，尽管出于同样的原因，方式并不恰当； 他们试图通过各种祭品、洗礼及其他方式，为自己的罪孽赎罪并与祂和解，尽管最终未能达成目的。 埃及的圣马卡里将堕落的人——虽无力凭自身力量站起，却渴望并能在上天的帮助下站起——比作寻找母亲的婴孩，这一比喻极为精妙。 “某些人的观点是不公正的，”这位伟大的苦行者说道，“他们认为人已经完全死去，无法行任何善事。婴儿虽然什么也做不了，也无法自己走到母亲身边，但他会蠕动、呐喊和哭泣，寻找母亲。母亲会怜悯他，并为他如此努力地哭喊着寻找自己而感到欣喜。 </w:t>
      </w:r>
      <w:r w:rsidR="00D85B34" w:rsidRPr="00794712">
        <w:rPr>
          <w:lang w:val="ru-RU"/>
        </w:rPr>
        <w:lastRenderedPageBreak/>
        <w:t>虽然孩子无法走到她身边，但母亲却因对孩子的爱而主动走向他，将他抱在怀中，紧贴胸前，并以极大的温柔哺育他：仁慈的上帝对那些转向祂、寻求祂的灵魂，也是如此行事的</w:t>
      </w:r>
      <w:r w:rsidR="00D85B34">
        <w:rPr>
          <w:lang w:val="ru-RU"/>
        </w:rPr>
        <w:t>。”</w:t>
      </w:r>
      <w:r w:rsidR="00CD5030">
        <w:rPr>
          <w:rStyle w:val="FootnoteReference"/>
          <w:lang w:val="ru-RU"/>
        </w:rPr>
        <w:footnoteReference w:id="10"/>
      </w:r>
      <w:r w:rsidR="00D85B34" w:rsidRPr="00794712">
        <w:rPr>
          <w:lang w:val="ru-RU"/>
        </w:rPr>
        <w:t xml:space="preserve"> 因此，从我们的角度来说，上帝也这样对待了整个堕落的人类——他们虽然堕落，却仍在寻求祂，并且具备重生的能力。</w:t>
      </w:r>
    </w:p>
    <w:p w14:paraId="68950619" w14:textId="77777777" w:rsidR="00D85B34" w:rsidRDefault="00D85B34" w:rsidP="00D85B34">
      <w:pPr>
        <w:rPr>
          <w:lang w:val="ru-RU"/>
        </w:rPr>
      </w:pPr>
    </w:p>
    <w:p w14:paraId="3817E232" w14:textId="77777777" w:rsidR="00D85B34" w:rsidRPr="00794712" w:rsidRDefault="00D85B34" w:rsidP="007B240B">
      <w:pPr>
        <w:pStyle w:val="Heading5"/>
        <w:rPr>
          <w:lang w:val="ru-RU"/>
        </w:rPr>
      </w:pPr>
      <w:bookmarkStart w:id="33" w:name="_Toc133155552"/>
      <w:bookmarkStart w:id="34" w:name="_Toc180664565"/>
      <w:bookmarkStart w:id="35" w:name="_Toc180679186"/>
      <w:bookmarkStart w:id="36" w:name="_Toc180679243"/>
      <w:bookmarkStart w:id="37" w:name="_Toc180679766"/>
      <w:bookmarkStart w:id="38" w:name="_Toc238453648"/>
      <w:bookmarkStart w:id="39" w:name="_Toc238576464"/>
      <w:r w:rsidRPr="00794712">
        <w:rPr>
          <w:lang w:val="ru-RU"/>
        </w:rPr>
        <w:t>§125. 上帝为恢复或救赎人类所选择的途径及其意义</w:t>
      </w:r>
      <w:bookmarkEnd w:id="33"/>
      <w:bookmarkEnd w:id="34"/>
      <w:bookmarkEnd w:id="35"/>
      <w:bookmarkEnd w:id="36"/>
      <w:bookmarkEnd w:id="37"/>
      <w:bookmarkEnd w:id="38"/>
      <w:bookmarkEnd w:id="39"/>
    </w:p>
    <w:p w14:paraId="074D6E56" w14:textId="77777777" w:rsidR="00D85B34" w:rsidRPr="00794712" w:rsidRDefault="00D85B34" w:rsidP="00D85B34">
      <w:pPr>
        <w:rPr>
          <w:lang w:val="ru-RU"/>
        </w:rPr>
      </w:pPr>
      <w:r w:rsidRPr="00794712">
        <w:rPr>
          <w:lang w:val="ru-RU"/>
        </w:rPr>
        <w:tab/>
        <w:t>上帝为恢复人类找到了这样一种方式：在</w:t>
      </w:r>
      <w:r w:rsidRPr="00D06996">
        <w:rPr>
          <w:i/>
          <w:iCs/>
          <w:lang w:val="ru-RU"/>
        </w:rPr>
        <w:t>其中，慈爱与真理相遇，公义与和平彼此亲吻</w:t>
      </w:r>
      <w:r w:rsidRPr="00794712">
        <w:rPr>
          <w:lang w:val="ru-RU"/>
        </w:rPr>
        <w:t>（诗篇84</w:t>
      </w:r>
      <w:r w:rsidRPr="00FF53BA">
        <w:rPr>
          <w:lang w:val="ru-RU"/>
        </w:rPr>
        <w:t>:</w:t>
      </w:r>
      <w:r w:rsidRPr="00794712">
        <w:rPr>
          <w:lang w:val="ru-RU"/>
        </w:rPr>
        <w:t>11），祂的完美在此以最高程度和完全和谐的方式得以彰显。这种方式如下：</w:t>
      </w:r>
    </w:p>
    <w:p w14:paraId="408E885F" w14:textId="77777777" w:rsidR="00D85B34" w:rsidRPr="00794712" w:rsidRDefault="00D85B34" w:rsidP="00D85B34">
      <w:pPr>
        <w:rPr>
          <w:lang w:val="ru-RU"/>
        </w:rPr>
      </w:pPr>
      <w:r w:rsidRPr="00794712">
        <w:rPr>
          <w:lang w:val="ru-RU"/>
        </w:rPr>
        <w:tab/>
        <w:t>至圣三一的第二位格，上帝的独生子， 甘愿成为人，承担人类的一切罪孽，为这些罪孽承受上帝公义旨意所定的一切，从而为我们向永恒的公义作出赎罪，洗净我们的罪孽，消除这些罪孽在我们自身及外部自然界中的后果，即重建</w:t>
      </w:r>
      <w:r>
        <w:rPr>
          <w:lang w:val="ru-RU"/>
        </w:rPr>
        <w:t>世界</w:t>
      </w:r>
      <w:r w:rsidRPr="00794712">
        <w:rPr>
          <w:lang w:val="ru-RU"/>
        </w:rPr>
        <w:t>。 在神的道中，这一伟大事工被描绘为圣父与圣子之间的盟约，圣子在进入</w:t>
      </w:r>
      <w:r>
        <w:rPr>
          <w:lang w:val="ru-RU"/>
        </w:rPr>
        <w:t>世界</w:t>
      </w:r>
      <w:r w:rsidRPr="00794712">
        <w:rPr>
          <w:lang w:val="ru-RU"/>
        </w:rPr>
        <w:t>时曾对圣父说：</w:t>
      </w:r>
      <w:r w:rsidRPr="00312182">
        <w:rPr>
          <w:i/>
          <w:iCs/>
          <w:lang w:val="ru-RU"/>
        </w:rPr>
        <w:t>“燔祭和赎罪祭，你都不喜悦。” 那时我说：‘看哪，我来了，正如经上关于我的记载，要遵行你的旨意，神啊</w:t>
      </w:r>
      <w:r w:rsidR="00112931" w:rsidRPr="00FB2012">
        <w:rPr>
          <w:lang w:val="ru-RU"/>
        </w:rPr>
        <w:t>’</w:t>
      </w:r>
      <w:r w:rsidRPr="00794712">
        <w:rPr>
          <w:lang w:val="ru-RU"/>
        </w:rPr>
        <w:t>[（希伯来书 10</w:t>
      </w:r>
      <w:r>
        <w:rPr>
          <w:lang w:val="ru-RU"/>
        </w:rPr>
        <w:t>:</w:t>
      </w:r>
      <w:r w:rsidRPr="00794712">
        <w:rPr>
          <w:lang w:val="ru-RU"/>
        </w:rPr>
        <w:t>6-7</w:t>
      </w:r>
      <w:r w:rsidR="00112931" w:rsidRPr="00FB2012">
        <w:rPr>
          <w:lang w:val="ru-RU"/>
        </w:rPr>
        <w:t>）</w:t>
      </w:r>
      <w:r w:rsidRPr="00794712">
        <w:rPr>
          <w:lang w:val="ru-RU"/>
        </w:rPr>
        <w:t>；引自</w:t>
      </w:r>
      <w:r w:rsidR="00112931" w:rsidRPr="00FB2012">
        <w:rPr>
          <w:lang w:val="ru-RU"/>
        </w:rPr>
        <w:t>（</w:t>
      </w:r>
      <w:r w:rsidRPr="00794712">
        <w:rPr>
          <w:lang w:val="ru-RU"/>
        </w:rPr>
        <w:t>诗篇 39</w:t>
      </w:r>
      <w:r>
        <w:rPr>
          <w:lang w:val="ru-RU"/>
        </w:rPr>
        <w:t>:</w:t>
      </w:r>
      <w:r w:rsidRPr="00794712">
        <w:rPr>
          <w:lang w:val="ru-RU"/>
        </w:rPr>
        <w:t>7-9）</w:t>
      </w:r>
      <w:r w:rsidR="00112931" w:rsidRPr="00FB2012">
        <w:rPr>
          <w:lang w:val="ru-RU"/>
        </w:rPr>
        <w:t>]</w:t>
      </w:r>
      <w:r w:rsidRPr="00794712">
        <w:rPr>
          <w:lang w:val="ru-RU"/>
        </w:rPr>
        <w:t>。</w:t>
      </w:r>
    </w:p>
    <w:p w14:paraId="37128804" w14:textId="77777777" w:rsidR="00D85B34" w:rsidRPr="00794712" w:rsidRDefault="00D85B34" w:rsidP="00D85B34">
      <w:pPr>
        <w:rPr>
          <w:lang w:val="ru-RU"/>
        </w:rPr>
      </w:pPr>
      <w:r w:rsidRPr="00794712">
        <w:rPr>
          <w:lang w:val="ru-RU"/>
        </w:rPr>
        <w:tab/>
        <w:t>这是最配得上帝及其至善的救赎之道！这里彰显了祂无尽的恩典：</w:t>
      </w:r>
      <w:r w:rsidRPr="00FA2792">
        <w:rPr>
          <w:i/>
          <w:iCs/>
          <w:lang w:val="ru-RU"/>
        </w:rPr>
        <w:t>因为上帝爱世人，甚至将祂的独生子赐给他们，叫一切信祂的，不至灭亡，反得永生</w:t>
      </w:r>
      <w:r w:rsidR="005864AB">
        <w:rPr>
          <w:lang w:val="ru-RU"/>
        </w:rPr>
        <w:t>（约</w:t>
      </w:r>
      <w:r w:rsidRPr="00794712">
        <w:rPr>
          <w:lang w:val="ru-RU"/>
        </w:rPr>
        <w:t>3</w:t>
      </w:r>
      <w:r w:rsidRPr="00FA2792">
        <w:rPr>
          <w:lang w:val="ru-RU"/>
        </w:rPr>
        <w:t>:</w:t>
      </w:r>
      <w:r w:rsidRPr="00794712">
        <w:rPr>
          <w:lang w:val="ru-RU"/>
        </w:rPr>
        <w:t>16）。 祂无穷的公义也显明了出来，因为要</w:t>
      </w:r>
      <w:r w:rsidRPr="00AA0891">
        <w:t>满足公义</w:t>
      </w:r>
      <w:r w:rsidRPr="00794712">
        <w:rPr>
          <w:lang w:val="ru-RU"/>
        </w:rPr>
        <w:t>的要求，需要如此非凡、惊人的牺牲：神人</w:t>
      </w:r>
      <w:r w:rsidRPr="007300F1">
        <w:rPr>
          <w:i/>
          <w:iCs/>
          <w:lang w:val="ru-RU"/>
        </w:rPr>
        <w:t>耶稣的死——神将祂作为赎罪祭献上，借着祂的血，因着信，为要显明祂在赦免先前所犯之罪上的公义</w:t>
      </w:r>
      <w:r w:rsidRPr="00794712">
        <w:rPr>
          <w:lang w:val="ru-RU"/>
        </w:rPr>
        <w:t>（罗马书 3</w:t>
      </w:r>
      <w:r w:rsidRPr="007300F1">
        <w:rPr>
          <w:lang w:val="ru-RU"/>
        </w:rPr>
        <w:t>:</w:t>
      </w:r>
      <w:r w:rsidRPr="00794712">
        <w:rPr>
          <w:lang w:val="ru-RU"/>
        </w:rPr>
        <w:t>25）。 祂无穷的智慧由此显明，在救赎人类的事工中，祂找到了将永恒的公义与永恒的良善相调和的方式，既满足了二者，又拯救了那些灭亡的人，</w:t>
      </w:r>
      <w:r>
        <w:rPr>
          <w:lang w:val="ru-RU"/>
        </w:rPr>
        <w:t xml:space="preserve"> ——</w:t>
      </w:r>
      <w:r w:rsidRPr="00794712">
        <w:rPr>
          <w:lang w:val="ru-RU"/>
        </w:rPr>
        <w:t>这种方式是任何受造之智都无法想象的，因此被称为</w:t>
      </w:r>
      <w:r w:rsidRPr="00D6364F">
        <w:rPr>
          <w:i/>
          <w:iCs/>
          <w:lang w:val="ru-RU"/>
        </w:rPr>
        <w:t>“上帝的</w:t>
      </w:r>
      <w:r>
        <w:rPr>
          <w:i/>
          <w:iCs/>
          <w:lang w:val="ru-RU"/>
        </w:rPr>
        <w:t>智慧</w:t>
      </w:r>
      <w:r w:rsidRPr="00D6364F">
        <w:rPr>
          <w:i/>
          <w:iCs/>
          <w:lang w:val="ru-RU"/>
        </w:rPr>
        <w:t>”，即那隐秘、深奥的</w:t>
      </w:r>
      <w:r w:rsidRPr="00794712">
        <w:rPr>
          <w:lang w:val="ru-RU"/>
        </w:rPr>
        <w:t>（林前3</w:t>
      </w:r>
      <w:r w:rsidRPr="00F04A73">
        <w:rPr>
          <w:lang w:val="ru-RU"/>
        </w:rPr>
        <w:t>:</w:t>
      </w:r>
      <w:r w:rsidRPr="00794712">
        <w:rPr>
          <w:lang w:val="ru-RU"/>
        </w:rPr>
        <w:t>7）</w:t>
      </w:r>
      <w:r w:rsidRPr="000F63E9">
        <w:rPr>
          <w:i/>
          <w:iCs/>
          <w:lang w:val="ru-RU"/>
        </w:rPr>
        <w:t>，自亘古以来、历代以来隐藏的奥秘</w:t>
      </w:r>
      <w:r w:rsidRPr="00794712">
        <w:rPr>
          <w:lang w:val="ru-RU"/>
        </w:rPr>
        <w:t>（西1</w:t>
      </w:r>
      <w:r w:rsidRPr="000F63E9">
        <w:rPr>
          <w:lang w:val="ru-RU"/>
        </w:rPr>
        <w:t>:</w:t>
      </w:r>
      <w:r w:rsidRPr="00794712">
        <w:rPr>
          <w:lang w:val="ru-RU"/>
        </w:rPr>
        <w:t>26）。 神的全能由此显明，祂能够将两个无限 地相距甚远的本性——神性与人性——结合在神人合一的位格中，并使二者不混杂、不改变、不可分割地结合在一起。 或者，让我们聆听圣约翰·达马斯库斯对此的神学论述：“他说：‘在这里，神的仁慈、智慧、公义和全能一同显明。仁慈体现在：神没有轻视自己所造之物的软弱，而是怜悯了堕落的人，并向他伸出了援手。 公义的体现在于：当人被击败时，上帝并非让他人成为战胜折磨者的胜利者，也并非凭武力将人从死亡中夺回；而是那位良善而公义的上帝，使曾经被死亡用罪恶奴役的人重新成为胜利者，并以‘以类制类’的方式拯救了他——这原本看似极其困难。 智慧的彰显在于：上帝找到了化解巨大困境的最佳方式。 因为，凭着上帝与圣父的</w:t>
      </w:r>
      <w:r w:rsidRPr="000F63E9">
        <w:rPr>
          <w:i/>
          <w:iCs/>
          <w:lang w:val="ru-RU"/>
        </w:rPr>
        <w:t>旨意，那独生子——祂在父的怀中</w:t>
      </w:r>
      <w:r w:rsidRPr="00794712">
        <w:rPr>
          <w:lang w:val="ru-RU"/>
        </w:rPr>
        <w:t>（约1</w:t>
      </w:r>
      <w:r w:rsidRPr="000F63E9">
        <w:rPr>
          <w:lang w:val="ru-RU"/>
        </w:rPr>
        <w:t>:</w:t>
      </w:r>
      <w:r w:rsidRPr="00794712">
        <w:rPr>
          <w:lang w:val="ru-RU"/>
        </w:rPr>
        <w:t>18），与圣父及圣灵同质，永恒的，无始</w:t>
      </w:r>
      <w:r>
        <w:rPr>
          <w:lang w:val="ru-RU"/>
        </w:rPr>
        <w:t>的</w:t>
      </w:r>
      <w:r w:rsidRPr="00794712">
        <w:rPr>
          <w:lang w:val="ru-RU"/>
        </w:rPr>
        <w:t>——那位在起初就与上帝和圣父同在的，</w:t>
      </w:r>
      <w:r w:rsidRPr="000F63E9">
        <w:rPr>
          <w:i/>
          <w:iCs/>
          <w:lang w:val="ru-RU"/>
        </w:rPr>
        <w:t>作为上帝的形像</w:t>
      </w:r>
      <w:r w:rsidRPr="00794712">
        <w:rPr>
          <w:lang w:val="ru-RU"/>
        </w:rPr>
        <w:t>（腓</w:t>
      </w:r>
      <w:r w:rsidRPr="000F63E9">
        <w:rPr>
          <w:lang w:val="ru-RU"/>
        </w:rPr>
        <w:t>2:</w:t>
      </w:r>
      <w:r w:rsidRPr="00794712">
        <w:rPr>
          <w:lang w:val="ru-RU"/>
        </w:rPr>
        <w:t>6）， 俯身降临：即祂以不可摧毁的方式谦卑了祂那不可摧毁的高贵，并以难以言喻、不可测度的恩典降临到祂的仆人中间（因为“降临”一词正是此意）。 祂既是完全的神，便成了完全的人，并从万物中成就了最崭新、太阳之下独一无二的新事（传道书 1</w:t>
      </w:r>
      <w:r>
        <w:rPr>
          <w:lang w:val="ru-RU"/>
        </w:rPr>
        <w:t>:</w:t>
      </w:r>
      <w:r w:rsidRPr="00794712">
        <w:rPr>
          <w:lang w:val="ru-RU"/>
        </w:rPr>
        <w:t xml:space="preserve">10），其中彰显了神无限的大能。因为还有什么比这更重要的呢——神成了人？ </w:t>
      </w:r>
      <w:r w:rsidRPr="00794712">
        <w:rPr>
          <w:lang w:val="ru-RU"/>
        </w:rPr>
        <w:lastRenderedPageBreak/>
        <w:t>道确实借着圣灵，由圣母玛利亚——永贞童女及天主之母——化为血肉之躯。道成为天主与人之间的中保。 这位独一无二的爱人者，在圣童贞女无玷的胎中受孕，并非出于意愿、欲望、男性的交合，或情欲的孕育，而是出于圣灵；祂效法亚当最初的样式，顺服于父； 祂通过为我们承担人性，医治了我们的悖逆，并为我们树立了顺服的榜样——若无此顺服，便无法得救。</w:t>
      </w:r>
      <w:r w:rsidRPr="00711602">
        <w:rPr>
          <w:lang w:val="ru-RU"/>
        </w:rPr>
        <w:t>”</w:t>
      </w:r>
      <w:r w:rsidR="00CD5030">
        <w:rPr>
          <w:rStyle w:val="FootnoteReference"/>
          <w:lang w:val="ru-RU"/>
        </w:rPr>
        <w:footnoteReference w:id="11"/>
      </w:r>
      <w:r w:rsidRPr="00794712">
        <w:rPr>
          <w:lang w:val="ru-RU"/>
        </w:rPr>
        <w:t xml:space="preserve"> 圣格里高利·神学家、</w:t>
      </w:r>
      <w:r w:rsidR="00CD5030">
        <w:rPr>
          <w:rStyle w:val="FootnoteReference"/>
          <w:lang w:val="ru-RU"/>
        </w:rPr>
        <w:footnoteReference w:id="12"/>
      </w:r>
      <w:r w:rsidRPr="00794712">
        <w:rPr>
          <w:lang w:val="ru-RU"/>
        </w:rPr>
        <w:t xml:space="preserve"> 圣大瓦西里、</w:t>
      </w:r>
      <w:r w:rsidR="00CD5030">
        <w:rPr>
          <w:rStyle w:val="FootnoteReference"/>
          <w:lang w:val="ru-RU"/>
        </w:rPr>
        <w:footnoteReference w:id="13"/>
      </w:r>
      <w:r w:rsidRPr="00794712">
        <w:rPr>
          <w:lang w:val="ru-RU"/>
        </w:rPr>
        <w:t xml:space="preserve"> 圣格里高利·尼西亚</w:t>
      </w:r>
      <w:r w:rsidR="00CD5030">
        <w:rPr>
          <w:rStyle w:val="FootnoteReference"/>
          <w:lang w:val="ru-RU"/>
        </w:rPr>
        <w:footnoteReference w:id="14"/>
      </w:r>
      <w:r w:rsidRPr="00794712">
        <w:rPr>
          <w:lang w:val="ru-RU"/>
        </w:rPr>
        <w:t xml:space="preserve"> 等人也曾就此进行过神学论述。</w:t>
      </w:r>
      <w:r w:rsidR="00CD5030">
        <w:rPr>
          <w:rStyle w:val="FootnoteReference"/>
          <w:lang w:val="ru-RU"/>
        </w:rPr>
        <w:footnoteReference w:id="15"/>
      </w:r>
    </w:p>
    <w:p w14:paraId="5CF8E3AF" w14:textId="77777777" w:rsidR="00D85B34" w:rsidRPr="00794712" w:rsidRDefault="00D85B34" w:rsidP="00D85B34">
      <w:pPr>
        <w:rPr>
          <w:lang w:val="ru-RU"/>
        </w:rPr>
      </w:pPr>
      <w:r w:rsidRPr="00794712">
        <w:rPr>
          <w:lang w:val="ru-RU"/>
        </w:rPr>
        <w:tab/>
        <w:t>然而，尽管圣父们和教会导师们将上帝为我们的救赎所拣选的途径称为与祂的完美完全相符，但他们并未断言这一非凡的途径对达成目标是绝对必要的，也未断言全能者若不以此方式便无法拯救人类：祂本可以以其他方式拯救我们； 但在所有可能的救赎手段中，祂选择了最完美的。这一思想体现在：</w:t>
      </w:r>
    </w:p>
    <w:p w14:paraId="53438F6F" w14:textId="77777777" w:rsidR="00D85B34" w:rsidRPr="00106AF8" w:rsidRDefault="00D85B34" w:rsidP="00D85B34">
      <w:pPr>
        <w:rPr>
          <w:lang w:val="ru-RU"/>
        </w:rPr>
      </w:pPr>
      <w:r w:rsidRPr="00794712">
        <w:rPr>
          <w:lang w:val="ru-RU"/>
        </w:rPr>
        <w:tab/>
        <w:t>圣阿法纳西·大圣：“上帝本</w:t>
      </w:r>
      <w:r>
        <w:rPr>
          <w:lang w:val="ru-RU"/>
        </w:rPr>
        <w:t>无需降临</w:t>
      </w:r>
      <w:r w:rsidRPr="00794712">
        <w:rPr>
          <w:lang w:val="ru-RU"/>
        </w:rPr>
        <w:t>人间，只需说一句话，便能解除誓言。但我们应当着眼于对人类有益之事，而非思量上帝究竟能做到什么。</w:t>
      </w:r>
      <w:r w:rsidRPr="00106AF8">
        <w:rPr>
          <w:lang w:val="ru-RU"/>
        </w:rPr>
        <w:t>”</w:t>
      </w:r>
      <w:r w:rsidR="0035025D">
        <w:rPr>
          <w:rStyle w:val="FootnoteReference"/>
          <w:lang w:val="ru-RU"/>
        </w:rPr>
        <w:footnoteReference w:id="16"/>
      </w:r>
    </w:p>
    <w:p w14:paraId="61E26D83" w14:textId="77777777" w:rsidR="00D85B34" w:rsidRPr="00043C36" w:rsidRDefault="00D85B34" w:rsidP="00D85B34">
      <w:pPr>
        <w:rPr>
          <w:lang w:val="ru-RU"/>
        </w:rPr>
      </w:pPr>
      <w:r w:rsidRPr="00794712">
        <w:rPr>
          <w:lang w:val="ru-RU"/>
        </w:rPr>
        <w:tab/>
        <w:t>圣格里高利·神学家：“祂（神的儿子）为了我们成了人，取了奴仆的形像，因我们的过犯被引向死亡。救主就是这样做的，祂作为神，本可凭一念之愿便拯救我们。 但他却做了对我们更为重要、也最令我们惭愧的事：祂顺服了我们，并与我们平等。</w:t>
      </w:r>
      <w:r w:rsidRPr="00043C36">
        <w:rPr>
          <w:lang w:val="ru-RU"/>
        </w:rPr>
        <w:t>”</w:t>
      </w:r>
      <w:r w:rsidR="0035025D">
        <w:rPr>
          <w:rStyle w:val="FootnoteReference"/>
          <w:lang w:val="ru-RU"/>
        </w:rPr>
        <w:footnoteReference w:id="17"/>
      </w:r>
    </w:p>
    <w:p w14:paraId="469032C6" w14:textId="77777777" w:rsidR="00D85B34" w:rsidRPr="00651FD0" w:rsidRDefault="00D85B34" w:rsidP="00D85B34">
      <w:pPr>
        <w:rPr>
          <w:lang w:val="ru-RU"/>
        </w:rPr>
      </w:pPr>
      <w:r w:rsidRPr="00794712">
        <w:rPr>
          <w:lang w:val="ru-RU"/>
        </w:rPr>
        <w:tab/>
        <w:t>福者奥古斯丁：“为了驳斥那些说‘难道上帝就没有别的办法能使人类免于死亡之灾’的人。 当祂愿意让祂的独生子——与祂同为永恒的上帝——成为人，领受人的灵魂和身体，并成为必死之人，尝了死亡的滋味——</w:t>
      </w:r>
      <w:r w:rsidRPr="00794712">
        <w:rPr>
          <w:lang w:val="ru-RU"/>
        </w:rPr>
        <w:lastRenderedPageBreak/>
        <w:t>为了驳斥这样的人，仅说‘上帝乐意通过既是上帝又是人的代求者—— 人子耶稣基督，是一种美好且符合神圣尊严的方式，还必须证明：对于万物皆服从其权柄的上帝而言，虽然还有其他可能的方式，但除了这种方式之外，根本不存在、也不可能存在另一种更合适（</w:t>
      </w:r>
      <w:r w:rsidRPr="00AA0891">
        <w:t>convenientiorem</w:t>
      </w:r>
      <w:r w:rsidRPr="00794712">
        <w:rPr>
          <w:lang w:val="ru-RU"/>
        </w:rPr>
        <w:t>）的方式来医治我们的软弱</w:t>
      </w:r>
      <w:r w:rsidRPr="00651FD0">
        <w:rPr>
          <w:lang w:val="ru-RU"/>
        </w:rPr>
        <w:t>。”</w:t>
      </w:r>
      <w:r w:rsidR="0035025D">
        <w:rPr>
          <w:rStyle w:val="FootnoteReference"/>
          <w:lang w:val="ru-RU"/>
        </w:rPr>
        <w:footnoteReference w:id="18"/>
      </w:r>
    </w:p>
    <w:p w14:paraId="24F8BD42" w14:textId="77777777" w:rsidR="00D85B34" w:rsidRPr="003F4CA6" w:rsidRDefault="00D85B34" w:rsidP="00D85B34">
      <w:pPr>
        <w:rPr>
          <w:lang w:val="ru-RU"/>
        </w:rPr>
      </w:pPr>
      <w:r w:rsidRPr="00794712">
        <w:rPr>
          <w:lang w:val="ru-RU"/>
        </w:rPr>
        <w:tab/>
      </w:r>
      <w:r>
        <w:rPr>
          <w:lang w:val="ru-RU"/>
        </w:rPr>
        <w:t>福</w:t>
      </w:r>
      <w:r w:rsidRPr="00794712">
        <w:rPr>
          <w:lang w:val="ru-RU"/>
        </w:rPr>
        <w:t>者狄奥多里特：“祂即使不道成肉身，也能轻而易举地拯救人类；仅凭一念，便能摧毁死亡的统治，彻底消灭死亡之源——不义……但祂并非要彰显自己的大能，而是要彰显祂旨意的公义（</w:t>
      </w:r>
      <w:r w:rsidRPr="00AA0891">
        <w:t>τό</w:t>
      </w:r>
      <w:r w:rsidRPr="0097554A">
        <w:rPr>
          <w:lang w:val="ru-RU"/>
        </w:rPr>
        <w:t xml:space="preserve"> </w:t>
      </w:r>
      <w:r w:rsidRPr="00AA0891">
        <w:t>δίκαιον</w:t>
      </w:r>
      <w:r w:rsidRPr="00794712">
        <w:rPr>
          <w:lang w:val="ru-RU"/>
        </w:rPr>
        <w:t>）</w:t>
      </w:r>
      <w:r w:rsidRPr="003F4CA6">
        <w:rPr>
          <w:lang w:val="ru-RU"/>
        </w:rPr>
        <w:t>。”</w:t>
      </w:r>
      <w:r w:rsidR="0035025D">
        <w:rPr>
          <w:rStyle w:val="FootnoteReference"/>
          <w:lang w:val="ru-RU"/>
        </w:rPr>
        <w:footnoteReference w:id="19"/>
      </w:r>
    </w:p>
    <w:p w14:paraId="758152F5" w14:textId="77777777" w:rsidR="00D85B34" w:rsidRPr="008D04DE" w:rsidRDefault="00D85B34" w:rsidP="00D85B34">
      <w:pPr>
        <w:rPr>
          <w:lang w:val="ru-RU"/>
        </w:rPr>
      </w:pPr>
      <w:r w:rsidRPr="00794712">
        <w:rPr>
          <w:lang w:val="ru-RU"/>
        </w:rPr>
        <w:tab/>
        <w:t>圣利奥：“主的仁慈是公义的：因为当祂拥有无数不可言喻的手段来赎回人类时，祂却首选了这一手段。</w:t>
      </w:r>
      <w:r w:rsidRPr="008D04DE">
        <w:rPr>
          <w:lang w:val="ru-RU"/>
        </w:rPr>
        <w:t>”</w:t>
      </w:r>
      <w:r w:rsidR="0035025D">
        <w:rPr>
          <w:rStyle w:val="FootnoteReference"/>
          <w:lang w:val="ru-RU"/>
        </w:rPr>
        <w:footnoteReference w:id="20"/>
      </w:r>
    </w:p>
    <w:p w14:paraId="7D5873DE" w14:textId="77777777" w:rsidR="00D85B34" w:rsidRPr="009A1DD7" w:rsidRDefault="00D85B34" w:rsidP="00D85B34">
      <w:pPr>
        <w:rPr>
          <w:lang w:val="ru-RU"/>
        </w:rPr>
      </w:pPr>
      <w:r w:rsidRPr="00794712">
        <w:rPr>
          <w:lang w:val="ru-RU"/>
        </w:rPr>
        <w:tab/>
        <w:t>圣约翰·达马斯库斯：“祂成为人，是为了让被战胜者得以战胜，使全能者能凭祂全能的权柄与能力，将人从折磨者的权势下解救出来；但那样的话，折磨者就会有借口抱怨说，他虽然战胜了人，却遭到了上帝的强迫。 因此，仁慈且爱人的上帝，愿使那堕落者成为得胜者，便化身为人的样式，以便以同类之姿恢复同类。</w:t>
      </w:r>
      <w:r w:rsidRPr="009A1DD7">
        <w:rPr>
          <w:lang w:val="ru-RU"/>
        </w:rPr>
        <w:t>”</w:t>
      </w:r>
      <w:r w:rsidR="0035025D">
        <w:rPr>
          <w:rStyle w:val="FootnoteReference"/>
          <w:lang w:val="ru-RU"/>
        </w:rPr>
        <w:footnoteReference w:id="21"/>
      </w:r>
    </w:p>
    <w:p w14:paraId="4561F705" w14:textId="77777777" w:rsidR="00D85B34" w:rsidRPr="00794712" w:rsidRDefault="00D85B34" w:rsidP="00D85B34">
      <w:pPr>
        <w:rPr>
          <w:lang w:val="ru-RU"/>
        </w:rPr>
      </w:pPr>
      <w:r w:rsidRPr="00794712">
        <w:rPr>
          <w:lang w:val="ru-RU"/>
        </w:rPr>
        <w:tab/>
        <w:t>至于某些圣父和教会导师曾说，上帝之子的道成肉身与受死对于赎回人类是必要的，否则便无法拯救人类； 他们所说的必要性并非绝对的，而是有条件的，其意在表明：既然上帝亲自选择了这一途径</w:t>
      </w:r>
      <w:r>
        <w:rPr>
          <w:lang w:val="ru-RU"/>
        </w:rPr>
        <w:t>，</w:t>
      </w:r>
      <w:r w:rsidRPr="00794712">
        <w:rPr>
          <w:lang w:val="ru-RU"/>
        </w:rPr>
        <w:t>就意味着祂认为这是必要且在所有可能途径中最佳的，因此与之相比，任何其他途径都不足以达到目的。</w:t>
      </w:r>
      <w:r w:rsidR="00090AA9">
        <w:rPr>
          <w:rStyle w:val="FootnoteReference"/>
          <w:lang w:val="ru-RU"/>
        </w:rPr>
        <w:footnoteReference w:id="22"/>
      </w:r>
    </w:p>
    <w:p w14:paraId="5A4E5FE5" w14:textId="77777777" w:rsidR="00D85B34" w:rsidRDefault="00D85B34" w:rsidP="00D85B34">
      <w:pPr>
        <w:rPr>
          <w:lang w:val="ru-RU"/>
        </w:rPr>
      </w:pPr>
      <w:r w:rsidRPr="00794712">
        <w:rPr>
          <w:lang w:val="ru-RU"/>
        </w:rPr>
        <w:tab/>
      </w:r>
    </w:p>
    <w:p w14:paraId="0BC1AF4F" w14:textId="77777777" w:rsidR="00D85B34" w:rsidRPr="00794712" w:rsidRDefault="00D85B34" w:rsidP="007B240B">
      <w:pPr>
        <w:pStyle w:val="Heading5"/>
        <w:rPr>
          <w:lang w:val="ru-RU"/>
        </w:rPr>
      </w:pPr>
      <w:bookmarkStart w:id="40" w:name="_Toc133155553"/>
      <w:bookmarkStart w:id="41" w:name="_Toc180664566"/>
      <w:bookmarkStart w:id="42" w:name="_Toc180679187"/>
      <w:bookmarkStart w:id="43" w:name="_Toc180679244"/>
      <w:bookmarkStart w:id="44" w:name="_Toc180679767"/>
      <w:bookmarkStart w:id="45" w:name="_Toc238453649"/>
      <w:bookmarkStart w:id="46" w:name="_Toc238576465"/>
      <w:r w:rsidRPr="00794712">
        <w:rPr>
          <w:lang w:val="ru-RU"/>
        </w:rPr>
        <w:t>§126. 至圣三位一体的所有位格如何参与救赎之事，以及为何正是圣子为此道成肉身？</w:t>
      </w:r>
      <w:bookmarkEnd w:id="40"/>
      <w:bookmarkEnd w:id="41"/>
      <w:bookmarkEnd w:id="42"/>
      <w:bookmarkEnd w:id="43"/>
      <w:bookmarkEnd w:id="44"/>
      <w:bookmarkEnd w:id="45"/>
      <w:bookmarkEnd w:id="46"/>
    </w:p>
    <w:p w14:paraId="206F1862" w14:textId="77777777" w:rsidR="00D85B34" w:rsidRPr="003150B2" w:rsidRDefault="00D85B34" w:rsidP="00D85B34">
      <w:pPr>
        <w:rPr>
          <w:b/>
          <w:bCs/>
          <w:color w:val="0000FF"/>
          <w:lang w:val="ru-RU"/>
        </w:rPr>
      </w:pPr>
    </w:p>
    <w:p w14:paraId="6107214B" w14:textId="77777777" w:rsidR="00D85B34" w:rsidRPr="00794712" w:rsidRDefault="00D85B34" w:rsidP="00D85B34">
      <w:pPr>
        <w:rPr>
          <w:lang w:val="ru-RU"/>
        </w:rPr>
      </w:pPr>
      <w:r w:rsidRPr="00C821A9">
        <w:rPr>
          <w:b/>
          <w:bCs/>
        </w:rPr>
        <w:t>I</w:t>
      </w:r>
      <w:r w:rsidRPr="00C821A9">
        <w:rPr>
          <w:b/>
          <w:bCs/>
          <w:lang w:val="ru-RU"/>
        </w:rPr>
        <w:t>.</w:t>
      </w:r>
      <w:r w:rsidRPr="00794712">
        <w:rPr>
          <w:lang w:val="ru-RU"/>
        </w:rPr>
        <w:t xml:space="preserve"> 不过，尽管为我们的救赎所选定的最佳方式是上帝之子的道成肉身，但圣父和圣灵也参与了这一伟大事业。 这一</w:t>
      </w:r>
      <w:r w:rsidR="00A95A76" w:rsidRPr="00A95A76">
        <w:rPr>
          <w:b/>
          <w:lang w:val="ru-RU"/>
        </w:rPr>
        <w:t>观点——a)</w:t>
      </w:r>
      <w:r w:rsidRPr="00794712">
        <w:rPr>
          <w:lang w:val="ru-RU"/>
        </w:rPr>
        <w:t xml:space="preserve"> 自然源于以下教义：至圣三一的三个位格同质，拥有同一神性、同一意志，除位格属性外在一切方面不可分割；因此，祂们中的任何一位 都不可能仅凭自身行事，而完全不涉及另外两位；</w:t>
      </w:r>
      <w:r w:rsidR="00090AA9">
        <w:rPr>
          <w:rStyle w:val="FootnoteReference"/>
          <w:lang w:val="ru-RU"/>
        </w:rPr>
        <w:footnoteReference w:id="23"/>
      </w:r>
      <w:r w:rsidR="00A95A76" w:rsidRPr="00A95A76">
        <w:rPr>
          <w:b/>
          <w:lang w:val="ru-RU"/>
        </w:rPr>
        <w:t xml:space="preserve"> b)</w:t>
      </w:r>
      <w:r w:rsidRPr="00794712">
        <w:rPr>
          <w:lang w:val="ru-RU"/>
        </w:rPr>
        <w:t xml:space="preserve"> </w:t>
      </w:r>
      <w:r w:rsidRPr="00794712">
        <w:rPr>
          <w:lang w:val="ru-RU"/>
        </w:rPr>
        <w:lastRenderedPageBreak/>
        <w:t xml:space="preserve">这一点从那些将上帝称为我们救主（祂借着耶稣基督在圣灵里成就我们的救恩）的经文中显而易见，例如使徒的话： </w:t>
      </w:r>
      <w:r w:rsidRPr="00245DE5">
        <w:rPr>
          <w:i/>
          <w:iCs/>
          <w:lang w:val="ru-RU"/>
        </w:rPr>
        <w:t>“当我们救主上帝的恩典和对人的慈爱显明的时候，祂救了我们，并不是因我们自己所行的义，而是照祂的怜悯，藉着圣灵重生和更新的洗礼；这圣灵是祂藉着我们的救主耶稣基督，丰丰富富地浇灌在我们身上的”</w:t>
      </w:r>
      <w:r w:rsidRPr="00794712">
        <w:rPr>
          <w:lang w:val="ru-RU"/>
        </w:rPr>
        <w:t>（提多书 3</w:t>
      </w:r>
      <w:r w:rsidRPr="00DB31CF">
        <w:rPr>
          <w:lang w:val="ru-RU"/>
        </w:rPr>
        <w:t>:</w:t>
      </w:r>
      <w:r w:rsidRPr="00794712">
        <w:rPr>
          <w:lang w:val="ru-RU"/>
        </w:rPr>
        <w:t>4-6）。 特别是，圣经阐明了圣父与圣灵对上帝之子所成就的道成肉身与救赎之工的关系。</w:t>
      </w:r>
    </w:p>
    <w:p w14:paraId="69953534"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神的儿子</w:t>
      </w:r>
      <w:r w:rsidR="00D85B34">
        <w:rPr>
          <w:lang w:val="ru-RU"/>
        </w:rPr>
        <w:t>降临</w:t>
      </w:r>
      <w:r w:rsidR="00D85B34" w:rsidRPr="00794712">
        <w:rPr>
          <w:lang w:val="ru-RU"/>
        </w:rPr>
        <w:t>世间，由至圣童贞女成肉身：关于圣父，经上说祂将祂的儿子</w:t>
      </w:r>
      <w:r w:rsidR="00D85B34">
        <w:rPr>
          <w:lang w:val="ru-RU"/>
        </w:rPr>
        <w:t>差遣到世上</w:t>
      </w:r>
      <w:r w:rsidR="005864AB">
        <w:rPr>
          <w:lang w:val="ru-RU"/>
        </w:rPr>
        <w:t>（约</w:t>
      </w:r>
      <w:r w:rsidR="00D85B34" w:rsidRPr="00794712">
        <w:rPr>
          <w:lang w:val="ru-RU"/>
        </w:rPr>
        <w:t>10</w:t>
      </w:r>
      <w:r w:rsidR="00D85B34" w:rsidRPr="00D878E3">
        <w:rPr>
          <w:lang w:val="ru-RU"/>
        </w:rPr>
        <w:t>:</w:t>
      </w:r>
      <w:r w:rsidRPr="00F45CFB">
        <w:rPr>
          <w:b/>
          <w:lang w:val="ru-RU"/>
        </w:rPr>
        <w:t>36）</w:t>
      </w:r>
      <w:r w:rsidR="00D85B34" w:rsidRPr="00794712">
        <w:rPr>
          <w:lang w:val="ru-RU"/>
        </w:rPr>
        <w:t>，取了罪身的样式（罗8</w:t>
      </w:r>
      <w:r w:rsidR="00D85B34">
        <w:rPr>
          <w:lang w:val="ru-RU"/>
        </w:rPr>
        <w:t>:</w:t>
      </w:r>
      <w:r w:rsidR="00D85B34" w:rsidRPr="00794712">
        <w:rPr>
          <w:lang w:val="ru-RU"/>
        </w:rPr>
        <w:t>3），由妇人所生（加4</w:t>
      </w:r>
      <w:r w:rsidR="00D85B34">
        <w:rPr>
          <w:lang w:val="ru-RU"/>
        </w:rPr>
        <w:t>:</w:t>
      </w:r>
      <w:r w:rsidR="00D85B34" w:rsidRPr="00794712">
        <w:rPr>
          <w:lang w:val="ru-RU"/>
        </w:rPr>
        <w:t>4）； 至于圣灵，曾向圣母预言道：</w:t>
      </w:r>
      <w:r w:rsidR="00D85B34" w:rsidRPr="007F4A17">
        <w:rPr>
          <w:i/>
          <w:iCs/>
          <w:lang w:val="ru-RU"/>
        </w:rPr>
        <w:t>“圣灵要临到你身上，至高者的能力要荫庇你”</w:t>
      </w:r>
      <w:r w:rsidR="008A3626">
        <w:rPr>
          <w:lang w:val="ru-RU"/>
        </w:rPr>
        <w:t>（路加福音</w:t>
      </w:r>
      <w:r w:rsidR="00D85B34" w:rsidRPr="00794712">
        <w:rPr>
          <w:lang w:val="ru-RU"/>
        </w:rPr>
        <w:t xml:space="preserve"> 1</w:t>
      </w:r>
      <w:r w:rsidR="00D85B34" w:rsidRPr="00DB647A">
        <w:rPr>
          <w:lang w:val="ru-RU"/>
        </w:rPr>
        <w:t>:</w:t>
      </w:r>
      <w:r w:rsidR="00D85B34" w:rsidRPr="00794712">
        <w:rPr>
          <w:lang w:val="ru-RU"/>
        </w:rPr>
        <w:t>35）。</w:t>
      </w:r>
      <w:r w:rsidR="00090AA9">
        <w:rPr>
          <w:rStyle w:val="FootnoteReference"/>
          <w:lang w:val="ru-RU"/>
        </w:rPr>
        <w:footnoteReference w:id="24"/>
      </w:r>
    </w:p>
    <w:p w14:paraId="1C26E881"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神的儿子受洗，由此开始了他的公共事工：</w:t>
      </w:r>
      <w:r w:rsidR="00D85B34" w:rsidRPr="004A6364">
        <w:rPr>
          <w:i/>
          <w:iCs/>
          <w:lang w:val="ru-RU"/>
        </w:rPr>
        <w:t>“忽然，天开了，约翰看见神的灵仿佛鸽子降下，落在祂身上。 看哪，有声音从天上说：‘这是我的爱子，我所喜悦的。’</w:t>
      </w:r>
      <w:r w:rsidR="000A57C3">
        <w:rPr>
          <w:lang w:val="ru-RU"/>
        </w:rPr>
        <w:t>”（太</w:t>
      </w:r>
      <w:r w:rsidR="00D85B34" w:rsidRPr="00794712">
        <w:rPr>
          <w:lang w:val="ru-RU"/>
        </w:rPr>
        <w:t>3</w:t>
      </w:r>
      <w:r w:rsidR="00D85B34" w:rsidRPr="004A6364">
        <w:rPr>
          <w:lang w:val="ru-RU"/>
        </w:rPr>
        <w:t>:</w:t>
      </w:r>
      <w:r w:rsidR="00D85B34" w:rsidRPr="00794712">
        <w:rPr>
          <w:lang w:val="ru-RU"/>
        </w:rPr>
        <w:t>16-17）。</w:t>
      </w:r>
    </w:p>
    <w:p w14:paraId="1BB263D3" w14:textId="77777777" w:rsidR="00D85B34" w:rsidRPr="00794712" w:rsidRDefault="00F45CFB" w:rsidP="00D85B34">
      <w:pPr>
        <w:ind w:firstLine="708"/>
        <w:rPr>
          <w:lang w:val="ru-RU"/>
        </w:rPr>
      </w:pPr>
      <w:r w:rsidRPr="00F45CFB">
        <w:rPr>
          <w:b/>
          <w:bCs/>
          <w:lang w:val="ru-RU"/>
        </w:rPr>
        <w:t>3）</w:t>
      </w:r>
      <w:r w:rsidR="00D85B34" w:rsidRPr="00794712">
        <w:rPr>
          <w:lang w:val="ru-RU"/>
        </w:rPr>
        <w:t>神的儿子在履行公开事工的过程中传道，同时作见证：</w:t>
      </w:r>
      <w:r w:rsidR="00D85B34" w:rsidRPr="00630A56">
        <w:rPr>
          <w:i/>
          <w:iCs/>
          <w:lang w:val="ru-RU"/>
        </w:rPr>
        <w:t>“我的教训……不是我的，乃是差我来的那位”</w:t>
      </w:r>
      <w:r w:rsidR="00D85B34" w:rsidRPr="00794712">
        <w:rPr>
          <w:lang w:val="ru-RU"/>
        </w:rPr>
        <w:t>（</w:t>
      </w:r>
      <w:r w:rsidR="00D85B34">
        <w:rPr>
          <w:lang w:val="ru-RU"/>
        </w:rPr>
        <w:t>约</w:t>
      </w:r>
      <w:r w:rsidR="00D85B34" w:rsidRPr="00794712">
        <w:rPr>
          <w:lang w:val="ru-RU"/>
        </w:rPr>
        <w:t>7</w:t>
      </w:r>
      <w:r w:rsidR="00D85B34" w:rsidRPr="00630A56">
        <w:rPr>
          <w:lang w:val="ru-RU"/>
        </w:rPr>
        <w:t>:</w:t>
      </w:r>
      <w:r w:rsidR="00D85B34" w:rsidRPr="00794712">
        <w:rPr>
          <w:lang w:val="ru-RU"/>
        </w:rPr>
        <w:t xml:space="preserve">16）； </w:t>
      </w:r>
      <w:r w:rsidR="00D85B34" w:rsidRPr="0036109C">
        <w:rPr>
          <w:i/>
          <w:iCs/>
          <w:lang w:val="ru-RU"/>
        </w:rPr>
        <w:t>“因为我不是凭自己说话；那差我来的父，祂已经吩咐我该说什么、该讲什么”</w:t>
      </w:r>
      <w:r w:rsidR="005864AB">
        <w:rPr>
          <w:lang w:val="ru-RU"/>
        </w:rPr>
        <w:t>（</w:t>
      </w:r>
      <w:r w:rsidR="00D85B34" w:rsidRPr="00794712">
        <w:rPr>
          <w:lang w:val="ru-RU"/>
        </w:rPr>
        <w:t>约12</w:t>
      </w:r>
      <w:r w:rsidR="00D85B34" w:rsidRPr="003D0B0F">
        <w:rPr>
          <w:lang w:val="ru-RU"/>
        </w:rPr>
        <w:t>:</w:t>
      </w:r>
      <w:r w:rsidR="00D85B34" w:rsidRPr="00794712">
        <w:rPr>
          <w:lang w:val="ru-RU"/>
        </w:rPr>
        <w:t xml:space="preserve">49）；而在开始传道之前，祂还曾论及圣灵说： </w:t>
      </w:r>
      <w:r w:rsidR="00D85B34" w:rsidRPr="003D0B0F">
        <w:rPr>
          <w:i/>
          <w:iCs/>
          <w:lang w:val="ru-RU"/>
        </w:rPr>
        <w:t>“主的灵在我身上，因为祂用膏膏我，叫我传福音给贫穷的人；祂差遣我医治伤心的人，报告被掳的得释放，瞎眼的得看见，叫那受压制的得自由，报告主悦纳人的禧年”</w:t>
      </w:r>
      <w:r w:rsidR="008A3626">
        <w:rPr>
          <w:lang w:val="ru-RU"/>
        </w:rPr>
        <w:t>（路加福音</w:t>
      </w:r>
      <w:r w:rsidR="00D85B34" w:rsidRPr="00794712">
        <w:rPr>
          <w:lang w:val="ru-RU"/>
        </w:rPr>
        <w:t xml:space="preserve"> 4</w:t>
      </w:r>
      <w:r w:rsidR="00D85B34" w:rsidRPr="003D0B0F">
        <w:rPr>
          <w:lang w:val="ru-RU"/>
        </w:rPr>
        <w:t>:</w:t>
      </w:r>
      <w:r w:rsidR="00D85B34" w:rsidRPr="00794712">
        <w:rPr>
          <w:lang w:val="ru-RU"/>
        </w:rPr>
        <w:t>18-19）。</w:t>
      </w:r>
    </w:p>
    <w:p w14:paraId="25AC49A8" w14:textId="77777777" w:rsidR="00D85B34" w:rsidRPr="00794712" w:rsidRDefault="00F45CFB" w:rsidP="00D85B34">
      <w:pPr>
        <w:ind w:firstLine="708"/>
        <w:rPr>
          <w:lang w:val="ru-RU"/>
        </w:rPr>
      </w:pPr>
      <w:r w:rsidRPr="00F45CFB">
        <w:rPr>
          <w:b/>
          <w:bCs/>
          <w:lang w:val="ru-RU"/>
        </w:rPr>
        <w:t>4)</w:t>
      </w:r>
      <w:r w:rsidR="00D85B34" w:rsidRPr="00794712">
        <w:rPr>
          <w:lang w:val="ru-RU"/>
        </w:rPr>
        <w:t xml:space="preserve"> 神的儿子行神迹，以证明其教义和使命的神圣性</w:t>
      </w:r>
      <w:r w:rsidR="00D85B34">
        <w:rPr>
          <w:lang w:val="ru-RU"/>
        </w:rPr>
        <w:t>，</w:t>
      </w:r>
      <w:r w:rsidR="00D85B34" w:rsidRPr="00794712">
        <w:rPr>
          <w:lang w:val="ru-RU"/>
        </w:rPr>
        <w:t xml:space="preserve">并说： </w:t>
      </w:r>
      <w:r w:rsidR="00D85B34" w:rsidRPr="005B1DCD">
        <w:rPr>
          <w:i/>
          <w:iCs/>
          <w:lang w:val="ru-RU"/>
        </w:rPr>
        <w:t>“那在我里面的父，祂做这些事”</w:t>
      </w:r>
      <w:r w:rsidR="005864AB">
        <w:rPr>
          <w:lang w:val="ru-RU"/>
        </w:rPr>
        <w:t>（</w:t>
      </w:r>
      <w:r w:rsidR="00D85B34" w:rsidRPr="00794712">
        <w:rPr>
          <w:lang w:val="ru-RU"/>
        </w:rPr>
        <w:t>约14</w:t>
      </w:r>
      <w:r w:rsidR="00D85B34" w:rsidRPr="00796F77">
        <w:rPr>
          <w:lang w:val="ru-RU"/>
        </w:rPr>
        <w:t>:</w:t>
      </w:r>
      <w:r w:rsidR="00D85B34" w:rsidRPr="00794712">
        <w:rPr>
          <w:lang w:val="ru-RU"/>
        </w:rPr>
        <w:t>10；注25），以及：</w:t>
      </w:r>
      <w:r w:rsidR="00D85B34" w:rsidRPr="006C3C2D">
        <w:rPr>
          <w:i/>
          <w:iCs/>
          <w:lang w:val="ru-RU"/>
        </w:rPr>
        <w:t>“我若是靠着神的灵赶鬼，这便证明神的国已经临到你们了”</w:t>
      </w:r>
      <w:r w:rsidR="00224D5E">
        <w:rPr>
          <w:lang w:val="ru-RU"/>
        </w:rPr>
        <w:t>（</w:t>
      </w:r>
      <w:r w:rsidR="00D85B34" w:rsidRPr="00794712">
        <w:rPr>
          <w:lang w:val="ru-RU"/>
        </w:rPr>
        <w:t>太12</w:t>
      </w:r>
      <w:r w:rsidR="00D85B34" w:rsidRPr="005E4C57">
        <w:rPr>
          <w:lang w:val="ru-RU"/>
        </w:rPr>
        <w:t>:</w:t>
      </w:r>
      <w:r w:rsidR="00D85B34" w:rsidRPr="00794712">
        <w:rPr>
          <w:lang w:val="ru-RU"/>
        </w:rPr>
        <w:t>28）。</w:t>
      </w:r>
      <w:r w:rsidR="003E0D56">
        <w:rPr>
          <w:rStyle w:val="FootnoteReference"/>
          <w:lang w:val="ru-RU"/>
        </w:rPr>
        <w:footnoteReference w:id="25"/>
      </w:r>
    </w:p>
    <w:p w14:paraId="5D9267C1" w14:textId="77777777" w:rsidR="00D85B34" w:rsidRPr="00794712" w:rsidRDefault="00F45CFB" w:rsidP="00D85B34">
      <w:pPr>
        <w:ind w:firstLine="708"/>
        <w:rPr>
          <w:lang w:val="ru-RU"/>
        </w:rPr>
      </w:pPr>
      <w:r w:rsidRPr="00F45CFB">
        <w:rPr>
          <w:b/>
          <w:bCs/>
          <w:lang w:val="ru-RU"/>
        </w:rPr>
        <w:t>5)</w:t>
      </w:r>
      <w:r w:rsidR="00D85B34" w:rsidRPr="00794712">
        <w:rPr>
          <w:lang w:val="ru-RU"/>
        </w:rPr>
        <w:t xml:space="preserve"> 神的儿子为了救赎我们，以祂的肉体死在十字架上：使徒教导说，父</w:t>
      </w:r>
      <w:r w:rsidR="00D85B34" w:rsidRPr="0028002F">
        <w:rPr>
          <w:i/>
          <w:iCs/>
          <w:lang w:val="ru-RU"/>
        </w:rPr>
        <w:t>“连自己的儿子也不爱惜，为我们众人舍了祂”</w:t>
      </w:r>
      <w:r w:rsidR="00D85B34" w:rsidRPr="00794712">
        <w:rPr>
          <w:lang w:val="ru-RU"/>
        </w:rPr>
        <w:t>（罗8</w:t>
      </w:r>
      <w:r w:rsidR="00D85B34" w:rsidRPr="009B1ED6">
        <w:rPr>
          <w:lang w:val="ru-RU"/>
        </w:rPr>
        <w:t>:</w:t>
      </w:r>
      <w:r w:rsidR="00D85B34" w:rsidRPr="00794712">
        <w:rPr>
          <w:lang w:val="ru-RU"/>
        </w:rPr>
        <w:t>32），并在另一处说，基督</w:t>
      </w:r>
      <w:r w:rsidR="00D85B34" w:rsidRPr="00E36B6F">
        <w:rPr>
          <w:i/>
          <w:iCs/>
          <w:lang w:val="ru-RU"/>
        </w:rPr>
        <w:t>“藉着圣灵，将自己无瑕无疵地献给神”</w:t>
      </w:r>
      <w:r w:rsidR="00D85B34" w:rsidRPr="00794712">
        <w:rPr>
          <w:lang w:val="ru-RU"/>
        </w:rPr>
        <w:t xml:space="preserve"> （希伯来书 9</w:t>
      </w:r>
      <w:r w:rsidR="00D85B34" w:rsidRPr="00E36B6F">
        <w:rPr>
          <w:lang w:val="ru-RU"/>
        </w:rPr>
        <w:t>:</w:t>
      </w:r>
      <w:r w:rsidR="00D85B34" w:rsidRPr="00794712">
        <w:rPr>
          <w:lang w:val="ru-RU"/>
        </w:rPr>
        <w:t>14）。</w:t>
      </w:r>
    </w:p>
    <w:p w14:paraId="54A33A05" w14:textId="77777777" w:rsidR="00D85B34" w:rsidRDefault="00F45CFB" w:rsidP="00D85B34">
      <w:pPr>
        <w:ind w:firstLine="708"/>
        <w:rPr>
          <w:lang w:val="ru-RU"/>
        </w:rPr>
      </w:pPr>
      <w:r w:rsidRPr="00F45CFB">
        <w:rPr>
          <w:b/>
          <w:bCs/>
          <w:lang w:val="ru-RU"/>
        </w:rPr>
        <w:t>6)</w:t>
      </w:r>
      <w:r w:rsidR="00D85B34" w:rsidRPr="00794712">
        <w:rPr>
          <w:lang w:val="ru-RU"/>
        </w:rPr>
        <w:t xml:space="preserve"> 据圣保罗的见证（罗14</w:t>
      </w:r>
      <w:r w:rsidR="00D85B34" w:rsidRPr="00E27E70">
        <w:rPr>
          <w:lang w:val="ru-RU"/>
        </w:rPr>
        <w:t>:</w:t>
      </w:r>
      <w:r w:rsidR="00D85B34" w:rsidRPr="00794712">
        <w:rPr>
          <w:lang w:val="ru-RU"/>
        </w:rPr>
        <w:t>9），神的儿子在死后第三天以肉身复活——同一位使徒还写道：</w:t>
      </w:r>
      <w:r w:rsidR="00D85B34" w:rsidRPr="004A49FE">
        <w:rPr>
          <w:i/>
          <w:iCs/>
          <w:lang w:val="ru-RU"/>
        </w:rPr>
        <w:t xml:space="preserve">“如果使耶稣从死里复活的那一位的灵住在你们里面，那么，使基督从死里复活的那一位，也必借着住在你们里面的祂的灵，使你们这必死的身体活过来” </w:t>
      </w:r>
      <w:r w:rsidR="00D85B34" w:rsidRPr="00794712">
        <w:rPr>
          <w:lang w:val="ru-RU"/>
        </w:rPr>
        <w:t>[(罗马书 8</w:t>
      </w:r>
      <w:r w:rsidR="00D85B34">
        <w:rPr>
          <w:lang w:val="ru-RU"/>
        </w:rPr>
        <w:t>:</w:t>
      </w:r>
      <w:r w:rsidR="00D85B34" w:rsidRPr="00794712">
        <w:rPr>
          <w:lang w:val="ru-RU"/>
        </w:rPr>
        <w:t>11</w:t>
      </w:r>
      <w:r w:rsidR="005666A3" w:rsidRPr="005666A3">
        <w:rPr>
          <w:lang w:val="ru-RU"/>
        </w:rPr>
        <w:t>)</w:t>
      </w:r>
      <w:r w:rsidR="00D85B34" w:rsidRPr="00794712">
        <w:rPr>
          <w:lang w:val="ru-RU"/>
        </w:rPr>
        <w:t xml:space="preserve">；参见 </w:t>
      </w:r>
      <w:r w:rsidR="005666A3" w:rsidRPr="00BD6C1B">
        <w:rPr>
          <w:lang w:val="ru-RU"/>
        </w:rPr>
        <w:t>(</w:t>
      </w:r>
      <w:r w:rsidR="00E070F3">
        <w:rPr>
          <w:lang w:val="ru-RU"/>
        </w:rPr>
        <w:t>哥林多前书</w:t>
      </w:r>
      <w:r w:rsidR="00D85B34" w:rsidRPr="00794712">
        <w:rPr>
          <w:lang w:val="ru-RU"/>
        </w:rPr>
        <w:t xml:space="preserve"> 15</w:t>
      </w:r>
      <w:r w:rsidR="00D85B34">
        <w:rPr>
          <w:lang w:val="ru-RU"/>
        </w:rPr>
        <w:t>:</w:t>
      </w:r>
      <w:r w:rsidR="00D85B34" w:rsidRPr="00794712">
        <w:rPr>
          <w:lang w:val="ru-RU"/>
        </w:rPr>
        <w:t>15</w:t>
      </w:r>
      <w:r w:rsidR="005666A3" w:rsidRPr="00BD6C1B">
        <w:rPr>
          <w:lang w:val="ru-RU"/>
        </w:rPr>
        <w:t>)</w:t>
      </w:r>
      <w:r w:rsidR="00D85B34" w:rsidRPr="00794712">
        <w:rPr>
          <w:lang w:val="ru-RU"/>
        </w:rPr>
        <w:t>；</w:t>
      </w:r>
      <w:r w:rsidR="005666A3" w:rsidRPr="00BD6C1B">
        <w:rPr>
          <w:lang w:val="ru-RU"/>
        </w:rPr>
        <w:t>(</w:t>
      </w:r>
      <w:r w:rsidR="00D85B34" w:rsidRPr="00794712">
        <w:rPr>
          <w:lang w:val="ru-RU"/>
        </w:rPr>
        <w:t>帖撒罗尼迦前书 1</w:t>
      </w:r>
      <w:r w:rsidR="00D85B34" w:rsidRPr="00C271B4">
        <w:rPr>
          <w:lang w:val="ru-RU"/>
        </w:rPr>
        <w:t>:</w:t>
      </w:r>
      <w:r w:rsidR="00D85B34" w:rsidRPr="00794712">
        <w:rPr>
          <w:lang w:val="ru-RU"/>
        </w:rPr>
        <w:t>10</w:t>
      </w:r>
      <w:r w:rsidR="005666A3" w:rsidRPr="00BD6C1B">
        <w:rPr>
          <w:lang w:val="ru-RU"/>
        </w:rPr>
        <w:t>)</w:t>
      </w:r>
      <w:r w:rsidR="00D85B34" w:rsidRPr="00794712">
        <w:rPr>
          <w:lang w:val="ru-RU"/>
        </w:rPr>
        <w:t xml:space="preserve">； </w:t>
      </w:r>
      <w:r w:rsidR="005666A3" w:rsidRPr="00BD6C1B">
        <w:rPr>
          <w:lang w:val="ru-RU"/>
        </w:rPr>
        <w:t>（</w:t>
      </w:r>
      <w:r w:rsidR="00D85B34" w:rsidRPr="00794712">
        <w:rPr>
          <w:lang w:val="ru-RU"/>
        </w:rPr>
        <w:t>以弗所书 1</w:t>
      </w:r>
      <w:r w:rsidR="00D85B34">
        <w:rPr>
          <w:lang w:val="ru-RU"/>
        </w:rPr>
        <w:t>:20</w:t>
      </w:r>
      <w:r w:rsidR="00D85B34" w:rsidRPr="00794712">
        <w:rPr>
          <w:lang w:val="ru-RU"/>
        </w:rPr>
        <w:t>）</w:t>
      </w:r>
      <w:r w:rsidR="005666A3" w:rsidRPr="00BD6C1B">
        <w:rPr>
          <w:lang w:val="ru-RU"/>
        </w:rPr>
        <w:t>]</w:t>
      </w:r>
      <w:r w:rsidR="00D85B34" w:rsidRPr="00794712">
        <w:rPr>
          <w:lang w:val="ru-RU"/>
        </w:rPr>
        <w:t>。</w:t>
      </w:r>
    </w:p>
    <w:p w14:paraId="14F5A2AB" w14:textId="77777777" w:rsidR="00D85B34" w:rsidRPr="00794712" w:rsidRDefault="00D85B34" w:rsidP="00D85B34">
      <w:pPr>
        <w:ind w:firstLine="708"/>
        <w:rPr>
          <w:lang w:val="ru-RU"/>
        </w:rPr>
      </w:pPr>
    </w:p>
    <w:p w14:paraId="2E6E2D39" w14:textId="77777777" w:rsidR="00D85B34" w:rsidRPr="00794712" w:rsidRDefault="00D85B34" w:rsidP="00D85B34">
      <w:pPr>
        <w:rPr>
          <w:lang w:val="ru-RU"/>
        </w:rPr>
      </w:pPr>
      <w:r w:rsidRPr="00C821A9">
        <w:rPr>
          <w:b/>
          <w:bCs/>
        </w:rPr>
        <w:t>II</w:t>
      </w:r>
      <w:r w:rsidRPr="00C821A9">
        <w:rPr>
          <w:b/>
          <w:bCs/>
          <w:lang w:val="ru-RU"/>
        </w:rPr>
        <w:t>.</w:t>
      </w:r>
      <w:r w:rsidRPr="00794712">
        <w:rPr>
          <w:lang w:val="ru-RU"/>
        </w:rPr>
        <w:t xml:space="preserve"> 既然圣父和圣灵也参与了这项工作，为何正是神的儿子道成肉身来成就我们的救赎，而不是圣父或圣灵呢？这就是神性的奥秘。 然而，基于向我们启示的关于神圣三位一体的位格以及我们救赎之工的真理，圣父们和教会的导师们认为，至圣三位一体的第二位格道成肉身，最符合祂的属性——</w:t>
      </w:r>
    </w:p>
    <w:p w14:paraId="53C9B8E6" w14:textId="77777777" w:rsidR="00D85B34" w:rsidRDefault="00F45CFB" w:rsidP="00D85B34">
      <w:pPr>
        <w:ind w:firstLine="708"/>
        <w:rPr>
          <w:lang w:val="ru-RU"/>
        </w:rPr>
      </w:pPr>
      <w:r w:rsidRPr="00F45CFB">
        <w:rPr>
          <w:b/>
          <w:bCs/>
          <w:lang w:val="ru-RU"/>
        </w:rPr>
        <w:lastRenderedPageBreak/>
        <w:t>1)</w:t>
      </w:r>
      <w:r w:rsidR="00D85B34" w:rsidRPr="00794712">
        <w:rPr>
          <w:lang w:val="ru-RU"/>
        </w:rPr>
        <w:t xml:space="preserve"> 作为圣子。“圣父是圣父，而非圣子，”圣约翰·达马斯库斯说，“圣子是圣子，而非圣父； 圣灵是圣灵，既非圣父亦非圣子；因为位格属性是不可改变的。倘若它会改变并被分享，又如何能保持为位格属性呢？因此，神的圣子成为人子，正是为了使位格属性保持不变。 作为神的儿子，祂借由圣母受孕成肉身，成为人子，却未舍弃构成 的儿子之独特标志的属性。</w:t>
      </w:r>
      <w:r w:rsidR="00D85B34" w:rsidRPr="00E9760F">
        <w:rPr>
          <w:lang w:val="ru-RU"/>
        </w:rPr>
        <w:t>”</w:t>
      </w:r>
      <w:r w:rsidR="003E0D56">
        <w:rPr>
          <w:rStyle w:val="FootnoteReference"/>
          <w:lang w:val="ru-RU"/>
        </w:rPr>
        <w:footnoteReference w:id="26"/>
      </w:r>
      <w:r w:rsidR="00D85B34" w:rsidRPr="00794712">
        <w:rPr>
          <w:lang w:val="ru-RU"/>
        </w:rPr>
        <w:t xml:space="preserve"> 圣格里高利·神学家、</w:t>
      </w:r>
      <w:r w:rsidR="003E0D56">
        <w:rPr>
          <w:rStyle w:val="FootnoteReference"/>
          <w:lang w:val="ru-RU"/>
        </w:rPr>
        <w:footnoteReference w:id="27"/>
      </w:r>
      <w:r w:rsidR="00D85B34" w:rsidRPr="00794712">
        <w:rPr>
          <w:lang w:val="ru-RU"/>
        </w:rPr>
        <w:t xml:space="preserve"> 马西利亚的根纳迪</w:t>
      </w:r>
      <w:r w:rsidR="003E0D56">
        <w:rPr>
          <w:rStyle w:val="FootnoteReference"/>
          <w:lang w:val="ru-RU"/>
        </w:rPr>
        <w:footnoteReference w:id="28"/>
      </w:r>
      <w:r w:rsidR="00D85B34" w:rsidRPr="00794712">
        <w:rPr>
          <w:lang w:val="ru-RU"/>
        </w:rPr>
        <w:t xml:space="preserve"> 等人也持同样观点。</w:t>
      </w:r>
      <w:r w:rsidR="003E0D56">
        <w:rPr>
          <w:rStyle w:val="FootnoteReference"/>
          <w:lang w:val="ru-RU"/>
        </w:rPr>
        <w:footnoteReference w:id="29"/>
      </w:r>
    </w:p>
    <w:p w14:paraId="7CC73D8C"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作为那位借着（</w:t>
      </w:r>
      <w:r w:rsidR="00D85B34" w:rsidRPr="00AA0891">
        <w:t>δία</w:t>
      </w:r>
      <w:r w:rsidR="00D85B34" w:rsidRPr="00794712">
        <w:rPr>
          <w:lang w:val="ru-RU"/>
        </w:rPr>
        <w:t>）祂一切都被创造、特别是人类被创造的位格</w:t>
      </w:r>
      <w:r w:rsidR="005864AB">
        <w:rPr>
          <w:lang w:val="ru-RU"/>
        </w:rPr>
        <w:t>（约</w:t>
      </w:r>
      <w:r w:rsidR="00D85B34" w:rsidRPr="00794712">
        <w:rPr>
          <w:lang w:val="ru-RU"/>
        </w:rPr>
        <w:t>1</w:t>
      </w:r>
      <w:r w:rsidR="00D85B34" w:rsidRPr="00A11797">
        <w:rPr>
          <w:lang w:val="ru-RU"/>
        </w:rPr>
        <w:t>:</w:t>
      </w:r>
      <w:r w:rsidR="00D85B34" w:rsidRPr="00794712">
        <w:rPr>
          <w:lang w:val="ru-RU"/>
        </w:rPr>
        <w:t>3）。 圣亚他那修援引使徒的话说：</w:t>
      </w:r>
      <w:r w:rsidR="00D85B34" w:rsidRPr="00A11797">
        <w:rPr>
          <w:i/>
          <w:iCs/>
          <w:lang w:val="ru-RU"/>
        </w:rPr>
        <w:t>“因为那为万有、由万有而来的，要领许多儿子进入荣耀的，理当借着受苦使他们成为得救的元首”</w:t>
      </w:r>
      <w:r w:rsidR="00D85B34" w:rsidRPr="00794712">
        <w:rPr>
          <w:lang w:val="ru-RU"/>
        </w:rPr>
        <w:t>（希伯来书 2</w:t>
      </w:r>
      <w:r w:rsidR="00D85B34" w:rsidRPr="00A11797">
        <w:rPr>
          <w:lang w:val="ru-RU"/>
        </w:rPr>
        <w:t>:</w:t>
      </w:r>
      <w:r w:rsidR="00D85B34" w:rsidRPr="00794712">
        <w:rPr>
          <w:lang w:val="ru-RU"/>
        </w:rPr>
        <w:t>10），并指出： “这些话意味着，除了道成肉身的上帝——那位在起初就创造了人类的同一位——之外，没有人有资格将人类从已发生的堕落中拯救出来。”</w:t>
      </w:r>
      <w:r w:rsidR="00AD5A52">
        <w:rPr>
          <w:rStyle w:val="FootnoteReference"/>
          <w:lang w:val="ru-RU"/>
        </w:rPr>
        <w:footnoteReference w:id="30"/>
      </w:r>
      <w:r w:rsidR="00D85B34" w:rsidRPr="00794712">
        <w:rPr>
          <w:lang w:val="ru-RU"/>
        </w:rPr>
        <w:t xml:space="preserve"> 又如罗马教宗圣利奥所言：“在三位一体那不可测度的合一中——三位一体的一切作为与旨意完全共享——恢复人类的使命是由圣子亲自承担的，因为那位‘万物都是藉着祂造的’，且‘若没有祂</w:t>
      </w:r>
      <w:r w:rsidR="00D85B34" w:rsidRPr="00221B63">
        <w:rPr>
          <w:i/>
          <w:iCs/>
          <w:lang w:val="ru-RU"/>
        </w:rPr>
        <w:t>，凡被造的，没有一样能存在</w:t>
      </w:r>
      <w:r w:rsidR="00D85B34" w:rsidRPr="00DC2BEF">
        <w:rPr>
          <w:i/>
          <w:iCs/>
          <w:lang w:val="ru-RU"/>
        </w:rPr>
        <w:t>’</w:t>
      </w:r>
      <w:r w:rsidR="00D85B34" w:rsidRPr="00794712">
        <w:rPr>
          <w:lang w:val="ru-RU"/>
        </w:rPr>
        <w:t xml:space="preserve"> </w:t>
      </w:r>
      <w:r w:rsidR="005864AB">
        <w:rPr>
          <w:lang w:val="ru-RU"/>
        </w:rPr>
        <w:t>（《约翰福音</w:t>
      </w:r>
      <w:r w:rsidR="00D85B34" w:rsidRPr="00794712">
        <w:rPr>
          <w:lang w:val="ru-RU"/>
        </w:rPr>
        <w:t>》1</w:t>
      </w:r>
      <w:r w:rsidR="00D85B34" w:rsidRPr="004101CF">
        <w:rPr>
          <w:lang w:val="ru-RU"/>
        </w:rPr>
        <w:t>:</w:t>
      </w:r>
      <w:r w:rsidR="00D85B34" w:rsidRPr="00794712">
        <w:rPr>
          <w:lang w:val="ru-RU"/>
        </w:rPr>
        <w:t>3），祂曾以理性的生命之气赋予由尘土所造的人以灵魂——正是这位，将我们堕落的本性恢复到了原有的尊严，祂既是创造者，也成为了重造者</w:t>
      </w:r>
      <w:r w:rsidR="00D85B34" w:rsidRPr="004101CF">
        <w:rPr>
          <w:lang w:val="ru-RU"/>
        </w:rPr>
        <w:t>。”</w:t>
      </w:r>
      <w:r w:rsidR="005D5534">
        <w:rPr>
          <w:rStyle w:val="FootnoteReference"/>
          <w:lang w:val="ru-RU"/>
        </w:rPr>
        <w:footnoteReference w:id="31"/>
      </w:r>
      <w:r w:rsidR="00D85B34" w:rsidRPr="00794712">
        <w:rPr>
          <w:lang w:val="ru-RU"/>
        </w:rPr>
        <w:t xml:space="preserve"> 这些思想在圣金口若望、亚历山大的圣西里尔和蒙福的奥古斯丁那里也能找到。</w:t>
      </w:r>
      <w:r w:rsidR="005D5534">
        <w:rPr>
          <w:rStyle w:val="FootnoteReference"/>
          <w:lang w:val="ru-RU"/>
        </w:rPr>
        <w:footnoteReference w:id="32"/>
      </w:r>
    </w:p>
    <w:p w14:paraId="02911694" w14:textId="77777777" w:rsidR="00D85B34" w:rsidRPr="007D02FC" w:rsidRDefault="00F45CFB" w:rsidP="00D85B34">
      <w:pPr>
        <w:ind w:firstLine="708"/>
        <w:rPr>
          <w:lang w:val="ru-RU"/>
        </w:rPr>
      </w:pPr>
      <w:r w:rsidRPr="00F45CFB">
        <w:rPr>
          <w:b/>
          <w:bCs/>
          <w:lang w:val="ru-RU"/>
        </w:rPr>
        <w:t>3)</w:t>
      </w:r>
      <w:r w:rsidR="00D85B34" w:rsidRPr="00794712">
        <w:rPr>
          <w:lang w:val="ru-RU"/>
        </w:rPr>
        <w:t xml:space="preserve"> 作为永恒的道，唯有祂能向我们启示上帝</w:t>
      </w:r>
      <w:r w:rsidR="005864AB">
        <w:rPr>
          <w:lang w:val="ru-RU"/>
        </w:rPr>
        <w:t>（约</w:t>
      </w:r>
      <w:r w:rsidR="00D85B34" w:rsidRPr="00794712">
        <w:rPr>
          <w:lang w:val="ru-RU"/>
        </w:rPr>
        <w:t>1</w:t>
      </w:r>
      <w:r w:rsidR="00D85B34" w:rsidRPr="004B0BE2">
        <w:rPr>
          <w:lang w:val="ru-RU"/>
        </w:rPr>
        <w:t>:</w:t>
      </w:r>
      <w:r w:rsidR="00D85B34" w:rsidRPr="00794712">
        <w:rPr>
          <w:lang w:val="ru-RU"/>
        </w:rPr>
        <w:t>1-18）。 “否则，”圣爱任纽写道，“如果我们的导师——位格化的道——没有成为人，我们就无法得知什么是属于上帝的：除了祂自己的道之外，没有人能向我们宣告关于圣父的事。</w:t>
      </w:r>
      <w:r w:rsidR="00D85B34" w:rsidRPr="007D02FC">
        <w:rPr>
          <w:lang w:val="ru-RU"/>
        </w:rPr>
        <w:t>”</w:t>
      </w:r>
      <w:r w:rsidR="00AE4DBE">
        <w:rPr>
          <w:rStyle w:val="FootnoteReference"/>
          <w:lang w:val="ru-RU"/>
        </w:rPr>
        <w:footnoteReference w:id="33"/>
      </w:r>
    </w:p>
    <w:p w14:paraId="131BE2D7" w14:textId="77777777" w:rsidR="00D85B34" w:rsidRPr="00696EB3" w:rsidRDefault="00F45CFB" w:rsidP="00D85B34">
      <w:pPr>
        <w:ind w:firstLine="708"/>
        <w:rPr>
          <w:lang w:val="ru-RU"/>
        </w:rPr>
      </w:pPr>
      <w:r w:rsidRPr="00F45CFB">
        <w:rPr>
          <w:b/>
          <w:bCs/>
          <w:lang w:val="ru-RU"/>
        </w:rPr>
        <w:t>4)</w:t>
      </w:r>
      <w:r w:rsidR="00D85B34" w:rsidRPr="00794712">
        <w:rPr>
          <w:lang w:val="ru-RU"/>
        </w:rPr>
        <w:t xml:space="preserve"> 作为上帝的形像（希伯来书 1</w:t>
      </w:r>
      <w:r w:rsidR="00D85B34" w:rsidRPr="007D02FC">
        <w:rPr>
          <w:lang w:val="ru-RU"/>
        </w:rPr>
        <w:t>:</w:t>
      </w:r>
      <w:r w:rsidR="00D85B34" w:rsidRPr="00794712">
        <w:rPr>
          <w:lang w:val="ru-RU"/>
        </w:rPr>
        <w:t>3），人类正是按此形像被造的。 “圣亚他那修问道：‘上帝理应做什么，或者说必须做什么，若非在人身上恢复那按着形象所造的，以便借此使人们能够再次认识祂？’如果上帝的形象——我们的救主耶稣基督——自己没有降临人间，这又如何能实现呢？ 人类无法做到这一点：因为所有人都是按着形象被造的。天使也无法做到：因为他们本身并非形象。因此，上帝的道亲自显现，作为圣父的形象，才能重造那按着形象被造的人。</w:t>
      </w:r>
      <w:r w:rsidR="00D85B34" w:rsidRPr="00696EB3">
        <w:rPr>
          <w:lang w:val="ru-RU"/>
        </w:rPr>
        <w:t>”</w:t>
      </w:r>
      <w:r w:rsidR="00AE4DBE">
        <w:rPr>
          <w:rStyle w:val="FootnoteReference"/>
          <w:lang w:val="ru-RU"/>
        </w:rPr>
        <w:footnoteReference w:id="34"/>
      </w:r>
    </w:p>
    <w:p w14:paraId="2FDA18FE" w14:textId="77777777" w:rsidR="00D85B34" w:rsidRPr="00794712" w:rsidRDefault="00D85B34" w:rsidP="00D85B34">
      <w:pPr>
        <w:rPr>
          <w:lang w:val="ru-RU"/>
        </w:rPr>
      </w:pPr>
      <w:r w:rsidRPr="00794712">
        <w:rPr>
          <w:lang w:val="ru-RU"/>
        </w:rPr>
        <w:lastRenderedPageBreak/>
        <w:tab/>
        <w:t>这一切清楚地揭示了上帝一切作为中那智慧的对应关系。正如圣父借着圣子在圣灵里创造了一切；正如祂借着圣子在圣灵里治理万物：</w:t>
      </w:r>
      <w:r w:rsidR="00AB0280">
        <w:rPr>
          <w:rStyle w:val="FootnoteReference"/>
          <w:lang w:val="ru-RU"/>
        </w:rPr>
        <w:footnoteReference w:id="35"/>
      </w:r>
      <w:r w:rsidRPr="00794712">
        <w:rPr>
          <w:lang w:val="ru-RU"/>
        </w:rPr>
        <w:t xml:space="preserve"> 祂也乐意借着同一位圣子在圣灵里重造我们。 这种协调一致，显然是建立在同质三位一体各位格的秩序之上的。</w:t>
      </w:r>
    </w:p>
    <w:p w14:paraId="5CFD8C4F" w14:textId="77777777" w:rsidR="00D85B34" w:rsidRDefault="00D85B34" w:rsidP="00D85B34">
      <w:pPr>
        <w:rPr>
          <w:lang w:val="ru-RU"/>
        </w:rPr>
      </w:pPr>
      <w:r w:rsidRPr="00794712">
        <w:rPr>
          <w:lang w:val="ru-RU"/>
        </w:rPr>
        <w:tab/>
      </w:r>
    </w:p>
    <w:p w14:paraId="05FC89D8" w14:textId="77777777" w:rsidR="00D85B34" w:rsidRPr="00794712" w:rsidRDefault="00D85B34" w:rsidP="007B240B">
      <w:pPr>
        <w:pStyle w:val="Heading5"/>
        <w:rPr>
          <w:lang w:val="ru-RU"/>
        </w:rPr>
      </w:pPr>
      <w:bookmarkStart w:id="47" w:name="_Toc133155554"/>
      <w:bookmarkStart w:id="48" w:name="_Toc180664567"/>
      <w:bookmarkStart w:id="49" w:name="_Toc180679188"/>
      <w:bookmarkStart w:id="50" w:name="_Toc180679245"/>
      <w:bookmarkStart w:id="51" w:name="_Toc180679768"/>
      <w:bookmarkStart w:id="52" w:name="_Toc238453650"/>
      <w:bookmarkStart w:id="53" w:name="_Toc238576466"/>
      <w:r w:rsidRPr="00794712">
        <w:rPr>
          <w:lang w:val="ru-RU"/>
        </w:rPr>
        <w:t>§127. 赎罪之事的动机与上帝之子降临人间的宗旨</w:t>
      </w:r>
      <w:bookmarkEnd w:id="47"/>
      <w:bookmarkEnd w:id="48"/>
      <w:bookmarkEnd w:id="49"/>
      <w:bookmarkEnd w:id="50"/>
      <w:bookmarkEnd w:id="51"/>
      <w:bookmarkEnd w:id="52"/>
      <w:bookmarkEnd w:id="53"/>
    </w:p>
    <w:p w14:paraId="4440E076" w14:textId="77777777" w:rsidR="00D85B34" w:rsidRPr="003150B2" w:rsidRDefault="00D85B34" w:rsidP="00D85B34">
      <w:pPr>
        <w:rPr>
          <w:lang w:val="ru-RU"/>
        </w:rPr>
      </w:pPr>
    </w:p>
    <w:p w14:paraId="07EFE32A" w14:textId="77777777" w:rsidR="00D85B34" w:rsidRPr="003150B2" w:rsidRDefault="00D85B34" w:rsidP="00D85B34">
      <w:pPr>
        <w:rPr>
          <w:lang w:val="ru-RU"/>
        </w:rPr>
      </w:pPr>
      <w:r w:rsidRPr="0018763E">
        <w:rPr>
          <w:b/>
          <w:bCs/>
        </w:rPr>
        <w:t>I</w:t>
      </w:r>
      <w:r w:rsidRPr="0018763E">
        <w:rPr>
          <w:b/>
          <w:bCs/>
          <w:lang w:val="ru-RU"/>
        </w:rPr>
        <w:t xml:space="preserve">. </w:t>
      </w:r>
      <w:r w:rsidRPr="00794712">
        <w:rPr>
          <w:lang w:val="ru-RU"/>
        </w:rPr>
        <w:t>三位一体的上帝为何愿意救赎我们？原因只有一个：祂对我们这些罪人无尽的爱。</w:t>
      </w:r>
      <w:r w:rsidRPr="00B53B80">
        <w:rPr>
          <w:lang w:val="ru-RU"/>
        </w:rPr>
        <w:t>圣使徒说：</w:t>
      </w:r>
      <w:r w:rsidRPr="007A4756">
        <w:rPr>
          <w:i/>
          <w:iCs/>
          <w:lang w:val="ru-RU"/>
        </w:rPr>
        <w:t>“上帝向我们显明祂的爱，就在于：当我们还是罪人的时候，基督为我们死了。”</w:t>
      </w:r>
      <w:r w:rsidRPr="00794712">
        <w:rPr>
          <w:lang w:val="ru-RU"/>
        </w:rPr>
        <w:t xml:space="preserve"> （罗5</w:t>
      </w:r>
      <w:r w:rsidRPr="00520AAD">
        <w:rPr>
          <w:lang w:val="ru-RU"/>
        </w:rPr>
        <w:t>:</w:t>
      </w:r>
      <w:r w:rsidRPr="00794712">
        <w:rPr>
          <w:lang w:val="ru-RU"/>
        </w:rPr>
        <w:t>8），并在另一处</w:t>
      </w:r>
      <w:r w:rsidRPr="00520AAD">
        <w:rPr>
          <w:i/>
          <w:iCs/>
          <w:lang w:val="ru-RU"/>
        </w:rPr>
        <w:t>说：</w:t>
      </w:r>
      <w:r w:rsidRPr="00BE4E64">
        <w:rPr>
          <w:i/>
          <w:iCs/>
          <w:lang w:val="ru-RU"/>
        </w:rPr>
        <w:t>“那富于怜悯的上帝，因祂那极大的爱——祂曾用这爱爱了我们——便使我们这些因过犯而死的人，与基督一同活过来——你们得救是本乎恩， ——又与祂一同复活，并且在基督耶稣里与祂一同坐在天上，为要在 未来的世代中，显明祂在基督耶稣里向我们所施的恩典的丰盛。因为你们得救是本乎恩，也因着信；这并不是出于你们自己，乃是神的恩赐”</w:t>
      </w:r>
      <w:r w:rsidRPr="00794712">
        <w:rPr>
          <w:lang w:val="ru-RU"/>
        </w:rPr>
        <w:t xml:space="preserve"> （弗 2</w:t>
      </w:r>
      <w:r w:rsidRPr="00FA1900">
        <w:rPr>
          <w:lang w:val="ru-RU"/>
        </w:rPr>
        <w:t>:</w:t>
      </w:r>
      <w:r w:rsidRPr="00794712">
        <w:rPr>
          <w:lang w:val="ru-RU"/>
        </w:rPr>
        <w:t>4-5, 7）。特别是这里彰显了无尽的爱：</w:t>
      </w:r>
      <w:r w:rsidR="00A95A76" w:rsidRPr="00A95A76">
        <w:rPr>
          <w:b/>
          <w:lang w:val="ru-RU"/>
        </w:rPr>
        <w:t>a）</w:t>
      </w:r>
      <w:r w:rsidRPr="00CA7325">
        <w:rPr>
          <w:b/>
          <w:bCs/>
          <w:lang w:val="ru-RU"/>
        </w:rPr>
        <w:t>父神的爱</w:t>
      </w:r>
      <w:r w:rsidRPr="00794712">
        <w:rPr>
          <w:lang w:val="ru-RU"/>
        </w:rPr>
        <w:t>：</w:t>
      </w:r>
      <w:r w:rsidRPr="003A3DA9">
        <w:rPr>
          <w:i/>
          <w:iCs/>
          <w:lang w:val="ru-RU"/>
        </w:rPr>
        <w:t>“神爱我们的心，就在于神差祂的独生子到世上来，使我们借着祂得生命”</w:t>
      </w:r>
      <w:r w:rsidR="008A3626">
        <w:rPr>
          <w:lang w:val="ru-RU"/>
        </w:rPr>
        <w:t>（约壹</w:t>
      </w:r>
      <w:r w:rsidRPr="00794712">
        <w:rPr>
          <w:lang w:val="ru-RU"/>
        </w:rPr>
        <w:t xml:space="preserve"> 4</w:t>
      </w:r>
      <w:r w:rsidRPr="003A3DA9">
        <w:rPr>
          <w:lang w:val="ru-RU"/>
        </w:rPr>
        <w:t>:</w:t>
      </w:r>
      <w:r w:rsidRPr="00794712">
        <w:rPr>
          <w:lang w:val="ru-RU"/>
        </w:rPr>
        <w:t>9；参</w:t>
      </w:r>
      <w:r w:rsidR="0087297C">
        <w:rPr>
          <w:lang w:val="ru-RU"/>
        </w:rPr>
        <w:t xml:space="preserve"> 约3</w:t>
      </w:r>
      <w:r w:rsidRPr="00DD5A65">
        <w:rPr>
          <w:lang w:val="ru-RU"/>
        </w:rPr>
        <w:t>:</w:t>
      </w:r>
      <w:r w:rsidRPr="00794712">
        <w:rPr>
          <w:lang w:val="ru-RU"/>
        </w:rPr>
        <w:t>16）；</w:t>
      </w:r>
      <w:r w:rsidR="00A95A76" w:rsidRPr="00A95A76">
        <w:rPr>
          <w:b/>
          <w:lang w:val="ru-RU"/>
        </w:rPr>
        <w:t>b)</w:t>
      </w:r>
      <w:r w:rsidRPr="00CA7325">
        <w:rPr>
          <w:b/>
          <w:bCs/>
          <w:lang w:val="ru-RU"/>
        </w:rPr>
        <w:t xml:space="preserve"> 神的</w:t>
      </w:r>
      <w:r w:rsidRPr="00794712">
        <w:rPr>
          <w:lang w:val="ru-RU"/>
        </w:rPr>
        <w:t>儿子，祂亲自作见证说：</w:t>
      </w:r>
      <w:r w:rsidRPr="00DB0982">
        <w:rPr>
          <w:i/>
          <w:iCs/>
          <w:lang w:val="ru-RU"/>
        </w:rPr>
        <w:t>“人为朋友舍命，人的爱没有比这个更大的了”</w:t>
      </w:r>
      <w:r w:rsidR="005864AB">
        <w:rPr>
          <w:lang w:val="ru-RU"/>
        </w:rPr>
        <w:t>（</w:t>
      </w:r>
      <w:r w:rsidRPr="00794712">
        <w:rPr>
          <w:lang w:val="ru-RU"/>
        </w:rPr>
        <w:t>约15</w:t>
      </w:r>
      <w:r w:rsidRPr="00DB0982">
        <w:rPr>
          <w:lang w:val="ru-RU"/>
        </w:rPr>
        <w:t>:</w:t>
      </w:r>
      <w:r w:rsidRPr="00794712">
        <w:rPr>
          <w:lang w:val="ru-RU"/>
        </w:rPr>
        <w:t>13），并且</w:t>
      </w:r>
      <w:r w:rsidRPr="00AB2B72">
        <w:rPr>
          <w:i/>
          <w:iCs/>
          <w:lang w:val="ru-RU"/>
        </w:rPr>
        <w:t>“用行动表明，祂爱世上属于祂的人，直到最后”（</w:t>
      </w:r>
      <w:r w:rsidRPr="00794712">
        <w:rPr>
          <w:lang w:val="ru-RU"/>
        </w:rPr>
        <w:t xml:space="preserve"> </w:t>
      </w:r>
      <w:r w:rsidR="005864AB">
        <w:rPr>
          <w:lang w:val="ru-RU"/>
        </w:rPr>
        <w:t>（约翰福音</w:t>
      </w:r>
      <w:r w:rsidRPr="00794712">
        <w:rPr>
          <w:lang w:val="ru-RU"/>
        </w:rPr>
        <w:t xml:space="preserve"> 13</w:t>
      </w:r>
      <w:r w:rsidRPr="00AB2B72">
        <w:rPr>
          <w:lang w:val="ru-RU"/>
        </w:rPr>
        <w:t>:</w:t>
      </w:r>
      <w:r w:rsidRPr="00794712">
        <w:rPr>
          <w:lang w:val="ru-RU"/>
        </w:rPr>
        <w:t>1），并为他们舍了自己的性命；</w:t>
      </w:r>
      <w:r w:rsidR="00A95A76" w:rsidRPr="00A95A76">
        <w:rPr>
          <w:b/>
          <w:lang w:val="ru-RU"/>
        </w:rPr>
        <w:t>c)</w:t>
      </w:r>
      <w:r w:rsidRPr="00CA7325">
        <w:rPr>
          <w:b/>
          <w:bCs/>
          <w:lang w:val="ru-RU"/>
        </w:rPr>
        <w:t xml:space="preserve"> 圣灵</w:t>
      </w:r>
      <w:r w:rsidRPr="00794712">
        <w:rPr>
          <w:lang w:val="ru-RU"/>
        </w:rPr>
        <w:t>：</w:t>
      </w:r>
      <w:r w:rsidRPr="001B785B">
        <w:rPr>
          <w:i/>
          <w:iCs/>
          <w:lang w:val="ru-RU"/>
        </w:rPr>
        <w:t>‘因为借着祂，我们两类人都能在同一位圣灵里，进到父面前’</w:t>
      </w:r>
      <w:r w:rsidRPr="00794712">
        <w:rPr>
          <w:lang w:val="ru-RU"/>
        </w:rPr>
        <w:t>（以弗所书 2</w:t>
      </w:r>
      <w:r w:rsidRPr="004D439A">
        <w:rPr>
          <w:lang w:val="ru-RU"/>
        </w:rPr>
        <w:t>:</w:t>
      </w:r>
      <w:r w:rsidRPr="00794712">
        <w:rPr>
          <w:lang w:val="ru-RU"/>
        </w:rPr>
        <w:t>18），以及：</w:t>
      </w:r>
      <w:r w:rsidRPr="00867806">
        <w:rPr>
          <w:i/>
          <w:iCs/>
          <w:lang w:val="ru-RU"/>
        </w:rPr>
        <w:t>‘因祂的怜悯，藉着圣灵重生和更新的洗礼’</w:t>
      </w:r>
      <w:r w:rsidRPr="00794712">
        <w:rPr>
          <w:lang w:val="ru-RU"/>
        </w:rPr>
        <w:t xml:space="preserve"> （提多书 3</w:t>
      </w:r>
      <w:r w:rsidRPr="00867806">
        <w:rPr>
          <w:lang w:val="ru-RU"/>
        </w:rPr>
        <w:t>:</w:t>
      </w:r>
      <w:r w:rsidRPr="00794712">
        <w:rPr>
          <w:lang w:val="ru-RU"/>
        </w:rPr>
        <w:t>5）。因此，我们救赎的全部工作被称为恩典与慈爱之工：</w:t>
      </w:r>
      <w:r w:rsidRPr="009E0E1E">
        <w:rPr>
          <w:i/>
          <w:iCs/>
          <w:lang w:val="ru-RU"/>
        </w:rPr>
        <w:t>“你们得救是本乎恩，也因着信；这并不是出于你们自己，乃是上帝所赐的”</w:t>
      </w:r>
      <w:r w:rsidRPr="00794712">
        <w:rPr>
          <w:lang w:val="ru-RU"/>
        </w:rPr>
        <w:t>（以弗所书 2</w:t>
      </w:r>
      <w:r w:rsidRPr="009E0E1E">
        <w:rPr>
          <w:lang w:val="ru-RU"/>
        </w:rPr>
        <w:t>:</w:t>
      </w:r>
      <w:r w:rsidRPr="00794712">
        <w:rPr>
          <w:lang w:val="ru-RU"/>
        </w:rPr>
        <w:t>8）；</w:t>
      </w:r>
      <w:r w:rsidRPr="00BA4184">
        <w:rPr>
          <w:i/>
          <w:iCs/>
          <w:lang w:val="ru-RU"/>
        </w:rPr>
        <w:t>“上帝的恩典已经显明出来，拯救一切的人”</w:t>
      </w:r>
      <w:r w:rsidRPr="00794712">
        <w:rPr>
          <w:lang w:val="ru-RU"/>
        </w:rPr>
        <w:t>（提多书 2</w:t>
      </w:r>
      <w:r w:rsidRPr="00BA4184">
        <w:rPr>
          <w:lang w:val="ru-RU"/>
        </w:rPr>
        <w:t>:</w:t>
      </w:r>
      <w:r w:rsidRPr="00794712">
        <w:rPr>
          <w:lang w:val="ru-RU"/>
        </w:rPr>
        <w:t>11）。 教会的圣父们和教师们一致认为，救赎主</w:t>
      </w:r>
      <w:r>
        <w:rPr>
          <w:lang w:val="ru-RU"/>
        </w:rPr>
        <w:t>降临世间的</w:t>
      </w:r>
      <w:r w:rsidRPr="00794712">
        <w:rPr>
          <w:lang w:val="ru-RU"/>
        </w:rPr>
        <w:t>缘由在于上帝对人类无尽的爱。</w:t>
      </w:r>
      <w:r w:rsidR="006E787C">
        <w:rPr>
          <w:rStyle w:val="FootnoteReference"/>
          <w:lang w:val="ru-RU"/>
        </w:rPr>
        <w:footnoteReference w:id="36"/>
      </w:r>
      <w:r w:rsidRPr="00794712">
        <w:rPr>
          <w:lang w:val="ru-RU"/>
        </w:rPr>
        <w:t xml:space="preserve"> “例如，圣金口若望说，坐在父右边的上帝之子，愿意并决心在各方面都成为我们的兄弟。 为此，祂舍弃了天使和至高权能，来到我们中间并</w:t>
      </w:r>
      <w:r w:rsidRPr="0078310C">
        <w:rPr>
          <w:lang w:val="ru-RU"/>
        </w:rPr>
        <w:t>接纳了我们……</w:t>
      </w:r>
      <w:r w:rsidRPr="00794712">
        <w:rPr>
          <w:lang w:val="ru-RU"/>
        </w:rPr>
        <w:t>；祂仅出于对人类的爱而取了我们的肉身，为要怜悯我们：除了这一点之外，没有其他原因能解释这种安排。</w:t>
      </w:r>
      <w:r w:rsidRPr="00726D5B">
        <w:rPr>
          <w:lang w:val="ru-RU"/>
        </w:rPr>
        <w:t>”</w:t>
      </w:r>
      <w:r w:rsidR="006E787C">
        <w:rPr>
          <w:rStyle w:val="FootnoteReference"/>
          <w:lang w:val="ru-RU"/>
        </w:rPr>
        <w:footnoteReference w:id="37"/>
      </w:r>
      <w:r w:rsidRPr="00794712">
        <w:rPr>
          <w:lang w:val="ru-RU"/>
        </w:rPr>
        <w:t xml:space="preserve"> “啊，何等奇妙的结合！ 啊，何等奇妙的融合！——圣格里高利·神学家感</w:t>
      </w:r>
      <w:r>
        <w:rPr>
          <w:lang w:val="ru-RU"/>
        </w:rPr>
        <w:t>叹道——</w:t>
      </w:r>
      <w:r w:rsidRPr="00794712">
        <w:rPr>
          <w:lang w:val="ru-RU"/>
        </w:rPr>
        <w:t>自有永有的开始了存在；未被创造者被创造出来；不可测度的被通过理性的灵魂所承载，这灵魂在神性与粗糙的肉体之间起着中介作用； 那富有的变得贫穷——贫穷到我的肉体，好叫我因祂的神性而富足；那丰满的变得贫乏——在祂的荣耀中暂时变得贫乏，好叫我得以分享祂的丰满。何等丰盛的恩典！</w:t>
      </w:r>
      <w:r w:rsidRPr="003150B2">
        <w:rPr>
          <w:lang w:val="ru-RU"/>
        </w:rPr>
        <w:t>”</w:t>
      </w:r>
      <w:r w:rsidR="006E787C">
        <w:rPr>
          <w:rStyle w:val="FootnoteReference"/>
          <w:lang w:val="ru-RU"/>
        </w:rPr>
        <w:footnoteReference w:id="38"/>
      </w:r>
    </w:p>
    <w:p w14:paraId="18EA8300" w14:textId="77777777" w:rsidR="00D85B34" w:rsidRDefault="00D85B34" w:rsidP="00D85B34">
      <w:pPr>
        <w:rPr>
          <w:lang w:val="ru-RU"/>
        </w:rPr>
      </w:pPr>
      <w:r w:rsidRPr="00794712">
        <w:rPr>
          <w:lang w:val="ru-RU"/>
        </w:rPr>
        <w:tab/>
      </w:r>
    </w:p>
    <w:p w14:paraId="77B04813" w14:textId="77777777" w:rsidR="00D85B34" w:rsidRPr="00794712" w:rsidRDefault="00D85B34" w:rsidP="00D85B34">
      <w:pPr>
        <w:rPr>
          <w:lang w:val="ru-RU"/>
        </w:rPr>
      </w:pPr>
      <w:r w:rsidRPr="0018763E">
        <w:rPr>
          <w:b/>
          <w:bCs/>
        </w:rPr>
        <w:t>II</w:t>
      </w:r>
      <w:r w:rsidRPr="0018763E">
        <w:rPr>
          <w:b/>
          <w:bCs/>
          <w:lang w:val="ru-RU"/>
        </w:rPr>
        <w:t>.</w:t>
      </w:r>
      <w:r w:rsidRPr="00794712">
        <w:rPr>
          <w:lang w:val="ru-RU"/>
        </w:rPr>
        <w:t xml:space="preserve"> 至于圣使的使命以及上帝之子降临世间的目的：圣教会明确指出了这一点，教导我们信奉：“祂为了我</w:t>
      </w:r>
      <w:r w:rsidRPr="00794712">
        <w:rPr>
          <w:lang w:val="ru-RU"/>
        </w:rPr>
        <w:lastRenderedPageBreak/>
        <w:t>们，为了我们的救赎，从天而降</w:t>
      </w:r>
      <w:r w:rsidRPr="007F73BA">
        <w:rPr>
          <w:lang w:val="ru-RU"/>
        </w:rPr>
        <w:t>。”</w:t>
      </w:r>
      <w:r w:rsidRPr="00794712">
        <w:rPr>
          <w:lang w:val="ru-RU"/>
        </w:rPr>
        <w:t xml:space="preserve"> 圣经也证实，上帝之子降临人间，确实并非为了任何其他目的，而是为了拯救我们</w:t>
      </w:r>
      <w:r w:rsidR="008A3626">
        <w:rPr>
          <w:lang w:val="ru-RU"/>
        </w:rPr>
        <w:t>（</w:t>
      </w:r>
      <w:r w:rsidRPr="00794712">
        <w:rPr>
          <w:lang w:val="ru-RU"/>
        </w:rPr>
        <w:t>路加福音19</w:t>
      </w:r>
      <w:r w:rsidRPr="005577CF">
        <w:rPr>
          <w:lang w:val="ru-RU"/>
        </w:rPr>
        <w:t>:</w:t>
      </w:r>
      <w:r w:rsidRPr="00794712">
        <w:rPr>
          <w:lang w:val="ru-RU"/>
        </w:rPr>
        <w:t>10），即</w:t>
      </w:r>
      <w:r w:rsidR="00A95A76" w:rsidRPr="00A95A76">
        <w:rPr>
          <w:b/>
          <w:lang w:val="ru-RU"/>
        </w:rPr>
        <w:t>：a）</w:t>
      </w:r>
      <w:r w:rsidRPr="00794712">
        <w:rPr>
          <w:lang w:val="ru-RU"/>
        </w:rPr>
        <w:t xml:space="preserve">为了替我们向永恒的公义作出赎罪： </w:t>
      </w:r>
      <w:r w:rsidRPr="00BE2861">
        <w:rPr>
          <w:i/>
          <w:iCs/>
          <w:lang w:val="ru-RU"/>
        </w:rPr>
        <w:t>“神将祂作为赎罪祭，藉着祂的血，借着信，显明祂的公义，因为祂先前赦免了人的罪”</w:t>
      </w:r>
      <w:r w:rsidRPr="00794712">
        <w:rPr>
          <w:lang w:val="ru-RU"/>
        </w:rPr>
        <w:t>（罗3:25）；</w:t>
      </w:r>
      <w:r w:rsidR="00A95A76" w:rsidRPr="00A95A76">
        <w:rPr>
          <w:b/>
          <w:lang w:val="ru-RU"/>
        </w:rPr>
        <w:t>b)</w:t>
      </w:r>
      <w:r w:rsidRPr="00794712">
        <w:rPr>
          <w:lang w:val="ru-RU"/>
        </w:rPr>
        <w:t xml:space="preserve"> 使我们脱离罪恶：</w:t>
      </w:r>
      <w:r w:rsidRPr="00196D93">
        <w:rPr>
          <w:i/>
          <w:iCs/>
          <w:lang w:val="ru-RU"/>
        </w:rPr>
        <w:t>“祂为我们舍己，要救我们脱离一切不法的事”</w:t>
      </w:r>
      <w:r w:rsidRPr="00794712">
        <w:rPr>
          <w:lang w:val="ru-RU"/>
        </w:rPr>
        <w:t>（多2</w:t>
      </w:r>
      <w:r w:rsidRPr="00196D93">
        <w:rPr>
          <w:lang w:val="ru-RU"/>
        </w:rPr>
        <w:t>:</w:t>
      </w:r>
      <w:r w:rsidRPr="00794712">
        <w:rPr>
          <w:lang w:val="ru-RU"/>
        </w:rPr>
        <w:t>14）；</w:t>
      </w:r>
      <w:r w:rsidR="00A95A76" w:rsidRPr="00A95A76">
        <w:rPr>
          <w:b/>
          <w:lang w:val="ru-RU"/>
        </w:rPr>
        <w:t xml:space="preserve"> c)</w:t>
      </w:r>
      <w:r w:rsidRPr="00794712">
        <w:rPr>
          <w:lang w:val="ru-RU"/>
        </w:rPr>
        <w:t xml:space="preserve"> 使我们脱离死亡和魔鬼的权势：</w:t>
      </w:r>
      <w:r w:rsidRPr="000C54D4">
        <w:rPr>
          <w:i/>
          <w:iCs/>
          <w:lang w:val="ru-RU"/>
        </w:rPr>
        <w:t>“儿女既同有血肉之躯，祂也照样亲自成了血肉之躯，为要借着死，使那掌死权的——就是魔鬼——失去能力，并要拯救那些一生因惧怕死亡而受奴役的人”</w:t>
      </w:r>
      <w:r w:rsidRPr="00794712">
        <w:rPr>
          <w:lang w:val="ru-RU"/>
        </w:rPr>
        <w:t>（希伯来书 2</w:t>
      </w:r>
      <w:r w:rsidRPr="00775311">
        <w:rPr>
          <w:lang w:val="ru-RU"/>
        </w:rPr>
        <w:t>:</w:t>
      </w:r>
      <w:r w:rsidRPr="00794712">
        <w:rPr>
          <w:lang w:val="ru-RU"/>
        </w:rPr>
        <w:t>14-15）；</w:t>
      </w:r>
      <w:r w:rsidR="00A95A76" w:rsidRPr="00A95A76">
        <w:rPr>
          <w:b/>
          <w:lang w:val="ru-RU"/>
        </w:rPr>
        <w:t xml:space="preserve"> d)</w:t>
      </w:r>
      <w:r w:rsidRPr="00794712">
        <w:rPr>
          <w:lang w:val="ru-RU"/>
        </w:rPr>
        <w:t xml:space="preserve"> 使我们与神和好：</w:t>
      </w:r>
      <w:r w:rsidRPr="00622E14">
        <w:rPr>
          <w:i/>
          <w:iCs/>
          <w:lang w:val="ru-RU"/>
        </w:rPr>
        <w:t>“使他们合而为一，正如你，父啊，在我里面，我在你里面，使他们也在我们里面合而为一”</w:t>
      </w:r>
      <w:r w:rsidR="005864AB">
        <w:rPr>
          <w:lang w:val="ru-RU"/>
        </w:rPr>
        <w:t>（约翰福音</w:t>
      </w:r>
      <w:r w:rsidRPr="00794712">
        <w:rPr>
          <w:lang w:val="ru-RU"/>
        </w:rPr>
        <w:t xml:space="preserve"> 17</w:t>
      </w:r>
      <w:r w:rsidRPr="00622E14">
        <w:rPr>
          <w:lang w:val="ru-RU"/>
        </w:rPr>
        <w:t>:</w:t>
      </w:r>
      <w:r w:rsidRPr="00794712">
        <w:rPr>
          <w:lang w:val="ru-RU"/>
        </w:rPr>
        <w:t>21）；</w:t>
      </w:r>
      <w:r w:rsidR="00A95A76" w:rsidRPr="00A95A76">
        <w:rPr>
          <w:b/>
          <w:lang w:val="ru-RU"/>
        </w:rPr>
        <w:t>e)</w:t>
      </w:r>
      <w:r w:rsidRPr="00794712">
        <w:rPr>
          <w:lang w:val="ru-RU"/>
        </w:rPr>
        <w:t xml:space="preserve"> 照亮我们因罪而蒙蔽的心智： </w:t>
      </w:r>
      <w:r w:rsidRPr="0085795F">
        <w:rPr>
          <w:i/>
          <w:iCs/>
          <w:lang w:val="ru-RU"/>
        </w:rPr>
        <w:t>“我为此而生，也为此来到世上，是要为真理作见证；凡属真理的人，就听我的声音”</w:t>
      </w:r>
      <w:r w:rsidR="005864AB">
        <w:rPr>
          <w:lang w:val="ru-RU"/>
        </w:rPr>
        <w:t>（</w:t>
      </w:r>
      <w:r w:rsidRPr="00794712">
        <w:rPr>
          <w:lang w:val="ru-RU"/>
        </w:rPr>
        <w:t>约18</w:t>
      </w:r>
      <w:r w:rsidRPr="0085795F">
        <w:rPr>
          <w:lang w:val="ru-RU"/>
        </w:rPr>
        <w:t>:</w:t>
      </w:r>
      <w:r w:rsidRPr="00794712">
        <w:rPr>
          <w:lang w:val="ru-RU"/>
        </w:rPr>
        <w:t>37）；</w:t>
      </w:r>
      <w:r w:rsidRPr="00C62F1C">
        <w:rPr>
          <w:i/>
          <w:iCs/>
          <w:lang w:val="ru-RU"/>
        </w:rPr>
        <w:t>“我就是那光，来到世上，是要叫凡信我的，不至于留在黑暗里”</w:t>
      </w:r>
      <w:r w:rsidRPr="00794712">
        <w:rPr>
          <w:lang w:val="ru-RU"/>
        </w:rPr>
        <w:t>（约12</w:t>
      </w:r>
      <w:r w:rsidR="0018763E">
        <w:rPr>
          <w:lang w:val="ru-RU"/>
        </w:rPr>
        <w:t>:</w:t>
      </w:r>
      <w:r w:rsidRPr="00794712">
        <w:rPr>
          <w:lang w:val="ru-RU"/>
        </w:rPr>
        <w:t>46）；</w:t>
      </w:r>
      <w:r w:rsidR="00A95A76" w:rsidRPr="00A95A76">
        <w:rPr>
          <w:b/>
          <w:lang w:val="ru-RU"/>
        </w:rPr>
        <w:t xml:space="preserve"> e)</w:t>
      </w:r>
      <w:r w:rsidRPr="00794712">
        <w:rPr>
          <w:lang w:val="ru-RU"/>
        </w:rPr>
        <w:t xml:space="preserve"> 为了纠正我们那容易倾向于罪的意志，并教导它行善：</w:t>
      </w:r>
      <w:r w:rsidRPr="004D2824">
        <w:rPr>
          <w:i/>
          <w:iCs/>
          <w:lang w:val="ru-RU"/>
        </w:rPr>
        <w:t>“因为神的恩典已经显明出来，拯救一切人；这恩典教导我们，叫我们弃绝不敬虔和世俗的私欲，在今世过自制、公义、敬虔的生活”</w:t>
      </w:r>
      <w:r w:rsidRPr="00794712">
        <w:rPr>
          <w:lang w:val="ru-RU"/>
        </w:rPr>
        <w:t xml:space="preserve"> （提多书 2</w:t>
      </w:r>
      <w:r w:rsidRPr="001A5393">
        <w:rPr>
          <w:lang w:val="ru-RU"/>
        </w:rPr>
        <w:t>:</w:t>
      </w:r>
      <w:r w:rsidRPr="00794712">
        <w:rPr>
          <w:lang w:val="ru-RU"/>
        </w:rPr>
        <w:t>11-12）；</w:t>
      </w:r>
      <w:r w:rsidRPr="00AE2760">
        <w:rPr>
          <w:i/>
          <w:iCs/>
          <w:lang w:val="ru-RU"/>
        </w:rPr>
        <w:t>“因为我们是祂所造的，是在基督耶稣里被造的，为要行善，就是神预先为我们预备的”</w:t>
      </w:r>
      <w:r w:rsidRPr="00794712">
        <w:rPr>
          <w:lang w:val="ru-RU"/>
        </w:rPr>
        <w:t>（</w:t>
      </w:r>
      <w:r>
        <w:rPr>
          <w:lang w:val="ru-RU"/>
        </w:rPr>
        <w:t>以弗所书</w:t>
      </w:r>
      <w:r w:rsidRPr="00794712">
        <w:rPr>
          <w:lang w:val="ru-RU"/>
        </w:rPr>
        <w:t xml:space="preserve"> 2</w:t>
      </w:r>
      <w:r w:rsidRPr="006B6B10">
        <w:rPr>
          <w:lang w:val="ru-RU"/>
        </w:rPr>
        <w:t>:</w:t>
      </w:r>
      <w:r w:rsidRPr="00794712">
        <w:rPr>
          <w:lang w:val="ru-RU"/>
        </w:rPr>
        <w:t>10），等等。</w:t>
      </w:r>
      <w:r>
        <w:rPr>
          <w:lang w:val="ru-RU"/>
        </w:rPr>
        <w:t xml:space="preserve"> —</w:t>
      </w:r>
      <w:r w:rsidR="00A95A76" w:rsidRPr="00A95A76">
        <w:rPr>
          <w:b/>
          <w:lang w:val="ru-RU"/>
        </w:rPr>
        <w:t xml:space="preserve"> 七）</w:t>
      </w:r>
      <w:r w:rsidRPr="00794712">
        <w:rPr>
          <w:lang w:val="ru-RU"/>
        </w:rPr>
        <w:t>教导我们再次配得地赞美上帝：</w:t>
      </w:r>
      <w:r w:rsidRPr="00435547">
        <w:rPr>
          <w:i/>
          <w:iCs/>
          <w:lang w:val="ru-RU"/>
        </w:rPr>
        <w:t>“按祂美意的旨意，预定我们藉着耶稣基督成为祂的儿女，为要彰显祂恩典的荣耀；这恩典是祂在所爱的人里赐给我们的……好叫我们——那些从前仰望基督的人——能成为祂荣耀的赞美”</w:t>
      </w:r>
      <w:r w:rsidRPr="00794712">
        <w:rPr>
          <w:lang w:val="ru-RU"/>
        </w:rPr>
        <w:t xml:space="preserve"> （以弗所书 1</w:t>
      </w:r>
      <w:r w:rsidRPr="007046D5">
        <w:rPr>
          <w:lang w:val="ru-RU"/>
        </w:rPr>
        <w:t>:</w:t>
      </w:r>
      <w:r w:rsidRPr="00794712">
        <w:rPr>
          <w:lang w:val="ru-RU"/>
        </w:rPr>
        <w:t>5-6</w:t>
      </w:r>
      <w:r w:rsidRPr="00435547">
        <w:rPr>
          <w:lang w:val="ru-RU"/>
        </w:rPr>
        <w:t>, 12</w:t>
      </w:r>
      <w:r w:rsidRPr="00F51EAB">
        <w:rPr>
          <w:lang w:val="ru-RU"/>
        </w:rPr>
        <w:t>）</w:t>
      </w:r>
      <w:r w:rsidRPr="002B72C8">
        <w:rPr>
          <w:lang w:val="ru-RU"/>
        </w:rPr>
        <w:t>；</w:t>
      </w:r>
      <w:r w:rsidRPr="00794712">
        <w:rPr>
          <w:lang w:val="ru-RU"/>
        </w:rPr>
        <w:t xml:space="preserve">以及 </w:t>
      </w:r>
      <w:r w:rsidR="00A95A76" w:rsidRPr="009907F0">
        <w:rPr>
          <w:b/>
          <w:lang w:val="ru-RU"/>
        </w:rPr>
        <w:t>h)</w:t>
      </w:r>
      <w:r w:rsidRPr="00794712">
        <w:rPr>
          <w:lang w:val="ru-RU"/>
        </w:rPr>
        <w:t xml:space="preserve"> 赐给我们永生：</w:t>
      </w:r>
      <w:r w:rsidRPr="003D3FAB">
        <w:rPr>
          <w:i/>
          <w:iCs/>
          <w:lang w:val="ru-RU"/>
        </w:rPr>
        <w:t>“因为神爱世人，甚至将他的独生子赐给他们，叫一切信他的，不至灭亡，反得永生。”</w:t>
      </w:r>
      <w:r w:rsidR="005864AB">
        <w:rPr>
          <w:lang w:val="ru-RU"/>
        </w:rPr>
        <w:t>（约翰福音</w:t>
      </w:r>
      <w:r w:rsidRPr="00794712">
        <w:rPr>
          <w:lang w:val="ru-RU"/>
        </w:rPr>
        <w:t xml:space="preserve"> 3</w:t>
      </w:r>
      <w:r w:rsidRPr="003D3FAB">
        <w:rPr>
          <w:lang w:val="ru-RU"/>
        </w:rPr>
        <w:t>:</w:t>
      </w:r>
      <w:r w:rsidRPr="00794712">
        <w:rPr>
          <w:lang w:val="ru-RU"/>
        </w:rPr>
        <w:t>16）。</w:t>
      </w:r>
    </w:p>
    <w:p w14:paraId="40CA0022" w14:textId="77777777" w:rsidR="00D85B34" w:rsidRPr="00794712" w:rsidRDefault="00D85B34" w:rsidP="00D85B34">
      <w:pPr>
        <w:rPr>
          <w:lang w:val="ru-RU"/>
        </w:rPr>
      </w:pPr>
      <w:r w:rsidRPr="00794712">
        <w:rPr>
          <w:lang w:val="ru-RU"/>
        </w:rPr>
        <w:tab/>
        <w:t>圣父们和教会导师们也一致宣认了上帝之子降临人间的这一目的：</w:t>
      </w:r>
      <w:r w:rsidR="00A95A76" w:rsidRPr="00A95A76">
        <w:rPr>
          <w:b/>
          <w:lang w:val="ru-RU"/>
        </w:rPr>
        <w:t>a)</w:t>
      </w:r>
      <w:r w:rsidRPr="00794712">
        <w:rPr>
          <w:lang w:val="ru-RU"/>
        </w:rPr>
        <w:t xml:space="preserve"> 圣伊雷内乌斯：“若非为了拯救肉身，上帝的道绝不会成为肉身；</w:t>
      </w:r>
      <w:r w:rsidRPr="003150B2">
        <w:rPr>
          <w:lang w:val="ru-RU"/>
        </w:rPr>
        <w:t>”</w:t>
      </w:r>
      <w:r w:rsidR="006E787C">
        <w:rPr>
          <w:rStyle w:val="FootnoteReference"/>
          <w:lang w:val="ru-RU"/>
        </w:rPr>
        <w:footnoteReference w:id="39"/>
      </w:r>
      <w:r w:rsidR="00A95A76" w:rsidRPr="00A95A76">
        <w:rPr>
          <w:b/>
          <w:lang w:val="ru-RU"/>
        </w:rPr>
        <w:t xml:space="preserve"> b)</w:t>
      </w:r>
      <w:r w:rsidRPr="00794712">
        <w:rPr>
          <w:lang w:val="ru-RU"/>
        </w:rPr>
        <w:t xml:space="preserve"> 圣亚他那修：“我们成了祂降临的契机； 我们的罪过如此激起了道对人类的爱，以致祂降临于我们，主显现于世人之中；我们是祂道成肉身的缘由，为了我们的救赎，祂成为人，并诞生于人的肉身之中</w:t>
      </w:r>
      <w:r w:rsidR="00A95A76" w:rsidRPr="00A95A76">
        <w:rPr>
          <w:b/>
          <w:lang w:val="ru-RU"/>
        </w:rPr>
        <w:t>；</w:t>
      </w:r>
      <w:r w:rsidR="006E787C">
        <w:rPr>
          <w:rStyle w:val="FootnoteReference"/>
          <w:lang w:val="ru-RU"/>
        </w:rPr>
        <w:footnoteReference w:id="40"/>
      </w:r>
      <w:r w:rsidR="00A95A76" w:rsidRPr="00A95A76">
        <w:rPr>
          <w:b/>
          <w:lang w:val="ru-RU"/>
        </w:rPr>
        <w:t xml:space="preserve"> c)</w:t>
      </w:r>
      <w:r w:rsidRPr="00794712">
        <w:rPr>
          <w:lang w:val="ru-RU"/>
        </w:rPr>
        <w:t xml:space="preserve"> 圣格里高利·神学家：“上帝为何为了我们而接纳人性？ 正是为了使我们所有人得救。因为还能有什么别的理由呢？</w:t>
      </w:r>
      <w:r w:rsidRPr="00F011C5">
        <w:rPr>
          <w:lang w:val="ru-RU"/>
        </w:rPr>
        <w:t>”</w:t>
      </w:r>
      <w:r w:rsidR="00CA5CE2">
        <w:rPr>
          <w:rStyle w:val="FootnoteReference"/>
          <w:lang w:val="ru-RU"/>
        </w:rPr>
        <w:footnoteReference w:id="41"/>
      </w:r>
      <w:r w:rsidR="00A95A76" w:rsidRPr="00A95A76">
        <w:rPr>
          <w:b/>
          <w:lang w:val="ru-RU"/>
        </w:rPr>
        <w:t xml:space="preserve"> d)</w:t>
      </w:r>
      <w:r w:rsidRPr="00794712">
        <w:rPr>
          <w:lang w:val="ru-RU"/>
        </w:rPr>
        <w:t xml:space="preserve"> 圣约翰·金口： </w:t>
      </w:r>
      <w:r w:rsidRPr="00F011C5">
        <w:rPr>
          <w:lang w:val="ru-RU"/>
        </w:rPr>
        <w:t>“</w:t>
      </w:r>
      <w:r w:rsidRPr="00794712">
        <w:rPr>
          <w:lang w:val="ru-RU"/>
        </w:rPr>
        <w:t>祂虽是上帝，却并非为了其他任何目的而取了我们的肉身并成为人，而是为了拯救人类；</w:t>
      </w:r>
      <w:r w:rsidRPr="00F011C5">
        <w:rPr>
          <w:lang w:val="ru-RU"/>
        </w:rPr>
        <w:t>”</w:t>
      </w:r>
      <w:r w:rsidR="00CA5CE2">
        <w:rPr>
          <w:rStyle w:val="FootnoteReference"/>
          <w:lang w:val="ru-RU"/>
        </w:rPr>
        <w:footnoteReference w:id="42"/>
      </w:r>
      <w:r w:rsidR="00A95A76" w:rsidRPr="00A95A76">
        <w:rPr>
          <w:b/>
          <w:lang w:val="ru-RU"/>
        </w:rPr>
        <w:t xml:space="preserve"> e)</w:t>
      </w:r>
      <w:r w:rsidRPr="00794712">
        <w:rPr>
          <w:lang w:val="ru-RU"/>
        </w:rPr>
        <w:t xml:space="preserve"> 圣大巴西尔：“上帝和我们的救主对人类的‘家业建设’，就是将人从堕落的状态中拯救出来，并使人从因违背诫命而产生的疏离状态中回归与上帝的团契； 基督道成肉身的降临，以及制定福音生活准则，正是为此；受难、受难、埋葬、复活，正是为了使人通过效法基督而得救，从而重获那古老的儿女身份；</w:t>
      </w:r>
      <w:r w:rsidRPr="006078CC">
        <w:rPr>
          <w:lang w:val="ru-RU"/>
        </w:rPr>
        <w:t>”</w:t>
      </w:r>
      <w:r w:rsidR="00CA5CE2">
        <w:rPr>
          <w:rStyle w:val="FootnoteReference"/>
          <w:lang w:val="ru-RU"/>
        </w:rPr>
        <w:footnoteReference w:id="43"/>
      </w:r>
      <w:r w:rsidR="00A95A76" w:rsidRPr="00A95A76">
        <w:rPr>
          <w:b/>
          <w:lang w:val="ru-RU"/>
        </w:rPr>
        <w:t xml:space="preserve"> e)</w:t>
      </w:r>
      <w:r w:rsidRPr="00794712">
        <w:rPr>
          <w:lang w:val="ru-RU"/>
        </w:rPr>
        <w:t xml:space="preserve"> 福者 奥古斯丁：“主基督降临，除了拯救罪人之外，别无其他原因；若能根除疾病，消灭疮</w:t>
      </w:r>
      <w:r>
        <w:rPr>
          <w:lang w:val="ru-RU"/>
        </w:rPr>
        <w:t>痍，</w:t>
      </w:r>
      <w:r w:rsidRPr="00794712">
        <w:rPr>
          <w:lang w:val="ru-RU"/>
        </w:rPr>
        <w:t>便无需药物</w:t>
      </w:r>
      <w:r w:rsidRPr="00794712">
        <w:rPr>
          <w:lang w:val="ru-RU"/>
        </w:rPr>
        <w:lastRenderedPageBreak/>
        <w:t>了；</w:t>
      </w:r>
      <w:r w:rsidRPr="00A13C1F">
        <w:rPr>
          <w:lang w:val="ru-RU"/>
        </w:rPr>
        <w:t>”</w:t>
      </w:r>
      <w:r w:rsidR="00CA5CE2">
        <w:rPr>
          <w:rStyle w:val="FootnoteReference"/>
          <w:lang w:val="ru-RU"/>
        </w:rPr>
        <w:footnoteReference w:id="44"/>
      </w:r>
      <w:r w:rsidR="00A95A76" w:rsidRPr="00A95A76">
        <w:rPr>
          <w:b/>
          <w:lang w:val="ru-RU"/>
        </w:rPr>
        <w:t xml:space="preserve"> g)</w:t>
      </w:r>
      <w:r w:rsidRPr="00794712">
        <w:rPr>
          <w:lang w:val="ru-RU"/>
        </w:rPr>
        <w:t xml:space="preserve"> 圣格里高利大帝：“倘若亚当没有犯罪，救赎主便无需取我们的肉身</w:t>
      </w:r>
      <w:r w:rsidRPr="008932DD">
        <w:rPr>
          <w:lang w:val="ru-RU"/>
        </w:rPr>
        <w:t>。”</w:t>
      </w:r>
      <w:r w:rsidR="00CA5CE2">
        <w:rPr>
          <w:rStyle w:val="FootnoteReference"/>
          <w:lang w:val="ru-RU"/>
        </w:rPr>
        <w:footnoteReference w:id="45"/>
      </w:r>
      <w:r w:rsidRPr="00794712">
        <w:rPr>
          <w:lang w:val="ru-RU"/>
        </w:rPr>
        <w:t xml:space="preserve"> 亚历山大的迪迪姆、</w:t>
      </w:r>
      <w:r w:rsidR="00CA5CE2">
        <w:rPr>
          <w:rStyle w:val="FootnoteReference"/>
          <w:lang w:val="ru-RU"/>
        </w:rPr>
        <w:footnoteReference w:id="46"/>
      </w:r>
      <w:r w:rsidRPr="00794712">
        <w:rPr>
          <w:lang w:val="ru-RU"/>
        </w:rPr>
        <w:t xml:space="preserve"> 安布罗斯、</w:t>
      </w:r>
      <w:r w:rsidR="00CA5CE2">
        <w:rPr>
          <w:rStyle w:val="FootnoteReference"/>
          <w:lang w:val="ru-RU"/>
        </w:rPr>
        <w:footnoteReference w:id="47"/>
      </w:r>
      <w:r w:rsidRPr="00794712">
        <w:rPr>
          <w:lang w:val="ru-RU"/>
        </w:rPr>
        <w:t xml:space="preserve"> 大马卡里乌斯、</w:t>
      </w:r>
      <w:r w:rsidR="00CA5CE2">
        <w:rPr>
          <w:rStyle w:val="FootnoteReference"/>
          <w:lang w:val="ru-RU"/>
        </w:rPr>
        <w:footnoteReference w:id="48"/>
      </w:r>
      <w:r w:rsidRPr="00794712">
        <w:rPr>
          <w:lang w:val="ru-RU"/>
        </w:rPr>
        <w:t xml:space="preserve"> 大利奥等人也持同样观点。</w:t>
      </w:r>
      <w:r w:rsidR="00CA5CE2">
        <w:rPr>
          <w:rStyle w:val="FootnoteReference"/>
          <w:lang w:val="ru-RU"/>
        </w:rPr>
        <w:footnoteReference w:id="49"/>
      </w:r>
    </w:p>
    <w:p w14:paraId="2073DC50" w14:textId="77777777" w:rsidR="00D85B34" w:rsidRDefault="00D85B34" w:rsidP="00D85B34">
      <w:pPr>
        <w:rPr>
          <w:lang w:val="ru-RU"/>
        </w:rPr>
      </w:pPr>
      <w:r w:rsidRPr="00794712">
        <w:rPr>
          <w:lang w:val="ru-RU"/>
        </w:rPr>
        <w:tab/>
        <w:t>因此，佩拉吉派及其他异端分子所宣扬的谬论——即“即使人类没有堕落，神的儿子也会降临人间并道成肉身”——被彻底驳斥了。</w:t>
      </w:r>
      <w:r w:rsidR="00CA5CE2">
        <w:rPr>
          <w:rStyle w:val="FootnoteReference"/>
          <w:lang w:val="ru-RU"/>
        </w:rPr>
        <w:footnoteReference w:id="50"/>
      </w:r>
    </w:p>
    <w:p w14:paraId="17D7B93D" w14:textId="77777777" w:rsidR="00D85B34" w:rsidRPr="00794712" w:rsidRDefault="00D85B34" w:rsidP="00D85B34">
      <w:pPr>
        <w:rPr>
          <w:lang w:val="ru-RU"/>
        </w:rPr>
      </w:pPr>
    </w:p>
    <w:p w14:paraId="49EA1A46" w14:textId="77777777" w:rsidR="00D85B34" w:rsidRPr="00794712" w:rsidRDefault="00D85B34" w:rsidP="007B240B">
      <w:pPr>
        <w:pStyle w:val="Heading5"/>
        <w:rPr>
          <w:lang w:val="ru-RU"/>
        </w:rPr>
      </w:pPr>
      <w:bookmarkStart w:id="54" w:name="_Toc133155555"/>
      <w:bookmarkStart w:id="55" w:name="_Toc180664568"/>
      <w:bookmarkStart w:id="56" w:name="_Toc180679189"/>
      <w:bookmarkStart w:id="57" w:name="_Toc180679246"/>
      <w:bookmarkStart w:id="58" w:name="_Toc180679769"/>
      <w:bookmarkStart w:id="59" w:name="_Toc238453651"/>
      <w:bookmarkStart w:id="60" w:name="_Toc238576467"/>
      <w:r w:rsidRPr="00794712">
        <w:rPr>
          <w:lang w:val="ru-RU"/>
        </w:rPr>
        <w:t>§128. 救赎的永恒预定，以及救赎主为何没有早点降临人间？</w:t>
      </w:r>
      <w:bookmarkEnd w:id="54"/>
      <w:bookmarkEnd w:id="55"/>
      <w:bookmarkEnd w:id="56"/>
      <w:bookmarkEnd w:id="57"/>
      <w:bookmarkEnd w:id="58"/>
      <w:bookmarkEnd w:id="59"/>
      <w:bookmarkEnd w:id="60"/>
    </w:p>
    <w:p w14:paraId="34FEC35A" w14:textId="77777777" w:rsidR="00D85B34" w:rsidRPr="005A1E6F" w:rsidRDefault="00D85B34" w:rsidP="00D85B34">
      <w:pPr>
        <w:rPr>
          <w:lang w:val="ru-RU"/>
        </w:rPr>
      </w:pPr>
    </w:p>
    <w:p w14:paraId="2C9917F5" w14:textId="77777777" w:rsidR="00D85B34" w:rsidRPr="00794712" w:rsidRDefault="00D85B34" w:rsidP="00D85B34">
      <w:pPr>
        <w:rPr>
          <w:lang w:val="ru-RU"/>
        </w:rPr>
      </w:pPr>
      <w:r w:rsidRPr="0018763E">
        <w:rPr>
          <w:b/>
          <w:bCs/>
        </w:rPr>
        <w:t>I</w:t>
      </w:r>
      <w:r w:rsidRPr="0018763E">
        <w:rPr>
          <w:b/>
          <w:bCs/>
          <w:lang w:val="ru-RU"/>
        </w:rPr>
        <w:t>.</w:t>
      </w:r>
      <w:r w:rsidRPr="00794712">
        <w:rPr>
          <w:lang w:val="ru-RU"/>
        </w:rPr>
        <w:t xml:space="preserve"> 鉴于上帝仅凭祂那永恒而无穷的仁慈恩待我们，拯救了我们；另一方面，作为全知者，祂自创世以来就预见了我们的堕落及其程度，因此我们可以得出结论：我们的救赎自创世以来就已预定。 而上帝的话语也以极其明确的方式证实了这一真理。圣使徒们在全面审视我们救赎的全部事工时，作证说：</w:t>
      </w:r>
      <w:r w:rsidRPr="00F95D63">
        <w:rPr>
          <w:i/>
          <w:iCs/>
          <w:lang w:val="ru-RU"/>
        </w:rPr>
        <w:t>“我们所传的，乃是上帝的智慧，这智慧原是隐藏的、奥秘的，上帝在万世以前已为我们的荣耀预定这智慧”</w:t>
      </w:r>
      <w:r w:rsidR="00621F17">
        <w:rPr>
          <w:lang w:val="ru-RU"/>
        </w:rPr>
        <w:t>（林</w:t>
      </w:r>
      <w:r w:rsidRPr="00794712">
        <w:rPr>
          <w:lang w:val="ru-RU"/>
        </w:rPr>
        <w:t>前2</w:t>
      </w:r>
      <w:r w:rsidRPr="00F95D63">
        <w:rPr>
          <w:lang w:val="ru-RU"/>
        </w:rPr>
        <w:t>:</w:t>
      </w:r>
      <w:r w:rsidRPr="00794712">
        <w:rPr>
          <w:lang w:val="ru-RU"/>
        </w:rPr>
        <w:t>7）； 又说：</w:t>
      </w:r>
      <w:r w:rsidRPr="009E5991">
        <w:rPr>
          <w:i/>
          <w:iCs/>
          <w:lang w:val="ru-RU"/>
        </w:rPr>
        <w:t>“为要借着教会，使天上各样执政的、掌权的，如今得知神百般的智慧；这智慧是神从创世以前在基督耶稣我们的主里所预定的”</w:t>
      </w:r>
      <w:r w:rsidRPr="00794712">
        <w:rPr>
          <w:lang w:val="ru-RU"/>
        </w:rPr>
        <w:t>（以弗所书 3</w:t>
      </w:r>
      <w:r w:rsidRPr="00955DB6">
        <w:rPr>
          <w:lang w:val="ru-RU"/>
        </w:rPr>
        <w:t>:</w:t>
      </w:r>
      <w:r w:rsidRPr="00794712">
        <w:rPr>
          <w:lang w:val="ru-RU"/>
        </w:rPr>
        <w:t>10-11）。 特别提到救赎主耶稣时，称祂为无瑕疵的羔羊</w:t>
      </w:r>
      <w:r w:rsidRPr="00D91BCE">
        <w:rPr>
          <w:i/>
          <w:iCs/>
          <w:lang w:val="ru-RU"/>
        </w:rPr>
        <w:t>，“在创世以前就被拣选，却在末世为我们显现”</w:t>
      </w:r>
      <w:r w:rsidRPr="00794712">
        <w:rPr>
          <w:lang w:val="ru-RU"/>
        </w:rPr>
        <w:t>（</w:t>
      </w:r>
      <w:r w:rsidR="0087297C">
        <w:rPr>
          <w:lang w:val="ru-RU"/>
        </w:rPr>
        <w:t>彼得前书</w:t>
      </w:r>
      <w:r w:rsidRPr="00794712">
        <w:rPr>
          <w:lang w:val="ru-RU"/>
        </w:rPr>
        <w:t xml:space="preserve"> 1</w:t>
      </w:r>
      <w:r w:rsidRPr="003A39B1">
        <w:rPr>
          <w:lang w:val="ru-RU"/>
        </w:rPr>
        <w:t>:</w:t>
      </w:r>
      <w:r w:rsidRPr="00794712">
        <w:rPr>
          <w:lang w:val="ru-RU"/>
        </w:rPr>
        <w:t>19-20），是</w:t>
      </w:r>
      <w:r w:rsidRPr="002F544E">
        <w:rPr>
          <w:i/>
          <w:iCs/>
          <w:lang w:val="ru-RU"/>
        </w:rPr>
        <w:t>那“按着神的定旨和预定被交于死地”的</w:t>
      </w:r>
      <w:r w:rsidRPr="00794712">
        <w:rPr>
          <w:lang w:val="ru-RU"/>
        </w:rPr>
        <w:t xml:space="preserve">羔羊 </w:t>
      </w:r>
      <w:r w:rsidRPr="0097554A">
        <w:rPr>
          <w:lang w:val="ru-RU"/>
        </w:rPr>
        <w:t>（</w:t>
      </w:r>
      <w:r w:rsidRPr="00950015">
        <w:rPr>
          <w:lang w:val="el-GR"/>
        </w:rPr>
        <w:t>τή</w:t>
      </w:r>
      <w:r w:rsidRPr="0097554A">
        <w:rPr>
          <w:lang w:val="ru-RU"/>
        </w:rPr>
        <w:t xml:space="preserve"> </w:t>
      </w:r>
      <w:r w:rsidRPr="00950015">
        <w:rPr>
          <w:lang w:val="el-GR"/>
        </w:rPr>
        <w:t>ωρισμένη</w:t>
      </w:r>
      <w:r w:rsidRPr="0097554A">
        <w:rPr>
          <w:lang w:val="ru-RU"/>
        </w:rPr>
        <w:t xml:space="preserve"> </w:t>
      </w:r>
      <w:r w:rsidRPr="00950015">
        <w:rPr>
          <w:lang w:val="el-GR"/>
        </w:rPr>
        <w:t>βουλη</w:t>
      </w:r>
      <w:r w:rsidRPr="0097554A">
        <w:rPr>
          <w:lang w:val="ru-RU"/>
        </w:rPr>
        <w:t xml:space="preserve"> </w:t>
      </w:r>
      <w:r w:rsidRPr="00950015">
        <w:rPr>
          <w:lang w:val="el-GR"/>
        </w:rPr>
        <w:t>καί</w:t>
      </w:r>
      <w:r w:rsidRPr="0097554A">
        <w:rPr>
          <w:lang w:val="ru-RU"/>
        </w:rPr>
        <w:t xml:space="preserve"> </w:t>
      </w:r>
      <w:r w:rsidRPr="00950015">
        <w:rPr>
          <w:lang w:val="el-GR"/>
        </w:rPr>
        <w:t>προρώσει</w:t>
      </w:r>
      <w:r w:rsidRPr="0097554A">
        <w:rPr>
          <w:lang w:val="ru-RU"/>
        </w:rPr>
        <w:t xml:space="preserve"> </w:t>
      </w:r>
      <w:r w:rsidRPr="00950015">
        <w:rPr>
          <w:lang w:val="el-GR"/>
        </w:rPr>
        <w:t>τού</w:t>
      </w:r>
      <w:r w:rsidRPr="0097554A">
        <w:rPr>
          <w:lang w:val="ru-RU"/>
        </w:rPr>
        <w:t xml:space="preserve"> </w:t>
      </w:r>
      <w:r w:rsidRPr="00950015">
        <w:rPr>
          <w:lang w:val="el-GR"/>
        </w:rPr>
        <w:t>Θεού</w:t>
      </w:r>
      <w:r w:rsidRPr="0097554A">
        <w:rPr>
          <w:lang w:val="ru-RU"/>
        </w:rPr>
        <w:t xml:space="preserve"> </w:t>
      </w:r>
      <w:r w:rsidRPr="00950015">
        <w:rPr>
          <w:lang w:val="el-GR"/>
        </w:rPr>
        <w:t>έκδοτον</w:t>
      </w:r>
      <w:r w:rsidRPr="0097554A">
        <w:rPr>
          <w:lang w:val="ru-RU"/>
        </w:rPr>
        <w:t>）</w:t>
      </w:r>
      <w:r w:rsidR="0018763E" w:rsidRPr="0097554A">
        <w:rPr>
          <w:lang w:val="ru-RU"/>
        </w:rPr>
        <w:t>[</w:t>
      </w:r>
      <w:r w:rsidRPr="0097554A">
        <w:rPr>
          <w:lang w:val="ru-RU"/>
        </w:rPr>
        <w:t>(</w:t>
      </w:r>
      <w:r w:rsidRPr="00950015">
        <w:rPr>
          <w:lang w:val="el-GR"/>
        </w:rPr>
        <w:t>使徒行传</w:t>
      </w:r>
      <w:r w:rsidRPr="0097554A">
        <w:rPr>
          <w:lang w:val="ru-RU"/>
        </w:rPr>
        <w:t xml:space="preserve"> 2:23</w:t>
      </w:r>
      <w:r w:rsidR="0018763E" w:rsidRPr="0097554A">
        <w:rPr>
          <w:lang w:val="ru-RU"/>
        </w:rPr>
        <w:t>)</w:t>
      </w:r>
      <w:r w:rsidRPr="0097554A">
        <w:rPr>
          <w:lang w:val="ru-RU"/>
        </w:rPr>
        <w:t>；</w:t>
      </w:r>
      <w:r w:rsidRPr="00950015">
        <w:rPr>
          <w:lang w:val="el-GR"/>
        </w:rPr>
        <w:t>同上</w:t>
      </w:r>
      <w:r w:rsidRPr="0097554A">
        <w:rPr>
          <w:lang w:val="ru-RU"/>
        </w:rPr>
        <w:t xml:space="preserve"> </w:t>
      </w:r>
      <w:r w:rsidR="0018763E" w:rsidRPr="0018763E">
        <w:rPr>
          <w:lang w:val="ru-RU"/>
        </w:rPr>
        <w:t>(</w:t>
      </w:r>
      <w:r w:rsidR="0018763E">
        <w:rPr>
          <w:lang w:val="ru-RU"/>
        </w:rPr>
        <w:t>使徒行传</w:t>
      </w:r>
      <w:r w:rsidRPr="00794712">
        <w:rPr>
          <w:lang w:val="ru-RU"/>
        </w:rPr>
        <w:t xml:space="preserve"> 4</w:t>
      </w:r>
      <w:r w:rsidRPr="002F544E">
        <w:rPr>
          <w:lang w:val="ru-RU"/>
        </w:rPr>
        <w:t>:</w:t>
      </w:r>
      <w:r w:rsidRPr="00794712">
        <w:rPr>
          <w:lang w:val="ru-RU"/>
        </w:rPr>
        <w:t>27-28)</w:t>
      </w:r>
      <w:r w:rsidR="0018763E" w:rsidRPr="0018763E">
        <w:rPr>
          <w:lang w:val="ru-RU"/>
        </w:rPr>
        <w:t>]</w:t>
      </w:r>
      <w:r w:rsidRPr="00CA313D">
        <w:rPr>
          <w:lang w:val="ru-RU"/>
        </w:rPr>
        <w:t>；</w:t>
      </w:r>
      <w:r w:rsidRPr="00794712">
        <w:rPr>
          <w:lang w:val="ru-RU"/>
        </w:rPr>
        <w:t>羔羊</w:t>
      </w:r>
      <w:r w:rsidRPr="0011719A">
        <w:rPr>
          <w:lang w:val="ru-RU"/>
        </w:rPr>
        <w:t>，自创世以来</w:t>
      </w:r>
      <w:r>
        <w:rPr>
          <w:lang w:val="ru-RU"/>
        </w:rPr>
        <w:t>就被杀的</w:t>
      </w:r>
      <w:r w:rsidRPr="00794712">
        <w:rPr>
          <w:lang w:val="ru-RU"/>
        </w:rPr>
        <w:t>（启示录 13</w:t>
      </w:r>
      <w:r w:rsidRPr="002F544E">
        <w:rPr>
          <w:lang w:val="ru-RU"/>
        </w:rPr>
        <w:t>:</w:t>
      </w:r>
      <w:r w:rsidRPr="00794712">
        <w:rPr>
          <w:lang w:val="ru-RU"/>
        </w:rPr>
        <w:t>8）。 最后， 在论及那位为我们受苦的救赎主时，表明神</w:t>
      </w:r>
      <w:r w:rsidRPr="002E240F">
        <w:rPr>
          <w:i/>
          <w:iCs/>
          <w:lang w:val="ru-RU"/>
        </w:rPr>
        <w:t>“在创世以前，就在基督里拣选了我们，使我们在祂面前因爱成为圣洁、毫无瑕疵”</w:t>
      </w:r>
      <w:r w:rsidRPr="00794712">
        <w:rPr>
          <w:lang w:val="ru-RU"/>
        </w:rPr>
        <w:t>（弗1</w:t>
      </w:r>
      <w:r w:rsidRPr="002E240F">
        <w:rPr>
          <w:lang w:val="ru-RU"/>
        </w:rPr>
        <w:t>:</w:t>
      </w:r>
      <w:r w:rsidRPr="00794712">
        <w:rPr>
          <w:lang w:val="ru-RU"/>
        </w:rPr>
        <w:t xml:space="preserve">4）， </w:t>
      </w:r>
      <w:r w:rsidRPr="00400E1D">
        <w:rPr>
          <w:i/>
          <w:iCs/>
          <w:lang w:val="ru-RU"/>
        </w:rPr>
        <w:t>“神从起初就藉着圣灵的成圣和对真理的信，拣选了你们得救”</w:t>
      </w:r>
      <w:r w:rsidRPr="00794712">
        <w:rPr>
          <w:lang w:val="ru-RU"/>
        </w:rPr>
        <w:t>（帖后 2</w:t>
      </w:r>
      <w:r w:rsidRPr="00C96DEE">
        <w:rPr>
          <w:lang w:val="ru-RU"/>
        </w:rPr>
        <w:t>:</w:t>
      </w:r>
      <w:r w:rsidRPr="00794712">
        <w:rPr>
          <w:lang w:val="ru-RU"/>
        </w:rPr>
        <w:t>13），并且祂拯救了我们，并以圣洁的呼召召我们，不是因我们的行为，乃是照祂的旨意和恩典，这恩典是祂在万古之先，在基督耶稣里赐给我们的</w:t>
      </w:r>
      <w:r w:rsidR="0018763E">
        <w:rPr>
          <w:lang w:val="ru-RU"/>
        </w:rPr>
        <w:t>（提后</w:t>
      </w:r>
      <w:r w:rsidRPr="003E1117">
        <w:rPr>
          <w:lang w:val="ru-RU"/>
        </w:rPr>
        <w:t xml:space="preserve"> </w:t>
      </w:r>
      <w:r w:rsidRPr="00794712">
        <w:rPr>
          <w:lang w:val="ru-RU"/>
        </w:rPr>
        <w:t>1</w:t>
      </w:r>
      <w:r w:rsidRPr="003E1117">
        <w:rPr>
          <w:lang w:val="ru-RU"/>
        </w:rPr>
        <w:t>:</w:t>
      </w:r>
      <w:r w:rsidRPr="00794712">
        <w:rPr>
          <w:lang w:val="ru-RU"/>
        </w:rPr>
        <w:t>9）。</w:t>
      </w:r>
    </w:p>
    <w:p w14:paraId="0838D7B1" w14:textId="77777777" w:rsidR="00D85B34" w:rsidRDefault="00D85B34" w:rsidP="00D85B34">
      <w:pPr>
        <w:rPr>
          <w:lang w:val="ru-RU"/>
        </w:rPr>
      </w:pPr>
      <w:r w:rsidRPr="00794712">
        <w:rPr>
          <w:lang w:val="ru-RU"/>
        </w:rPr>
        <w:tab/>
      </w:r>
    </w:p>
    <w:p w14:paraId="07B751EF" w14:textId="77777777" w:rsidR="00D85B34" w:rsidRPr="00794712" w:rsidRDefault="00D85B34" w:rsidP="00D85B34">
      <w:pPr>
        <w:rPr>
          <w:lang w:val="ru-RU"/>
        </w:rPr>
      </w:pPr>
      <w:r w:rsidRPr="00E141F9">
        <w:t>II</w:t>
      </w:r>
      <w:r w:rsidRPr="00794712">
        <w:rPr>
          <w:lang w:val="ru-RU"/>
        </w:rPr>
        <w:t>. 既然如此，既然全善的上帝早在创世之初，即在我们堕落之前，就已定意要救赎我们：那么，为什么祂不在我们堕落的那一刻，就立即乐意地成就祂的预定呢？为什么祂</w:t>
      </w:r>
      <w:r w:rsidRPr="000B60A2">
        <w:rPr>
          <w:i/>
          <w:iCs/>
          <w:lang w:val="ru-RU"/>
        </w:rPr>
        <w:t>要在“末世”</w:t>
      </w:r>
      <w:r w:rsidRPr="00794712">
        <w:rPr>
          <w:lang w:val="ru-RU"/>
        </w:rPr>
        <w:t>（希伯来书 1</w:t>
      </w:r>
      <w:r w:rsidRPr="000B60A2">
        <w:rPr>
          <w:lang w:val="ru-RU"/>
        </w:rPr>
        <w:t>:</w:t>
      </w:r>
      <w:r w:rsidRPr="00794712">
        <w:rPr>
          <w:lang w:val="ru-RU"/>
        </w:rPr>
        <w:t>2）才差遣祂的儿子降临人间呢？</w:t>
      </w:r>
    </w:p>
    <w:p w14:paraId="1ECEECE2" w14:textId="77777777" w:rsidR="00D85B34" w:rsidRPr="00794712" w:rsidRDefault="00D85B34" w:rsidP="00D85B34">
      <w:pPr>
        <w:rPr>
          <w:lang w:val="ru-RU"/>
        </w:rPr>
      </w:pPr>
      <w:r w:rsidRPr="00794712">
        <w:rPr>
          <w:lang w:val="ru-RU"/>
        </w:rPr>
        <w:tab/>
        <w:t>对这一问题的答案，就在于救赎主降临之前所进行的一切神圣计划。教会的圣父们和教师们，在深入探究这一神圣计划的蓝图时，提出了以下关于神子迟至</w:t>
      </w:r>
      <w:r>
        <w:rPr>
          <w:lang w:val="ru-RU"/>
        </w:rPr>
        <w:t>降临世间的</w:t>
      </w:r>
      <w:r w:rsidRPr="00794712">
        <w:rPr>
          <w:lang w:val="ru-RU"/>
        </w:rPr>
        <w:t>具体原因：</w:t>
      </w:r>
    </w:p>
    <w:p w14:paraId="03625047" w14:textId="77777777" w:rsidR="00D85B34" w:rsidRPr="00E0779A" w:rsidRDefault="00F45CFB" w:rsidP="00D85B34">
      <w:pPr>
        <w:ind w:firstLine="708"/>
        <w:rPr>
          <w:lang w:val="ru-RU"/>
        </w:rPr>
      </w:pPr>
      <w:r w:rsidRPr="00F45CFB">
        <w:rPr>
          <w:b/>
          <w:bCs/>
          <w:lang w:val="ru-RU"/>
        </w:rPr>
        <w:lastRenderedPageBreak/>
        <w:t>1)</w:t>
      </w:r>
      <w:r w:rsidR="00D85B34" w:rsidRPr="00794712">
        <w:rPr>
          <w:lang w:val="ru-RU"/>
        </w:rPr>
        <w:t xml:space="preserve"> 人们理应在漫长的岁月中，通过亲身经历认识到并尽可能深刻地体会到自己堕落的全部深度以及道德上的无力，从而更热切地渴求神的帮助，并在神施予帮助时更虔诚地接受它（罗8</w:t>
      </w:r>
      <w:r w:rsidR="00D85B34" w:rsidRPr="008E4522">
        <w:rPr>
          <w:lang w:val="ru-RU"/>
        </w:rPr>
        <w:t>:</w:t>
      </w:r>
      <w:r w:rsidR="00D85B34" w:rsidRPr="00794712">
        <w:rPr>
          <w:lang w:val="ru-RU"/>
        </w:rPr>
        <w:t>3）： 因为神不能违背人的意志和意愿来拯救他们。“圣格里高利·神学家写道：‘在漫长的岁月里，人类的生活经历了两次著名的转变，被称为两个约。一次是从偶像转向律法，另一次是从律法转向</w:t>
      </w:r>
      <w:r w:rsidR="00D85B34" w:rsidRPr="004F24FE">
        <w:rPr>
          <w:lang w:val="ru-RU"/>
        </w:rPr>
        <w:t>福音……’</w:t>
      </w:r>
      <w:r w:rsidR="00D85B34" w:rsidRPr="00794712">
        <w:rPr>
          <w:lang w:val="ru-RU"/>
        </w:rPr>
        <w:t xml:space="preserve"> 但这两约都经历了同样的情况。究竟是什么呢？它们并非一蹴而就，也不是初次尝试就得以确立。这是为什么呢？我们需要知道，我们并非被强迫，而是被说服。因为非自愿之事便不持久，正如溪流或植物无法长期被强行留住。 而自愿的则更为牢固、更值得信赖。前者是施暴者所为，后者则是我们自己的事。前者属于强权，后者</w:t>
      </w:r>
      <w:r w:rsidR="00D85B34">
        <w:rPr>
          <w:lang w:val="ru-RU"/>
        </w:rPr>
        <w:t>则</w:t>
      </w:r>
      <w:r w:rsidR="00D85B34" w:rsidRPr="00794712">
        <w:rPr>
          <w:lang w:val="ru-RU"/>
        </w:rPr>
        <w:t>属于上帝的公义。因此，上帝规定：行善不应针对那些不情愿的人，而应施恩于那些愿意的人。</w:t>
      </w:r>
      <w:r w:rsidR="00D85B34" w:rsidRPr="00E0779A">
        <w:rPr>
          <w:lang w:val="ru-RU"/>
        </w:rPr>
        <w:t>”</w:t>
      </w:r>
      <w:r w:rsidR="002E6070">
        <w:rPr>
          <w:rStyle w:val="FootnoteReference"/>
          <w:lang w:val="ru-RU"/>
        </w:rPr>
        <w:footnoteReference w:id="51"/>
      </w:r>
    </w:p>
    <w:p w14:paraId="6DAE73C7" w14:textId="77777777" w:rsidR="00D85B34" w:rsidRPr="007D1756" w:rsidRDefault="00F45CFB" w:rsidP="00D85B34">
      <w:pPr>
        <w:ind w:firstLine="708"/>
        <w:rPr>
          <w:lang w:val="ru-RU"/>
        </w:rPr>
      </w:pPr>
      <w:r w:rsidRPr="00F45CFB">
        <w:rPr>
          <w:b/>
          <w:bCs/>
          <w:lang w:val="ru-RU"/>
        </w:rPr>
        <w:t>2)</w:t>
      </w:r>
      <w:r w:rsidR="00D85B34" w:rsidRPr="00794712">
        <w:rPr>
          <w:lang w:val="ru-RU"/>
        </w:rPr>
        <w:t xml:space="preserve"> 原本应当让深深渗透进人类本性的罪恶之毒，一点一点地全部显露出来，让人类这种道德上的疾病完全成熟并达到其发展的极致，而正是在那时，天上的灵魂与身体之医才显现出来，以实现</w:t>
      </w:r>
      <w:r w:rsidR="00D85B34" w:rsidRPr="00AA0891">
        <w:t>对其</w:t>
      </w:r>
      <w:r w:rsidR="00D85B34" w:rsidRPr="00794712">
        <w:rPr>
          <w:lang w:val="ru-RU"/>
        </w:rPr>
        <w:t xml:space="preserve">彻底而完美的医治： </w:t>
      </w:r>
      <w:r w:rsidR="00D85B34" w:rsidRPr="00E5056B">
        <w:rPr>
          <w:i/>
          <w:iCs/>
          <w:lang w:val="ru-RU"/>
        </w:rPr>
        <w:t>“罪越发增多，恩典就越发丰盛</w:t>
      </w:r>
      <w:r w:rsidR="00D85B34" w:rsidRPr="00794712">
        <w:rPr>
          <w:lang w:val="ru-RU"/>
        </w:rPr>
        <w:t>，”使徒如是说（罗马书 5</w:t>
      </w:r>
      <w:r w:rsidR="00D85B34" w:rsidRPr="0080436A">
        <w:rPr>
          <w:lang w:val="ru-RU"/>
        </w:rPr>
        <w:t>:</w:t>
      </w:r>
      <w:r w:rsidR="00D85B34" w:rsidRPr="00794712">
        <w:rPr>
          <w:lang w:val="ru-RU"/>
        </w:rPr>
        <w:t>20）</w:t>
      </w:r>
      <w:r w:rsidR="00D85B34" w:rsidRPr="00E5056B">
        <w:rPr>
          <w:lang w:val="ru-RU"/>
        </w:rPr>
        <w:t>。</w:t>
      </w:r>
      <w:r w:rsidR="00D85B34" w:rsidRPr="00794712">
        <w:rPr>
          <w:lang w:val="ru-RU"/>
        </w:rPr>
        <w:t xml:space="preserve"> “那位为了消灭邪恶而甘愿取人性命者，”圣格里高利·尼西的解释道，“（必然）等待着，直到仇敌播下的罪恶结出所有果实；此后，正如《福音书》所言，祂才将斧头架在树根上</w:t>
      </w:r>
      <w:r w:rsidR="000A57C3">
        <w:rPr>
          <w:lang w:val="ru-RU"/>
        </w:rPr>
        <w:t>（马太</w:t>
      </w:r>
      <w:r w:rsidR="00D85B34" w:rsidRPr="00794712">
        <w:rPr>
          <w:lang w:val="ru-RU"/>
        </w:rPr>
        <w:t>福音3</w:t>
      </w:r>
      <w:r w:rsidR="00D85B34" w:rsidRPr="007D1756">
        <w:rPr>
          <w:lang w:val="ru-RU"/>
        </w:rPr>
        <w:t>:</w:t>
      </w:r>
      <w:r w:rsidR="00D85B34" w:rsidRPr="00794712">
        <w:rPr>
          <w:lang w:val="ru-RU"/>
        </w:rPr>
        <w:t>10）。 正如最精明的医生，当高烧仍在体内灼烧身体，并因病因逐渐加剧时，他们会抑制病情，不允许病人进食任何食物， 直到疾病达到极点；而当疾病完全显现、不再扩散时，他们才开始施展医术：同样，这位治愈病痛灵魂的大医师也会暂缓行动，直到感染人类本性的罪恶之疾完全显现，以确保没有任何部分被隐瞒，也没有任何部分未能得到治愈</w:t>
      </w:r>
      <w:r w:rsidR="00D85B34" w:rsidRPr="007D1756">
        <w:rPr>
          <w:lang w:val="ru-RU"/>
        </w:rPr>
        <w:t>。”</w:t>
      </w:r>
      <w:r w:rsidR="002E6070">
        <w:rPr>
          <w:rStyle w:val="FootnoteReference"/>
          <w:lang w:val="ru-RU"/>
        </w:rPr>
        <w:footnoteReference w:id="52"/>
      </w:r>
    </w:p>
    <w:p w14:paraId="589C9E24" w14:textId="77777777" w:rsidR="00D85B34" w:rsidRPr="00E86D4F" w:rsidRDefault="00F45CFB" w:rsidP="00D85B34">
      <w:pPr>
        <w:ind w:firstLine="708"/>
        <w:rPr>
          <w:lang w:val="ru-RU"/>
        </w:rPr>
      </w:pPr>
      <w:r w:rsidRPr="00F45CFB">
        <w:rPr>
          <w:b/>
          <w:bCs/>
          <w:lang w:val="ru-RU"/>
        </w:rPr>
        <w:t>3)</w:t>
      </w:r>
      <w:r w:rsidR="00D85B34" w:rsidRPr="00794712">
        <w:rPr>
          <w:lang w:val="ru-RU"/>
        </w:rPr>
        <w:t xml:space="preserve"> 应当预先告知世人，像救赎主这样非凡的上帝使者即将降临人间，并逐步向他们传达关于祂奇妙显现、生平与死亡的一切详情，以便当祂显现时，他们能够更准确地认出祂； 还应当逐步引导他们为领受救赎主将要带来的崇高教义做好准备，若没有这种事先的引导，他们便无法领会这些教义。 “主知道，”圣奥古斯丁说，“祂何时应当显现。在此之前，需要 通过漫长的岁月预先宣告祂的到来：因为即将显现的是一件非同小可的大事。必须长久地预先宣告祂，始终期待祂的到来。 审判者越是伟大，祂之前预告祂的先知就越多。</w:t>
      </w:r>
      <w:r w:rsidR="00D85B34" w:rsidRPr="00F7181C">
        <w:rPr>
          <w:lang w:val="ru-RU"/>
        </w:rPr>
        <w:t>”</w:t>
      </w:r>
      <w:r w:rsidR="002E6070">
        <w:rPr>
          <w:rStyle w:val="FootnoteReference"/>
          <w:lang w:val="ru-RU"/>
        </w:rPr>
        <w:footnoteReference w:id="53"/>
      </w:r>
      <w:r w:rsidR="00D85B34" w:rsidRPr="00794712">
        <w:rPr>
          <w:lang w:val="ru-RU"/>
        </w:rPr>
        <w:t xml:space="preserve"> 而大圣巴西尔则这样论述：“我们救恩的建造者，就像在黑暗中长大的人的眼睛一样，在让我们逐渐适应之后，将我们引入真理的大光之中；因为祂怜悯我们的软弱。 在祂智慧的深奥宝库中，以及在不可测度的理智计划里，祂为我们预备了这轻松且适合我们的指引，先教导我们辨认物体的影子，并在水中凝视太阳，以免我们突然直面纯净的光芒时，眼睛被刺得发暗。 </w:t>
      </w:r>
      <w:r w:rsidR="00D85B34" w:rsidRPr="00794712">
        <w:rPr>
          <w:lang w:val="ru-RU"/>
        </w:rPr>
        <w:lastRenderedPageBreak/>
        <w:t>基于同样的理由，律法——作为未来福分的庇护所（希伯来书 10</w:t>
      </w:r>
      <w:r w:rsidR="00D85B34" w:rsidRPr="00E86D4F">
        <w:rPr>
          <w:lang w:val="ru-RU"/>
        </w:rPr>
        <w:t>:</w:t>
      </w:r>
      <w:r w:rsidR="00D85B34" w:rsidRPr="00794712">
        <w:rPr>
          <w:lang w:val="ru-RU"/>
        </w:rPr>
        <w:t>1）——以及先知们的预表——这些真理的预兆，旨在教导心灵之眼，使我们能够从这些预表顺利过渡到那隐藏在奥秘中的智慧。</w:t>
      </w:r>
      <w:r w:rsidR="00D85B34" w:rsidRPr="00E86D4F">
        <w:rPr>
          <w:lang w:val="ru-RU"/>
        </w:rPr>
        <w:t>”</w:t>
      </w:r>
      <w:r w:rsidR="002E6070">
        <w:rPr>
          <w:rStyle w:val="FootnoteReference"/>
          <w:lang w:val="ru-RU"/>
        </w:rPr>
        <w:footnoteReference w:id="54"/>
      </w:r>
    </w:p>
    <w:p w14:paraId="0B6BA6DE" w14:textId="77777777" w:rsidR="00D85B34" w:rsidRPr="005C5911" w:rsidRDefault="00F45CFB" w:rsidP="00D85B34">
      <w:pPr>
        <w:ind w:firstLine="708"/>
        <w:rPr>
          <w:lang w:val="ru-RU"/>
        </w:rPr>
      </w:pPr>
      <w:r w:rsidRPr="00F45CFB">
        <w:rPr>
          <w:b/>
          <w:bCs/>
          <w:lang w:val="ru-RU"/>
        </w:rPr>
        <w:t>4)</w:t>
      </w:r>
      <w:r w:rsidR="00D85B34" w:rsidRPr="00794712">
        <w:rPr>
          <w:lang w:val="ru-RU"/>
        </w:rPr>
        <w:t xml:space="preserve"> 罪人本应先在众先祖和旧约所有圣徒的行列中，经历漫长的洁净与成圣过程，才能最终在无瑕的玛利亚身上，达到足以成为至圣者——道成肉身的上帝——居所的那种纯洁与圣洁的境界。 “一位古代教会导师说：‘早在世界被造之前，神的道成肉身就已经被预定了；但直到至圣的玛利亚出现之前，都未曾找到一个配得道成肉身的居所（</w:t>
      </w:r>
      <w:r w:rsidR="00D85B34" w:rsidRPr="00AA0891">
        <w:t>εργαστήριον</w:t>
      </w:r>
      <w:r w:rsidR="00D85B34" w:rsidRPr="00794712">
        <w:rPr>
          <w:lang w:val="ru-RU"/>
        </w:rPr>
        <w:t>）。 而当这个居所被寻获时，主便道成肉身了。</w:t>
      </w:r>
      <w:r w:rsidR="00D85B34" w:rsidRPr="00243307">
        <w:rPr>
          <w:lang w:val="ru-RU"/>
        </w:rPr>
        <w:t>”</w:t>
      </w:r>
      <w:r w:rsidR="002E6070">
        <w:rPr>
          <w:rStyle w:val="FootnoteReference"/>
          <w:lang w:val="ru-RU"/>
        </w:rPr>
        <w:footnoteReference w:id="55"/>
      </w:r>
      <w:r w:rsidR="00D85B34" w:rsidRPr="00794712">
        <w:rPr>
          <w:lang w:val="ru-RU"/>
        </w:rPr>
        <w:t xml:space="preserve"> “一位后来的东正教神学家写道：‘谁能不感到惊讶，因亚当的罪过，上帝的道迟迟未降临人间道成肉身，以拯救堕落的人类，甚至延迟了近六千年。 地上找不到任何一位处女，不仅身体纯洁，而且心灵也纯洁。唯有一位，既是第一位，也是最后一位，正因她那双重的纯洁——我指的是身体上的和心灵上的——才被造就为配作教会，成为圣灵的殿宇</w:t>
      </w:r>
      <w:r w:rsidR="00D85B34" w:rsidRPr="005C5911">
        <w:rPr>
          <w:lang w:val="ru-RU"/>
        </w:rPr>
        <w:t>。”</w:t>
      </w:r>
      <w:r w:rsidR="002E6070">
        <w:rPr>
          <w:rStyle w:val="FootnoteReference"/>
          <w:lang w:val="ru-RU"/>
        </w:rPr>
        <w:footnoteReference w:id="56"/>
      </w:r>
    </w:p>
    <w:p w14:paraId="3BED59AE" w14:textId="77777777" w:rsidR="00D85B34" w:rsidRPr="00794712" w:rsidRDefault="00D85B34" w:rsidP="00D85B34">
      <w:pPr>
        <w:rPr>
          <w:lang w:val="ru-RU"/>
        </w:rPr>
      </w:pPr>
      <w:r w:rsidRPr="00794712">
        <w:rPr>
          <w:lang w:val="ru-RU"/>
        </w:rPr>
        <w:tab/>
        <w:t>简而言之：首先必须通过各种方式和不同层面，使人类做好准备，以迎接自创世以来就预定的救赎主；然后，救赎主才会显现。</w:t>
      </w:r>
    </w:p>
    <w:p w14:paraId="1B96498C" w14:textId="77777777" w:rsidR="00D85B34" w:rsidRPr="00794712" w:rsidRDefault="00D85B34" w:rsidP="00D85B34">
      <w:pPr>
        <w:rPr>
          <w:lang w:val="ru-RU"/>
        </w:rPr>
      </w:pPr>
      <w:r w:rsidRPr="00794712">
        <w:rPr>
          <w:lang w:val="ru-RU"/>
        </w:rPr>
        <w:tab/>
        <w:t>无限智慧的上帝确实如此行事。</w:t>
      </w:r>
    </w:p>
    <w:p w14:paraId="6F903176" w14:textId="77777777" w:rsidR="00D85B34" w:rsidRDefault="00D85B34" w:rsidP="00D85B34">
      <w:pPr>
        <w:rPr>
          <w:lang w:val="ru-RU"/>
        </w:rPr>
      </w:pPr>
      <w:r w:rsidRPr="00794712">
        <w:rPr>
          <w:lang w:val="ru-RU"/>
        </w:rPr>
        <w:tab/>
      </w:r>
    </w:p>
    <w:p w14:paraId="09C65F27" w14:textId="77777777" w:rsidR="00D85B34" w:rsidRPr="00794712" w:rsidRDefault="00D85B34" w:rsidP="007B240B">
      <w:pPr>
        <w:pStyle w:val="Heading5"/>
        <w:rPr>
          <w:lang w:val="ru-RU"/>
        </w:rPr>
      </w:pPr>
      <w:bookmarkStart w:id="61" w:name="_Toc133155556"/>
      <w:bookmarkStart w:id="62" w:name="_Toc180664569"/>
      <w:bookmarkStart w:id="63" w:name="_Toc180679190"/>
      <w:bookmarkStart w:id="64" w:name="_Toc180679247"/>
      <w:bookmarkStart w:id="65" w:name="_Toc180679770"/>
      <w:bookmarkStart w:id="66" w:name="_Toc238453652"/>
      <w:bookmarkStart w:id="67" w:name="_Toc238576468"/>
      <w:r w:rsidRPr="00794712">
        <w:rPr>
          <w:lang w:val="ru-RU"/>
        </w:rPr>
        <w:t>§129. 上帝为人类接纳救赎主所做的预备，以及历代对祂的信仰</w:t>
      </w:r>
      <w:bookmarkEnd w:id="61"/>
      <w:bookmarkEnd w:id="62"/>
      <w:bookmarkEnd w:id="63"/>
      <w:bookmarkEnd w:id="64"/>
      <w:bookmarkEnd w:id="65"/>
      <w:bookmarkEnd w:id="66"/>
      <w:bookmarkEnd w:id="67"/>
    </w:p>
    <w:p w14:paraId="1A3D0235" w14:textId="77777777" w:rsidR="00D85B34" w:rsidRPr="00794712" w:rsidRDefault="00D85B34" w:rsidP="00D85B34">
      <w:pPr>
        <w:ind w:firstLine="708"/>
        <w:rPr>
          <w:lang w:val="ru-RU"/>
        </w:rPr>
      </w:pPr>
      <w:r w:rsidRPr="00794712">
        <w:rPr>
          <w:lang w:val="ru-RU"/>
        </w:rPr>
        <w:t>上帝为使人类能够接受救赎主所做的这种预备，分为两个伟大的时期：第一时期——从亚当到信徒之父亚伯拉罕（约3448年）；第二时期——从亚伯拉罕到救赎主降临之时（约2060年）。</w:t>
      </w:r>
    </w:p>
    <w:p w14:paraId="318A7715" w14:textId="77777777" w:rsidR="00D85B34" w:rsidRPr="00794712" w:rsidRDefault="00D85B34" w:rsidP="00D85B34">
      <w:pPr>
        <w:rPr>
          <w:lang w:val="ru-RU"/>
        </w:rPr>
      </w:pPr>
      <w:r w:rsidRPr="00794712">
        <w:rPr>
          <w:lang w:val="ru-RU"/>
        </w:rPr>
        <w:tab/>
        <w:t>在第一个、也是最漫长的时期里，上帝以同样的方式为全人类作了预备。</w:t>
      </w:r>
    </w:p>
    <w:p w14:paraId="28073394" w14:textId="77777777" w:rsidR="00D85B34" w:rsidRPr="00794712" w:rsidRDefault="00F45CFB" w:rsidP="00D85B34">
      <w:pPr>
        <w:ind w:firstLine="708"/>
        <w:rPr>
          <w:lang w:val="ru-RU"/>
        </w:rPr>
      </w:pPr>
      <w:r w:rsidRPr="00F45CFB">
        <w:rPr>
          <w:b/>
          <w:lang w:val="ru-RU"/>
        </w:rPr>
        <w:t>1)</w:t>
      </w:r>
      <w:r w:rsidR="00D85B34" w:rsidRPr="00794712">
        <w:rPr>
          <w:lang w:val="ru-RU"/>
        </w:rPr>
        <w:t xml:space="preserve"> 我们的始祖一被蛇迷惑而堕落</w:t>
      </w:r>
      <w:r w:rsidR="00D85B34">
        <w:rPr>
          <w:lang w:val="ru-RU"/>
        </w:rPr>
        <w:t>，</w:t>
      </w:r>
      <w:r w:rsidR="00D85B34" w:rsidRPr="00794712">
        <w:rPr>
          <w:lang w:val="ru-RU"/>
        </w:rPr>
        <w:t>上帝</w:t>
      </w:r>
      <w:r w:rsidR="00A95A76" w:rsidRPr="00A95A76">
        <w:rPr>
          <w:b/>
          <w:lang w:val="ru-RU"/>
        </w:rPr>
        <w:t>便——a)</w:t>
      </w:r>
      <w:r w:rsidR="00D85B34" w:rsidRPr="00794712">
        <w:rPr>
          <w:lang w:val="ru-RU"/>
        </w:rPr>
        <w:t xml:space="preserve"> 向他们应许：那将由妻子所生的后裔要伤这蛇的头（创世记 3</w:t>
      </w:r>
      <w:r w:rsidR="00D85B34" w:rsidRPr="002F22B7">
        <w:rPr>
          <w:lang w:val="ru-RU"/>
        </w:rPr>
        <w:t>:</w:t>
      </w:r>
      <w:r w:rsidR="00D85B34" w:rsidRPr="00794712">
        <w:rPr>
          <w:lang w:val="ru-RU"/>
        </w:rPr>
        <w:t>15），即将来由妻子所生的救赎主（加拉太书 4</w:t>
      </w:r>
      <w:r w:rsidR="00D85B34" w:rsidRPr="002F22B7">
        <w:rPr>
          <w:lang w:val="ru-RU"/>
        </w:rPr>
        <w:t>:</w:t>
      </w:r>
      <w:r w:rsidRPr="00F45CFB">
        <w:rPr>
          <w:b/>
          <w:lang w:val="ru-RU"/>
        </w:rPr>
        <w:t>4）</w:t>
      </w:r>
      <w:r w:rsidR="00D85B34" w:rsidRPr="00794712">
        <w:rPr>
          <w:lang w:val="ru-RU"/>
        </w:rPr>
        <w:t xml:space="preserve">将摧毁魔鬼的作为 </w:t>
      </w:r>
      <w:r w:rsidR="008A3626">
        <w:rPr>
          <w:lang w:val="ru-RU"/>
        </w:rPr>
        <w:t>（</w:t>
      </w:r>
      <w:r w:rsidR="00D85B34" w:rsidRPr="00794712">
        <w:rPr>
          <w:lang w:val="ru-RU"/>
        </w:rPr>
        <w:t>约壹3</w:t>
      </w:r>
      <w:r w:rsidR="00D85B34" w:rsidRPr="00890F55">
        <w:rPr>
          <w:lang w:val="ru-RU"/>
        </w:rPr>
        <w:t>:</w:t>
      </w:r>
      <w:r w:rsidR="00D85B34" w:rsidRPr="00794712">
        <w:rPr>
          <w:lang w:val="ru-RU"/>
        </w:rPr>
        <w:t>8），并将人类从堕落所带来的所有致命后果中拯救出来（来2</w:t>
      </w:r>
      <w:r w:rsidR="00D85B34" w:rsidRPr="00F84B56">
        <w:rPr>
          <w:lang w:val="ru-RU"/>
        </w:rPr>
        <w:t>:</w:t>
      </w:r>
      <w:r w:rsidR="00D85B34" w:rsidRPr="00794712">
        <w:rPr>
          <w:lang w:val="ru-RU"/>
        </w:rPr>
        <w:t>14）；与此同时</w:t>
      </w:r>
      <w:r w:rsidR="00A95A76" w:rsidRPr="00A95A76">
        <w:rPr>
          <w:b/>
          <w:lang w:val="ru-RU"/>
        </w:rPr>
        <w:t>，b）</w:t>
      </w:r>
      <w:r w:rsidR="00D85B34" w:rsidRPr="00794712">
        <w:rPr>
          <w:lang w:val="ru-RU"/>
        </w:rPr>
        <w:t>设立了献祭制度，作为弥赛亚将在各各他为世人的罪所献上的那伟大牺牲的预表</w:t>
      </w:r>
      <w:r w:rsidR="00AF1C01" w:rsidRPr="00AF1C01">
        <w:rPr>
          <w:lang w:val="ru-RU"/>
        </w:rPr>
        <w:t>[</w:t>
      </w:r>
      <w:r w:rsidR="00D85B34" w:rsidRPr="00794712">
        <w:rPr>
          <w:lang w:val="ru-RU"/>
        </w:rPr>
        <w:t>（来9</w:t>
      </w:r>
      <w:r w:rsidR="00D85B34" w:rsidRPr="009008E9">
        <w:rPr>
          <w:lang w:val="ru-RU"/>
        </w:rPr>
        <w:t>:</w:t>
      </w:r>
      <w:r w:rsidR="00D85B34" w:rsidRPr="00794712">
        <w:rPr>
          <w:lang w:val="ru-RU"/>
        </w:rPr>
        <w:t>26</w:t>
      </w:r>
      <w:r w:rsidR="00AF1C01">
        <w:rPr>
          <w:lang w:val="ru-RU"/>
        </w:rPr>
        <w:t>）</w:t>
      </w:r>
      <w:r w:rsidR="00D85B34" w:rsidRPr="00794712">
        <w:rPr>
          <w:lang w:val="ru-RU"/>
        </w:rPr>
        <w:t>；</w:t>
      </w:r>
      <w:r w:rsidR="00FB2012">
        <w:rPr>
          <w:rFonts w:cs="Cambria Math"/>
          <w:lang w:val="ru-RU"/>
        </w:rPr>
        <w:t xml:space="preserve"> </w:t>
      </w:r>
      <w:r w:rsidR="00AF1C01" w:rsidRPr="00AF1C01">
        <w:rPr>
          <w:rFonts w:cs="Cambria Math"/>
          <w:lang w:val="ru-RU"/>
        </w:rPr>
        <w:t>（</w:t>
      </w:r>
      <w:r w:rsidR="00AF1C01">
        <w:rPr>
          <w:rFonts w:cs="Cambria Math"/>
          <w:lang w:val="ru-RU"/>
        </w:rPr>
        <w:t>希伯来书</w:t>
      </w:r>
      <w:r w:rsidR="00D85B34" w:rsidRPr="00794712">
        <w:rPr>
          <w:lang w:val="ru-RU"/>
        </w:rPr>
        <w:t xml:space="preserve"> 10</w:t>
      </w:r>
      <w:r w:rsidR="00D85B34" w:rsidRPr="009008E9">
        <w:rPr>
          <w:lang w:val="ru-RU"/>
        </w:rPr>
        <w:t>:</w:t>
      </w:r>
      <w:r w:rsidR="00D85B34" w:rsidRPr="00794712">
        <w:rPr>
          <w:lang w:val="ru-RU"/>
        </w:rPr>
        <w:t>11-12）</w:t>
      </w:r>
      <w:r w:rsidR="00AF1C01" w:rsidRPr="00AF1C01">
        <w:rPr>
          <w:lang w:val="ru-RU"/>
        </w:rPr>
        <w:t>]</w:t>
      </w:r>
      <w:r w:rsidR="00D85B34" w:rsidRPr="00794712">
        <w:rPr>
          <w:lang w:val="ru-RU"/>
        </w:rPr>
        <w:t>。</w:t>
      </w:r>
      <w:r w:rsidR="002E6070">
        <w:rPr>
          <w:rStyle w:val="FootnoteReference"/>
          <w:lang w:val="ru-RU"/>
        </w:rPr>
        <w:footnoteReference w:id="57"/>
      </w:r>
      <w:r w:rsidR="00D85B34" w:rsidRPr="00794712">
        <w:rPr>
          <w:lang w:val="ru-RU"/>
        </w:rPr>
        <w:t xml:space="preserve"> 自从这关于弥赛亚的“首福音”——早在伊甸园中便已宣告——以及预示祂受难与死亡的献祭制度确立以来，对主耶稣的救赎之信便一直持续存在于人类之中。 凭着这份信心，亚当给妻子起了名叫“生命”（创世记 3</w:t>
      </w:r>
      <w:r w:rsidR="00D85B34" w:rsidRPr="008E6547">
        <w:rPr>
          <w:lang w:val="ru-RU"/>
        </w:rPr>
        <w:t>:</w:t>
      </w:r>
      <w:r w:rsidR="00D85B34" w:rsidRPr="00794712">
        <w:rPr>
          <w:lang w:val="ru-RU"/>
        </w:rPr>
        <w:t>20），尽管他听见了审判者的判决：</w:t>
      </w:r>
      <w:r w:rsidR="00D85B34" w:rsidRPr="008E6547">
        <w:rPr>
          <w:i/>
          <w:iCs/>
          <w:lang w:val="ru-RU"/>
        </w:rPr>
        <w:t>“你是尘土，仍要归于尘土”</w:t>
      </w:r>
      <w:r w:rsidR="00D85B34" w:rsidRPr="00794712">
        <w:rPr>
          <w:lang w:val="ru-RU"/>
        </w:rPr>
        <w:t>（</w:t>
      </w:r>
      <w:r w:rsidR="00D85B34">
        <w:rPr>
          <w:lang w:val="ru-RU"/>
        </w:rPr>
        <w:t>创世记 3:</w:t>
      </w:r>
      <w:r w:rsidR="00D85B34" w:rsidRPr="00794712">
        <w:rPr>
          <w:lang w:val="ru-RU"/>
        </w:rPr>
        <w:t>19）；凭着这份信心，夏娃给她的长子该隐起了名叫“我从神那里得了人”（创世记 4</w:t>
      </w:r>
      <w:r w:rsidR="00AF1C01">
        <w:rPr>
          <w:lang w:val="ru-RU"/>
        </w:rPr>
        <w:t>:</w:t>
      </w:r>
      <w:r w:rsidR="00D85B34" w:rsidRPr="00794712">
        <w:rPr>
          <w:lang w:val="ru-RU"/>
        </w:rPr>
        <w:t>1）；毫无疑问，正是基于这种信仰，正如智者所见证、圣教会所宣认的那样，神的位格性智慧</w:t>
      </w:r>
      <w:r w:rsidR="00D85B34" w:rsidRPr="00B11A94">
        <w:rPr>
          <w:i/>
          <w:iCs/>
          <w:lang w:val="ru-RU"/>
        </w:rPr>
        <w:t>“保全了世界最初的父亲——那位独一被造者，并 将他从自身的堕落中拯救出来”</w:t>
      </w:r>
      <w:r w:rsidR="00D85B34" w:rsidRPr="00794712">
        <w:rPr>
          <w:lang w:val="ru-RU"/>
        </w:rPr>
        <w:t>（《智慧书》10</w:t>
      </w:r>
      <w:r w:rsidR="00D85B34" w:rsidRPr="00B11A94">
        <w:rPr>
          <w:lang w:val="ru-RU"/>
        </w:rPr>
        <w:t>:</w:t>
      </w:r>
      <w:r w:rsidR="00D85B34" w:rsidRPr="00794712">
        <w:rPr>
          <w:lang w:val="ru-RU"/>
        </w:rPr>
        <w:t>1）：</w:t>
      </w:r>
      <w:r w:rsidR="00A84D26">
        <w:rPr>
          <w:rStyle w:val="FootnoteReference"/>
          <w:lang w:val="ru-RU"/>
        </w:rPr>
        <w:footnoteReference w:id="58"/>
      </w:r>
      <w:r w:rsidR="00D85B34" w:rsidRPr="00794712">
        <w:rPr>
          <w:lang w:val="ru-RU"/>
        </w:rPr>
        <w:t xml:space="preserve"> </w:t>
      </w:r>
      <w:r w:rsidR="00D85B34" w:rsidRPr="00057B08">
        <w:rPr>
          <w:i/>
          <w:iCs/>
          <w:lang w:val="ru-RU"/>
        </w:rPr>
        <w:lastRenderedPageBreak/>
        <w:t>“因为在天下人间，没有赐下别的名，我们可以靠着得救”</w:t>
      </w:r>
      <w:r w:rsidR="00D85B34" w:rsidRPr="00794712">
        <w:rPr>
          <w:lang w:val="ru-RU"/>
        </w:rPr>
        <w:t>（使徒行传 4</w:t>
      </w:r>
      <w:r w:rsidR="00D85B34" w:rsidRPr="00057B08">
        <w:rPr>
          <w:lang w:val="ru-RU"/>
        </w:rPr>
        <w:t>:</w:t>
      </w:r>
      <w:r w:rsidR="00D85B34" w:rsidRPr="00794712">
        <w:rPr>
          <w:lang w:val="ru-RU"/>
        </w:rPr>
        <w:t>12），除了耶稣基督的名。凭着这信心</w:t>
      </w:r>
      <w:r w:rsidR="00D85B34" w:rsidRPr="002F1537">
        <w:rPr>
          <w:i/>
          <w:iCs/>
          <w:lang w:val="ru-RU"/>
        </w:rPr>
        <w:t>，“亚伯向神献的祭比该隐的更美；因此他便得了称义的见证”</w:t>
      </w:r>
      <w:r w:rsidR="00D85B34" w:rsidRPr="00794712">
        <w:rPr>
          <w:lang w:val="ru-RU"/>
        </w:rPr>
        <w:t>（希伯来书 11</w:t>
      </w:r>
      <w:r w:rsidR="00D85B34" w:rsidRPr="001E6B4C">
        <w:rPr>
          <w:lang w:val="ru-RU"/>
        </w:rPr>
        <w:t>:</w:t>
      </w:r>
      <w:r w:rsidR="00D85B34" w:rsidRPr="00794712">
        <w:rPr>
          <w:lang w:val="ru-RU"/>
        </w:rPr>
        <w:t>4）。 凭着这信心</w:t>
      </w:r>
      <w:r w:rsidR="00D85B34" w:rsidRPr="00BA0506">
        <w:rPr>
          <w:i/>
          <w:iCs/>
          <w:lang w:val="ru-RU"/>
        </w:rPr>
        <w:t>，“以诺被接去，不至于见死；人也找不着他，因为神把他接去了。只是他在被接去以前，已经得了神喜悦他的明证”</w:t>
      </w:r>
      <w:r w:rsidR="00D85B34" w:rsidRPr="00794712">
        <w:rPr>
          <w:lang w:val="ru-RU"/>
        </w:rPr>
        <w:t>（希伯来书 11</w:t>
      </w:r>
      <w:r w:rsidR="00D85B34" w:rsidRPr="001E6B4C">
        <w:rPr>
          <w:lang w:val="ru-RU"/>
        </w:rPr>
        <w:t>:</w:t>
      </w:r>
      <w:r w:rsidR="00D85B34" w:rsidRPr="00793149">
        <w:rPr>
          <w:lang w:val="ru-RU"/>
        </w:rPr>
        <w:t>5</w:t>
      </w:r>
      <w:r w:rsidR="00D85B34" w:rsidRPr="00794712">
        <w:rPr>
          <w:lang w:val="ru-RU"/>
        </w:rPr>
        <w:t>）。毫无疑问，以诺、玛土撒拉、拉麦、 挪亚以及所有其他族长和义人，经上记载他们“开始求告耶和华神的名”（创世记 4</w:t>
      </w:r>
      <w:r w:rsidR="00D85B34" w:rsidRPr="00DC1ECD">
        <w:rPr>
          <w:lang w:val="ru-RU"/>
        </w:rPr>
        <w:t>:</w:t>
      </w:r>
      <w:r w:rsidR="00D85B34" w:rsidRPr="00794712">
        <w:rPr>
          <w:lang w:val="ru-RU"/>
        </w:rPr>
        <w:t>26），他们蒙神喜悦，在耶和华面前蒙恩（</w:t>
      </w:r>
      <w:r w:rsidR="00D85B34">
        <w:rPr>
          <w:lang w:val="ru-RU"/>
        </w:rPr>
        <w:t>创世记 6:8-9</w:t>
      </w:r>
      <w:r w:rsidR="00D85B34" w:rsidRPr="00794712">
        <w:rPr>
          <w:lang w:val="ru-RU"/>
        </w:rPr>
        <w:t xml:space="preserve">）： </w:t>
      </w:r>
      <w:r w:rsidR="00D85B34" w:rsidRPr="001B293B">
        <w:rPr>
          <w:i/>
          <w:iCs/>
          <w:lang w:val="ru-RU"/>
        </w:rPr>
        <w:t>因为若没有</w:t>
      </w:r>
      <w:r w:rsidR="00D85B34" w:rsidRPr="00794712">
        <w:rPr>
          <w:lang w:val="ru-RU"/>
        </w:rPr>
        <w:t>对救赎主的</w:t>
      </w:r>
      <w:r w:rsidR="00D85B34" w:rsidRPr="001B293B">
        <w:rPr>
          <w:i/>
          <w:iCs/>
          <w:lang w:val="ru-RU"/>
        </w:rPr>
        <w:t>信心，就不可能讨神喜悦</w:t>
      </w:r>
      <w:r w:rsidR="00D85B34" w:rsidRPr="00794712">
        <w:rPr>
          <w:lang w:val="ru-RU"/>
        </w:rPr>
        <w:t>（希伯来书 11</w:t>
      </w:r>
      <w:r w:rsidR="00D85B34">
        <w:rPr>
          <w:lang w:val="ru-RU"/>
        </w:rPr>
        <w:t>:</w:t>
      </w:r>
      <w:r w:rsidR="00D85B34" w:rsidRPr="00794712">
        <w:rPr>
          <w:lang w:val="ru-RU"/>
        </w:rPr>
        <w:t>6）。</w:t>
      </w:r>
    </w:p>
    <w:p w14:paraId="37526B2A"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当时，上帝为在人类中维护和传播真正的信仰与虔诚——尤其是关于弥赛亚的“初传福音”以及对祭祀象征的正确理解——所采用的手段，主要包括以下几点：</w:t>
      </w:r>
      <w:r w:rsidR="00A95A76" w:rsidRPr="00A95A76">
        <w:rPr>
          <w:b/>
          <w:lang w:val="ru-RU"/>
        </w:rPr>
        <w:t>a)</w:t>
      </w:r>
      <w:r w:rsidR="00D85B34" w:rsidRPr="00794712">
        <w:rPr>
          <w:lang w:val="ru-RU"/>
        </w:rPr>
        <w:t xml:space="preserve"> 启示； 为此，祂有时亲自显现并与人交谈 </w:t>
      </w:r>
      <w:r w:rsidR="00AF1C01" w:rsidRPr="00AF1C01">
        <w:rPr>
          <w:lang w:val="ru-RU"/>
        </w:rPr>
        <w:t>[</w:t>
      </w:r>
      <w:r w:rsidR="00D85B34" w:rsidRPr="00794712">
        <w:rPr>
          <w:lang w:val="ru-RU"/>
        </w:rPr>
        <w:t>(创世记 4</w:t>
      </w:r>
      <w:r w:rsidR="00D85B34" w:rsidRPr="002D1A0E">
        <w:rPr>
          <w:lang w:val="ru-RU"/>
        </w:rPr>
        <w:t>:</w:t>
      </w:r>
      <w:r w:rsidR="00D85B34" w:rsidRPr="00794712">
        <w:rPr>
          <w:lang w:val="ru-RU"/>
        </w:rPr>
        <w:t>6-15</w:t>
      </w:r>
      <w:r w:rsidR="00AF1C01" w:rsidRPr="00AF1C01">
        <w:rPr>
          <w:lang w:val="ru-RU"/>
        </w:rPr>
        <w:t>)</w:t>
      </w:r>
      <w:r w:rsidR="00D85B34" w:rsidRPr="00794712">
        <w:rPr>
          <w:lang w:val="ru-RU"/>
        </w:rPr>
        <w:t>；</w:t>
      </w:r>
      <w:r w:rsidR="00FB2012">
        <w:rPr>
          <w:rFonts w:cs="Cambria Math"/>
          <w:lang w:val="ru-RU"/>
        </w:rPr>
        <w:t xml:space="preserve"> </w:t>
      </w:r>
      <w:r w:rsidR="00AF1C01">
        <w:rPr>
          <w:rFonts w:cs="Cambria Math"/>
          <w:lang w:val="ru-RU"/>
        </w:rPr>
        <w:t>（创世记</w:t>
      </w:r>
      <w:r w:rsidR="00D85B34" w:rsidRPr="00794712">
        <w:rPr>
          <w:lang w:val="ru-RU"/>
        </w:rPr>
        <w:t xml:space="preserve"> 6</w:t>
      </w:r>
      <w:r w:rsidR="00D85B34" w:rsidRPr="007A0FCD">
        <w:rPr>
          <w:lang w:val="ru-RU"/>
        </w:rPr>
        <w:t>:</w:t>
      </w:r>
      <w:r w:rsidR="00D85B34" w:rsidRPr="00794712">
        <w:rPr>
          <w:lang w:val="ru-RU"/>
        </w:rPr>
        <w:t>13-22</w:t>
      </w:r>
      <w:r w:rsidR="00AF1C01">
        <w:rPr>
          <w:lang w:val="ru-RU"/>
        </w:rPr>
        <w:t>）</w:t>
      </w:r>
      <w:r w:rsidR="00D85B34" w:rsidRPr="00794712">
        <w:rPr>
          <w:lang w:val="ru-RU"/>
        </w:rPr>
        <w:t>；</w:t>
      </w:r>
      <w:r w:rsidR="00AF1C01">
        <w:rPr>
          <w:rFonts w:cs="Cambria Math"/>
          <w:lang w:val="ru-RU"/>
        </w:rPr>
        <w:t>（创世记</w:t>
      </w:r>
      <w:r w:rsidR="00D85B34" w:rsidRPr="00794712">
        <w:rPr>
          <w:lang w:val="ru-RU"/>
        </w:rPr>
        <w:t xml:space="preserve"> 8</w:t>
      </w:r>
      <w:r w:rsidR="00D85B34" w:rsidRPr="009A2CD0">
        <w:rPr>
          <w:lang w:val="ru-RU"/>
        </w:rPr>
        <w:t>:</w:t>
      </w:r>
      <w:r w:rsidR="00D85B34" w:rsidRPr="00A7029F">
        <w:rPr>
          <w:lang w:val="ru-RU"/>
        </w:rPr>
        <w:t>16-17</w:t>
      </w:r>
      <w:r w:rsidR="00AF1C01">
        <w:rPr>
          <w:lang w:val="ru-RU"/>
        </w:rPr>
        <w:t>）</w:t>
      </w:r>
      <w:r w:rsidR="00D85B34" w:rsidRPr="00794712">
        <w:rPr>
          <w:lang w:val="ru-RU"/>
        </w:rPr>
        <w:t>；</w:t>
      </w:r>
      <w:r w:rsidR="00AF1C01">
        <w:rPr>
          <w:rFonts w:cs="Cambria Math"/>
          <w:lang w:val="ru-RU"/>
        </w:rPr>
        <w:t>（创世记</w:t>
      </w:r>
      <w:r w:rsidR="00D85B34" w:rsidRPr="00794712">
        <w:rPr>
          <w:lang w:val="ru-RU"/>
        </w:rPr>
        <w:t xml:space="preserve"> 9</w:t>
      </w:r>
      <w:r w:rsidR="00D85B34" w:rsidRPr="00A7029F">
        <w:rPr>
          <w:lang w:val="ru-RU"/>
        </w:rPr>
        <w:t>:</w:t>
      </w:r>
      <w:r w:rsidR="00D85B34" w:rsidRPr="00396482">
        <w:rPr>
          <w:lang w:val="ru-RU"/>
        </w:rPr>
        <w:t>9-17</w:t>
      </w:r>
      <w:r w:rsidR="00D85B34" w:rsidRPr="00794712">
        <w:rPr>
          <w:lang w:val="ru-RU"/>
        </w:rPr>
        <w:t>）</w:t>
      </w:r>
      <w:r w:rsidR="00AF1C01" w:rsidRPr="00AF1C01">
        <w:rPr>
          <w:lang w:val="ru-RU"/>
        </w:rPr>
        <w:t>]</w:t>
      </w:r>
      <w:r w:rsidR="00D85B34" w:rsidRPr="00794712">
        <w:rPr>
          <w:lang w:val="ru-RU"/>
        </w:rPr>
        <w:t>，有时则将先知恩赐赐予世人，例如：以诺（犹大书</w:t>
      </w:r>
      <w:r w:rsidR="00D85B34" w:rsidRPr="003B1CCE">
        <w:rPr>
          <w:rFonts w:cs="Cambria Math"/>
          <w:lang w:val="ru-RU"/>
        </w:rPr>
        <w:t xml:space="preserve"> 1:</w:t>
      </w:r>
      <w:r w:rsidRPr="009907F0">
        <w:rPr>
          <w:lang w:val="ru-RU"/>
        </w:rPr>
        <w:t>14）</w:t>
      </w:r>
      <w:r w:rsidR="00D85B34" w:rsidRPr="00794712">
        <w:rPr>
          <w:lang w:val="ru-RU"/>
        </w:rPr>
        <w:t>和挪亚（创世记 9</w:t>
      </w:r>
      <w:r w:rsidR="00D85B34" w:rsidRPr="00396482">
        <w:rPr>
          <w:lang w:val="ru-RU"/>
        </w:rPr>
        <w:t>:</w:t>
      </w:r>
      <w:r w:rsidR="00D85B34" w:rsidRPr="00794712">
        <w:rPr>
          <w:lang w:val="ru-RU"/>
        </w:rPr>
        <w:t>25-27）；</w:t>
      </w:r>
      <w:r w:rsidR="00A95A76" w:rsidRPr="00A95A76">
        <w:rPr>
          <w:b/>
          <w:lang w:val="ru-RU"/>
        </w:rPr>
        <w:t xml:space="preserve"> b)</w:t>
      </w:r>
      <w:r w:rsidR="00D85B34" w:rsidRPr="00794712">
        <w:rPr>
          <w:lang w:val="ru-RU"/>
        </w:rPr>
        <w:t xml:space="preserve"> 神迹，例如：以诺被接升天，成为全人类悔改的典范（《便西拉智训》</w:t>
      </w:r>
      <w:r w:rsidR="00D85B34">
        <w:rPr>
          <w:lang w:val="ru-RU"/>
        </w:rPr>
        <w:t>45</w:t>
      </w:r>
      <w:r w:rsidR="00D85B34" w:rsidRPr="00D40A7C">
        <w:rPr>
          <w:lang w:val="ru-RU"/>
        </w:rPr>
        <w:t>:</w:t>
      </w:r>
      <w:r w:rsidR="00D85B34" w:rsidRPr="00794712">
        <w:rPr>
          <w:lang w:val="ru-RU"/>
        </w:rPr>
        <w:t>15），语言的混乱（《创世记》11</w:t>
      </w:r>
      <w:r w:rsidR="00D85B34">
        <w:rPr>
          <w:lang w:val="ru-RU"/>
        </w:rPr>
        <w:t>:1-9</w:t>
      </w:r>
      <w:r w:rsidR="00D85B34" w:rsidRPr="00794712">
        <w:rPr>
          <w:lang w:val="ru-RU"/>
        </w:rPr>
        <w:t>），大洪水（</w:t>
      </w:r>
      <w:r w:rsidR="00D85B34">
        <w:rPr>
          <w:lang w:val="ru-RU"/>
        </w:rPr>
        <w:t>《创世记》</w:t>
      </w:r>
      <w:r w:rsidR="00D85B34" w:rsidRPr="00794712">
        <w:rPr>
          <w:lang w:val="ru-RU"/>
        </w:rPr>
        <w:t xml:space="preserve">7）；以及 </w:t>
      </w:r>
      <w:r w:rsidR="00A95A76" w:rsidRPr="00A95A76">
        <w:rPr>
          <w:b/>
          <w:lang w:val="ru-RU"/>
        </w:rPr>
        <w:t>c)</w:t>
      </w:r>
      <w:r w:rsidR="00D85B34" w:rsidRPr="00794712">
        <w:rPr>
          <w:lang w:val="ru-RU"/>
        </w:rPr>
        <w:t xml:space="preserve"> 上帝赐予族长的长寿： 他们通常活过七、八甚至九个世纪，因此，尽管从亚当到大洪水已过去了两千多年，亚当在伊甸园中听到的“第一福音”，仍能以完全原始的鲜活与完好无损之态，传承至洪水后的</w:t>
      </w:r>
      <w:r w:rsidR="00D85B34">
        <w:rPr>
          <w:lang w:val="ru-RU"/>
        </w:rPr>
        <w:t>世界</w:t>
      </w:r>
      <w:r w:rsidR="00D85B34" w:rsidRPr="00794712">
        <w:rPr>
          <w:lang w:val="ru-RU"/>
        </w:rPr>
        <w:t>。 因为诺亚在洪水前活了约600年，曾与西弗之子以诺交谈；而诺亚的父亲拉麦，也曾与西弗本人交谈。因此，当时每个人都能从最可靠的来源获得关于真信仰和弥赛亚传说的教导，并因信靠弥赛亚而得救。</w:t>
      </w:r>
    </w:p>
    <w:p w14:paraId="6FE5FF26" w14:textId="77777777" w:rsidR="00D85B34" w:rsidRPr="00794712" w:rsidRDefault="00D85B34" w:rsidP="00D85B34">
      <w:pPr>
        <w:rPr>
          <w:lang w:val="ru-RU"/>
        </w:rPr>
      </w:pPr>
      <w:r w:rsidRPr="00794712">
        <w:rPr>
          <w:lang w:val="ru-RU"/>
        </w:rPr>
        <w:tab/>
        <w:t>然而，尽管上帝提供了这一切途径，尽管上帝曾以全球大洪水惩罚人类极端的邪恶，尽管祂通过挪亚再次向全人类重申了应许，人们却逐渐背离了他们的造物主，偶像崇拜几乎笼罩了整个大地： 那时，为了保全对祂及应许的弥赛亚的真信仰，上帝从全人类中拣选了亚伯拉罕一人，将他培育为信徒之父，并与他及其所有后裔立下特别的盟约 （创世记17</w:t>
      </w:r>
      <w:r>
        <w:rPr>
          <w:lang w:val="ru-RU"/>
        </w:rPr>
        <w:t>:</w:t>
      </w:r>
      <w:r w:rsidRPr="00794712">
        <w:rPr>
          <w:lang w:val="ru-RU"/>
        </w:rPr>
        <w:t>7-9），人类为迎接救赎主而作准备的新时期由此拉开序幕。</w:t>
      </w:r>
    </w:p>
    <w:p w14:paraId="657A4D4A" w14:textId="77777777" w:rsidR="00D85B34" w:rsidRPr="00794712" w:rsidRDefault="00D85B34" w:rsidP="00D85B34">
      <w:pPr>
        <w:rPr>
          <w:lang w:val="ru-RU"/>
        </w:rPr>
      </w:pPr>
      <w:r w:rsidRPr="00794712">
        <w:rPr>
          <w:lang w:val="ru-RU"/>
        </w:rPr>
        <w:tab/>
        <w:t>在这个第二个时期，上帝对祂所拣选的子民——犹太人，以及外邦人的预备方式有所不同：</w:t>
      </w:r>
      <w:r>
        <w:rPr>
          <w:lang w:val="ru-RU"/>
        </w:rPr>
        <w:t>对</w:t>
      </w:r>
      <w:r w:rsidRPr="00794712">
        <w:rPr>
          <w:lang w:val="ru-RU"/>
        </w:rPr>
        <w:t>前者主要采用超自然的方式</w:t>
      </w:r>
      <w:r>
        <w:rPr>
          <w:lang w:val="ru-RU"/>
        </w:rPr>
        <w:t>，对</w:t>
      </w:r>
      <w:r w:rsidRPr="00794712">
        <w:rPr>
          <w:lang w:val="ru-RU"/>
        </w:rPr>
        <w:t>后者则主要采用自然的方式。</w:t>
      </w:r>
    </w:p>
    <w:p w14:paraId="1FF3ECB9" w14:textId="77777777" w:rsidR="00D85B34" w:rsidRPr="00794712" w:rsidRDefault="00D85B34" w:rsidP="00D85B34">
      <w:pPr>
        <w:rPr>
          <w:lang w:val="ru-RU"/>
        </w:rPr>
      </w:pPr>
      <w:r w:rsidRPr="00794712">
        <w:rPr>
          <w:lang w:val="ru-RU"/>
        </w:rPr>
        <w:tab/>
      </w:r>
      <w:r w:rsidRPr="009907F0">
        <w:rPr>
          <w:b/>
          <w:bCs/>
        </w:rPr>
        <w:t>I</w:t>
      </w:r>
      <w:r w:rsidRPr="00BD6C1B">
        <w:rPr>
          <w:b/>
          <w:bCs/>
          <w:lang w:val="ru-RU"/>
        </w:rPr>
        <w:t>.</w:t>
      </w:r>
      <w:r w:rsidRPr="00794712">
        <w:rPr>
          <w:lang w:val="ru-RU"/>
        </w:rPr>
        <w:t xml:space="preserve"> 为了预备犹太人，上帝采用了：</w:t>
      </w:r>
    </w:p>
    <w:p w14:paraId="6BCD2AB4"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关于弥赛亚的应许与预言。那位至高无上的智慧者，根据当时的具体情况，以明智而循序渐进的方式将这些应许与预言传达给他的子民，以便关于未来救主的知识之光能更容易地被信心的眼睛所领受。 因此，起初弥赛亚被预言为亚伯拉罕、以撒和雅各的后裔，地上万族都将因</w:t>
      </w:r>
      <w:r w:rsidR="002C273D" w:rsidRPr="009907F0">
        <w:rPr>
          <w:bCs/>
          <w:lang w:val="ru-RU"/>
        </w:rPr>
        <w:t>这</w:t>
      </w:r>
      <w:r w:rsidR="00D85B34" w:rsidRPr="00794712">
        <w:rPr>
          <w:lang w:val="ru-RU"/>
        </w:rPr>
        <w:t>后裔而蒙福[(创世记 12</w:t>
      </w:r>
      <w:r w:rsidR="00D85B34">
        <w:rPr>
          <w:lang w:val="ru-RU"/>
        </w:rPr>
        <w:t>:</w:t>
      </w:r>
      <w:r w:rsidR="00D85B34" w:rsidRPr="00794712">
        <w:rPr>
          <w:lang w:val="ru-RU"/>
        </w:rPr>
        <w:t>3</w:t>
      </w:r>
      <w:r w:rsidR="00276B1F" w:rsidRPr="00276B1F">
        <w:rPr>
          <w:lang w:val="ru-RU"/>
        </w:rPr>
        <w:t>)</w:t>
      </w:r>
      <w:r w:rsidR="00D85B34" w:rsidRPr="00794712">
        <w:rPr>
          <w:lang w:val="ru-RU"/>
        </w:rPr>
        <w:t>；</w:t>
      </w:r>
      <w:r w:rsidR="00276B1F" w:rsidRPr="00276B1F">
        <w:rPr>
          <w:rFonts w:cs="Cambria Math"/>
          <w:lang w:val="ru-RU"/>
        </w:rPr>
        <w:t>(</w:t>
      </w:r>
      <w:r w:rsidR="009C07F5" w:rsidRPr="00794712">
        <w:rPr>
          <w:lang w:val="ru-RU"/>
        </w:rPr>
        <w:t>创世记</w:t>
      </w:r>
      <w:r w:rsidR="00D85B34" w:rsidRPr="00794712">
        <w:rPr>
          <w:lang w:val="ru-RU"/>
        </w:rPr>
        <w:t xml:space="preserve"> 18</w:t>
      </w:r>
      <w:r w:rsidR="00D85B34">
        <w:rPr>
          <w:lang w:val="ru-RU"/>
        </w:rPr>
        <w:t>:</w:t>
      </w:r>
      <w:r w:rsidR="00D85B34" w:rsidRPr="00794712">
        <w:rPr>
          <w:lang w:val="ru-RU"/>
        </w:rPr>
        <w:t>18</w:t>
      </w:r>
      <w:r w:rsidR="00276B1F" w:rsidRPr="00276B1F">
        <w:rPr>
          <w:lang w:val="ru-RU"/>
        </w:rPr>
        <w:t>)</w:t>
      </w:r>
      <w:r w:rsidR="00D85B34" w:rsidRPr="00794712">
        <w:rPr>
          <w:lang w:val="ru-RU"/>
        </w:rPr>
        <w:t>；</w:t>
      </w:r>
      <w:r w:rsidR="00FB2012">
        <w:rPr>
          <w:rFonts w:cs="Cambria Math"/>
          <w:lang w:val="ru-RU"/>
        </w:rPr>
        <w:t xml:space="preserve"> </w:t>
      </w:r>
      <w:r w:rsidR="00276B1F" w:rsidRPr="00276B1F">
        <w:rPr>
          <w:rFonts w:cs="Cambria Math"/>
          <w:lang w:val="ru-RU"/>
        </w:rPr>
        <w:t>（</w:t>
      </w:r>
      <w:r w:rsidR="009C07F5" w:rsidRPr="00794712">
        <w:rPr>
          <w:lang w:val="ru-RU"/>
        </w:rPr>
        <w:t>创世记</w:t>
      </w:r>
      <w:r w:rsidR="00D85B34" w:rsidRPr="00794712">
        <w:rPr>
          <w:lang w:val="ru-RU"/>
        </w:rPr>
        <w:t xml:space="preserve"> 22</w:t>
      </w:r>
      <w:r w:rsidR="00D85B34">
        <w:rPr>
          <w:lang w:val="ru-RU"/>
        </w:rPr>
        <w:t>:</w:t>
      </w:r>
      <w:r w:rsidR="00D85B34" w:rsidRPr="00794712">
        <w:rPr>
          <w:lang w:val="ru-RU"/>
        </w:rPr>
        <w:t>16-18</w:t>
      </w:r>
      <w:r w:rsidR="00276B1F" w:rsidRPr="00276B1F">
        <w:rPr>
          <w:lang w:val="ru-RU"/>
        </w:rPr>
        <w:t>）</w:t>
      </w:r>
      <w:r w:rsidR="00D85B34" w:rsidRPr="00794712">
        <w:rPr>
          <w:lang w:val="ru-RU"/>
        </w:rPr>
        <w:t>；</w:t>
      </w:r>
      <w:r w:rsidR="00276B1F" w:rsidRPr="009C07F5">
        <w:rPr>
          <w:rFonts w:cs="Cambria Math"/>
          <w:lang w:val="ru-RU"/>
        </w:rPr>
        <w:t>（</w:t>
      </w:r>
      <w:r w:rsidR="009C07F5" w:rsidRPr="00794712">
        <w:rPr>
          <w:lang w:val="ru-RU"/>
        </w:rPr>
        <w:t>创世记</w:t>
      </w:r>
      <w:r w:rsidR="00D85B34" w:rsidRPr="00794712">
        <w:rPr>
          <w:lang w:val="ru-RU"/>
        </w:rPr>
        <w:t xml:space="preserve"> 26</w:t>
      </w:r>
      <w:r w:rsidR="00D85B34">
        <w:rPr>
          <w:lang w:val="ru-RU"/>
        </w:rPr>
        <w:t>:</w:t>
      </w:r>
      <w:r w:rsidR="00D85B34" w:rsidRPr="00794712">
        <w:rPr>
          <w:lang w:val="ru-RU"/>
        </w:rPr>
        <w:t>4</w:t>
      </w:r>
      <w:r w:rsidR="009C07F5" w:rsidRPr="009C07F5">
        <w:rPr>
          <w:lang w:val="ru-RU"/>
        </w:rPr>
        <w:t>）</w:t>
      </w:r>
      <w:r w:rsidR="00D85B34" w:rsidRPr="00794712">
        <w:rPr>
          <w:lang w:val="ru-RU"/>
        </w:rPr>
        <w:t>；</w:t>
      </w:r>
      <w:r w:rsidR="009C07F5" w:rsidRPr="009C07F5">
        <w:rPr>
          <w:rFonts w:cs="Cambria Math"/>
          <w:lang w:val="ru-RU"/>
        </w:rPr>
        <w:t>（</w:t>
      </w:r>
      <w:r w:rsidR="009C07F5">
        <w:rPr>
          <w:rFonts w:cs="Cambria Math"/>
          <w:lang w:val="ru-RU"/>
        </w:rPr>
        <w:t>创世记</w:t>
      </w:r>
      <w:r w:rsidR="00D85B34" w:rsidRPr="00794712">
        <w:rPr>
          <w:lang w:val="ru-RU"/>
        </w:rPr>
        <w:t xml:space="preserve"> 28</w:t>
      </w:r>
      <w:r w:rsidR="00D85B34">
        <w:rPr>
          <w:lang w:val="ru-RU"/>
        </w:rPr>
        <w:t>:</w:t>
      </w:r>
      <w:r w:rsidR="00D85B34" w:rsidRPr="00794712">
        <w:rPr>
          <w:lang w:val="ru-RU"/>
        </w:rPr>
        <w:t>14）</w:t>
      </w:r>
      <w:r w:rsidR="00276B1F" w:rsidRPr="00276B1F">
        <w:rPr>
          <w:lang w:val="ru-RU"/>
        </w:rPr>
        <w:t>）</w:t>
      </w:r>
      <w:r w:rsidR="00D85B34" w:rsidRPr="00794712">
        <w:rPr>
          <w:lang w:val="ru-RU"/>
        </w:rPr>
        <w:t>，作为和解者与万邦的盼望（创世记 49</w:t>
      </w:r>
      <w:r w:rsidR="00D85B34">
        <w:rPr>
          <w:lang w:val="ru-RU"/>
        </w:rPr>
        <w:t>:</w:t>
      </w:r>
      <w:r w:rsidR="00D85B34" w:rsidRPr="00794712">
        <w:rPr>
          <w:lang w:val="ru-RU"/>
        </w:rPr>
        <w:t>10）； 随后被描绘为一位如同摩西般的伟大先知（申命记 18</w:t>
      </w:r>
      <w:r w:rsidR="00D85B34">
        <w:rPr>
          <w:lang w:val="ru-RU"/>
        </w:rPr>
        <w:t>:</w:t>
      </w:r>
      <w:r w:rsidR="00D85B34" w:rsidRPr="00794712">
        <w:rPr>
          <w:lang w:val="ru-RU"/>
        </w:rPr>
        <w:t>15-18）、受膏者与君王（诗篇 2），永恒的君王和按麦基洗德等次作祭司的（诗篇 109）； 更</w:t>
      </w:r>
      <w:r w:rsidR="00D85B34">
        <w:rPr>
          <w:lang w:val="ru-RU"/>
        </w:rPr>
        <w:t>进一步</w:t>
      </w:r>
      <w:r w:rsidR="00D85B34" w:rsidRPr="00794712">
        <w:rPr>
          <w:lang w:val="ru-RU"/>
        </w:rPr>
        <w:t>——被描绘为由童女所生的以马内利（《以赛亚书》7</w:t>
      </w:r>
      <w:r w:rsidR="00D85B34">
        <w:rPr>
          <w:lang w:val="ru-RU"/>
        </w:rPr>
        <w:t>:</w:t>
      </w:r>
      <w:r w:rsidR="00D85B34" w:rsidRPr="00794712">
        <w:rPr>
          <w:lang w:val="ru-RU"/>
        </w:rPr>
        <w:t>14）、大能的神（</w:t>
      </w:r>
      <w:r w:rsidR="00D85B34">
        <w:rPr>
          <w:lang w:val="ru-RU"/>
        </w:rPr>
        <w:t>《以赛亚书》9:6</w:t>
      </w:r>
      <w:r w:rsidR="00D85B34" w:rsidRPr="00794712">
        <w:rPr>
          <w:lang w:val="ru-RU"/>
        </w:rPr>
        <w:t>）、担当世人罪孽的羔羊（</w:t>
      </w:r>
      <w:r w:rsidR="00D85B34">
        <w:rPr>
          <w:lang w:val="ru-RU"/>
        </w:rPr>
        <w:t>《以赛亚书</w:t>
      </w:r>
      <w:r w:rsidR="00D85B34" w:rsidRPr="00794712">
        <w:rPr>
          <w:lang w:val="ru-RU"/>
        </w:rPr>
        <w:t>》53），以及新约的缔造者</w:t>
      </w:r>
      <w:r w:rsidR="009C07F5" w:rsidRPr="009C07F5">
        <w:rPr>
          <w:lang w:val="ru-RU"/>
        </w:rPr>
        <w:t>[</w:t>
      </w:r>
      <w:r w:rsidR="00D85B34" w:rsidRPr="00794712">
        <w:rPr>
          <w:lang w:val="ru-RU"/>
        </w:rPr>
        <w:t>（《以西结书》34</w:t>
      </w:r>
      <w:r w:rsidR="00D85B34">
        <w:rPr>
          <w:lang w:val="ru-RU"/>
        </w:rPr>
        <w:t>:</w:t>
      </w:r>
      <w:r w:rsidR="00D85B34" w:rsidRPr="00794712">
        <w:rPr>
          <w:lang w:val="ru-RU"/>
        </w:rPr>
        <w:t>23-31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但以理书 9</w:t>
      </w:r>
      <w:r w:rsidR="00D85B34" w:rsidRPr="00003A3A">
        <w:rPr>
          <w:lang w:val="ru-RU"/>
        </w:rPr>
        <w:t>:</w:t>
      </w:r>
      <w:r w:rsidR="00D85B34" w:rsidRPr="00794712">
        <w:rPr>
          <w:lang w:val="ru-RU"/>
        </w:rPr>
        <w:t>24-27）</w:t>
      </w:r>
      <w:r w:rsidR="009C07F5" w:rsidRPr="009C07F5">
        <w:rPr>
          <w:lang w:val="ru-RU"/>
        </w:rPr>
        <w:t>]</w:t>
      </w:r>
      <w:r w:rsidR="00D85B34" w:rsidRPr="00794712">
        <w:rPr>
          <w:lang w:val="ru-RU"/>
        </w:rPr>
        <w:t xml:space="preserve">。与此同时，有关弥赛亚将来降临的时间也逐渐被揭示出来 </w:t>
      </w:r>
      <w:r w:rsidR="009C07F5" w:rsidRPr="009C07F5">
        <w:rPr>
          <w:lang w:val="ru-RU"/>
        </w:rPr>
        <w:t>[</w:t>
      </w:r>
      <w:r w:rsidR="00D85B34" w:rsidRPr="00794712">
        <w:rPr>
          <w:lang w:val="ru-RU"/>
        </w:rPr>
        <w:t>(创世记 49</w:t>
      </w:r>
      <w:r w:rsidR="00D85B34" w:rsidRPr="00003A3A">
        <w:rPr>
          <w:lang w:val="ru-RU"/>
        </w:rPr>
        <w:t>:</w:t>
      </w:r>
      <w:r w:rsidR="00D85B34" w:rsidRPr="00794712">
        <w:rPr>
          <w:lang w:val="ru-RU"/>
        </w:rPr>
        <w:t>9-10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但以理书 9</w:t>
      </w:r>
      <w:r w:rsidR="00D85B34" w:rsidRPr="001E71F2">
        <w:rPr>
          <w:lang w:val="ru-RU"/>
        </w:rPr>
        <w:t>:</w:t>
      </w:r>
      <w:r w:rsidR="00D85B34" w:rsidRPr="00794712">
        <w:rPr>
          <w:lang w:val="ru-RU"/>
        </w:rPr>
        <w:t>24-27</w:t>
      </w:r>
      <w:r w:rsidR="009C07F5" w:rsidRPr="009C07F5">
        <w:rPr>
          <w:lang w:val="ru-RU"/>
        </w:rPr>
        <w:t>)</w:t>
      </w:r>
      <w:r w:rsidR="00D85B34" w:rsidRPr="00794712">
        <w:rPr>
          <w:lang w:val="ru-RU"/>
        </w:rPr>
        <w:t>；</w:t>
      </w:r>
      <w:r w:rsidR="009C07F5" w:rsidRPr="009C07F5">
        <w:rPr>
          <w:lang w:val="ru-RU"/>
        </w:rPr>
        <w:t>(</w:t>
      </w:r>
      <w:r w:rsidR="00D85B34" w:rsidRPr="00794712">
        <w:rPr>
          <w:lang w:val="ru-RU"/>
        </w:rPr>
        <w:t>哈该书 2</w:t>
      </w:r>
      <w:r w:rsidR="00D85B34" w:rsidRPr="001E71F2">
        <w:rPr>
          <w:lang w:val="ru-RU"/>
        </w:rPr>
        <w:t>:</w:t>
      </w:r>
      <w:r w:rsidR="00D85B34" w:rsidRPr="00794712">
        <w:rPr>
          <w:lang w:val="ru-RU"/>
        </w:rPr>
        <w:t>6-10</w:t>
      </w:r>
      <w:r w:rsidR="009C07F5" w:rsidRPr="009C07F5">
        <w:rPr>
          <w:lang w:val="ru-RU"/>
        </w:rPr>
        <w:t>)</w:t>
      </w:r>
      <w:r w:rsidR="00D85B34" w:rsidRPr="00794712">
        <w:rPr>
          <w:lang w:val="ru-RU"/>
        </w:rPr>
        <w:t>；</w:t>
      </w:r>
      <w:r w:rsidR="009C07F5" w:rsidRPr="009C07F5">
        <w:rPr>
          <w:lang w:val="ru-RU"/>
        </w:rPr>
        <w:t>(</w:t>
      </w:r>
      <w:r w:rsidR="00D85B34" w:rsidRPr="00794712">
        <w:rPr>
          <w:lang w:val="ru-RU"/>
        </w:rPr>
        <w:t>玛拉基书 3</w:t>
      </w:r>
      <w:r w:rsidR="00D85B34" w:rsidRPr="00B16307">
        <w:rPr>
          <w:lang w:val="ru-RU"/>
        </w:rPr>
        <w:t>:</w:t>
      </w:r>
      <w:r w:rsidR="00D85B34" w:rsidRPr="00794712">
        <w:rPr>
          <w:lang w:val="ru-RU"/>
        </w:rPr>
        <w:t>1)</w:t>
      </w:r>
      <w:r w:rsidR="009C07F5" w:rsidRPr="009C07F5">
        <w:rPr>
          <w:lang w:val="ru-RU"/>
        </w:rPr>
        <w:t>]</w:t>
      </w:r>
      <w:r w:rsidR="00D85B34" w:rsidRPr="00794712">
        <w:rPr>
          <w:lang w:val="ru-RU"/>
        </w:rPr>
        <w:t xml:space="preserve">；祂将要诞生的支派 </w:t>
      </w:r>
      <w:r w:rsidR="009C07F5" w:rsidRPr="009C07F5">
        <w:rPr>
          <w:lang w:val="ru-RU"/>
        </w:rPr>
        <w:t>[</w:t>
      </w:r>
      <w:r w:rsidR="00D85B34" w:rsidRPr="00794712">
        <w:rPr>
          <w:lang w:val="ru-RU"/>
        </w:rPr>
        <w:t>(列王纪下 7</w:t>
      </w:r>
      <w:r w:rsidR="00D85B34" w:rsidRPr="004E1F12">
        <w:rPr>
          <w:lang w:val="ru-RU"/>
        </w:rPr>
        <w:t>:</w:t>
      </w:r>
      <w:r w:rsidR="00D85B34" w:rsidRPr="002D4555">
        <w:rPr>
          <w:lang w:val="ru-RU"/>
        </w:rPr>
        <w:t>12</w:t>
      </w:r>
      <w:r w:rsidR="009C07F5" w:rsidRPr="009C07F5">
        <w:rPr>
          <w:lang w:val="ru-RU"/>
        </w:rPr>
        <w:t>)</w:t>
      </w:r>
      <w:r w:rsidR="00D85B34" w:rsidRPr="00794712">
        <w:rPr>
          <w:lang w:val="ru-RU"/>
        </w:rPr>
        <w:t>；</w:t>
      </w:r>
      <w:r w:rsidR="009C07F5" w:rsidRPr="009C07F5">
        <w:rPr>
          <w:lang w:val="ru-RU"/>
        </w:rPr>
        <w:t>(</w:t>
      </w:r>
      <w:r w:rsidR="00D85B34" w:rsidRPr="00794712">
        <w:rPr>
          <w:lang w:val="ru-RU"/>
        </w:rPr>
        <w:t>以赛亚书 11</w:t>
      </w:r>
      <w:r w:rsidR="00D85B34" w:rsidRPr="00FE30E7">
        <w:rPr>
          <w:lang w:val="ru-RU"/>
        </w:rPr>
        <w:t>:</w:t>
      </w:r>
      <w:r w:rsidR="00D85B34" w:rsidRPr="00794712">
        <w:rPr>
          <w:lang w:val="ru-RU"/>
        </w:rPr>
        <w:t>1-3</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耶23</w:t>
      </w:r>
      <w:r w:rsidR="00D85B34" w:rsidRPr="00FE30E7">
        <w:rPr>
          <w:lang w:val="ru-RU"/>
        </w:rPr>
        <w:t>:</w:t>
      </w:r>
      <w:r w:rsidR="00D85B34" w:rsidRPr="00794712">
        <w:rPr>
          <w:lang w:val="ru-RU"/>
        </w:rPr>
        <w:t>5-6)</w:t>
      </w:r>
      <w:r w:rsidR="009C07F5" w:rsidRPr="009C07F5">
        <w:rPr>
          <w:lang w:val="ru-RU"/>
        </w:rPr>
        <w:t>]</w:t>
      </w:r>
      <w:r w:rsidR="00D85B34" w:rsidRPr="00794712">
        <w:rPr>
          <w:lang w:val="ru-RU"/>
        </w:rPr>
        <w:t>；祂将要 出生的地点（弥5</w:t>
      </w:r>
      <w:r w:rsidR="00D85B34" w:rsidRPr="00107D0F">
        <w:rPr>
          <w:lang w:val="ru-RU"/>
        </w:rPr>
        <w:t>:</w:t>
      </w:r>
      <w:r w:rsidR="00D85B34" w:rsidRPr="00794712">
        <w:rPr>
          <w:lang w:val="ru-RU"/>
        </w:rPr>
        <w:t xml:space="preserve">2），乃至祂降生时最细微的细节 </w:t>
      </w:r>
      <w:r w:rsidR="009C07F5" w:rsidRPr="009C07F5">
        <w:rPr>
          <w:lang w:val="ru-RU"/>
        </w:rPr>
        <w:t>[</w:t>
      </w:r>
      <w:r w:rsidR="00D85B34" w:rsidRPr="00794712">
        <w:rPr>
          <w:lang w:val="ru-RU"/>
        </w:rPr>
        <w:t>(诗71</w:t>
      </w:r>
      <w:r w:rsidR="00D85B34" w:rsidRPr="00107D0F">
        <w:rPr>
          <w:lang w:val="ru-RU"/>
        </w:rPr>
        <w:t>:</w:t>
      </w:r>
      <w:r w:rsidR="00D85B34" w:rsidRPr="00794712">
        <w:rPr>
          <w:lang w:val="ru-RU"/>
        </w:rPr>
        <w:t>10-11</w:t>
      </w:r>
      <w:r w:rsidR="009C07F5" w:rsidRPr="009C07F5">
        <w:rPr>
          <w:lang w:val="ru-RU"/>
        </w:rPr>
        <w:t>)</w:t>
      </w:r>
      <w:r w:rsidR="00D85B34" w:rsidRPr="00794712">
        <w:rPr>
          <w:lang w:val="ru-RU"/>
        </w:rPr>
        <w:t>；</w:t>
      </w:r>
      <w:r w:rsidR="009C07F5" w:rsidRPr="009C07F5">
        <w:rPr>
          <w:lang w:val="ru-RU"/>
        </w:rPr>
        <w:t>(</w:t>
      </w:r>
      <w:r w:rsidR="00D85B34" w:rsidRPr="00794712">
        <w:rPr>
          <w:lang w:val="ru-RU"/>
        </w:rPr>
        <w:t>赛11</w:t>
      </w:r>
      <w:r w:rsidR="00D85B34" w:rsidRPr="00A94AAC">
        <w:rPr>
          <w:lang w:val="ru-RU"/>
        </w:rPr>
        <w:t>:</w:t>
      </w:r>
      <w:r w:rsidR="00D85B34" w:rsidRPr="00794712">
        <w:rPr>
          <w:lang w:val="ru-RU"/>
        </w:rPr>
        <w:t>1-3)</w:t>
      </w:r>
      <w:r w:rsidR="009C07F5" w:rsidRPr="009C07F5">
        <w:rPr>
          <w:lang w:val="ru-RU"/>
        </w:rPr>
        <w:t>]</w:t>
      </w:r>
      <w:r w:rsidR="00D85B34" w:rsidRPr="00794712">
        <w:rPr>
          <w:lang w:val="ru-RU"/>
        </w:rPr>
        <w:t xml:space="preserve">、一生 </w:t>
      </w:r>
      <w:r w:rsidR="009C07F5" w:rsidRPr="009C07F5">
        <w:rPr>
          <w:lang w:val="ru-RU"/>
        </w:rPr>
        <w:t>[</w:t>
      </w:r>
      <w:r w:rsidR="00D85B34" w:rsidRPr="00794712">
        <w:rPr>
          <w:lang w:val="ru-RU"/>
        </w:rPr>
        <w:t>(赛9</w:t>
      </w:r>
      <w:r w:rsidR="00D85B34" w:rsidRPr="00C4524F">
        <w:rPr>
          <w:lang w:val="ru-RU"/>
        </w:rPr>
        <w:t>:</w:t>
      </w:r>
      <w:r w:rsidR="00D85B34" w:rsidRPr="00794712">
        <w:rPr>
          <w:lang w:val="ru-RU"/>
        </w:rPr>
        <w:t>1-2</w:t>
      </w:r>
      <w:r w:rsidR="009C07F5" w:rsidRPr="009C07F5">
        <w:rPr>
          <w:lang w:val="ru-RU"/>
        </w:rPr>
        <w:t>)</w:t>
      </w:r>
      <w:r w:rsidR="00D85B34" w:rsidRPr="00794712">
        <w:rPr>
          <w:lang w:val="ru-RU"/>
        </w:rPr>
        <w:t>；</w:t>
      </w:r>
      <w:r w:rsidR="00FB2012">
        <w:rPr>
          <w:rFonts w:cs="Cambria Math"/>
          <w:lang w:val="ru-RU"/>
        </w:rPr>
        <w:t xml:space="preserve"> </w:t>
      </w:r>
      <w:r w:rsidR="009C07F5" w:rsidRPr="009C07F5">
        <w:rPr>
          <w:rFonts w:cs="Cambria Math"/>
          <w:lang w:val="ru-RU"/>
        </w:rPr>
        <w:t>(</w:t>
      </w:r>
      <w:r w:rsidR="009C07F5">
        <w:rPr>
          <w:rFonts w:cs="Cambria Math"/>
          <w:lang w:val="ru-RU"/>
        </w:rPr>
        <w:t>以赛亚书</w:t>
      </w:r>
      <w:r w:rsidR="00D85B34" w:rsidRPr="00794712">
        <w:rPr>
          <w:lang w:val="ru-RU"/>
        </w:rPr>
        <w:t xml:space="preserve"> 26</w:t>
      </w:r>
      <w:r w:rsidR="00D85B34" w:rsidRPr="00C4524F">
        <w:rPr>
          <w:lang w:val="ru-RU"/>
        </w:rPr>
        <w:t>:</w:t>
      </w:r>
      <w:r w:rsidR="00D85B34" w:rsidRPr="00794712">
        <w:rPr>
          <w:lang w:val="ru-RU"/>
        </w:rPr>
        <w:t>19</w:t>
      </w:r>
      <w:r w:rsidR="009C07F5">
        <w:rPr>
          <w:lang w:val="ru-RU"/>
        </w:rPr>
        <w:t>)</w:t>
      </w:r>
      <w:r w:rsidR="00D85B34" w:rsidRPr="00794712">
        <w:rPr>
          <w:lang w:val="ru-RU"/>
        </w:rPr>
        <w:t>；</w:t>
      </w:r>
      <w:r w:rsidR="009C07F5">
        <w:rPr>
          <w:rFonts w:cs="Cambria Math"/>
          <w:lang w:val="ru-RU"/>
        </w:rPr>
        <w:t>(以赛亚书</w:t>
      </w:r>
      <w:r w:rsidR="00D85B34" w:rsidRPr="00794712">
        <w:rPr>
          <w:lang w:val="ru-RU"/>
        </w:rPr>
        <w:t xml:space="preserve"> 35</w:t>
      </w:r>
      <w:r w:rsidR="00D85B34" w:rsidRPr="00C4524F">
        <w:rPr>
          <w:lang w:val="ru-RU"/>
        </w:rPr>
        <w:t>:</w:t>
      </w:r>
      <w:r w:rsidR="00D85B34" w:rsidRPr="00794712">
        <w:rPr>
          <w:lang w:val="ru-RU"/>
        </w:rPr>
        <w:t>3-6</w:t>
      </w:r>
      <w:r w:rsidR="009C07F5">
        <w:rPr>
          <w:lang w:val="ru-RU"/>
        </w:rPr>
        <w:t>)</w:t>
      </w:r>
      <w:r w:rsidR="00D85B34" w:rsidRPr="00794712">
        <w:rPr>
          <w:lang w:val="ru-RU"/>
        </w:rPr>
        <w:t>；</w:t>
      </w:r>
      <w:r w:rsidR="009C07F5">
        <w:rPr>
          <w:lang w:val="ru-RU"/>
        </w:rPr>
        <w:t>(</w:t>
      </w:r>
      <w:r w:rsidR="00D85B34" w:rsidRPr="00794712">
        <w:rPr>
          <w:lang w:val="ru-RU"/>
        </w:rPr>
        <w:t>撒迦利亚书 9</w:t>
      </w:r>
      <w:r w:rsidR="00D85B34" w:rsidRPr="00767457">
        <w:rPr>
          <w:lang w:val="ru-RU"/>
        </w:rPr>
        <w:t>:</w:t>
      </w:r>
      <w:r w:rsidR="00D85B34" w:rsidRPr="00794712">
        <w:rPr>
          <w:lang w:val="ru-RU"/>
        </w:rPr>
        <w:t>9)</w:t>
      </w:r>
      <w:r w:rsidR="009C07F5" w:rsidRPr="009C07F5">
        <w:rPr>
          <w:lang w:val="ru-RU"/>
        </w:rPr>
        <w:t>]</w:t>
      </w:r>
      <w:r w:rsidR="00D85B34" w:rsidRPr="00794712">
        <w:rPr>
          <w:lang w:val="ru-RU"/>
        </w:rPr>
        <w:t xml:space="preserve">、死亡 </w:t>
      </w:r>
      <w:r w:rsidR="009C07F5" w:rsidRPr="009C07F5">
        <w:rPr>
          <w:lang w:val="ru-RU"/>
        </w:rPr>
        <w:t>[</w:t>
      </w:r>
      <w:r w:rsidR="00D85B34" w:rsidRPr="00794712">
        <w:rPr>
          <w:lang w:val="ru-RU"/>
        </w:rPr>
        <w:t>(诗篇 84</w:t>
      </w:r>
      <w:r w:rsidR="00D85B34" w:rsidRPr="009E22FA">
        <w:rPr>
          <w:lang w:val="ru-RU"/>
        </w:rPr>
        <w:t>:</w:t>
      </w:r>
      <w:r w:rsidR="00D85B34" w:rsidRPr="00794712">
        <w:rPr>
          <w:lang w:val="ru-RU"/>
        </w:rPr>
        <w:t>11-</w:t>
      </w:r>
      <w:r w:rsidR="00D85B34" w:rsidRPr="00794712">
        <w:rPr>
          <w:lang w:val="ru-RU"/>
        </w:rPr>
        <w:lastRenderedPageBreak/>
        <w:t>12</w:t>
      </w:r>
      <w:r w:rsidR="009C07F5" w:rsidRPr="009C07F5">
        <w:rPr>
          <w:lang w:val="ru-RU"/>
        </w:rPr>
        <w:t>)</w:t>
      </w:r>
      <w:r w:rsidR="00D85B34" w:rsidRPr="00794712">
        <w:rPr>
          <w:lang w:val="ru-RU"/>
        </w:rPr>
        <w:t>；</w:t>
      </w:r>
      <w:r w:rsidR="009C07F5">
        <w:rPr>
          <w:rFonts w:cs="Cambria Math"/>
          <w:lang w:val="ru-RU"/>
        </w:rPr>
        <w:t>(诗篇</w:t>
      </w:r>
      <w:r w:rsidR="00D85B34" w:rsidRPr="00794712">
        <w:rPr>
          <w:lang w:val="ru-RU"/>
        </w:rPr>
        <w:t xml:space="preserve"> 40</w:t>
      </w:r>
      <w:r w:rsidR="00D85B34" w:rsidRPr="009E22FA">
        <w:rPr>
          <w:lang w:val="ru-RU"/>
        </w:rPr>
        <w:t>:</w:t>
      </w:r>
      <w:r w:rsidR="00D85B34" w:rsidRPr="00794712">
        <w:rPr>
          <w:lang w:val="ru-RU"/>
        </w:rPr>
        <w:t>10</w:t>
      </w:r>
      <w:r w:rsidR="009C07F5">
        <w:rPr>
          <w:lang w:val="ru-RU"/>
        </w:rPr>
        <w:t>)</w:t>
      </w:r>
      <w:r w:rsidR="00D85B34" w:rsidRPr="00794712">
        <w:rPr>
          <w:lang w:val="ru-RU"/>
        </w:rPr>
        <w:t>；</w:t>
      </w:r>
      <w:r w:rsidR="009C07F5">
        <w:rPr>
          <w:rFonts w:cs="Cambria Math"/>
          <w:lang w:val="ru-RU"/>
        </w:rPr>
        <w:t>(诗篇</w:t>
      </w:r>
      <w:r w:rsidR="00D85B34" w:rsidRPr="00794712">
        <w:rPr>
          <w:lang w:val="ru-RU"/>
        </w:rPr>
        <w:t xml:space="preserve"> 93</w:t>
      </w:r>
      <w:r w:rsidR="00D85B34" w:rsidRPr="009E22FA">
        <w:rPr>
          <w:lang w:val="ru-RU"/>
        </w:rPr>
        <w:t>:</w:t>
      </w:r>
      <w:r w:rsidR="00D85B34" w:rsidRPr="00794712">
        <w:rPr>
          <w:lang w:val="ru-RU"/>
        </w:rPr>
        <w:t>21</w:t>
      </w:r>
      <w:r w:rsidR="009C07F5">
        <w:rPr>
          <w:lang w:val="ru-RU"/>
        </w:rPr>
        <w:t>)</w:t>
      </w:r>
      <w:r w:rsidR="00D85B34" w:rsidRPr="00794712">
        <w:rPr>
          <w:lang w:val="ru-RU"/>
        </w:rPr>
        <w:t>；68</w:t>
      </w:r>
      <w:r w:rsidR="00D85B34" w:rsidRPr="009E22FA">
        <w:rPr>
          <w:lang w:val="ru-RU"/>
        </w:rPr>
        <w:t>:</w:t>
      </w:r>
      <w:r w:rsidR="00D85B34" w:rsidRPr="00794712">
        <w:rPr>
          <w:lang w:val="ru-RU"/>
        </w:rPr>
        <w:t>22</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亚11</w:t>
      </w:r>
      <w:r w:rsidR="00D85B34" w:rsidRPr="00DF3D7B">
        <w:rPr>
          <w:lang w:val="ru-RU"/>
        </w:rPr>
        <w:t>:</w:t>
      </w:r>
      <w:r w:rsidR="00D85B34" w:rsidRPr="00794712">
        <w:rPr>
          <w:lang w:val="ru-RU"/>
        </w:rPr>
        <w:t>12-13</w:t>
      </w:r>
      <w:r w:rsidR="009C07F5">
        <w:rPr>
          <w:lang w:val="ru-RU"/>
        </w:rPr>
        <w:t>）</w:t>
      </w:r>
      <w:r w:rsidR="00D85B34" w:rsidRPr="00794712">
        <w:rPr>
          <w:lang w:val="ru-RU"/>
        </w:rPr>
        <w:t>；</w:t>
      </w:r>
      <w:r w:rsidR="009C07F5">
        <w:rPr>
          <w:rFonts w:cs="Cambria Math"/>
          <w:lang w:val="ru-RU"/>
        </w:rPr>
        <w:t>（</w:t>
      </w:r>
      <w:r w:rsidR="00D85B34" w:rsidRPr="00794712">
        <w:rPr>
          <w:lang w:val="ru-RU"/>
        </w:rPr>
        <w:t>亚12</w:t>
      </w:r>
      <w:r w:rsidR="00D85B34" w:rsidRPr="00DF3D7B">
        <w:rPr>
          <w:lang w:val="ru-RU"/>
        </w:rPr>
        <w:t>:</w:t>
      </w:r>
      <w:r w:rsidR="00D85B34" w:rsidRPr="00794712">
        <w:rPr>
          <w:lang w:val="ru-RU"/>
        </w:rPr>
        <w:t>10</w:t>
      </w:r>
      <w:r w:rsidR="00D85B34" w:rsidRPr="00BE7203">
        <w:rPr>
          <w:lang w:val="ru-RU"/>
        </w:rPr>
        <w:t>）</w:t>
      </w:r>
      <w:r w:rsidR="00D85B34" w:rsidRPr="00794712">
        <w:rPr>
          <w:lang w:val="ru-RU"/>
        </w:rPr>
        <w:t>；</w:t>
      </w:r>
      <w:r w:rsidR="00D85B34" w:rsidRPr="00BE7203">
        <w:rPr>
          <w:lang w:val="ru-RU"/>
        </w:rPr>
        <w:t>（</w:t>
      </w:r>
      <w:r w:rsidR="00D85B34" w:rsidRPr="00794712">
        <w:rPr>
          <w:lang w:val="ru-RU"/>
        </w:rPr>
        <w:t>赛53</w:t>
      </w:r>
      <w:r w:rsidR="00D85B34" w:rsidRPr="00DF3D7B">
        <w:rPr>
          <w:lang w:val="ru-RU"/>
        </w:rPr>
        <w:t>:</w:t>
      </w:r>
      <w:r w:rsidR="00D85B34" w:rsidRPr="00794712">
        <w:rPr>
          <w:lang w:val="ru-RU"/>
        </w:rPr>
        <w:t>7）</w:t>
      </w:r>
      <w:r w:rsidR="009C07F5" w:rsidRPr="009C07F5">
        <w:rPr>
          <w:lang w:val="ru-RU"/>
        </w:rPr>
        <w:t>]</w:t>
      </w:r>
      <w:r w:rsidR="00D85B34" w:rsidRPr="00794712">
        <w:rPr>
          <w:lang w:val="ru-RU"/>
        </w:rPr>
        <w:t xml:space="preserve">以及复活 </w:t>
      </w:r>
      <w:r w:rsidR="009C07F5" w:rsidRPr="009C07F5">
        <w:rPr>
          <w:lang w:val="ru-RU"/>
        </w:rPr>
        <w:t>[</w:t>
      </w:r>
      <w:r w:rsidR="00D85B34" w:rsidRPr="00794712">
        <w:rPr>
          <w:lang w:val="ru-RU"/>
        </w:rPr>
        <w:t>(诗70</w:t>
      </w:r>
      <w:r w:rsidR="00D85B34" w:rsidRPr="00DF3D7B">
        <w:rPr>
          <w:lang w:val="ru-RU"/>
        </w:rPr>
        <w:t>:</w:t>
      </w:r>
      <w:r w:rsidR="00D85B34" w:rsidRPr="00794712">
        <w:rPr>
          <w:lang w:val="ru-RU"/>
        </w:rPr>
        <w:t>20</w:t>
      </w:r>
      <w:r w:rsidR="00D85B34" w:rsidRPr="00D10457">
        <w:rPr>
          <w:lang w:val="ru-RU"/>
        </w:rPr>
        <w:t>)</w:t>
      </w:r>
      <w:r w:rsidR="00D85B34" w:rsidRPr="00794712">
        <w:rPr>
          <w:lang w:val="ru-RU"/>
        </w:rPr>
        <w:t>；</w:t>
      </w:r>
      <w:r w:rsidR="00D85B34" w:rsidRPr="00D10457">
        <w:rPr>
          <w:lang w:val="ru-RU"/>
        </w:rPr>
        <w:t>（</w:t>
      </w:r>
      <w:r w:rsidR="00D85B34" w:rsidRPr="00794712">
        <w:rPr>
          <w:lang w:val="ru-RU"/>
        </w:rPr>
        <w:t>何6</w:t>
      </w:r>
      <w:r w:rsidR="00D85B34" w:rsidRPr="00DF3D7B">
        <w:rPr>
          <w:lang w:val="ru-RU"/>
        </w:rPr>
        <w:t>:</w:t>
      </w:r>
      <w:r w:rsidR="00D85B34" w:rsidRPr="00794712">
        <w:rPr>
          <w:lang w:val="ru-RU"/>
        </w:rPr>
        <w:t>3)</w:t>
      </w:r>
      <w:r w:rsidR="009C07F5" w:rsidRPr="009C07F5">
        <w:rPr>
          <w:lang w:val="ru-RU"/>
        </w:rPr>
        <w:t>]</w:t>
      </w:r>
      <w:r w:rsidR="00D85B34" w:rsidRPr="00794712">
        <w:rPr>
          <w:lang w:val="ru-RU"/>
        </w:rPr>
        <w:t>，</w:t>
      </w:r>
      <w:r w:rsidR="00A84D26">
        <w:rPr>
          <w:rStyle w:val="FootnoteReference"/>
          <w:lang w:val="ru-RU"/>
        </w:rPr>
        <w:footnoteReference w:id="59"/>
      </w:r>
      <w:r w:rsidR="00D85B34" w:rsidRPr="00794712">
        <w:rPr>
          <w:lang w:val="ru-RU"/>
        </w:rPr>
        <w:t xml:space="preserve"> ，因此当弥赛亚真正降临人间时，细心的犹太人根据这些特征，必然能够认出祂。</w:t>
      </w:r>
    </w:p>
    <w:p w14:paraId="38EC2FC1" w14:textId="77777777" w:rsidR="00D85B34" w:rsidRPr="00794712" w:rsidRDefault="00F45CFB" w:rsidP="00D85B34">
      <w:pPr>
        <w:ind w:firstLine="708"/>
        <w:rPr>
          <w:lang w:val="ru-RU"/>
        </w:rPr>
      </w:pPr>
      <w:r w:rsidRPr="00F45CFB">
        <w:rPr>
          <w:b/>
          <w:bCs/>
          <w:lang w:val="ru-RU"/>
        </w:rPr>
        <w:t>2）</w:t>
      </w:r>
      <w:r w:rsidR="00D85B34" w:rsidRPr="00794712">
        <w:rPr>
          <w:lang w:val="ru-RU"/>
        </w:rPr>
        <w:t>预表。在这里，无尽的仁慈降临到软弱的人类身上，将关于弥赛亚的崇高应许和预言化作可感知的形象，以便更深刻地将它们铭刻在人民的记忆中，并始终仿佛将它们呈现在他们眼前。此类预表包括：</w:t>
      </w:r>
    </w:p>
    <w:p w14:paraId="57F0DC66" w14:textId="77777777" w:rsidR="00D85B34" w:rsidRPr="00794712" w:rsidRDefault="00D85B34" w:rsidP="00D85B34">
      <w:pPr>
        <w:rPr>
          <w:lang w:val="ru-RU"/>
        </w:rPr>
      </w:pPr>
      <w:r w:rsidRPr="00794712">
        <w:rPr>
          <w:lang w:val="ru-RU"/>
        </w:rPr>
        <w:tab/>
      </w:r>
      <w:r w:rsidR="00A95A76" w:rsidRPr="00A95A76">
        <w:rPr>
          <w:b/>
          <w:bCs/>
          <w:lang w:val="ru-RU"/>
        </w:rPr>
        <w:t>a)</w:t>
      </w:r>
      <w:r w:rsidRPr="00794712">
        <w:rPr>
          <w:lang w:val="ru-RU"/>
        </w:rPr>
        <w:t xml:space="preserve"> 某些个人生活中的事件与情境，例如：以撒被献为祭，预示了弥赛亚的十字架之死与复活</w:t>
      </w:r>
      <w:r w:rsidR="005864AB">
        <w:rPr>
          <w:lang w:val="ru-RU"/>
        </w:rPr>
        <w:t>（</w:t>
      </w:r>
      <w:r w:rsidRPr="00794712">
        <w:rPr>
          <w:lang w:val="ru-RU"/>
        </w:rPr>
        <w:t>约8</w:t>
      </w:r>
      <w:r w:rsidRPr="00F318EF">
        <w:rPr>
          <w:lang w:val="ru-RU"/>
        </w:rPr>
        <w:t>:</w:t>
      </w:r>
      <w:r w:rsidRPr="00794712">
        <w:rPr>
          <w:lang w:val="ru-RU"/>
        </w:rPr>
        <w:t>56）；麦基洗德的祭司职分，预表了基督永恒的祭司职分（来5</w:t>
      </w:r>
      <w:r w:rsidRPr="00F318EF">
        <w:rPr>
          <w:lang w:val="ru-RU"/>
        </w:rPr>
        <w:t>:</w:t>
      </w:r>
      <w:r w:rsidRPr="00794712">
        <w:rPr>
          <w:lang w:val="ru-RU"/>
        </w:rPr>
        <w:t xml:space="preserve">6-7）； 大卫和所罗门统治时期的权能与宏伟，预表了基督国度的权能与荣耀 </w:t>
      </w:r>
      <w:r w:rsidR="009C07F5" w:rsidRPr="009C07F5">
        <w:rPr>
          <w:lang w:val="ru-RU"/>
        </w:rPr>
        <w:t>[</w:t>
      </w:r>
      <w:r w:rsidRPr="00794712">
        <w:rPr>
          <w:lang w:val="ru-RU"/>
        </w:rPr>
        <w:t>(撒下 7</w:t>
      </w:r>
      <w:r w:rsidRPr="00AC4C49">
        <w:rPr>
          <w:lang w:val="ru-RU"/>
        </w:rPr>
        <w:t>:</w:t>
      </w:r>
      <w:r w:rsidRPr="00794712">
        <w:rPr>
          <w:lang w:val="ru-RU"/>
        </w:rPr>
        <w:t>13-14</w:t>
      </w:r>
      <w:r w:rsidRPr="0093345C">
        <w:rPr>
          <w:lang w:val="ru-RU"/>
        </w:rPr>
        <w:t>)</w:t>
      </w:r>
      <w:r w:rsidRPr="00794712">
        <w:rPr>
          <w:lang w:val="ru-RU"/>
        </w:rPr>
        <w:t xml:space="preserve">； </w:t>
      </w:r>
      <w:r w:rsidRPr="0093345C">
        <w:rPr>
          <w:lang w:val="ru-RU"/>
        </w:rPr>
        <w:t>（</w:t>
      </w:r>
      <w:r w:rsidRPr="00794712">
        <w:rPr>
          <w:lang w:val="ru-RU"/>
        </w:rPr>
        <w:t>耶33</w:t>
      </w:r>
      <w:r w:rsidRPr="00AC4C49">
        <w:rPr>
          <w:lang w:val="ru-RU"/>
        </w:rPr>
        <w:t>:</w:t>
      </w:r>
      <w:r w:rsidRPr="00794712">
        <w:rPr>
          <w:lang w:val="ru-RU"/>
        </w:rPr>
        <w:t>14-18）</w:t>
      </w:r>
      <w:r w:rsidR="009C07F5" w:rsidRPr="009C07F5">
        <w:rPr>
          <w:lang w:val="ru-RU"/>
        </w:rPr>
        <w:t>]</w:t>
      </w:r>
      <w:r w:rsidRPr="00794712">
        <w:rPr>
          <w:lang w:val="ru-RU"/>
        </w:rPr>
        <w:t>；先知约拿在鲸鱼腹中停留三天三夜，预表了弥赛亚在地的三日</w:t>
      </w:r>
      <w:r w:rsidR="000A57C3">
        <w:rPr>
          <w:lang w:val="ru-RU"/>
        </w:rPr>
        <w:t>（</w:t>
      </w:r>
      <w:r w:rsidRPr="00794712">
        <w:rPr>
          <w:lang w:val="ru-RU"/>
        </w:rPr>
        <w:t>太12</w:t>
      </w:r>
      <w:r w:rsidRPr="00D470FA">
        <w:rPr>
          <w:lang w:val="ru-RU"/>
        </w:rPr>
        <w:t>:</w:t>
      </w:r>
      <w:r w:rsidRPr="00794712">
        <w:rPr>
          <w:lang w:val="ru-RU"/>
        </w:rPr>
        <w:t>40）。</w:t>
      </w:r>
    </w:p>
    <w:p w14:paraId="4E44145D" w14:textId="77777777" w:rsidR="00D85B34" w:rsidRPr="00794712" w:rsidRDefault="00D85B34" w:rsidP="00D85B34">
      <w:pPr>
        <w:rPr>
          <w:lang w:val="ru-RU"/>
        </w:rPr>
      </w:pPr>
      <w:r w:rsidRPr="00794712">
        <w:rPr>
          <w:lang w:val="ru-RU"/>
        </w:rPr>
        <w:tab/>
      </w:r>
      <w:r w:rsidR="00A95A76" w:rsidRPr="00A95A76">
        <w:rPr>
          <w:b/>
          <w:bCs/>
          <w:lang w:val="ru-RU"/>
        </w:rPr>
        <w:t>b)</w:t>
      </w:r>
      <w:r w:rsidRPr="00794712">
        <w:rPr>
          <w:lang w:val="ru-RU"/>
        </w:rPr>
        <w:t xml:space="preserve"> 整个犹太民族生活中的事件与情境，特别是在摩西时代 </w:t>
      </w:r>
      <w:r w:rsidR="009C07F5" w:rsidRPr="009C07F5">
        <w:rPr>
          <w:lang w:val="ru-RU"/>
        </w:rPr>
        <w:t>[</w:t>
      </w:r>
      <w:r w:rsidR="00621F17">
        <w:rPr>
          <w:lang w:val="ru-RU"/>
        </w:rPr>
        <w:t>(林前</w:t>
      </w:r>
      <w:r w:rsidRPr="00794712">
        <w:rPr>
          <w:lang w:val="ru-RU"/>
        </w:rPr>
        <w:t xml:space="preserve"> 10</w:t>
      </w:r>
      <w:r w:rsidRPr="00D470FA">
        <w:rPr>
          <w:lang w:val="ru-RU"/>
        </w:rPr>
        <w:t>:</w:t>
      </w:r>
      <w:r w:rsidRPr="00794712">
        <w:rPr>
          <w:lang w:val="ru-RU"/>
        </w:rPr>
        <w:t>11</w:t>
      </w:r>
      <w:r w:rsidRPr="00D470FA">
        <w:rPr>
          <w:lang w:val="ru-RU"/>
        </w:rPr>
        <w:t>)</w:t>
      </w:r>
      <w:r w:rsidRPr="00794712">
        <w:rPr>
          <w:lang w:val="ru-RU"/>
        </w:rPr>
        <w:t xml:space="preserve">； </w:t>
      </w:r>
      <w:r w:rsidRPr="00D470FA">
        <w:rPr>
          <w:lang w:val="ru-RU"/>
        </w:rPr>
        <w:t>（</w:t>
      </w:r>
      <w:r w:rsidRPr="00794712">
        <w:rPr>
          <w:lang w:val="ru-RU"/>
        </w:rPr>
        <w:t>罗10</w:t>
      </w:r>
      <w:r w:rsidRPr="00A303FB">
        <w:rPr>
          <w:lang w:val="ru-RU"/>
        </w:rPr>
        <w:t>:</w:t>
      </w:r>
      <w:r w:rsidRPr="00794712">
        <w:rPr>
          <w:lang w:val="ru-RU"/>
        </w:rPr>
        <w:t>4）</w:t>
      </w:r>
      <w:r w:rsidR="009C07F5" w:rsidRPr="009C07F5">
        <w:rPr>
          <w:lang w:val="ru-RU"/>
        </w:rPr>
        <w:t>]</w:t>
      </w:r>
      <w:r w:rsidRPr="00794712">
        <w:rPr>
          <w:lang w:val="ru-RU"/>
        </w:rPr>
        <w:t xml:space="preserve">，例如：以色列人出埃及、逾越节的羔羊——它在许多方面预表了弥赛亚 </w:t>
      </w:r>
      <w:r w:rsidR="009C07F5" w:rsidRPr="009C07F5">
        <w:rPr>
          <w:lang w:val="ru-RU"/>
        </w:rPr>
        <w:t>[</w:t>
      </w:r>
      <w:r w:rsidRPr="00794712">
        <w:rPr>
          <w:lang w:val="ru-RU"/>
        </w:rPr>
        <w:t>(出12</w:t>
      </w:r>
      <w:r w:rsidRPr="00A303FB">
        <w:rPr>
          <w:lang w:val="ru-RU"/>
        </w:rPr>
        <w:t>:</w:t>
      </w:r>
      <w:r w:rsidRPr="00794712">
        <w:rPr>
          <w:lang w:val="ru-RU"/>
        </w:rPr>
        <w:t>46</w:t>
      </w:r>
      <w:r w:rsidR="009C07F5" w:rsidRPr="009C07F5">
        <w:rPr>
          <w:lang w:val="ru-RU"/>
        </w:rPr>
        <w:t>)</w:t>
      </w:r>
      <w:r w:rsidRPr="00794712">
        <w:rPr>
          <w:lang w:val="ru-RU"/>
        </w:rPr>
        <w:t>；参</w:t>
      </w:r>
      <w:r w:rsidR="0087297C">
        <w:rPr>
          <w:lang w:val="ru-RU"/>
        </w:rPr>
        <w:t xml:space="preserve"> </w:t>
      </w:r>
      <w:r w:rsidR="009C07F5" w:rsidRPr="00BD6C1B">
        <w:rPr>
          <w:lang w:val="ru-RU"/>
        </w:rPr>
        <w:t>（</w:t>
      </w:r>
      <w:r w:rsidRPr="00794712">
        <w:rPr>
          <w:lang w:val="ru-RU"/>
        </w:rPr>
        <w:t>约19</w:t>
      </w:r>
      <w:r w:rsidRPr="00A303FB">
        <w:rPr>
          <w:lang w:val="ru-RU"/>
        </w:rPr>
        <w:t>:</w:t>
      </w:r>
      <w:r w:rsidRPr="00794712">
        <w:rPr>
          <w:lang w:val="ru-RU"/>
        </w:rPr>
        <w:t>36</w:t>
      </w:r>
      <w:r w:rsidRPr="00A303FB">
        <w:rPr>
          <w:lang w:val="ru-RU"/>
        </w:rPr>
        <w:t>）</w:t>
      </w:r>
      <w:r w:rsidRPr="00794712">
        <w:rPr>
          <w:lang w:val="ru-RU"/>
        </w:rPr>
        <w:t>；</w:t>
      </w:r>
      <w:r w:rsidR="00621F17">
        <w:rPr>
          <w:lang w:val="ru-RU"/>
        </w:rPr>
        <w:t>（</w:t>
      </w:r>
      <w:r w:rsidRPr="00794712">
        <w:rPr>
          <w:lang w:val="ru-RU"/>
        </w:rPr>
        <w:t>林前5</w:t>
      </w:r>
      <w:r w:rsidRPr="00524E62">
        <w:rPr>
          <w:lang w:val="ru-RU"/>
        </w:rPr>
        <w:t>:</w:t>
      </w:r>
      <w:r w:rsidRPr="00794712">
        <w:rPr>
          <w:lang w:val="ru-RU"/>
        </w:rPr>
        <w:t>7）</w:t>
      </w:r>
      <w:r w:rsidR="009C07F5" w:rsidRPr="009C07F5">
        <w:rPr>
          <w:lang w:val="ru-RU"/>
        </w:rPr>
        <w:t>]</w:t>
      </w:r>
      <w:r w:rsidRPr="00794712">
        <w:rPr>
          <w:lang w:val="ru-RU"/>
        </w:rPr>
        <w:t>，穿越红海，吗哪，从磐石中涌出的水，铜蛇——它预表了被钉在十字架上、拯救信靠祂之人免于永死的那位弥赛亚</w:t>
      </w:r>
      <w:r w:rsidR="005864AB">
        <w:rPr>
          <w:lang w:val="ru-RU"/>
        </w:rPr>
        <w:t>（</w:t>
      </w:r>
      <w:r w:rsidRPr="00794712">
        <w:rPr>
          <w:lang w:val="ru-RU"/>
        </w:rPr>
        <w:t>约3</w:t>
      </w:r>
      <w:r w:rsidRPr="00AB7069">
        <w:rPr>
          <w:lang w:val="ru-RU"/>
        </w:rPr>
        <w:t>:</w:t>
      </w:r>
      <w:r w:rsidRPr="00794712">
        <w:rPr>
          <w:lang w:val="ru-RU"/>
        </w:rPr>
        <w:t>14）。</w:t>
      </w:r>
    </w:p>
    <w:p w14:paraId="24CE0F6D" w14:textId="77777777" w:rsidR="00D85B34" w:rsidRPr="00794712" w:rsidRDefault="00D85B34" w:rsidP="00D85B34">
      <w:pPr>
        <w:rPr>
          <w:lang w:val="ru-RU"/>
        </w:rPr>
      </w:pPr>
      <w:r w:rsidRPr="00794712">
        <w:rPr>
          <w:lang w:val="ru-RU"/>
        </w:rPr>
        <w:tab/>
      </w:r>
      <w:r w:rsidR="00A95A76" w:rsidRPr="00A95A76">
        <w:rPr>
          <w:b/>
          <w:bCs/>
          <w:lang w:val="ru-RU"/>
        </w:rPr>
        <w:t>c)</w:t>
      </w:r>
      <w:r w:rsidRPr="00794712">
        <w:rPr>
          <w:lang w:val="ru-RU"/>
        </w:rPr>
        <w:t xml:space="preserve"> 上帝通过摩西颁布的全部礼仪律法，通过其众多的献祭、洁净礼、洒水礼、节期和圣职制度</w:t>
      </w:r>
      <w:r>
        <w:rPr>
          <w:lang w:val="ru-RU"/>
        </w:rPr>
        <w:t>，</w:t>
      </w:r>
      <w:r w:rsidRPr="00794712">
        <w:rPr>
          <w:lang w:val="ru-RU"/>
        </w:rPr>
        <w:t xml:space="preserve">预表了新约中的事件： 正如圣使徒所见证的，这律法是未来福分的预表，而非事物的本身 </w:t>
      </w:r>
      <w:r w:rsidR="009C07F5" w:rsidRPr="009C07F5">
        <w:rPr>
          <w:lang w:val="ru-RU"/>
        </w:rPr>
        <w:t>[</w:t>
      </w:r>
      <w:r w:rsidRPr="00794712">
        <w:rPr>
          <w:lang w:val="ru-RU"/>
        </w:rPr>
        <w:t>(希伯来书 10</w:t>
      </w:r>
      <w:r w:rsidRPr="0062438B">
        <w:rPr>
          <w:lang w:val="ru-RU"/>
        </w:rPr>
        <w:t>:</w:t>
      </w:r>
      <w:r w:rsidRPr="00794712">
        <w:rPr>
          <w:lang w:val="ru-RU"/>
        </w:rPr>
        <w:t>1</w:t>
      </w:r>
      <w:r w:rsidR="009C07F5" w:rsidRPr="009C07F5">
        <w:rPr>
          <w:lang w:val="ru-RU"/>
        </w:rPr>
        <w:t>)</w:t>
      </w:r>
      <w:r w:rsidRPr="00794712">
        <w:rPr>
          <w:lang w:val="ru-RU"/>
        </w:rPr>
        <w:t xml:space="preserve">；参见 </w:t>
      </w:r>
      <w:r w:rsidR="009C07F5" w:rsidRPr="009C07F5">
        <w:rPr>
          <w:lang w:val="ru-RU"/>
        </w:rPr>
        <w:t>（</w:t>
      </w:r>
      <w:r w:rsidRPr="00794712">
        <w:rPr>
          <w:lang w:val="ru-RU"/>
        </w:rPr>
        <w:t>歌罗西书 2</w:t>
      </w:r>
      <w:r w:rsidRPr="0062438B">
        <w:rPr>
          <w:lang w:val="ru-RU"/>
        </w:rPr>
        <w:t>:</w:t>
      </w:r>
      <w:r w:rsidRPr="00794712">
        <w:rPr>
          <w:lang w:val="ru-RU"/>
        </w:rPr>
        <w:t>17）</w:t>
      </w:r>
      <w:r w:rsidR="009C07F5" w:rsidRPr="009C07F5">
        <w:rPr>
          <w:lang w:val="ru-RU"/>
        </w:rPr>
        <w:t>]</w:t>
      </w:r>
      <w:r w:rsidRPr="00794712">
        <w:rPr>
          <w:lang w:val="ru-RU"/>
        </w:rPr>
        <w:t>。该律法中最具教益的规定包括：</w:t>
      </w:r>
      <w:r w:rsidR="00A95A76" w:rsidRPr="00A95A76">
        <w:rPr>
          <w:b/>
          <w:lang w:val="ru-RU"/>
        </w:rPr>
        <w:t xml:space="preserve">a) </w:t>
      </w:r>
      <w:r w:rsidRPr="00794712">
        <w:rPr>
          <w:lang w:val="ru-RU"/>
        </w:rPr>
        <w:t>对所有男婴施行割礼，这象征着内心的割礼以及因信称义——即信靠那位将要降生、且非由人父所生的弥赛亚（罗马书 2</w:t>
      </w:r>
      <w:r w:rsidRPr="0062438B">
        <w:rPr>
          <w:lang w:val="ru-RU"/>
        </w:rPr>
        <w:t>:</w:t>
      </w:r>
      <w:r w:rsidRPr="00794712">
        <w:rPr>
          <w:lang w:val="ru-RU"/>
        </w:rPr>
        <w:t>28-29；</w:t>
      </w:r>
      <w:r w:rsidR="00FB2012">
        <w:rPr>
          <w:rFonts w:cs="Cambria Math"/>
          <w:lang w:val="ru-RU"/>
        </w:rPr>
        <w:t xml:space="preserve"> </w:t>
      </w:r>
      <w:r w:rsidRPr="00794712">
        <w:rPr>
          <w:lang w:val="ru-RU"/>
        </w:rPr>
        <w:t>4</w:t>
      </w:r>
      <w:r w:rsidRPr="0062438B">
        <w:rPr>
          <w:lang w:val="ru-RU"/>
        </w:rPr>
        <w:t>:</w:t>
      </w:r>
      <w:r w:rsidRPr="00794712">
        <w:rPr>
          <w:lang w:val="ru-RU"/>
        </w:rPr>
        <w:t>11)，</w:t>
      </w:r>
      <w:r w:rsidR="00A95A76" w:rsidRPr="00A95A76">
        <w:rPr>
          <w:b/>
          <w:lang w:val="ru-RU"/>
        </w:rPr>
        <w:t xml:space="preserve">以及b) </w:t>
      </w:r>
      <w:r w:rsidRPr="00794712">
        <w:rPr>
          <w:lang w:val="ru-RU"/>
        </w:rPr>
        <w:t xml:space="preserve">大祭司每年一次进入至圣所，将血洒在赎罪所上：这一圣礼预表了弥赛亚将要献上的、为世人罪孽而作的唯一赎罪祭，同时也预表了他升天的事 </w:t>
      </w:r>
      <w:r w:rsidR="00367BAF" w:rsidRPr="00367BAF">
        <w:rPr>
          <w:lang w:val="ru-RU"/>
        </w:rPr>
        <w:t>[</w:t>
      </w:r>
      <w:r w:rsidRPr="00794712">
        <w:rPr>
          <w:lang w:val="ru-RU"/>
        </w:rPr>
        <w:t>(希伯来书 9</w:t>
      </w:r>
      <w:r w:rsidRPr="00486547">
        <w:rPr>
          <w:lang w:val="ru-RU"/>
        </w:rPr>
        <w:t>:</w:t>
      </w:r>
      <w:r w:rsidRPr="00794712">
        <w:rPr>
          <w:lang w:val="ru-RU"/>
        </w:rPr>
        <w:t>11</w:t>
      </w:r>
      <w:r w:rsidR="00367BAF" w:rsidRPr="00367BAF">
        <w:rPr>
          <w:lang w:val="ru-RU"/>
        </w:rPr>
        <w:t>)</w:t>
      </w:r>
      <w:r w:rsidRPr="00486547">
        <w:rPr>
          <w:lang w:val="ru-RU"/>
        </w:rPr>
        <w:t>；</w:t>
      </w:r>
      <w:r w:rsidR="00FB2012">
        <w:rPr>
          <w:rFonts w:cs="Cambria Math"/>
          <w:lang w:val="ru-RU"/>
        </w:rPr>
        <w:t xml:space="preserve"> </w:t>
      </w:r>
      <w:r w:rsidR="00367BAF" w:rsidRPr="00367BAF">
        <w:rPr>
          <w:rFonts w:cs="Cambria Math"/>
          <w:lang w:val="ru-RU"/>
        </w:rPr>
        <w:t>（</w:t>
      </w:r>
      <w:r w:rsidR="00367BAF">
        <w:rPr>
          <w:rFonts w:cs="Cambria Math"/>
          <w:lang w:val="ru-RU"/>
        </w:rPr>
        <w:t>希伯来书</w:t>
      </w:r>
      <w:r w:rsidRPr="00794712">
        <w:rPr>
          <w:lang w:val="ru-RU"/>
        </w:rPr>
        <w:t xml:space="preserve"> 12</w:t>
      </w:r>
      <w:r w:rsidRPr="00486547">
        <w:rPr>
          <w:lang w:val="ru-RU"/>
        </w:rPr>
        <w:t>:</w:t>
      </w:r>
      <w:r w:rsidRPr="00794712">
        <w:rPr>
          <w:lang w:val="ru-RU"/>
        </w:rPr>
        <w:t>24）</w:t>
      </w:r>
      <w:r w:rsidR="00367BAF" w:rsidRPr="00367BAF">
        <w:rPr>
          <w:lang w:val="ru-RU"/>
        </w:rPr>
        <w:t>]</w:t>
      </w:r>
      <w:r w:rsidRPr="00794712">
        <w:rPr>
          <w:lang w:val="ru-RU"/>
        </w:rPr>
        <w:t>。</w:t>
      </w:r>
    </w:p>
    <w:p w14:paraId="103281B2" w14:textId="77777777" w:rsidR="00D85B34" w:rsidRPr="00794712" w:rsidRDefault="00F45CFB" w:rsidP="00D85B34">
      <w:pPr>
        <w:ind w:firstLine="708"/>
        <w:rPr>
          <w:lang w:val="ru-RU"/>
        </w:rPr>
      </w:pPr>
      <w:r w:rsidRPr="00F45CFB">
        <w:rPr>
          <w:b/>
          <w:bCs/>
          <w:lang w:val="ru-RU"/>
        </w:rPr>
        <w:t>3)</w:t>
      </w:r>
      <w:r w:rsidR="00D85B34" w:rsidRPr="00794712">
        <w:rPr>
          <w:lang w:val="ru-RU"/>
        </w:rPr>
        <w:t xml:space="preserve"> 律法不仅是礼仪性的，也是道德的和公民的。 使徒将律法</w:t>
      </w:r>
      <w:r w:rsidR="00D85B34" w:rsidRPr="00B06BA1">
        <w:rPr>
          <w:i/>
          <w:iCs/>
          <w:lang w:val="ru-RU"/>
        </w:rPr>
        <w:t>通称为“引领人归向基督的保姆”</w:t>
      </w:r>
      <w:r w:rsidR="00D85B34" w:rsidRPr="00794712">
        <w:rPr>
          <w:lang w:val="ru-RU"/>
        </w:rPr>
        <w:t>（加拉太书 3</w:t>
      </w:r>
      <w:r w:rsidR="00D85B34" w:rsidRPr="00B06BA1">
        <w:rPr>
          <w:lang w:val="ru-RU"/>
        </w:rPr>
        <w:t>:</w:t>
      </w:r>
      <w:r w:rsidR="00D85B34" w:rsidRPr="00794712">
        <w:rPr>
          <w:lang w:val="ru-RU"/>
        </w:rPr>
        <w:t>24）。确实，正如前文所述，礼仪律法通过预表新约中的事件，并以其祭祀向犹太人预示基督的牺牲（希伯来书 10</w:t>
      </w:r>
      <w:r w:rsidR="00D85B34" w:rsidRPr="0077782B">
        <w:rPr>
          <w:lang w:val="ru-RU"/>
        </w:rPr>
        <w:t>:</w:t>
      </w:r>
      <w:r w:rsidR="00D85B34" w:rsidRPr="00794712">
        <w:rPr>
          <w:lang w:val="ru-RU"/>
        </w:rPr>
        <w:t>1），从而引导人归向基督。 道德律法则通过其崇高而详尽的诫命——这些诫命因原罪之故，犹太人根本无法遵守——清晰地向他们显明了自身的罪性：</w:t>
      </w:r>
      <w:r w:rsidR="00D85B34" w:rsidRPr="000129FB">
        <w:rPr>
          <w:i/>
          <w:iCs/>
          <w:lang w:val="ru-RU"/>
        </w:rPr>
        <w:t>“因为律法使人知罪”</w:t>
      </w:r>
      <w:r w:rsidR="00D85B34" w:rsidRPr="00794712">
        <w:rPr>
          <w:lang w:val="ru-RU"/>
        </w:rPr>
        <w:t xml:space="preserve"> （罗3</w:t>
      </w:r>
      <w:r w:rsidR="00D85B34" w:rsidRPr="000129FB">
        <w:rPr>
          <w:lang w:val="ru-RU"/>
        </w:rPr>
        <w:t>:</w:t>
      </w:r>
      <w:r w:rsidR="00D85B34" w:rsidRPr="00794712">
        <w:rPr>
          <w:lang w:val="ru-RU"/>
        </w:rPr>
        <w:t xml:space="preserve">20），使他们意识到自己的无力，并在他们心中激起对救赎主最强烈的渴求——圣保罗曾以如此强大的力量对此作过见证。这位从犹太人中走出来的、成为基督徒的犹太人； </w:t>
      </w:r>
      <w:r w:rsidR="00D85B34" w:rsidRPr="00825E79">
        <w:rPr>
          <w:lang w:val="ru-RU"/>
        </w:rPr>
        <w:t>“因为我们知道，律法是属灵的，但我却是属肉体的，已被罪卖了。因为我不明白自己所做的：我所做的，不是我所愿意的，而是我所憎恶的。如果我做我不愿意的，我就承认律法是好的；这样看来，就不是我做的，而是住在我里面的</w:t>
      </w:r>
      <w:r w:rsidR="00D85B34" w:rsidRPr="007E35F8">
        <w:rPr>
          <w:lang w:val="ru-RU"/>
        </w:rPr>
        <w:t>罪……  我真是苦啊！谁能救我脱离这取死的身体呢？我感谢我的神，借着我们的主耶稣</w:t>
      </w:r>
      <w:r w:rsidR="00D85B34" w:rsidRPr="00825E79">
        <w:rPr>
          <w:lang w:val="ru-RU"/>
        </w:rPr>
        <w:t xml:space="preserve">基督” </w:t>
      </w:r>
      <w:r w:rsidR="00367BAF" w:rsidRPr="00367BAF">
        <w:rPr>
          <w:lang w:val="ru-RU"/>
        </w:rPr>
        <w:t>[</w:t>
      </w:r>
      <w:r w:rsidR="00D85B34" w:rsidRPr="00794712">
        <w:rPr>
          <w:lang w:val="ru-RU"/>
        </w:rPr>
        <w:t>(罗 7</w:t>
      </w:r>
      <w:r w:rsidR="00D85B34" w:rsidRPr="005A1E6F">
        <w:rPr>
          <w:lang w:val="ru-RU"/>
        </w:rPr>
        <w:t>:</w:t>
      </w:r>
      <w:r w:rsidR="00D85B34" w:rsidRPr="00794712">
        <w:rPr>
          <w:lang w:val="ru-RU"/>
        </w:rPr>
        <w:t>14-17</w:t>
      </w:r>
      <w:r w:rsidR="00367BAF" w:rsidRPr="00367BAF">
        <w:rPr>
          <w:lang w:val="ru-RU"/>
        </w:rPr>
        <w:t>)</w:t>
      </w:r>
      <w:r w:rsidR="00D85B34" w:rsidRPr="005A1E6F">
        <w:rPr>
          <w:lang w:val="ru-RU"/>
        </w:rPr>
        <w:t>；</w:t>
      </w:r>
      <w:r w:rsidR="00367BAF" w:rsidRPr="00367BAF">
        <w:rPr>
          <w:rFonts w:cs="Cambria Math"/>
          <w:lang w:val="ru-RU"/>
        </w:rPr>
        <w:t>(</w:t>
      </w:r>
      <w:r w:rsidR="00367BAF">
        <w:rPr>
          <w:rFonts w:cs="Cambria Math"/>
          <w:lang w:val="ru-RU"/>
        </w:rPr>
        <w:t>罗</w:t>
      </w:r>
      <w:r w:rsidR="00D85B34" w:rsidRPr="00794712">
        <w:rPr>
          <w:lang w:val="ru-RU"/>
        </w:rPr>
        <w:t xml:space="preserve"> 24-25)</w:t>
      </w:r>
      <w:r w:rsidR="00367BAF" w:rsidRPr="00367BAF">
        <w:rPr>
          <w:lang w:val="ru-RU"/>
        </w:rPr>
        <w:t>]</w:t>
      </w:r>
      <w:r w:rsidR="00D85B34" w:rsidRPr="00794712">
        <w:rPr>
          <w:lang w:val="ru-RU"/>
        </w:rPr>
        <w:t>。</w:t>
      </w:r>
      <w:r w:rsidR="00A84D26">
        <w:rPr>
          <w:rStyle w:val="FootnoteReference"/>
          <w:lang w:val="ru-RU"/>
        </w:rPr>
        <w:footnoteReference w:id="60"/>
      </w:r>
      <w:r w:rsidR="00D85B34" w:rsidRPr="00794712">
        <w:rPr>
          <w:lang w:val="ru-RU"/>
        </w:rPr>
        <w:t xml:space="preserve"> </w:t>
      </w:r>
      <w:r w:rsidR="00D85B34" w:rsidRPr="00794712">
        <w:rPr>
          <w:lang w:val="ru-RU"/>
        </w:rPr>
        <w:lastRenderedPageBreak/>
        <w:t>最后，民事律法之所以引导人归向基督，是因为它几乎对每一条道德诫命的违背都以死刑相威胁 [(出21</w:t>
      </w:r>
      <w:r w:rsidR="00367BAF" w:rsidRPr="00BD6C1B">
        <w:rPr>
          <w:lang w:val="ru-RU"/>
        </w:rPr>
        <w:t>)</w:t>
      </w:r>
      <w:r w:rsidR="00CA33CF" w:rsidRPr="00BD6C1B">
        <w:rPr>
          <w:lang w:val="ru-RU"/>
        </w:rPr>
        <w:t>；</w:t>
      </w:r>
      <w:r w:rsidR="00CA33CF" w:rsidRPr="00BD6C1B">
        <w:rPr>
          <w:rFonts w:cs="Cambria Math"/>
          <w:lang w:val="ru-RU"/>
        </w:rPr>
        <w:t>(</w:t>
      </w:r>
      <w:r w:rsidR="00D85B34" w:rsidRPr="00794712">
        <w:rPr>
          <w:lang w:val="ru-RU"/>
        </w:rPr>
        <w:t>出22:</w:t>
      </w:r>
      <w:r w:rsidR="00CA33CF">
        <w:rPr>
          <w:lang w:val="ru-RU"/>
        </w:rPr>
        <w:t>18-20</w:t>
      </w:r>
      <w:r w:rsidR="00CA33CF" w:rsidRPr="00BD6C1B">
        <w:rPr>
          <w:lang w:val="ru-RU"/>
        </w:rPr>
        <w:t>)</w:t>
      </w:r>
      <w:r w:rsidR="00D85B34" w:rsidRPr="00794712">
        <w:rPr>
          <w:lang w:val="ru-RU"/>
        </w:rPr>
        <w:t>；</w:t>
      </w:r>
      <w:r w:rsidR="00367BAF" w:rsidRPr="00BD6C1B">
        <w:rPr>
          <w:lang w:val="ru-RU"/>
        </w:rPr>
        <w:t>(</w:t>
      </w:r>
      <w:r w:rsidR="00D85B34" w:rsidRPr="00794712">
        <w:rPr>
          <w:lang w:val="ru-RU"/>
        </w:rPr>
        <w:t>申13</w:t>
      </w:r>
      <w:r w:rsidR="000E6F7A">
        <w:rPr>
          <w:lang w:val="ru-RU"/>
        </w:rPr>
        <w:t>)</w:t>
      </w:r>
      <w:r w:rsidR="00D85B34" w:rsidRPr="00794712">
        <w:rPr>
          <w:lang w:val="ru-RU"/>
        </w:rPr>
        <w:t>，</w:t>
      </w:r>
      <w:r w:rsidR="000E6F7A">
        <w:rPr>
          <w:rFonts w:cs="Cambria Math"/>
          <w:lang w:val="ru-RU"/>
        </w:rPr>
        <w:t>(</w:t>
      </w:r>
      <w:r w:rsidR="00D85B34" w:rsidRPr="00794712">
        <w:rPr>
          <w:lang w:val="ru-RU"/>
        </w:rPr>
        <w:t>申17:</w:t>
      </w:r>
      <w:r w:rsidR="000E6F7A">
        <w:rPr>
          <w:lang w:val="ru-RU"/>
        </w:rPr>
        <w:t>2-12)</w:t>
      </w:r>
      <w:r w:rsidR="00367BAF" w:rsidRPr="00367BAF">
        <w:rPr>
          <w:lang w:val="ru-RU"/>
        </w:rPr>
        <w:t xml:space="preserve">] </w:t>
      </w:r>
      <w:r w:rsidR="00D85B34" w:rsidRPr="00794712">
        <w:rPr>
          <w:lang w:val="ru-RU"/>
        </w:rPr>
        <w:t>等。 因此，律法使犹太人始终生活在恐惧之中</w:t>
      </w:r>
      <w:r w:rsidR="00D85B34">
        <w:rPr>
          <w:lang w:val="ru-RU"/>
        </w:rPr>
        <w:t>，受奴役的</w:t>
      </w:r>
      <w:r w:rsidR="00D85B34" w:rsidRPr="00794712">
        <w:rPr>
          <w:lang w:val="ru-RU"/>
        </w:rPr>
        <w:t>枷锁所束缚（加拉太书 5</w:t>
      </w:r>
      <w:r w:rsidR="00D85B34" w:rsidRPr="00BB36E3">
        <w:rPr>
          <w:lang w:val="ru-RU"/>
        </w:rPr>
        <w:t>:</w:t>
      </w:r>
      <w:r w:rsidR="00D85B34" w:rsidRPr="00794712">
        <w:rPr>
          <w:lang w:val="ru-RU"/>
        </w:rPr>
        <w:t>1），这反而让他们更加热切地期盼救主早日降临人间，并盼望关于基督耶稣的生命之律能将他们</w:t>
      </w:r>
      <w:r w:rsidR="00D85B34" w:rsidRPr="002C4CC1">
        <w:rPr>
          <w:i/>
          <w:iCs/>
          <w:lang w:val="ru-RU"/>
        </w:rPr>
        <w:t>从“罪和死的律”中</w:t>
      </w:r>
      <w:r w:rsidR="00D85B34" w:rsidRPr="00794712">
        <w:rPr>
          <w:lang w:val="ru-RU"/>
        </w:rPr>
        <w:t>释放出来（罗马书8</w:t>
      </w:r>
      <w:r w:rsidR="00D85B34">
        <w:rPr>
          <w:lang w:val="ru-RU"/>
        </w:rPr>
        <w:t>:</w:t>
      </w:r>
      <w:r w:rsidR="00D85B34" w:rsidRPr="00794712">
        <w:rPr>
          <w:lang w:val="ru-RU"/>
        </w:rPr>
        <w:t>2）。</w:t>
      </w:r>
    </w:p>
    <w:p w14:paraId="7CA64CDF" w14:textId="77777777" w:rsidR="00D85B34" w:rsidRPr="00794712" w:rsidRDefault="00D85B34" w:rsidP="00D85B34">
      <w:pPr>
        <w:rPr>
          <w:lang w:val="ru-RU"/>
        </w:rPr>
      </w:pPr>
      <w:r w:rsidRPr="00794712">
        <w:rPr>
          <w:lang w:val="ru-RU"/>
        </w:rPr>
        <w:tab/>
        <w:t>凭借上述一切手段，犹太人自亚伯拉罕时代起，乃至亚伯拉罕之前，便一直信靠那位将要来的弥赛亚，并因这信心而称义并得救：使徒保罗在论及亚伯拉罕、以撒、雅各、约瑟、 摩西、大卫、撒母耳以及许多其他人时，无可辩驳地证实了这一观点，</w:t>
      </w:r>
      <w:r w:rsidRPr="00E02CEC">
        <w:rPr>
          <w:i/>
          <w:iCs/>
          <w:lang w:val="ru-RU"/>
        </w:rPr>
        <w:t>说“他们因着信，攻克了国度，行了公义，得了应许”</w:t>
      </w:r>
      <w:r w:rsidR="000E6F7A" w:rsidRPr="000E6F7A">
        <w:rPr>
          <w:lang w:val="ru-RU"/>
        </w:rPr>
        <w:t>[</w:t>
      </w:r>
      <w:r w:rsidRPr="00794712">
        <w:rPr>
          <w:lang w:val="ru-RU"/>
        </w:rPr>
        <w:t>(来 11</w:t>
      </w:r>
      <w:r w:rsidRPr="00E02CEC">
        <w:rPr>
          <w:lang w:val="ru-RU"/>
        </w:rPr>
        <w:t>:</w:t>
      </w:r>
      <w:r w:rsidRPr="00794712">
        <w:rPr>
          <w:lang w:val="ru-RU"/>
        </w:rPr>
        <w:t>8-40</w:t>
      </w:r>
      <w:r w:rsidR="000E6F7A" w:rsidRPr="000E6F7A">
        <w:rPr>
          <w:lang w:val="ru-RU"/>
        </w:rPr>
        <w:t>)</w:t>
      </w:r>
      <w:r w:rsidRPr="00794712">
        <w:rPr>
          <w:lang w:val="ru-RU"/>
        </w:rPr>
        <w:t>；参</w:t>
      </w:r>
      <w:r w:rsidR="000E6F7A" w:rsidRPr="00BD6C1B">
        <w:rPr>
          <w:lang w:val="ru-RU"/>
        </w:rPr>
        <w:t>(</w:t>
      </w:r>
      <w:r w:rsidRPr="00794712">
        <w:rPr>
          <w:lang w:val="ru-RU"/>
        </w:rPr>
        <w:t>徒 15</w:t>
      </w:r>
      <w:r w:rsidRPr="005A1E6F">
        <w:rPr>
          <w:lang w:val="ru-RU"/>
        </w:rPr>
        <w:t>:</w:t>
      </w:r>
      <w:r w:rsidRPr="00794712">
        <w:rPr>
          <w:lang w:val="ru-RU"/>
        </w:rPr>
        <w:t>11</w:t>
      </w:r>
      <w:r w:rsidR="000E6F7A" w:rsidRPr="00BD6C1B">
        <w:rPr>
          <w:lang w:val="ru-RU"/>
        </w:rPr>
        <w:t>)</w:t>
      </w:r>
      <w:r w:rsidRPr="00794712">
        <w:rPr>
          <w:lang w:val="ru-RU"/>
        </w:rPr>
        <w:t xml:space="preserve">； </w:t>
      </w:r>
      <w:r w:rsidR="000E6F7A" w:rsidRPr="00BD6C1B">
        <w:rPr>
          <w:lang w:val="ru-RU"/>
        </w:rPr>
        <w:t>（</w:t>
      </w:r>
      <w:r w:rsidRPr="00794712">
        <w:rPr>
          <w:lang w:val="ru-RU"/>
        </w:rPr>
        <w:t>罗4</w:t>
      </w:r>
      <w:r w:rsidRPr="005A1E6F">
        <w:rPr>
          <w:lang w:val="ru-RU"/>
        </w:rPr>
        <w:t>:</w:t>
      </w:r>
      <w:r w:rsidRPr="00794712">
        <w:rPr>
          <w:lang w:val="ru-RU"/>
        </w:rPr>
        <w:t>10-25</w:t>
      </w:r>
      <w:r w:rsidR="000E6F7A" w:rsidRPr="00BD6C1B">
        <w:rPr>
          <w:lang w:val="ru-RU"/>
        </w:rPr>
        <w:t>）</w:t>
      </w:r>
      <w:r w:rsidRPr="00794712">
        <w:rPr>
          <w:lang w:val="ru-RU"/>
        </w:rPr>
        <w:t>；</w:t>
      </w:r>
      <w:r w:rsidR="000E6F7A" w:rsidRPr="00BD6C1B">
        <w:rPr>
          <w:lang w:val="ru-RU"/>
        </w:rPr>
        <w:t>（</w:t>
      </w:r>
      <w:r w:rsidRPr="00794712">
        <w:rPr>
          <w:lang w:val="ru-RU"/>
        </w:rPr>
        <w:t>加2</w:t>
      </w:r>
      <w:r w:rsidRPr="005A1E6F">
        <w:rPr>
          <w:lang w:val="ru-RU"/>
        </w:rPr>
        <w:t>:</w:t>
      </w:r>
      <w:r w:rsidRPr="00794712">
        <w:rPr>
          <w:lang w:val="ru-RU"/>
        </w:rPr>
        <w:t>15-16）</w:t>
      </w:r>
      <w:r w:rsidR="000E6F7A" w:rsidRPr="000E6F7A">
        <w:rPr>
          <w:lang w:val="ru-RU"/>
        </w:rPr>
        <w:t>]</w:t>
      </w:r>
      <w:r w:rsidRPr="00794712">
        <w:rPr>
          <w:lang w:val="ru-RU"/>
        </w:rPr>
        <w:t>。事实证明，正是通过这些方式，犹太人确实被预备好了，以迎接弥赛亚的到来。基督的先驱——施洗约翰——刚在约旦河畔开始传道： 犹太人便派人去问他，他是否就是基督</w:t>
      </w:r>
      <w:r w:rsidR="005864AB">
        <w:rPr>
          <w:lang w:val="ru-RU"/>
        </w:rPr>
        <w:t>（</w:t>
      </w:r>
      <w:r w:rsidRPr="00794712">
        <w:rPr>
          <w:lang w:val="ru-RU"/>
        </w:rPr>
        <w:t>约1</w:t>
      </w:r>
      <w:r w:rsidRPr="00F50956">
        <w:rPr>
          <w:lang w:val="ru-RU"/>
        </w:rPr>
        <w:t>:</w:t>
      </w:r>
      <w:r w:rsidRPr="00794712">
        <w:rPr>
          <w:lang w:val="ru-RU"/>
        </w:rPr>
        <w:t>19-27）？当约翰回答说他只是弥赛亚的先驱，并开始宣告：</w:t>
      </w:r>
      <w:r w:rsidRPr="00F50956">
        <w:rPr>
          <w:i/>
          <w:iCs/>
          <w:lang w:val="ru-RU"/>
        </w:rPr>
        <w:t>“你们要悔改，因为天国</w:t>
      </w:r>
      <w:r w:rsidRPr="00D84031">
        <w:rPr>
          <w:i/>
          <w:iCs/>
          <w:lang w:val="ru-RU"/>
        </w:rPr>
        <w:t>近了”</w:t>
      </w:r>
      <w:r w:rsidR="00224D5E">
        <w:rPr>
          <w:lang w:val="ru-RU"/>
        </w:rPr>
        <w:t>（太</w:t>
      </w:r>
      <w:r w:rsidRPr="00794712">
        <w:rPr>
          <w:lang w:val="ru-RU"/>
        </w:rPr>
        <w:t>3</w:t>
      </w:r>
      <w:r w:rsidRPr="00D84031">
        <w:rPr>
          <w:lang w:val="ru-RU"/>
        </w:rPr>
        <w:t>:</w:t>
      </w:r>
      <w:r w:rsidRPr="00794712">
        <w:rPr>
          <w:lang w:val="ru-RU"/>
        </w:rPr>
        <w:t>2</w:t>
      </w:r>
      <w:r w:rsidRPr="00B33F6E">
        <w:rPr>
          <w:lang w:val="ru-RU"/>
        </w:rPr>
        <w:t>）；</w:t>
      </w:r>
      <w:r w:rsidRPr="00794712">
        <w:rPr>
          <w:lang w:val="ru-RU"/>
        </w:rPr>
        <w:t xml:space="preserve"> </w:t>
      </w:r>
      <w:r w:rsidRPr="007D4763">
        <w:rPr>
          <w:i/>
          <w:iCs/>
          <w:lang w:val="ru-RU"/>
        </w:rPr>
        <w:t>“在我之后来的，能力比我更大</w:t>
      </w:r>
      <w:r w:rsidR="005864AB">
        <w:rPr>
          <w:lang w:val="ru-RU"/>
        </w:rPr>
        <w:t>”（马可福音</w:t>
      </w:r>
      <w:r w:rsidRPr="00794712">
        <w:rPr>
          <w:lang w:val="ru-RU"/>
        </w:rPr>
        <w:t xml:space="preserve"> 1</w:t>
      </w:r>
      <w:r w:rsidRPr="00D84031">
        <w:rPr>
          <w:lang w:val="ru-RU"/>
        </w:rPr>
        <w:t>:</w:t>
      </w:r>
      <w:r w:rsidRPr="00794712">
        <w:rPr>
          <w:lang w:val="ru-RU"/>
        </w:rPr>
        <w:t>7），众人皆信这话</w:t>
      </w:r>
      <w:r w:rsidRPr="00BC61DC">
        <w:rPr>
          <w:i/>
          <w:iCs/>
          <w:lang w:val="ru-RU"/>
        </w:rPr>
        <w:t>，“于是，犹太全地和耶路撒冷的人都出去见他，在约旦河里受他的洗，承认自己的罪”</w:t>
      </w:r>
      <w:r w:rsidR="005864AB">
        <w:rPr>
          <w:lang w:val="ru-RU"/>
        </w:rPr>
        <w:t>（马可福音</w:t>
      </w:r>
      <w:r w:rsidRPr="00794712">
        <w:rPr>
          <w:lang w:val="ru-RU"/>
        </w:rPr>
        <w:t xml:space="preserve"> 1</w:t>
      </w:r>
      <w:r w:rsidRPr="00D96053">
        <w:rPr>
          <w:lang w:val="ru-RU"/>
        </w:rPr>
        <w:t>:</w:t>
      </w:r>
      <w:r w:rsidRPr="00794712">
        <w:rPr>
          <w:lang w:val="ru-RU"/>
        </w:rPr>
        <w:t>5）。 当耶稣还是婴孩时，按照摩西的律法，被带到圣殿献给主，在那里，一位名叫西缅的长老</w:t>
      </w:r>
      <w:r w:rsidRPr="0004504D">
        <w:rPr>
          <w:i/>
          <w:iCs/>
          <w:lang w:val="ru-RU"/>
        </w:rPr>
        <w:t>——“等候以色列所盼望的安慰者”</w:t>
      </w:r>
      <w:r w:rsidR="008A3626">
        <w:rPr>
          <w:lang w:val="ru-RU"/>
        </w:rPr>
        <w:t>（路加福音</w:t>
      </w:r>
      <w:r w:rsidRPr="00794712">
        <w:rPr>
          <w:lang w:val="ru-RU"/>
        </w:rPr>
        <w:t xml:space="preserve"> 2</w:t>
      </w:r>
      <w:r w:rsidRPr="0004504D">
        <w:rPr>
          <w:lang w:val="ru-RU"/>
        </w:rPr>
        <w:t>:</w:t>
      </w:r>
      <w:r w:rsidRPr="00794712">
        <w:rPr>
          <w:lang w:val="ru-RU"/>
        </w:rPr>
        <w:t>25）——迎接了他，先知安娜也向所有</w:t>
      </w:r>
      <w:r w:rsidRPr="00F01E23">
        <w:rPr>
          <w:i/>
          <w:iCs/>
          <w:lang w:val="ru-RU"/>
        </w:rPr>
        <w:t>“在耶路撒冷等候救赎”的人</w:t>
      </w:r>
      <w:r w:rsidRPr="00794712">
        <w:rPr>
          <w:lang w:val="ru-RU"/>
        </w:rPr>
        <w:t xml:space="preserve">宣告了关于他的消息 </w:t>
      </w:r>
      <w:r w:rsidR="008A3626">
        <w:rPr>
          <w:lang w:val="ru-RU"/>
        </w:rPr>
        <w:t>（路加福音</w:t>
      </w:r>
      <w:r w:rsidRPr="00794712">
        <w:rPr>
          <w:lang w:val="ru-RU"/>
        </w:rPr>
        <w:t xml:space="preserve"> 2</w:t>
      </w:r>
      <w:r w:rsidRPr="0004504D">
        <w:rPr>
          <w:lang w:val="ru-RU"/>
        </w:rPr>
        <w:t>:</w:t>
      </w:r>
      <w:r w:rsidRPr="00794712">
        <w:rPr>
          <w:lang w:val="ru-RU"/>
        </w:rPr>
        <w:t>38）。</w:t>
      </w:r>
    </w:p>
    <w:p w14:paraId="12E00498" w14:textId="77777777" w:rsidR="00D85B34" w:rsidRPr="00794712" w:rsidRDefault="00D85B34" w:rsidP="00D85B34">
      <w:pPr>
        <w:rPr>
          <w:lang w:val="ru-RU"/>
        </w:rPr>
      </w:pPr>
      <w:r w:rsidRPr="00794712">
        <w:rPr>
          <w:lang w:val="ru-RU"/>
        </w:rPr>
        <w:tab/>
        <w:t xml:space="preserve">当基督开始担任公众导师时：各地都有非同寻常的人群簇拥着他，许多人承认他是应许的弥赛亚 </w:t>
      </w:r>
      <w:r w:rsidR="000B765A" w:rsidRPr="000B765A">
        <w:rPr>
          <w:lang w:val="ru-RU"/>
        </w:rPr>
        <w:t>[</w:t>
      </w:r>
      <w:r w:rsidR="005864AB">
        <w:rPr>
          <w:lang w:val="ru-RU"/>
        </w:rPr>
        <w:t>(约</w:t>
      </w:r>
      <w:r w:rsidRPr="00794712">
        <w:rPr>
          <w:lang w:val="ru-RU"/>
        </w:rPr>
        <w:t xml:space="preserve"> 6</w:t>
      </w:r>
      <w:r w:rsidRPr="00CB568B">
        <w:rPr>
          <w:lang w:val="ru-RU"/>
        </w:rPr>
        <w:t>:</w:t>
      </w:r>
      <w:r w:rsidRPr="00794712">
        <w:rPr>
          <w:lang w:val="ru-RU"/>
        </w:rPr>
        <w:t>14</w:t>
      </w:r>
      <w:r w:rsidR="000B765A" w:rsidRPr="000B765A">
        <w:rPr>
          <w:lang w:val="ru-RU"/>
        </w:rPr>
        <w:t>)</w:t>
      </w:r>
      <w:r w:rsidRPr="00794712">
        <w:rPr>
          <w:lang w:val="ru-RU"/>
        </w:rPr>
        <w:t>；</w:t>
      </w:r>
      <w:r w:rsidR="000B765A" w:rsidRPr="000B765A">
        <w:rPr>
          <w:lang w:val="ru-RU"/>
        </w:rPr>
        <w:t>(</w:t>
      </w:r>
      <w:r w:rsidR="0087297C">
        <w:rPr>
          <w:lang w:val="ru-RU"/>
        </w:rPr>
        <w:t>太</w:t>
      </w:r>
      <w:r w:rsidRPr="00794712">
        <w:rPr>
          <w:lang w:val="ru-RU"/>
        </w:rPr>
        <w:t xml:space="preserve"> 14</w:t>
      </w:r>
      <w:r w:rsidRPr="00CB568B">
        <w:rPr>
          <w:lang w:val="ru-RU"/>
        </w:rPr>
        <w:t>:</w:t>
      </w:r>
      <w:r w:rsidRPr="00794712">
        <w:rPr>
          <w:lang w:val="ru-RU"/>
        </w:rPr>
        <w:t>38)</w:t>
      </w:r>
      <w:r w:rsidR="000B765A" w:rsidRPr="000B765A">
        <w:rPr>
          <w:lang w:val="ru-RU"/>
        </w:rPr>
        <w:t>]</w:t>
      </w:r>
      <w:r w:rsidRPr="00CB568B">
        <w:rPr>
          <w:i/>
          <w:iCs/>
          <w:lang w:val="ru-RU"/>
        </w:rPr>
        <w:t>，“百姓中也有许多人信了他”</w:t>
      </w:r>
      <w:r w:rsidR="005864AB">
        <w:rPr>
          <w:lang w:val="ru-RU"/>
        </w:rPr>
        <w:t>（约</w:t>
      </w:r>
      <w:r w:rsidRPr="00794712">
        <w:rPr>
          <w:lang w:val="ru-RU"/>
        </w:rPr>
        <w:t xml:space="preserve"> 7</w:t>
      </w:r>
      <w:r w:rsidRPr="00CB568B">
        <w:rPr>
          <w:lang w:val="ru-RU"/>
        </w:rPr>
        <w:t>:</w:t>
      </w:r>
      <w:r w:rsidRPr="00794712">
        <w:rPr>
          <w:lang w:val="ru-RU"/>
        </w:rPr>
        <w:t>31）。 当基督最后一次进入耶路撒冷</w:t>
      </w:r>
      <w:r w:rsidRPr="0022111A">
        <w:rPr>
          <w:lang w:val="ru-RU"/>
        </w:rPr>
        <w:t>时</w:t>
      </w:r>
      <w:r w:rsidRPr="0022111A">
        <w:rPr>
          <w:i/>
          <w:iCs/>
          <w:lang w:val="ru-RU"/>
        </w:rPr>
        <w:t>，“在前面和后面跟随的</w:t>
      </w:r>
      <w:r w:rsidRPr="00C95698">
        <w:rPr>
          <w:lang w:val="ru-RU"/>
        </w:rPr>
        <w:t>百姓</w:t>
      </w:r>
      <w:r w:rsidRPr="0022111A">
        <w:rPr>
          <w:i/>
          <w:iCs/>
          <w:lang w:val="ru-RU"/>
        </w:rPr>
        <w:t>高声喊着说：‘大卫之子，和散那！奉主名来的，是应当称颂的！和散那在至高之处！’”</w:t>
      </w:r>
      <w:r w:rsidR="000A57C3">
        <w:rPr>
          <w:lang w:val="ru-RU"/>
        </w:rPr>
        <w:t>（马太福音</w:t>
      </w:r>
      <w:r w:rsidRPr="00794712">
        <w:rPr>
          <w:lang w:val="ru-RU"/>
        </w:rPr>
        <w:t xml:space="preserve"> 21</w:t>
      </w:r>
      <w:r w:rsidRPr="0031638F">
        <w:rPr>
          <w:lang w:val="ru-RU"/>
        </w:rPr>
        <w:t>:</w:t>
      </w:r>
      <w:r w:rsidRPr="00794712">
        <w:rPr>
          <w:lang w:val="ru-RU"/>
        </w:rPr>
        <w:t xml:space="preserve">9）。 </w:t>
      </w:r>
      <w:r w:rsidRPr="0031638F">
        <w:rPr>
          <w:i/>
          <w:iCs/>
          <w:lang w:val="ru-RU"/>
        </w:rPr>
        <w:t>“奉主之名而来的我们祖先大卫的国度是应当称颂的！”</w:t>
      </w:r>
      <w:r w:rsidR="005864AB">
        <w:rPr>
          <w:lang w:val="ru-RU"/>
        </w:rPr>
        <w:t>（马可福音</w:t>
      </w:r>
      <w:r w:rsidRPr="00794712">
        <w:rPr>
          <w:lang w:val="ru-RU"/>
        </w:rPr>
        <w:t xml:space="preserve"> 11</w:t>
      </w:r>
      <w:r w:rsidRPr="00F55B3F">
        <w:rPr>
          <w:lang w:val="ru-RU"/>
        </w:rPr>
        <w:t>:</w:t>
      </w:r>
      <w:r w:rsidRPr="00794712">
        <w:rPr>
          <w:lang w:val="ru-RU"/>
        </w:rPr>
        <w:t>10）。尽管犹太长老和文士因嫉妒与仇恨，尽管许多百姓因被迷惑和盲目，没有信靠基督，甚至将祂交出处死： 但以色列中最优秀的一部分——所有真正属于信徒之父亚伯拉罕的子</w:t>
      </w:r>
      <w:r>
        <w:rPr>
          <w:lang w:val="ru-RU"/>
        </w:rPr>
        <w:t>孙</w:t>
      </w:r>
      <w:r w:rsidRPr="00794712">
        <w:rPr>
          <w:lang w:val="ru-RU"/>
        </w:rPr>
        <w:t>——却因喜乐而欣然接受了应许的弥赛亚，并信靠了他；当使徒们传道时，成千上万的人归向了他</w:t>
      </w:r>
      <w:r w:rsidR="000B765A" w:rsidRPr="000B765A">
        <w:rPr>
          <w:lang w:val="ru-RU"/>
        </w:rPr>
        <w:t>[</w:t>
      </w:r>
      <w:r w:rsidRPr="00794712">
        <w:rPr>
          <w:lang w:val="ru-RU"/>
        </w:rPr>
        <w:t>(使徒行传 2</w:t>
      </w:r>
      <w:r w:rsidRPr="00591CF8">
        <w:rPr>
          <w:lang w:val="ru-RU"/>
        </w:rPr>
        <w:t>:</w:t>
      </w:r>
      <w:r w:rsidRPr="00794712">
        <w:rPr>
          <w:lang w:val="ru-RU"/>
        </w:rPr>
        <w:t>41</w:t>
      </w:r>
      <w:r w:rsidR="000B765A" w:rsidRPr="000B765A">
        <w:rPr>
          <w:lang w:val="ru-RU"/>
        </w:rPr>
        <w:t>)</w:t>
      </w:r>
      <w:r w:rsidRPr="00794712">
        <w:rPr>
          <w:lang w:val="ru-RU"/>
        </w:rPr>
        <w:t>；</w:t>
      </w:r>
      <w:r w:rsidR="00FB2012">
        <w:rPr>
          <w:rFonts w:cs="Cambria Math"/>
          <w:lang w:val="ru-RU"/>
        </w:rPr>
        <w:t xml:space="preserve"> </w:t>
      </w:r>
      <w:r w:rsidR="000B765A" w:rsidRPr="000B765A">
        <w:rPr>
          <w:rFonts w:cs="Cambria Math"/>
          <w:lang w:val="ru-RU"/>
        </w:rPr>
        <w:t>（</w:t>
      </w:r>
      <w:r w:rsidR="000B765A">
        <w:rPr>
          <w:rFonts w:cs="Cambria Math"/>
          <w:lang w:val="ru-RU"/>
        </w:rPr>
        <w:t>使徒行传</w:t>
      </w:r>
      <w:r w:rsidRPr="00794712">
        <w:rPr>
          <w:lang w:val="ru-RU"/>
        </w:rPr>
        <w:t xml:space="preserve"> 4</w:t>
      </w:r>
      <w:r w:rsidRPr="00591CF8">
        <w:rPr>
          <w:lang w:val="ru-RU"/>
        </w:rPr>
        <w:t>:</w:t>
      </w:r>
      <w:r w:rsidRPr="00794712">
        <w:rPr>
          <w:lang w:val="ru-RU"/>
        </w:rPr>
        <w:t>4）</w:t>
      </w:r>
      <w:r w:rsidR="000B765A" w:rsidRPr="000B765A">
        <w:rPr>
          <w:lang w:val="ru-RU"/>
        </w:rPr>
        <w:t>]</w:t>
      </w:r>
      <w:r w:rsidRPr="00794712">
        <w:rPr>
          <w:lang w:val="ru-RU"/>
        </w:rPr>
        <w:t>——因此，地上最早的基督教会是由犹太人组成的。</w:t>
      </w:r>
    </w:p>
    <w:p w14:paraId="371CFF2E" w14:textId="77777777" w:rsidR="00D85B34" w:rsidRPr="00794712" w:rsidRDefault="00D85B34" w:rsidP="00D85B34">
      <w:pPr>
        <w:rPr>
          <w:lang w:val="ru-RU"/>
        </w:rPr>
      </w:pPr>
      <w:r w:rsidRPr="00794712">
        <w:rPr>
          <w:lang w:val="ru-RU"/>
        </w:rPr>
        <w:tab/>
      </w:r>
      <w:r w:rsidRPr="00591CF8">
        <w:rPr>
          <w:b/>
          <w:bCs/>
        </w:rPr>
        <w:t>II</w:t>
      </w:r>
      <w:r w:rsidRPr="00794712">
        <w:rPr>
          <w:lang w:val="ru-RU"/>
        </w:rPr>
        <w:t>. 至于外邦人，因他们的不敬虔和背离信仰，虽然上帝依据公义的法则，并未赐予他们如同赐予祂所拣选的子民——以色列——那样的庇护与特别的引导； 但出于无尽的仁慈</w:t>
      </w:r>
      <w:r w:rsidRPr="00977B4B">
        <w:rPr>
          <w:i/>
          <w:iCs/>
          <w:lang w:val="ru-RU"/>
        </w:rPr>
        <w:t>，祂“仍借着善行向</w:t>
      </w:r>
      <w:r w:rsidRPr="00794712">
        <w:rPr>
          <w:lang w:val="ru-RU"/>
        </w:rPr>
        <w:t>他们</w:t>
      </w:r>
      <w:r w:rsidRPr="00977B4B">
        <w:rPr>
          <w:i/>
          <w:iCs/>
          <w:lang w:val="ru-RU"/>
        </w:rPr>
        <w:t>见证自己”</w:t>
      </w:r>
      <w:r w:rsidRPr="00794712">
        <w:rPr>
          <w:lang w:val="ru-RU"/>
        </w:rPr>
        <w:t>（使徒行传 14</w:t>
      </w:r>
      <w:r w:rsidRPr="002F31E0">
        <w:rPr>
          <w:lang w:val="ru-RU"/>
        </w:rPr>
        <w:t>:</w:t>
      </w:r>
      <w:r w:rsidRPr="00794712">
        <w:rPr>
          <w:lang w:val="ru-RU"/>
        </w:rPr>
        <w:t>17），并逐步引导他们认识并接受救恩的伟大奥秘。实现这一目的的途径包括：</w:t>
      </w:r>
    </w:p>
    <w:p w14:paraId="6E7657E2"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自然法。自然之书始终向异教徒敞开，向他们昭示了人类所能知晓的关于上帝的一切：</w:t>
      </w:r>
      <w:r w:rsidR="00D85B34" w:rsidRPr="00863147">
        <w:rPr>
          <w:i/>
          <w:iCs/>
          <w:lang w:val="ru-RU"/>
        </w:rPr>
        <w:t>“因为，关于上帝的事，他们所能知道的，原是显而易见的，因为上帝已经向他们显明了。自从造天地以来，上帝的永能和神性，是明明可知的，虽是眼不能见，但借着所造之物就可以晓得，叫人无可推诿。”</w:t>
      </w:r>
      <w:r w:rsidR="00D85B34" w:rsidRPr="00794712">
        <w:rPr>
          <w:lang w:val="ru-RU"/>
        </w:rPr>
        <w:t xml:space="preserve"> （罗1</w:t>
      </w:r>
      <w:r w:rsidR="00D85B34" w:rsidRPr="00863147">
        <w:rPr>
          <w:lang w:val="ru-RU"/>
        </w:rPr>
        <w:t>:</w:t>
      </w:r>
      <w:r w:rsidR="00D85B34" w:rsidRPr="00794712">
        <w:rPr>
          <w:lang w:val="ru-RU"/>
        </w:rPr>
        <w:t>19-20）。</w:t>
      </w:r>
      <w:r w:rsidR="00D85B34">
        <w:rPr>
          <w:lang w:val="ru-RU"/>
        </w:rPr>
        <w:t>律法的事</w:t>
      </w:r>
      <w:r w:rsidR="00D85B34" w:rsidRPr="00794712">
        <w:rPr>
          <w:lang w:val="ru-RU"/>
        </w:rPr>
        <w:t>始终铭刻在异</w:t>
      </w:r>
      <w:r w:rsidR="00D85B34">
        <w:rPr>
          <w:lang w:val="ru-RU"/>
        </w:rPr>
        <w:t>教徒的心中，他们的良心为此作</w:t>
      </w:r>
      <w:r w:rsidR="00D85B34" w:rsidRPr="00794712">
        <w:rPr>
          <w:lang w:val="ru-RU"/>
        </w:rPr>
        <w:t>证，向他们</w:t>
      </w:r>
      <w:r w:rsidR="00D85B34">
        <w:rPr>
          <w:lang w:val="ru-RU"/>
        </w:rPr>
        <w:t>宣告了</w:t>
      </w:r>
      <w:r w:rsidR="00D85B34" w:rsidRPr="00794712">
        <w:rPr>
          <w:lang w:val="ru-RU"/>
        </w:rPr>
        <w:t>道德义务（罗2</w:t>
      </w:r>
      <w:r w:rsidR="00D85B34" w:rsidRPr="006761E8">
        <w:rPr>
          <w:lang w:val="ru-RU"/>
        </w:rPr>
        <w:t>:</w:t>
      </w:r>
      <w:r w:rsidR="00D85B34" w:rsidRPr="00794712">
        <w:rPr>
          <w:lang w:val="ru-RU"/>
        </w:rPr>
        <w:t>15）。 但异教徒</w:t>
      </w:r>
      <w:r w:rsidR="00D85B34" w:rsidRPr="006079A6">
        <w:rPr>
          <w:lang w:val="ru-RU"/>
        </w:rPr>
        <w:t>“</w:t>
      </w:r>
      <w:r w:rsidR="00D85B34" w:rsidRPr="00794712">
        <w:rPr>
          <w:lang w:val="ru-RU"/>
        </w:rPr>
        <w:t>虽然</w:t>
      </w:r>
      <w:r w:rsidR="00D85B34" w:rsidRPr="006079A6">
        <w:rPr>
          <w:i/>
          <w:iCs/>
          <w:lang w:val="ru-RU"/>
        </w:rPr>
        <w:t>认识神，却不以神为神，也不感谢祂，反而在自己的思想中变得虚妄”</w:t>
      </w:r>
      <w:r w:rsidR="00D85B34" w:rsidRPr="00794712">
        <w:rPr>
          <w:lang w:val="ru-RU"/>
        </w:rPr>
        <w:t>（罗马书 1</w:t>
      </w:r>
      <w:r w:rsidR="00D85B34" w:rsidRPr="007C343C">
        <w:rPr>
          <w:lang w:val="ru-RU"/>
        </w:rPr>
        <w:t>:</w:t>
      </w:r>
      <w:r w:rsidR="00D85B34" w:rsidRPr="00794712">
        <w:rPr>
          <w:lang w:val="ru-RU"/>
        </w:rPr>
        <w:t xml:space="preserve">21）； </w:t>
      </w:r>
      <w:r w:rsidR="00D85B34" w:rsidRPr="00AE459F">
        <w:rPr>
          <w:i/>
          <w:iCs/>
          <w:lang w:val="ru-RU"/>
        </w:rPr>
        <w:t>“将那不朽之神的荣耀，改变为与朽坏的人、飞禽、走兽、</w:t>
      </w:r>
      <w:r w:rsidR="00D85B34" w:rsidRPr="00A25F80">
        <w:rPr>
          <w:i/>
          <w:iCs/>
          <w:lang w:val="ru-RU"/>
        </w:rPr>
        <w:t>爬行动物相似的形像”</w:t>
      </w:r>
      <w:r w:rsidR="00D85B34" w:rsidRPr="00794712">
        <w:rPr>
          <w:lang w:val="ru-RU"/>
        </w:rPr>
        <w:t>（罗马书 1</w:t>
      </w:r>
      <w:r w:rsidR="00D85B34" w:rsidRPr="007C343C">
        <w:rPr>
          <w:lang w:val="ru-RU"/>
        </w:rPr>
        <w:t>:</w:t>
      </w:r>
      <w:r w:rsidR="00D85B34" w:rsidRPr="00A25F80">
        <w:rPr>
          <w:lang w:val="ru-RU"/>
        </w:rPr>
        <w:t>23</w:t>
      </w:r>
      <w:r w:rsidR="00D85B34" w:rsidRPr="00794712">
        <w:rPr>
          <w:lang w:val="ru-RU"/>
        </w:rPr>
        <w:t>），</w:t>
      </w:r>
      <w:r w:rsidR="00D85B34" w:rsidRPr="00DD4416">
        <w:rPr>
          <w:i/>
          <w:iCs/>
          <w:lang w:val="ru-RU"/>
        </w:rPr>
        <w:t>并且“将神的真理换作谎言，敬拜并侍奉受造之物，而不敬拜那造物的主”</w:t>
      </w:r>
      <w:r w:rsidR="00D85B34" w:rsidRPr="00794712">
        <w:rPr>
          <w:lang w:val="ru-RU"/>
        </w:rPr>
        <w:t>（罗马书 1</w:t>
      </w:r>
      <w:r w:rsidR="00D85B34" w:rsidRPr="007C343C">
        <w:rPr>
          <w:lang w:val="ru-RU"/>
        </w:rPr>
        <w:t>:</w:t>
      </w:r>
      <w:r w:rsidR="00D85B34" w:rsidRPr="00794712">
        <w:rPr>
          <w:lang w:val="ru-RU"/>
        </w:rPr>
        <w:t xml:space="preserve">25）： </w:t>
      </w:r>
      <w:r w:rsidR="00D85B34" w:rsidRPr="00481E45">
        <w:rPr>
          <w:i/>
          <w:iCs/>
          <w:lang w:val="ru-RU"/>
        </w:rPr>
        <w:lastRenderedPageBreak/>
        <w:t>“神就将他们交给败坏的心思，行那些不该行的事，以致他们充满了各样的不义、淫乱、诡诈、贪婪、恶毒，满心嫉妒、凶杀、纷争、诡诈、恶毒”</w:t>
      </w:r>
      <w:r w:rsidR="00D85B34" w:rsidRPr="00794712">
        <w:rPr>
          <w:lang w:val="ru-RU"/>
        </w:rPr>
        <w:t>（</w:t>
      </w:r>
      <w:r w:rsidR="00D85B34">
        <w:rPr>
          <w:lang w:val="ru-RU"/>
        </w:rPr>
        <w:t>罗马书 1:</w:t>
      </w:r>
      <w:r w:rsidR="00D85B34" w:rsidRPr="00794712">
        <w:rPr>
          <w:lang w:val="ru-RU"/>
        </w:rPr>
        <w:t>28-29），</w:t>
      </w:r>
      <w:r w:rsidR="00D85B34" w:rsidRPr="0093260E">
        <w:rPr>
          <w:i/>
          <w:iCs/>
          <w:lang w:val="ru-RU"/>
        </w:rPr>
        <w:t>以及“他们无知的心就昏暗了； 自称为智慧，反倒成了愚拙”</w:t>
      </w:r>
      <w:r w:rsidR="00D85B34" w:rsidRPr="00975A30">
        <w:rPr>
          <w:lang w:val="ru-RU"/>
        </w:rPr>
        <w:t>（</w:t>
      </w:r>
      <w:r w:rsidR="00D85B34">
        <w:rPr>
          <w:lang w:val="ru-RU"/>
        </w:rPr>
        <w:t>罗马书 1:21-22</w:t>
      </w:r>
      <w:r w:rsidR="00D85B34" w:rsidRPr="00975A30">
        <w:rPr>
          <w:lang w:val="ru-RU"/>
        </w:rPr>
        <w:t>）。</w:t>
      </w:r>
      <w:r w:rsidR="00D85B34" w:rsidRPr="00794712">
        <w:rPr>
          <w:lang w:val="ru-RU"/>
        </w:rPr>
        <w:t>无论人类的理性在漫长的岁月中如何竭力寻求神的真理并纠正人的风俗，却始终未能达到目的。他们所发明的一切宗教教义，很快便暴露了其不足之处，最终土崩瓦解。 无数的哲学体系彼此迅速瓦解，人们对它们的信任日益丧失，最终演变为怀疑论或不信之学。哲学的道德准则和民事立法未能改善人类的品行； 相反，世间的邪恶似乎愈演愈烈：甚至发展到这种地步——古代最开明的民族 ，即希腊人和罗马人，将几乎所有人类的欲望与恶习拟人化并神化，并认为通过各种恶行和放荡来侍奉他们的神明。 所有这些自然会使异教徒意识到自身在智力和道德上的无力，进而促使并逐渐在他们心中确立对来自上天的帮助的渴望，使他们倾向于接受这种帮助。 经验表明，最杰出的异教智者们深知人类理性在认识上帝方面的无力，以及人类意志在践行虔诚方面的无力，因此教导人们只应期待来自上帝的帮助。</w:t>
      </w:r>
      <w:r w:rsidR="00A84D26">
        <w:rPr>
          <w:rStyle w:val="FootnoteReference"/>
          <w:lang w:val="ru-RU"/>
        </w:rPr>
        <w:footnoteReference w:id="61"/>
      </w:r>
      <w:r w:rsidR="00D85B34" w:rsidRPr="00794712">
        <w:rPr>
          <w:lang w:val="ru-RU"/>
        </w:rPr>
        <w:t xml:space="preserve"> 正因如此，古代教会的导师们才将哲学称为通往基督的向导，认为它为异教徒接受基督做好了准备。</w:t>
      </w:r>
      <w:r w:rsidR="00A84D26">
        <w:rPr>
          <w:rStyle w:val="FootnoteReference"/>
          <w:lang w:val="ru-RU"/>
        </w:rPr>
        <w:footnoteReference w:id="62"/>
      </w:r>
    </w:p>
    <w:p w14:paraId="4D166094"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原始启示与宗教的遗存。 信仰的真理，尤其是最初赐予全人类的关于救赎主的应许，通过口头教导从父辈传给子辈、从祖先传给后代，本应传播到所有民族之中，无论他们后来在何种程度上偏离正道，陷入不敬虔和偶像崇拜。 尽管这些真理与异教民族的新信仰混杂在一起，不可避免地逐渐丧失了其最初的纯净与完整，不可避免地遭到歪曲； 但即便是以扭曲的形式，它们依然在异教徒中维系并保存了关于人类起源及其原始状态（即“黄金时代”）的传说，</w:t>
      </w:r>
      <w:r w:rsidR="00A84D26">
        <w:rPr>
          <w:rStyle w:val="FootnoteReference"/>
          <w:lang w:val="ru-RU"/>
        </w:rPr>
        <w:footnoteReference w:id="63"/>
      </w:r>
      <w:r w:rsidR="00D85B34" w:rsidRPr="00794712">
        <w:rPr>
          <w:lang w:val="ru-RU"/>
        </w:rPr>
        <w:t xml:space="preserve"> 关于始祖在伊甸园堕落的传说，</w:t>
      </w:r>
      <w:r w:rsidR="00A84D26">
        <w:rPr>
          <w:rStyle w:val="FootnoteReference"/>
          <w:lang w:val="ru-RU"/>
        </w:rPr>
        <w:footnoteReference w:id="64"/>
      </w:r>
      <w:r w:rsidR="00D85B34" w:rsidRPr="00794712">
        <w:rPr>
          <w:lang w:val="ru-RU"/>
        </w:rPr>
        <w:t xml:space="preserve"> 以及最为重要的是——关于人类救赎主的传说及其降临的期待。</w:t>
      </w:r>
      <w:r w:rsidR="00B40C20">
        <w:rPr>
          <w:rStyle w:val="FootnoteReference"/>
          <w:lang w:val="ru-RU"/>
        </w:rPr>
        <w:footnoteReference w:id="65"/>
      </w:r>
    </w:p>
    <w:p w14:paraId="6E83E1C2" w14:textId="77777777" w:rsidR="00D85B34" w:rsidRPr="00481893" w:rsidRDefault="00F45CFB" w:rsidP="00D85B34">
      <w:pPr>
        <w:ind w:firstLine="708"/>
        <w:rPr>
          <w:lang w:val="ru-RU"/>
        </w:rPr>
      </w:pPr>
      <w:r w:rsidRPr="00F45CFB">
        <w:rPr>
          <w:b/>
          <w:bCs/>
          <w:lang w:val="ru-RU"/>
        </w:rPr>
        <w:t>3)</w:t>
      </w:r>
      <w:r w:rsidR="00D85B34" w:rsidRPr="00794712">
        <w:rPr>
          <w:lang w:val="ru-RU"/>
        </w:rPr>
        <w:t xml:space="preserve"> 外邦人与上帝拣选的子民发生关系</w:t>
      </w:r>
      <w:r w:rsidR="00D85B34" w:rsidRPr="00110018">
        <w:rPr>
          <w:lang w:val="ru-RU"/>
        </w:rPr>
        <w:t>，上帝的道</w:t>
      </w:r>
      <w:r w:rsidR="00D85B34" w:rsidRPr="00794712">
        <w:rPr>
          <w:lang w:val="ru-RU"/>
        </w:rPr>
        <w:t>以及关于弥赛亚的一切应许和预言都</w:t>
      </w:r>
      <w:r w:rsidR="00D85B34" w:rsidRPr="00110018">
        <w:rPr>
          <w:lang w:val="ru-RU"/>
        </w:rPr>
        <w:t>托付给了</w:t>
      </w:r>
      <w:r w:rsidR="00D85B34" w:rsidRPr="00794712">
        <w:rPr>
          <w:lang w:val="ru-RU"/>
        </w:rPr>
        <w:t>这子民（罗3</w:t>
      </w:r>
      <w:r w:rsidR="00D85B34">
        <w:rPr>
          <w:lang w:val="ru-RU"/>
        </w:rPr>
        <w:t>:</w:t>
      </w:r>
      <w:r w:rsidR="00D85B34" w:rsidRPr="00794712">
        <w:rPr>
          <w:lang w:val="ru-RU"/>
        </w:rPr>
        <w:t xml:space="preserve">2）。 这种交往可追溯至亚伯拉罕、以撒和雅各的时代，他们四处迁徙，因各种缘由与不同部落接触，既能通过自身生活的榜样，也能通过宣扬信仰真理，对这些部落产生积极的影响（创世记23-36章）。 </w:t>
      </w:r>
      <w:r w:rsidR="00D85B34" w:rsidRPr="00794712">
        <w:rPr>
          <w:lang w:val="ru-RU"/>
        </w:rPr>
        <w:lastRenderedPageBreak/>
        <w:t>随后，犹太人在埃及众多民族中居住，他们光荣地出埃及，奇迹般地穿越红海，庄严地进入应许之地，消灭或征服了那里的不义居民， 随后在士师时代多次战胜异教民族，以及曾被这些民族奴役的经历，同样对异教徒产生了深远影响，如以下例证所示</w:t>
      </w:r>
      <w:r w:rsidR="000B765A" w:rsidRPr="000B765A">
        <w:rPr>
          <w:lang w:val="ru-RU"/>
        </w:rPr>
        <w:t>[</w:t>
      </w:r>
      <w:r w:rsidR="00D85B34" w:rsidRPr="00794712">
        <w:rPr>
          <w:lang w:val="ru-RU"/>
        </w:rPr>
        <w:t>(《约书亚记》2</w:t>
      </w:r>
      <w:r w:rsidR="00D85B34" w:rsidRPr="00484D90">
        <w:rPr>
          <w:lang w:val="ru-RU"/>
        </w:rPr>
        <w:t>:</w:t>
      </w:r>
      <w:r w:rsidR="00D85B34" w:rsidRPr="00794712">
        <w:rPr>
          <w:lang w:val="ru-RU"/>
        </w:rPr>
        <w:t>9-11</w:t>
      </w:r>
      <w:r w:rsidR="000B765A" w:rsidRPr="000B765A">
        <w:rPr>
          <w:lang w:val="ru-RU"/>
        </w:rPr>
        <w:t>)</w:t>
      </w:r>
      <w:r w:rsidR="00D85B34" w:rsidRPr="00794712">
        <w:rPr>
          <w:lang w:val="ru-RU"/>
        </w:rPr>
        <w:t>；</w:t>
      </w:r>
      <w:r w:rsidR="000B765A" w:rsidRPr="000B765A">
        <w:rPr>
          <w:lang w:val="ru-RU"/>
        </w:rPr>
        <w:t>(</w:t>
      </w:r>
      <w:r w:rsidR="000B765A">
        <w:rPr>
          <w:lang w:val="ru-RU"/>
        </w:rPr>
        <w:t>《约书亚记》</w:t>
      </w:r>
      <w:r w:rsidR="00D85B34" w:rsidRPr="00794712">
        <w:rPr>
          <w:lang w:val="ru-RU"/>
        </w:rPr>
        <w:t>5</w:t>
      </w:r>
      <w:r w:rsidR="00D85B34" w:rsidRPr="00484D90">
        <w:rPr>
          <w:lang w:val="ru-RU"/>
        </w:rPr>
        <w:t>:</w:t>
      </w:r>
      <w:r w:rsidR="00D85B34" w:rsidRPr="00794712">
        <w:rPr>
          <w:lang w:val="ru-RU"/>
        </w:rPr>
        <w:t>1</w:t>
      </w:r>
      <w:r w:rsidR="000B765A">
        <w:rPr>
          <w:lang w:val="ru-RU"/>
        </w:rPr>
        <w:t>)</w:t>
      </w:r>
      <w:r w:rsidR="00D85B34" w:rsidRPr="00794712">
        <w:rPr>
          <w:lang w:val="ru-RU"/>
        </w:rPr>
        <w:t>；</w:t>
      </w:r>
      <w:r w:rsidR="000B765A">
        <w:rPr>
          <w:lang w:val="ru-RU"/>
        </w:rPr>
        <w:t>(</w:t>
      </w:r>
      <w:r w:rsidR="00D85B34" w:rsidRPr="00794712">
        <w:rPr>
          <w:lang w:val="ru-RU"/>
        </w:rPr>
        <w:t>《路得记》1</w:t>
      </w:r>
      <w:r w:rsidR="00D85B34" w:rsidRPr="00484D90">
        <w:rPr>
          <w:lang w:val="ru-RU"/>
        </w:rPr>
        <w:t>:</w:t>
      </w:r>
      <w:r w:rsidR="00D85B34" w:rsidRPr="00794712">
        <w:rPr>
          <w:lang w:val="ru-RU"/>
        </w:rPr>
        <w:t>16)</w:t>
      </w:r>
      <w:r w:rsidR="000B765A" w:rsidRPr="000B765A">
        <w:rPr>
          <w:lang w:val="ru-RU"/>
        </w:rPr>
        <w:t>]</w:t>
      </w:r>
      <w:r w:rsidR="00D85B34" w:rsidRPr="00794712">
        <w:rPr>
          <w:lang w:val="ru-RU"/>
        </w:rPr>
        <w:t xml:space="preserve">。 此后，在列王统治时期，犹太人因各种缘由——例如旅行、航海、战争、被俘和贸易——几乎与古代世界的所有民族都建立了联系：包括迦勒底人、埃及人、叙利亚人、米底人、波斯人、希腊人和罗马人 </w:t>
      </w:r>
      <w:r w:rsidR="000B765A" w:rsidRPr="000B765A">
        <w:rPr>
          <w:lang w:val="ru-RU"/>
        </w:rPr>
        <w:t>[</w:t>
      </w:r>
      <w:r w:rsidR="00D85B34" w:rsidRPr="00794712">
        <w:rPr>
          <w:lang w:val="ru-RU"/>
        </w:rPr>
        <w:t>（《列王纪下》9</w:t>
      </w:r>
      <w:r w:rsidR="00D85B34" w:rsidRPr="00222AFF">
        <w:rPr>
          <w:lang w:val="ru-RU"/>
        </w:rPr>
        <w:t>:</w:t>
      </w:r>
      <w:r w:rsidR="00D85B34" w:rsidRPr="00794712">
        <w:rPr>
          <w:lang w:val="ru-RU"/>
        </w:rPr>
        <w:t>26-28</w:t>
      </w:r>
      <w:r w:rsidR="000B765A" w:rsidRPr="00BD6C1B">
        <w:rPr>
          <w:lang w:val="ru-RU"/>
        </w:rPr>
        <w:t>）</w:t>
      </w:r>
      <w:r w:rsidR="00D85B34" w:rsidRPr="00794712">
        <w:rPr>
          <w:lang w:val="ru-RU"/>
        </w:rPr>
        <w:t>；</w:t>
      </w:r>
      <w:r w:rsidR="000B765A" w:rsidRPr="00BD6C1B">
        <w:rPr>
          <w:rFonts w:cs="Cambria Math"/>
          <w:lang w:val="ru-RU"/>
        </w:rPr>
        <w:t>（</w:t>
      </w:r>
      <w:r w:rsidR="000B765A" w:rsidRPr="00794712">
        <w:rPr>
          <w:lang w:val="ru-RU"/>
        </w:rPr>
        <w:t>《列王纪下》</w:t>
      </w:r>
      <w:r w:rsidR="00D85B34" w:rsidRPr="00794712">
        <w:rPr>
          <w:lang w:val="ru-RU"/>
        </w:rPr>
        <w:t>10</w:t>
      </w:r>
      <w:r w:rsidR="00D85B34" w:rsidRPr="00222AFF">
        <w:rPr>
          <w:lang w:val="ru-RU"/>
        </w:rPr>
        <w:t>:</w:t>
      </w:r>
      <w:r w:rsidR="00D85B34" w:rsidRPr="00794712">
        <w:rPr>
          <w:lang w:val="ru-RU"/>
        </w:rPr>
        <w:t>22</w:t>
      </w:r>
      <w:r w:rsidR="00D85B34" w:rsidRPr="00222AFF">
        <w:rPr>
          <w:lang w:val="ru-RU"/>
        </w:rPr>
        <w:t>）</w:t>
      </w:r>
      <w:r w:rsidR="00D85B34" w:rsidRPr="00794712">
        <w:rPr>
          <w:lang w:val="ru-RU"/>
        </w:rPr>
        <w:t>；</w:t>
      </w:r>
      <w:r w:rsidR="00FB2012">
        <w:rPr>
          <w:rFonts w:cs="Cambria Math"/>
          <w:lang w:val="ru-RU"/>
        </w:rPr>
        <w:t xml:space="preserve"> </w:t>
      </w:r>
      <w:r w:rsidR="00D85B34" w:rsidRPr="00222AFF">
        <w:rPr>
          <w:rFonts w:cs="Cambria Math"/>
          <w:lang w:val="ru-RU"/>
        </w:rPr>
        <w:t>(</w:t>
      </w:r>
      <w:r w:rsidR="00D85B34" w:rsidRPr="00794712">
        <w:rPr>
          <w:lang w:val="ru-RU"/>
        </w:rPr>
        <w:t>历代志下 8</w:t>
      </w:r>
      <w:r w:rsidR="00D85B34" w:rsidRPr="005A1E6F">
        <w:rPr>
          <w:lang w:val="ru-RU"/>
        </w:rPr>
        <w:t>:</w:t>
      </w:r>
      <w:r w:rsidR="00D85B34" w:rsidRPr="00794712">
        <w:rPr>
          <w:lang w:val="ru-RU"/>
        </w:rPr>
        <w:t>17-18</w:t>
      </w:r>
      <w:r w:rsidR="000B765A" w:rsidRPr="00BD6C1B">
        <w:rPr>
          <w:lang w:val="ru-RU"/>
        </w:rPr>
        <w:t>)</w:t>
      </w:r>
      <w:r w:rsidR="00D85B34" w:rsidRPr="00794712">
        <w:rPr>
          <w:lang w:val="ru-RU"/>
        </w:rPr>
        <w:t>；</w:t>
      </w:r>
      <w:r w:rsidR="000B765A" w:rsidRPr="00BD6C1B">
        <w:rPr>
          <w:lang w:val="ru-RU"/>
        </w:rPr>
        <w:t>(</w:t>
      </w:r>
      <w:r w:rsidR="000B765A" w:rsidRPr="00794712">
        <w:rPr>
          <w:lang w:val="ru-RU"/>
        </w:rPr>
        <w:t>历代志下</w:t>
      </w:r>
      <w:r w:rsidR="00D85B34" w:rsidRPr="00794712">
        <w:rPr>
          <w:lang w:val="ru-RU"/>
        </w:rPr>
        <w:t xml:space="preserve"> 9</w:t>
      </w:r>
      <w:r w:rsidR="00D85B34" w:rsidRPr="005A1E6F">
        <w:rPr>
          <w:lang w:val="ru-RU"/>
        </w:rPr>
        <w:t>:</w:t>
      </w:r>
      <w:r w:rsidR="00D85B34" w:rsidRPr="00794712">
        <w:rPr>
          <w:lang w:val="ru-RU"/>
        </w:rPr>
        <w:t>10-11</w:t>
      </w:r>
      <w:r w:rsidR="00D85B34" w:rsidRPr="005A1E6F">
        <w:rPr>
          <w:lang w:val="ru-RU"/>
        </w:rPr>
        <w:t>)</w:t>
      </w:r>
      <w:r w:rsidR="000B765A" w:rsidRPr="00BD6C1B">
        <w:rPr>
          <w:lang w:val="ru-RU"/>
        </w:rPr>
        <w:t>]</w:t>
      </w:r>
      <w:r w:rsidR="00D85B34" w:rsidRPr="00794712">
        <w:rPr>
          <w:lang w:val="ru-RU"/>
        </w:rPr>
        <w:t>等。随着犹太王国分裂为犹大王国和以色列王国，越是临近弥赛亚降临之时，越是出现了有利于选民与外邦民族进行此类往来的有利条件。 这里所指的是：亚述的俘虏时期，以及以色列人被分散到东方遥远异教徒居住的国度； 随后是犹太人在巴比伦被掳七十年；最后，在犹太人从巴比伦被掳归回之后，他们又遭受新的奴役，并被分散到旧大陆三大区域的各个国家。</w:t>
      </w:r>
      <w:r w:rsidR="001E54FF">
        <w:rPr>
          <w:rStyle w:val="FootnoteReference"/>
          <w:lang w:val="ru-RU"/>
        </w:rPr>
        <w:footnoteReference w:id="66"/>
      </w:r>
      <w:r w:rsidR="00D85B34" w:rsidRPr="00794712">
        <w:rPr>
          <w:lang w:val="ru-RU"/>
        </w:rPr>
        <w:t xml:space="preserve"> 因此，来自选民的真信仰之光能够通过各种途径传播给其他民族，并逐渐使他们做好准备，以接受救赎主。 正因如此，圣亚法纳西曾说：“律法并非仅赐予犹太人，先知们也并非仅被派遣给犹太人；尽管他们被 派遣到犹太人中间，并遭受了犹太人的迫害，但他们对整个世界而言，却是一所神圣的学堂，旨在让人认识上帝并建立属灵的生活</w:t>
      </w:r>
      <w:r w:rsidR="00D85B34" w:rsidRPr="00481893">
        <w:rPr>
          <w:lang w:val="ru-RU"/>
        </w:rPr>
        <w:t>。”</w:t>
      </w:r>
      <w:r w:rsidR="001E54FF">
        <w:rPr>
          <w:rStyle w:val="FootnoteReference"/>
          <w:lang w:val="ru-RU"/>
        </w:rPr>
        <w:footnoteReference w:id="67"/>
      </w:r>
    </w:p>
    <w:p w14:paraId="5478C111" w14:textId="77777777" w:rsidR="00D85B34" w:rsidRPr="00794712" w:rsidRDefault="00F45CFB" w:rsidP="00D85B34">
      <w:pPr>
        <w:ind w:firstLine="708"/>
        <w:rPr>
          <w:lang w:val="ru-RU"/>
        </w:rPr>
      </w:pPr>
      <w:r w:rsidRPr="00F45CFB">
        <w:rPr>
          <w:b/>
          <w:bCs/>
          <w:lang w:val="ru-RU"/>
        </w:rPr>
        <w:t>4)</w:t>
      </w:r>
      <w:r w:rsidR="00D85B34" w:rsidRPr="00794712">
        <w:rPr>
          <w:lang w:val="ru-RU"/>
        </w:rPr>
        <w:t xml:space="preserve"> 犹太圣经译为希腊文，这一工作是在弥赛亚降临前两个多世纪完成的，自那时起，这些经卷便为外邦学者所熟知。 而且，根据外邦人自身的证词，古代教会的导师们</w:t>
      </w:r>
      <w:r w:rsidR="001E54FF">
        <w:rPr>
          <w:rStyle w:val="FootnoteReference"/>
          <w:lang w:val="ru-RU"/>
        </w:rPr>
        <w:footnoteReference w:id="68"/>
      </w:r>
      <w:r w:rsidR="00D85B34" w:rsidRPr="00794712">
        <w:rPr>
          <w:lang w:val="ru-RU"/>
        </w:rPr>
        <w:t xml:space="preserve"> 断然断言，许多外邦智者和哲学家“利用了摩西的书卷，从先知书的源泉中汲取智慧</w:t>
      </w:r>
      <w:r w:rsidR="00D85B34" w:rsidRPr="002760A2">
        <w:rPr>
          <w:lang w:val="ru-RU"/>
        </w:rPr>
        <w:t>。</w:t>
      </w:r>
      <w:r w:rsidR="00D85B34" w:rsidRPr="00794712">
        <w:rPr>
          <w:lang w:val="ru-RU"/>
        </w:rPr>
        <w:t>”</w:t>
      </w:r>
      <w:r w:rsidR="001E54FF">
        <w:rPr>
          <w:rStyle w:val="FootnoteReference"/>
          <w:lang w:val="ru-RU"/>
        </w:rPr>
        <w:footnoteReference w:id="69"/>
      </w:r>
      <w:r w:rsidR="00D85B34" w:rsidRPr="00794712">
        <w:rPr>
          <w:lang w:val="ru-RU"/>
        </w:rPr>
        <w:t xml:space="preserve"> 而这些智者在亲自了解犹太人的宗教信仰和期盼之后，便能将这些信仰和期盼介绍给他人，从而帮助他们为理解即将揭示的救赎奥秘做好准备。</w:t>
      </w:r>
    </w:p>
    <w:p w14:paraId="3793911A" w14:textId="77777777" w:rsidR="00D85B34" w:rsidRDefault="00D85B34" w:rsidP="00D85B34">
      <w:pPr>
        <w:rPr>
          <w:lang w:val="ru-RU"/>
        </w:rPr>
      </w:pPr>
      <w:r w:rsidRPr="00794712">
        <w:rPr>
          <w:lang w:val="ru-RU"/>
        </w:rPr>
        <w:tab/>
        <w:t>必须补充的是，为使异教徒做好接受救赎主的准备而采取的种种措施，对他们而言并非徒劳。首先，从圣经中可以得知，即使在神的选民之外，人们通过信靠将要来的弥赛亚，也能获得救恩，这一点得到了以下内容的印证： 《创世记》中关于麦基洗德的记载（创15</w:t>
      </w:r>
      <w:r w:rsidRPr="00233B47">
        <w:rPr>
          <w:lang w:val="ru-RU"/>
        </w:rPr>
        <w:t>:</w:t>
      </w:r>
      <w:r w:rsidRPr="00794712">
        <w:rPr>
          <w:lang w:val="ru-RU"/>
        </w:rPr>
        <w:t>18及以下），米甸祭司约弗拉——即摩西岳父——的故事[（出</w:t>
      </w:r>
      <w:r w:rsidRPr="00DC0AAD">
        <w:rPr>
          <w:lang w:val="ru-RU"/>
        </w:rPr>
        <w:t>2-4</w:t>
      </w:r>
      <w:r w:rsidR="000B765A" w:rsidRPr="000B765A">
        <w:rPr>
          <w:lang w:val="ru-RU"/>
        </w:rPr>
        <w:t>）；（</w:t>
      </w:r>
      <w:r w:rsidRPr="00794712">
        <w:rPr>
          <w:lang w:val="ru-RU"/>
        </w:rPr>
        <w:t>出18）</w:t>
      </w:r>
      <w:r w:rsidR="000B765A" w:rsidRPr="000B765A">
        <w:rPr>
          <w:lang w:val="ru-RU"/>
        </w:rPr>
        <w:t>]</w:t>
      </w:r>
      <w:r w:rsidRPr="00794712">
        <w:rPr>
          <w:lang w:val="ru-RU"/>
        </w:rPr>
        <w:t>，以及《约伯记》中所描述的亚述人约伯的故事。 我们还应回顾巴兰的故事，他曾预言弥赛亚的降临</w:t>
      </w:r>
      <w:r w:rsidR="009F28D2">
        <w:rPr>
          <w:lang w:val="ru-RU"/>
        </w:rPr>
        <w:t>（</w:t>
      </w:r>
      <w:r w:rsidRPr="00794712">
        <w:rPr>
          <w:lang w:val="ru-RU"/>
        </w:rPr>
        <w:t>民数记22-24章）；所罗门在圣殿奉献仪式上的祷词（列王纪上8</w:t>
      </w:r>
      <w:r w:rsidRPr="000512E2">
        <w:rPr>
          <w:lang w:val="ru-RU"/>
        </w:rPr>
        <w:t>:</w:t>
      </w:r>
      <w:r w:rsidRPr="00794712">
        <w:rPr>
          <w:lang w:val="ru-RU"/>
        </w:rPr>
        <w:t>41-42），从中可以推断，早在所罗门时代，以色列真神的敬拜者就已经存在于以色列疆界之外； 关于叙利亚将军尼曼的记载，他因敬畏以色列的上帝而向祂的先知寻求帮助（《列王纪下》5章），以及先知约拿的故事——他受上帝差遣前往那不敬虔的城， 尼尼微，并通过自己的讲道使居民悔改（</w:t>
      </w:r>
      <w:r w:rsidR="000B765A">
        <w:rPr>
          <w:lang w:val="ru-RU"/>
        </w:rPr>
        <w:t>约拿书1-4章</w:t>
      </w:r>
      <w:r w:rsidRPr="00794712">
        <w:rPr>
          <w:lang w:val="ru-RU"/>
        </w:rPr>
        <w:t>）。其次，众所周知，当弥赛亚降临之时，不仅犹太人，连外邦民族也在期待祂，这种期待自古以</w:t>
      </w:r>
      <w:r w:rsidRPr="00794712">
        <w:rPr>
          <w:lang w:val="ru-RU"/>
        </w:rPr>
        <w:lastRenderedPageBreak/>
        <w:t>来就遍及整个东方。</w:t>
      </w:r>
      <w:r w:rsidR="001E54FF">
        <w:rPr>
          <w:rStyle w:val="FootnoteReference"/>
          <w:lang w:val="ru-RU"/>
        </w:rPr>
        <w:footnoteReference w:id="70"/>
      </w:r>
      <w:r w:rsidRPr="00794712">
        <w:rPr>
          <w:lang w:val="ru-RU"/>
        </w:rPr>
        <w:t xml:space="preserve"> 最后，众所周知，救主基督在其公开事工期间，有时会在外邦人中发现一种在犹太人中间却未曾见过的信心</w:t>
      </w:r>
      <w:r w:rsidR="000A57C3">
        <w:rPr>
          <w:lang w:val="ru-RU"/>
        </w:rPr>
        <w:t>（马太福音</w:t>
      </w:r>
      <w:r w:rsidRPr="00794712">
        <w:rPr>
          <w:lang w:val="ru-RU"/>
        </w:rPr>
        <w:t xml:space="preserve"> 8</w:t>
      </w:r>
      <w:r w:rsidR="00FB0E05">
        <w:rPr>
          <w:lang w:val="ru-RU"/>
        </w:rPr>
        <w:t>:</w:t>
      </w:r>
      <w:r w:rsidRPr="00794712">
        <w:rPr>
          <w:lang w:val="ru-RU"/>
        </w:rPr>
        <w:t xml:space="preserve">10），而且通过使徒们的传道，基督的教会迅速在异教世界的各国中建立起来 </w:t>
      </w:r>
      <w:r w:rsidR="00FB0E05" w:rsidRPr="00FB0E05">
        <w:rPr>
          <w:lang w:val="ru-RU"/>
        </w:rPr>
        <w:t>[</w:t>
      </w:r>
      <w:r w:rsidRPr="00794712">
        <w:rPr>
          <w:lang w:val="ru-RU"/>
        </w:rPr>
        <w:t>(</w:t>
      </w:r>
      <w:r w:rsidR="0087297C">
        <w:rPr>
          <w:lang w:val="ru-RU"/>
        </w:rPr>
        <w:t>彼得前书</w:t>
      </w:r>
      <w:r w:rsidRPr="00794712">
        <w:rPr>
          <w:lang w:val="ru-RU"/>
        </w:rPr>
        <w:t xml:space="preserve"> 1</w:t>
      </w:r>
      <w:r w:rsidRPr="0015402B">
        <w:rPr>
          <w:lang w:val="ru-RU"/>
        </w:rPr>
        <w:t>:</w:t>
      </w:r>
      <w:r w:rsidRPr="00794712">
        <w:rPr>
          <w:lang w:val="ru-RU"/>
        </w:rPr>
        <w:t>1</w:t>
      </w:r>
      <w:r w:rsidRPr="003A5E1E">
        <w:rPr>
          <w:lang w:val="ru-RU"/>
        </w:rPr>
        <w:t>)</w:t>
      </w:r>
      <w:r w:rsidRPr="00794712">
        <w:rPr>
          <w:lang w:val="ru-RU"/>
        </w:rPr>
        <w:t>；</w:t>
      </w:r>
      <w:r w:rsidRPr="003A5E1E">
        <w:rPr>
          <w:lang w:val="ru-RU"/>
        </w:rPr>
        <w:t>(</w:t>
      </w:r>
      <w:r w:rsidRPr="00794712">
        <w:rPr>
          <w:lang w:val="ru-RU"/>
        </w:rPr>
        <w:t>罗马书 10</w:t>
      </w:r>
      <w:r w:rsidRPr="003A5E1E">
        <w:rPr>
          <w:lang w:val="ru-RU"/>
        </w:rPr>
        <w:t>:</w:t>
      </w:r>
      <w:r w:rsidRPr="00794712">
        <w:rPr>
          <w:lang w:val="ru-RU"/>
        </w:rPr>
        <w:t>18</w:t>
      </w:r>
      <w:r w:rsidR="00FB0E05" w:rsidRPr="00BD6C1B">
        <w:rPr>
          <w:lang w:val="ru-RU"/>
        </w:rPr>
        <w:t>)</w:t>
      </w:r>
      <w:r w:rsidRPr="00794712">
        <w:rPr>
          <w:lang w:val="ru-RU"/>
        </w:rPr>
        <w:t>；</w:t>
      </w:r>
      <w:r w:rsidR="00FB0E05" w:rsidRPr="00BD6C1B">
        <w:rPr>
          <w:rFonts w:cs="Cambria Math"/>
          <w:lang w:val="ru-RU"/>
        </w:rPr>
        <w:t>(</w:t>
      </w:r>
      <w:r w:rsidR="00FB0E05">
        <w:rPr>
          <w:rFonts w:cs="Cambria Math"/>
          <w:lang w:val="ru-RU"/>
        </w:rPr>
        <w:t>罗马书</w:t>
      </w:r>
      <w:r w:rsidRPr="00794712">
        <w:rPr>
          <w:lang w:val="ru-RU"/>
        </w:rPr>
        <w:t xml:space="preserve"> 15</w:t>
      </w:r>
      <w:r w:rsidRPr="003A5E1E">
        <w:rPr>
          <w:lang w:val="ru-RU"/>
        </w:rPr>
        <w:t>:</w:t>
      </w:r>
      <w:r w:rsidRPr="00794712">
        <w:rPr>
          <w:lang w:val="ru-RU"/>
        </w:rPr>
        <w:t>19)</w:t>
      </w:r>
      <w:r w:rsidR="00FB0E05" w:rsidRPr="00BD6C1B">
        <w:rPr>
          <w:lang w:val="ru-RU"/>
        </w:rPr>
        <w:t>]</w:t>
      </w:r>
      <w:r w:rsidRPr="00794712">
        <w:rPr>
          <w:lang w:val="ru-RU"/>
        </w:rPr>
        <w:t>。</w:t>
      </w:r>
    </w:p>
    <w:p w14:paraId="333269D0" w14:textId="77777777" w:rsidR="00D85B34" w:rsidRPr="00794712" w:rsidRDefault="00D85B34" w:rsidP="00D85B34">
      <w:pPr>
        <w:rPr>
          <w:lang w:val="ru-RU"/>
        </w:rPr>
      </w:pPr>
    </w:p>
    <w:p w14:paraId="30122276" w14:textId="77777777" w:rsidR="00D85B34" w:rsidRPr="00794712" w:rsidRDefault="00D85B34" w:rsidP="007B240B">
      <w:pPr>
        <w:pStyle w:val="Heading5"/>
        <w:rPr>
          <w:lang w:val="ru-RU"/>
        </w:rPr>
      </w:pPr>
      <w:bookmarkStart w:id="68" w:name="_Toc133155557"/>
      <w:bookmarkStart w:id="69" w:name="_Toc180664570"/>
      <w:bookmarkStart w:id="70" w:name="_Toc180679191"/>
      <w:bookmarkStart w:id="71" w:name="_Toc180679248"/>
      <w:bookmarkStart w:id="72" w:name="_Toc180679771"/>
      <w:bookmarkStart w:id="73" w:name="_Toc238453653"/>
      <w:bookmarkStart w:id="74" w:name="_Toc238576469"/>
      <w:r w:rsidRPr="00794712">
        <w:rPr>
          <w:lang w:val="ru-RU"/>
        </w:rPr>
        <w:t>§130. 该教义的道德应用</w:t>
      </w:r>
      <w:bookmarkEnd w:id="68"/>
      <w:bookmarkEnd w:id="69"/>
      <w:bookmarkEnd w:id="70"/>
      <w:bookmarkEnd w:id="71"/>
      <w:bookmarkEnd w:id="72"/>
      <w:bookmarkEnd w:id="73"/>
      <w:bookmarkEnd w:id="74"/>
    </w:p>
    <w:p w14:paraId="42C0D0CC" w14:textId="77777777" w:rsidR="00D85B34" w:rsidRPr="00794712" w:rsidRDefault="00F45CFB" w:rsidP="00D85B34">
      <w:pPr>
        <w:ind w:firstLine="708"/>
        <w:rPr>
          <w:lang w:val="ru-RU"/>
        </w:rPr>
      </w:pPr>
      <w:r w:rsidRPr="00F45CFB">
        <w:rPr>
          <w:b/>
          <w:lang w:val="ru-RU"/>
        </w:rPr>
        <w:t>1)</w:t>
      </w:r>
      <w:r w:rsidR="00D85B34" w:rsidRPr="00794712">
        <w:rPr>
          <w:lang w:val="ru-RU"/>
        </w:rPr>
        <w:t xml:space="preserve"> 仔细思考恢复堕落人类所必需的神圣帮助——即有罪的人凭自己既无法满足神的公义，也无法从自身中消除罪，更无法消除罪带来的毁灭性后果——我们将学会谦卑： 因为我们生来都是“愤怒之子”（以弗所书 2</w:t>
      </w:r>
      <w:r w:rsidR="00D85B34">
        <w:rPr>
          <w:lang w:val="ru-RU"/>
        </w:rPr>
        <w:t>:</w:t>
      </w:r>
      <w:r w:rsidR="00D85B34" w:rsidRPr="00794712">
        <w:rPr>
          <w:lang w:val="ru-RU"/>
        </w:rPr>
        <w:t>3）； 我们都在不法中受孕；在罪中出生；我们全都贫穷、可怜、软弱，同样需要神的帮助来使我们重生和成圣，同样需要祂的帮助来在我们频繁发生的每次个人堕落之后恢复我们。</w:t>
      </w:r>
    </w:p>
    <w:p w14:paraId="7A170A55" w14:textId="77777777" w:rsidR="00D85B34" w:rsidRPr="00794712" w:rsidRDefault="00F45CFB" w:rsidP="00D85B34">
      <w:pPr>
        <w:ind w:firstLine="708"/>
        <w:rPr>
          <w:lang w:val="ru-RU"/>
        </w:rPr>
      </w:pPr>
      <w:r w:rsidRPr="00F45CFB">
        <w:rPr>
          <w:b/>
          <w:lang w:val="ru-RU"/>
        </w:rPr>
        <w:t>2)</w:t>
      </w:r>
      <w:r w:rsidR="00D85B34" w:rsidRPr="00794712">
        <w:rPr>
          <w:lang w:val="ru-RU"/>
        </w:rPr>
        <w:t xml:space="preserve"> 接着，当我们想到主上帝确实显明了祂为救赎堕落的人类所施予的至高帮助，想到这救赎早在创世之前就已预定，想到至圣圣三的每位位格都参与其中， 三位一体的各位位格如何参与其中——且完全出于祂们对我们这些罪人无尽的仁慈与爱——我们将学会以彼此相爱来回应我们主如此伟大的爱： </w:t>
      </w:r>
      <w:r w:rsidR="00D85B34" w:rsidRPr="00FD043C">
        <w:rPr>
          <w:i/>
          <w:iCs/>
          <w:lang w:val="ru-RU"/>
        </w:rPr>
        <w:t>“我们爱祂，因为祂先爱了我们”</w:t>
      </w:r>
      <w:r w:rsidR="008A3626">
        <w:rPr>
          <w:lang w:val="ru-RU"/>
        </w:rPr>
        <w:t>（约</w:t>
      </w:r>
      <w:r w:rsidR="00D85B34" w:rsidRPr="00794712">
        <w:rPr>
          <w:lang w:val="ru-RU"/>
        </w:rPr>
        <w:t>壹4</w:t>
      </w:r>
      <w:r w:rsidR="00D85B34" w:rsidRPr="00472C24">
        <w:rPr>
          <w:lang w:val="ru-RU"/>
        </w:rPr>
        <w:t>:</w:t>
      </w:r>
      <w:r w:rsidR="00D85B34" w:rsidRPr="00794712">
        <w:rPr>
          <w:lang w:val="ru-RU"/>
        </w:rPr>
        <w:t>19），同时，我们也要铭记使徒的另一项教导：</w:t>
      </w:r>
      <w:r w:rsidR="00D85B34" w:rsidRPr="00F17F80">
        <w:rPr>
          <w:i/>
          <w:iCs/>
          <w:lang w:val="ru-RU"/>
        </w:rPr>
        <w:t>“亲爱的弟兄们！神既然这样爱我们，我们也应当彼此相爱”</w:t>
      </w:r>
      <w:r w:rsidR="008A3626">
        <w:rPr>
          <w:lang w:val="ru-RU"/>
        </w:rPr>
        <w:t>（约壹</w:t>
      </w:r>
      <w:r w:rsidR="00D85B34" w:rsidRPr="00794712">
        <w:rPr>
          <w:lang w:val="ru-RU"/>
        </w:rPr>
        <w:t>4</w:t>
      </w:r>
      <w:r w:rsidR="00D85B34" w:rsidRPr="00472C24">
        <w:rPr>
          <w:lang w:val="ru-RU"/>
        </w:rPr>
        <w:t>:</w:t>
      </w:r>
      <w:r w:rsidR="00D85B34" w:rsidRPr="00794712">
        <w:rPr>
          <w:lang w:val="ru-RU"/>
        </w:rPr>
        <w:t>19）。</w:t>
      </w:r>
    </w:p>
    <w:p w14:paraId="60F4521E" w14:textId="77777777" w:rsidR="00D85B34" w:rsidRPr="00794712" w:rsidRDefault="00F45CFB" w:rsidP="00D85B34">
      <w:pPr>
        <w:ind w:firstLine="708"/>
        <w:rPr>
          <w:lang w:val="ru-RU"/>
        </w:rPr>
      </w:pPr>
      <w:r w:rsidRPr="00F45CFB">
        <w:rPr>
          <w:b/>
          <w:lang w:val="ru-RU"/>
        </w:rPr>
        <w:t>3)</w:t>
      </w:r>
      <w:r w:rsidR="00D85B34" w:rsidRPr="00794712">
        <w:rPr>
          <w:lang w:val="ru-RU"/>
        </w:rPr>
        <w:t xml:space="preserve"> 最后，让我们怀着虔敬的心思，思考上帝为我们的救赎选择了何等非凡的途径：为何正是上帝的儿子为此道成肉身；为何</w:t>
      </w:r>
      <w:r w:rsidR="00D85B34" w:rsidRPr="000578D3">
        <w:rPr>
          <w:i/>
          <w:iCs/>
          <w:lang w:val="ru-RU"/>
        </w:rPr>
        <w:t>祂在 末世</w:t>
      </w:r>
      <w:r w:rsidR="00D85B34" w:rsidRPr="00794712">
        <w:rPr>
          <w:lang w:val="ru-RU"/>
        </w:rPr>
        <w:t>（希伯来书 1</w:t>
      </w:r>
      <w:r w:rsidR="00D85B34" w:rsidRPr="000578D3">
        <w:rPr>
          <w:lang w:val="ru-RU"/>
        </w:rPr>
        <w:t>:</w:t>
      </w:r>
      <w:r w:rsidR="00D85B34" w:rsidRPr="00794712">
        <w:rPr>
          <w:lang w:val="ru-RU"/>
        </w:rPr>
        <w:t>2）降临人间， 以及三位一体的上帝如何在漫长的岁月中，为犹太人和外邦人预备好接受祂，让我们学会敬畏祂无穷的智慧，并从灵魂深处与使徒一同感叹：</w:t>
      </w:r>
      <w:r w:rsidR="00D85B34" w:rsidRPr="00207FCD">
        <w:rPr>
          <w:i/>
          <w:iCs/>
          <w:lang w:val="ru-RU"/>
        </w:rPr>
        <w:t>“啊，上帝的丰富、智慧和知识何等深奥！ 祂的旨意何等难测，祂的道路何等难寻！”</w:t>
      </w:r>
      <w:r w:rsidR="00D85B34" w:rsidRPr="00794712">
        <w:rPr>
          <w:lang w:val="ru-RU"/>
        </w:rPr>
        <w:t>（罗马书 11</w:t>
      </w:r>
      <w:r w:rsidR="00D85B34" w:rsidRPr="004620A8">
        <w:rPr>
          <w:lang w:val="ru-RU"/>
        </w:rPr>
        <w:t>:</w:t>
      </w:r>
      <w:r w:rsidR="00D85B34" w:rsidRPr="00794712">
        <w:rPr>
          <w:lang w:val="ru-RU"/>
        </w:rPr>
        <w:t>33）。</w:t>
      </w:r>
    </w:p>
    <w:p w14:paraId="17FF30D4" w14:textId="77777777" w:rsidR="00D85B34" w:rsidRDefault="00D85B34" w:rsidP="00D85B34">
      <w:pPr>
        <w:rPr>
          <w:lang w:val="ru-RU"/>
        </w:rPr>
      </w:pPr>
    </w:p>
    <w:p w14:paraId="3400E605" w14:textId="77777777" w:rsidR="00D85B34" w:rsidRDefault="00D85B34" w:rsidP="00D85B34">
      <w:pPr>
        <w:rPr>
          <w:lang w:val="ru-RU"/>
        </w:rPr>
      </w:pPr>
    </w:p>
    <w:p w14:paraId="21851FB7" w14:textId="77777777" w:rsidR="00D85B34" w:rsidRDefault="00D85B34" w:rsidP="007B240B">
      <w:pPr>
        <w:pStyle w:val="Heading2"/>
        <w:rPr>
          <w:lang w:val="ru-RU"/>
        </w:rPr>
      </w:pPr>
      <w:bookmarkStart w:id="75" w:name="_Toc133155558"/>
      <w:bookmarkStart w:id="76" w:name="_Toc180664571"/>
      <w:bookmarkStart w:id="77" w:name="_Toc180679192"/>
      <w:bookmarkStart w:id="78" w:name="_Toc180679249"/>
      <w:bookmarkStart w:id="79" w:name="_Toc180679772"/>
      <w:bookmarkStart w:id="80" w:name="_Toc238453407"/>
      <w:bookmarkStart w:id="81" w:name="_Toc238453654"/>
      <w:bookmarkStart w:id="82" w:name="_Toc238466393"/>
      <w:bookmarkStart w:id="83" w:name="_Toc238576470"/>
      <w:r w:rsidRPr="00AA0891">
        <w:t>第二</w:t>
      </w:r>
      <w:r w:rsidRPr="00794712">
        <w:rPr>
          <w:lang w:val="ru-RU"/>
        </w:rPr>
        <w:t xml:space="preserve">章。 </w:t>
      </w:r>
      <w:r>
        <w:rPr>
          <w:lang w:val="ru-RU"/>
        </w:rPr>
        <w:br/>
      </w:r>
      <w:r w:rsidRPr="00794712">
        <w:rPr>
          <w:lang w:val="ru-RU"/>
        </w:rPr>
        <w:t>关于我们的主耶稣基督的特别论述</w:t>
      </w:r>
      <w:bookmarkEnd w:id="75"/>
      <w:bookmarkEnd w:id="76"/>
      <w:bookmarkEnd w:id="77"/>
      <w:bookmarkEnd w:id="78"/>
      <w:bookmarkEnd w:id="79"/>
      <w:bookmarkEnd w:id="80"/>
      <w:bookmarkEnd w:id="81"/>
      <w:bookmarkEnd w:id="82"/>
      <w:bookmarkEnd w:id="83"/>
    </w:p>
    <w:p w14:paraId="0B1E776A" w14:textId="77777777" w:rsidR="00D85B34" w:rsidRPr="006A4F0F" w:rsidRDefault="00D85B34" w:rsidP="00D85B34">
      <w:pPr>
        <w:rPr>
          <w:lang w:val="ru-RU"/>
        </w:rPr>
      </w:pPr>
    </w:p>
    <w:p w14:paraId="2AD7DF5F" w14:textId="77777777" w:rsidR="00D85B34" w:rsidRPr="00794712" w:rsidRDefault="00D85B34" w:rsidP="007B240B">
      <w:pPr>
        <w:pStyle w:val="Heading5"/>
        <w:rPr>
          <w:lang w:val="ru-RU"/>
        </w:rPr>
      </w:pPr>
      <w:bookmarkStart w:id="84" w:name="_Toc133155559"/>
      <w:bookmarkStart w:id="85" w:name="_Toc180664572"/>
      <w:bookmarkStart w:id="86" w:name="_Toc180679193"/>
      <w:bookmarkStart w:id="87" w:name="_Toc180679250"/>
      <w:bookmarkStart w:id="88" w:name="_Toc180679773"/>
      <w:bookmarkStart w:id="89" w:name="_Toc238453655"/>
      <w:bookmarkStart w:id="90" w:name="_Toc238576471"/>
      <w:r w:rsidRPr="00794712">
        <w:rPr>
          <w:lang w:val="ru-RU"/>
        </w:rPr>
        <w:t>§131. 与前文的关联及教义的构成</w:t>
      </w:r>
      <w:bookmarkEnd w:id="84"/>
      <w:bookmarkEnd w:id="85"/>
      <w:bookmarkEnd w:id="86"/>
      <w:bookmarkEnd w:id="87"/>
      <w:bookmarkEnd w:id="88"/>
      <w:bookmarkEnd w:id="89"/>
      <w:bookmarkEnd w:id="90"/>
    </w:p>
    <w:p w14:paraId="36A10C64" w14:textId="77777777" w:rsidR="00D85B34" w:rsidRPr="00794712" w:rsidRDefault="00D85B34" w:rsidP="00D85B34">
      <w:pPr>
        <w:ind w:firstLine="708"/>
        <w:rPr>
          <w:lang w:val="ru-RU"/>
        </w:rPr>
      </w:pPr>
      <w:r w:rsidRPr="00794712">
        <w:rPr>
          <w:lang w:val="ru-RU"/>
        </w:rPr>
        <w:t>早在永恒之初——因此是在我们获得生命并堕落之前——全知全善的上帝就已经定意要通过祂的独生子来拯救我们。随后，就在我们的始祖堕落之后，祂便开始通过一切自然与超自然的手段，使人类为迎接救主做好准备。 最后，当预定的时刻</w:t>
      </w:r>
      <w:r w:rsidRPr="002910EF">
        <w:rPr>
          <w:i/>
          <w:iCs/>
          <w:lang w:val="ru-RU"/>
        </w:rPr>
        <w:t>来临，“到了时候的圆满，神就差遣祂的[独生]子，由女人所生，且生在律法之下，为要赎回那些在律法之下的人，使我们得着儿子的名分”</w:t>
      </w:r>
      <w:r w:rsidRPr="00794712">
        <w:rPr>
          <w:lang w:val="ru-RU"/>
        </w:rPr>
        <w:t xml:space="preserve"> （加拉太书 4</w:t>
      </w:r>
      <w:r w:rsidRPr="002910EF">
        <w:rPr>
          <w:lang w:val="ru-RU"/>
        </w:rPr>
        <w:t>:</w:t>
      </w:r>
      <w:r w:rsidRPr="00794712">
        <w:rPr>
          <w:lang w:val="ru-RU"/>
        </w:rPr>
        <w:t>4-5），我们的主耶稣基督便降临了，并确实成就了我们的救赎。</w:t>
      </w:r>
    </w:p>
    <w:p w14:paraId="5B6519BD" w14:textId="77777777" w:rsidR="00D85B34" w:rsidRPr="00794712" w:rsidRDefault="00D85B34" w:rsidP="00D85B34">
      <w:pPr>
        <w:rPr>
          <w:lang w:val="ru-RU"/>
        </w:rPr>
      </w:pPr>
      <w:r w:rsidRPr="00794712">
        <w:rPr>
          <w:lang w:val="ru-RU"/>
        </w:rPr>
        <w:lastRenderedPageBreak/>
        <w:tab/>
        <w:t xml:space="preserve">关于我们的主耶稣基督的这一最后、简要表达的思想，我们将从现在开始加以阐释，它显然由两部分组成： </w:t>
      </w:r>
      <w:r w:rsidRPr="00AA0891">
        <w:t>I</w:t>
      </w:r>
      <w:r w:rsidRPr="00794712">
        <w:rPr>
          <w:lang w:val="ru-RU"/>
        </w:rPr>
        <w:t>）关于主耶稣本人的思想，即道成肉身的奥秘；</w:t>
      </w:r>
      <w:r w:rsidRPr="00AA0891">
        <w:t>II</w:t>
      </w:r>
      <w:r w:rsidRPr="00794712">
        <w:rPr>
          <w:lang w:val="ru-RU"/>
        </w:rPr>
        <w:t>）关于祂成就我们救赎的思想，即赎罪的奥秘。</w:t>
      </w:r>
    </w:p>
    <w:p w14:paraId="50995774" w14:textId="77777777" w:rsidR="00D85B34" w:rsidRDefault="00D85B34" w:rsidP="00D85B34">
      <w:pPr>
        <w:rPr>
          <w:lang w:val="ru-RU"/>
        </w:rPr>
      </w:pPr>
    </w:p>
    <w:p w14:paraId="25BCD748" w14:textId="77777777" w:rsidR="00D85B34" w:rsidRPr="00794712" w:rsidRDefault="00D85B34" w:rsidP="007B240B">
      <w:pPr>
        <w:pStyle w:val="Heading3"/>
        <w:rPr>
          <w:lang w:val="ru-RU"/>
        </w:rPr>
      </w:pPr>
      <w:bookmarkStart w:id="91" w:name="_Toc133155560"/>
      <w:bookmarkStart w:id="92" w:name="_Toc180664573"/>
      <w:bookmarkStart w:id="93" w:name="_Toc180679194"/>
      <w:bookmarkStart w:id="94" w:name="_Toc180679251"/>
      <w:bookmarkStart w:id="95" w:name="_Toc180679774"/>
      <w:bookmarkStart w:id="96" w:name="_Toc238453408"/>
      <w:bookmarkStart w:id="97" w:name="_Toc238453656"/>
      <w:bookmarkStart w:id="98" w:name="_Toc238466394"/>
      <w:bookmarkStart w:id="99" w:name="_Hlk133153746"/>
      <w:bookmarkStart w:id="100" w:name="_Toc238576472"/>
      <w:r w:rsidRPr="00AA0891">
        <w:t>第一</w:t>
      </w:r>
      <w:r w:rsidRPr="00794712">
        <w:rPr>
          <w:lang w:val="ru-RU"/>
        </w:rPr>
        <w:t xml:space="preserve">部分。 </w:t>
      </w:r>
      <w:r>
        <w:rPr>
          <w:lang w:val="ru-RU"/>
        </w:rPr>
        <w:br/>
      </w:r>
      <w:r w:rsidRPr="00794712">
        <w:rPr>
          <w:lang w:val="ru-RU"/>
        </w:rPr>
        <w:t>关于主耶稣基督的位格，即道成肉身的奥秘</w:t>
      </w:r>
      <w:bookmarkEnd w:id="91"/>
      <w:bookmarkEnd w:id="92"/>
      <w:bookmarkEnd w:id="93"/>
      <w:bookmarkEnd w:id="94"/>
      <w:bookmarkEnd w:id="95"/>
      <w:bookmarkEnd w:id="96"/>
      <w:bookmarkEnd w:id="97"/>
      <w:bookmarkEnd w:id="98"/>
      <w:bookmarkEnd w:id="100"/>
    </w:p>
    <w:bookmarkEnd w:id="99"/>
    <w:p w14:paraId="589BAC56" w14:textId="77777777" w:rsidR="00D85B34" w:rsidRDefault="00D85B34" w:rsidP="00D85B34">
      <w:pPr>
        <w:rPr>
          <w:lang w:val="ru-RU"/>
        </w:rPr>
      </w:pPr>
    </w:p>
    <w:p w14:paraId="672F4E82" w14:textId="77777777" w:rsidR="00D85B34" w:rsidRPr="00794712" w:rsidRDefault="00D85B34" w:rsidP="007B240B">
      <w:pPr>
        <w:pStyle w:val="Heading5"/>
        <w:rPr>
          <w:lang w:val="ru-RU"/>
        </w:rPr>
      </w:pPr>
      <w:bookmarkStart w:id="101" w:name="_Toc133155561"/>
      <w:bookmarkStart w:id="102" w:name="_Toc180664574"/>
      <w:bookmarkStart w:id="103" w:name="_Toc180679195"/>
      <w:bookmarkStart w:id="104" w:name="_Toc180679252"/>
      <w:bookmarkStart w:id="105" w:name="_Toc180679775"/>
      <w:bookmarkStart w:id="106" w:name="_Toc238453657"/>
      <w:bookmarkStart w:id="107" w:name="_Toc238576473"/>
      <w:r w:rsidRPr="00794712">
        <w:rPr>
          <w:lang w:val="ru-RU"/>
        </w:rPr>
        <w:t>§132. 该教义的重要性与不可测度性、其简史、教会对此的教导及其构成</w:t>
      </w:r>
      <w:bookmarkEnd w:id="101"/>
      <w:bookmarkEnd w:id="102"/>
      <w:bookmarkEnd w:id="103"/>
      <w:bookmarkEnd w:id="104"/>
      <w:bookmarkEnd w:id="105"/>
      <w:bookmarkEnd w:id="106"/>
      <w:bookmarkEnd w:id="107"/>
    </w:p>
    <w:p w14:paraId="1CE3C751" w14:textId="77777777" w:rsidR="00D85B34" w:rsidRPr="00794712" w:rsidRDefault="00D85B34" w:rsidP="00D85B34">
      <w:pPr>
        <w:ind w:firstLine="708"/>
        <w:rPr>
          <w:lang w:val="ru-RU"/>
        </w:rPr>
      </w:pPr>
      <w:r w:rsidRPr="00794712">
        <w:rPr>
          <w:lang w:val="ru-RU"/>
        </w:rPr>
        <w:t>关于我们主耶稣基督位格的教义，是基督教最重要且最难以理解的教义之一。 这一教义的重要性不言而喻，因为主耶稣是我们信仰的创始者（希伯来书 12</w:t>
      </w:r>
      <w:r w:rsidRPr="00837DAB">
        <w:rPr>
          <w:lang w:val="ru-RU"/>
        </w:rPr>
        <w:t>:</w:t>
      </w:r>
      <w:r w:rsidRPr="00794712">
        <w:rPr>
          <w:lang w:val="ru-RU"/>
        </w:rPr>
        <w:t>2），</w:t>
      </w:r>
      <w:r w:rsidRPr="00837DAB">
        <w:rPr>
          <w:lang w:val="ru-RU"/>
        </w:rPr>
        <w:t>是我们信仰的大祭司</w:t>
      </w:r>
      <w:r w:rsidRPr="00794712">
        <w:rPr>
          <w:lang w:val="ru-RU"/>
        </w:rPr>
        <w:t>（希伯来书 3</w:t>
      </w:r>
      <w:r w:rsidRPr="00752DA2">
        <w:rPr>
          <w:lang w:val="ru-RU"/>
        </w:rPr>
        <w:t>:</w:t>
      </w:r>
      <w:r w:rsidRPr="00794712">
        <w:rPr>
          <w:lang w:val="ru-RU"/>
        </w:rPr>
        <w:t>1），而且</w:t>
      </w:r>
      <w:r w:rsidRPr="00752DA2">
        <w:rPr>
          <w:i/>
          <w:iCs/>
          <w:lang w:val="ru-RU"/>
        </w:rPr>
        <w:t>“天下人间没有赐下别的名，我们可以靠着得救”</w:t>
      </w:r>
      <w:r w:rsidRPr="00794712">
        <w:rPr>
          <w:lang w:val="ru-RU"/>
        </w:rPr>
        <w:t>（使徒行传 4</w:t>
      </w:r>
      <w:r w:rsidRPr="00BC21D8">
        <w:rPr>
          <w:lang w:val="ru-RU"/>
        </w:rPr>
        <w:t>:</w:t>
      </w:r>
      <w:r w:rsidRPr="00794712">
        <w:rPr>
          <w:lang w:val="ru-RU"/>
        </w:rPr>
        <w:t>12）。 圣使徒曾见证其不可</w:t>
      </w:r>
      <w:r>
        <w:rPr>
          <w:lang w:val="ru-RU"/>
        </w:rPr>
        <w:t>测度</w:t>
      </w:r>
      <w:r w:rsidRPr="00794712">
        <w:rPr>
          <w:lang w:val="ru-RU"/>
        </w:rPr>
        <w:t>，他说：</w:t>
      </w:r>
      <w:r w:rsidRPr="00B53485">
        <w:rPr>
          <w:i/>
          <w:iCs/>
          <w:lang w:val="ru-RU"/>
        </w:rPr>
        <w:t>“这真是大奥秘：神在肉身显现”</w:t>
      </w:r>
      <w:r w:rsidR="00621F17">
        <w:rPr>
          <w:lang w:val="ru-RU"/>
        </w:rPr>
        <w:t>（提摩太前书</w:t>
      </w:r>
      <w:r w:rsidRPr="00794712">
        <w:rPr>
          <w:lang w:val="ru-RU"/>
        </w:rPr>
        <w:t xml:space="preserve"> 3</w:t>
      </w:r>
      <w:r w:rsidRPr="00571B76">
        <w:rPr>
          <w:lang w:val="ru-RU"/>
        </w:rPr>
        <w:t>:</w:t>
      </w:r>
      <w:r w:rsidRPr="00794712">
        <w:rPr>
          <w:lang w:val="ru-RU"/>
        </w:rPr>
        <w:t>16）。</w:t>
      </w:r>
    </w:p>
    <w:p w14:paraId="69622C17" w14:textId="77777777" w:rsidR="00D85B34" w:rsidRPr="00794712" w:rsidRDefault="00D85B34" w:rsidP="00D85B34">
      <w:pPr>
        <w:rPr>
          <w:lang w:val="ru-RU"/>
        </w:rPr>
      </w:pPr>
      <w:r w:rsidRPr="00794712">
        <w:rPr>
          <w:lang w:val="ru-RU"/>
        </w:rPr>
        <w:tab/>
        <w:t>鉴于这一教义的重要性，自基督教会初创之时起，深思熟虑的基督徒便一直特别关注它，这完全合乎情理； 而正因其不可测度——那些自以为比</w:t>
      </w:r>
      <w:r>
        <w:rPr>
          <w:lang w:val="ru-RU"/>
        </w:rPr>
        <w:t>应有的程度更深地</w:t>
      </w:r>
      <w:r w:rsidRPr="00794712">
        <w:rPr>
          <w:lang w:val="ru-RU"/>
        </w:rPr>
        <w:t>揣摩它（罗12</w:t>
      </w:r>
      <w:r w:rsidRPr="00F736B9">
        <w:rPr>
          <w:lang w:val="ru-RU"/>
        </w:rPr>
        <w:t>:</w:t>
      </w:r>
      <w:r w:rsidRPr="00794712">
        <w:rPr>
          <w:lang w:val="ru-RU"/>
        </w:rPr>
        <w:t>3），并试图按自己的观念去理解和解释它的人，自然会陷入迷误和异端。 除了至圣三位一体的教义之外，没有任何一项基督教教义像“神人二性”的教义那样，遭受过异端分子如此多的争论和歪曲，也没有哪一项教义像它那样受到教会牧者的如此坚定捍卫。 为了更方便地概括所有这些数不胜数的谬误——正教会自古以来一直致力于保护真理免受其害——圣奥古斯丁曾将它们分为三大类：</w:t>
      </w:r>
      <w:r w:rsidR="00A95A76" w:rsidRPr="00A95A76">
        <w:rPr>
          <w:b/>
          <w:lang w:val="ru-RU"/>
        </w:rPr>
        <w:t>a)</w:t>
      </w:r>
      <w:r w:rsidRPr="00794712">
        <w:rPr>
          <w:lang w:val="ru-RU"/>
        </w:rPr>
        <w:t xml:space="preserve"> 关于耶稣基督神性的谬误；</w:t>
      </w:r>
      <w:r w:rsidR="00A95A76" w:rsidRPr="00A95A76">
        <w:rPr>
          <w:b/>
          <w:lang w:val="ru-RU"/>
        </w:rPr>
        <w:t>b)</w:t>
      </w:r>
      <w:r w:rsidRPr="00794712">
        <w:rPr>
          <w:lang w:val="ru-RU"/>
        </w:rPr>
        <w:t xml:space="preserve"> 关于祂人性的谬误；以及 </w:t>
      </w:r>
      <w:r w:rsidR="00A95A76" w:rsidRPr="00A95A76">
        <w:rPr>
          <w:b/>
          <w:lang w:val="ru-RU"/>
        </w:rPr>
        <w:t>c)</w:t>
      </w:r>
      <w:r w:rsidRPr="00794712">
        <w:rPr>
          <w:lang w:val="ru-RU"/>
        </w:rPr>
        <w:t xml:space="preserve"> 关于二者在他身上结合的谬误。</w:t>
      </w:r>
      <w:r w:rsidR="00C23335">
        <w:rPr>
          <w:rStyle w:val="FootnoteReference"/>
          <w:lang w:val="ru-RU"/>
        </w:rPr>
        <w:footnoteReference w:id="71"/>
      </w:r>
    </w:p>
    <w:p w14:paraId="76425B00" w14:textId="77777777" w:rsidR="00D85B34" w:rsidRPr="00794712" w:rsidRDefault="00A95A76" w:rsidP="00D85B34">
      <w:pPr>
        <w:ind w:firstLine="708"/>
        <w:rPr>
          <w:lang w:val="ru-RU"/>
        </w:rPr>
      </w:pPr>
      <w:r w:rsidRPr="00A95A76">
        <w:rPr>
          <w:b/>
          <w:bCs/>
          <w:lang w:val="ru-RU"/>
        </w:rPr>
        <w:t>a)</w:t>
      </w:r>
      <w:r w:rsidR="00D85B34" w:rsidRPr="00794712">
        <w:rPr>
          <w:lang w:val="ru-RU"/>
        </w:rPr>
        <w:t xml:space="preserve"> 关于耶稣基督神性的谬误，又可细分为三种。</w:t>
      </w:r>
    </w:p>
    <w:p w14:paraId="6AA9F75F" w14:textId="77777777" w:rsidR="00D85B34" w:rsidRPr="00794712" w:rsidRDefault="00D85B34" w:rsidP="00D85B34">
      <w:pPr>
        <w:rPr>
          <w:lang w:val="ru-RU"/>
        </w:rPr>
      </w:pPr>
      <w:r w:rsidRPr="00794712">
        <w:rPr>
          <w:lang w:val="ru-RU"/>
        </w:rPr>
        <w:tab/>
        <w:t>其中第一种也是最古老的一种，属于那些完全否认耶稣基督神性、并认为祂只是普通人的群体：在使徒时代，克林福和埃维翁就曾如此教导，他们甚至被圣约翰·神学家斥责，后者为此专门撰写了《约翰福音》来反驳他们；</w:t>
      </w:r>
      <w:r w:rsidR="00C23335">
        <w:rPr>
          <w:rStyle w:val="FootnoteReference"/>
          <w:lang w:val="ru-RU"/>
        </w:rPr>
        <w:footnoteReference w:id="72"/>
      </w:r>
      <w:r w:rsidRPr="00794712">
        <w:rPr>
          <w:lang w:val="ru-RU"/>
        </w:rPr>
        <w:t xml:space="preserve"> 在第二世纪——卡波克拉特、西奥多特和阿尔特蒙及其追随者，他们被爱任纽、特土良等人谴责；</w:t>
      </w:r>
      <w:r w:rsidR="00C23335">
        <w:rPr>
          <w:rStyle w:val="FootnoteReference"/>
          <w:lang w:val="ru-RU"/>
        </w:rPr>
        <w:footnoteReference w:id="73"/>
      </w:r>
      <w:r w:rsidRPr="00794712">
        <w:rPr>
          <w:lang w:val="ru-RU"/>
        </w:rPr>
        <w:t xml:space="preserve"> 在第三</w:t>
      </w:r>
      <w:r>
        <w:rPr>
          <w:lang w:val="ru-RU"/>
        </w:rPr>
        <w:t>世纪</w:t>
      </w:r>
      <w:r w:rsidRPr="00794712">
        <w:rPr>
          <w:lang w:val="ru-RU"/>
        </w:rPr>
        <w:t>——萨莫萨的保罗，他被两次安提阿大公会议（分别于264年和270年）谴责。</w:t>
      </w:r>
      <w:r w:rsidR="00C23335">
        <w:rPr>
          <w:rStyle w:val="FootnoteReference"/>
          <w:lang w:val="ru-RU"/>
        </w:rPr>
        <w:footnoteReference w:id="74"/>
      </w:r>
      <w:r w:rsidRPr="00794712">
        <w:rPr>
          <w:lang w:val="ru-RU"/>
        </w:rPr>
        <w:t xml:space="preserve"> 这种曾多次被古代教会谴责的异端，在近代仍被索西尼派和理性主义者所奉行。</w:t>
      </w:r>
    </w:p>
    <w:p w14:paraId="1583F8C4" w14:textId="77777777" w:rsidR="00D85B34" w:rsidRPr="00794712" w:rsidRDefault="00D85B34" w:rsidP="00D85B34">
      <w:pPr>
        <w:rPr>
          <w:lang w:val="ru-RU"/>
        </w:rPr>
      </w:pPr>
      <w:r w:rsidRPr="00794712">
        <w:rPr>
          <w:lang w:val="ru-RU"/>
        </w:rPr>
        <w:tab/>
        <w:t>第二种谬误——那些虽不认为耶稣基督是普通人，也承认神的儿子在他身上道成肉身，却主张这位神的儿子并非由神所</w:t>
      </w:r>
      <w:r w:rsidRPr="00794712">
        <w:rPr>
          <w:lang w:val="ru-RU"/>
        </w:rPr>
        <w:lastRenderedPageBreak/>
        <w:t>生，而是被造的</w:t>
      </w:r>
      <w:r>
        <w:rPr>
          <w:lang w:val="ru-RU"/>
        </w:rPr>
        <w:t>——</w:t>
      </w:r>
      <w:r w:rsidRPr="00794712">
        <w:rPr>
          <w:lang w:val="ru-RU"/>
        </w:rPr>
        <w:t>他是所有被造灵体中最完美的，却不具备神的本性： 阿里乌派、半阿里乌派及其他阿里乌派学说的异端，已在第一次大公会议（公元326年）上遭到庄严谴责，并被四、五世纪最杰出的教会导师们在各个细节上予以驳斥。</w:t>
      </w:r>
      <w:r w:rsidR="00C23335">
        <w:rPr>
          <w:rStyle w:val="FootnoteReference"/>
          <w:lang w:val="ru-RU"/>
        </w:rPr>
        <w:footnoteReference w:id="75"/>
      </w:r>
    </w:p>
    <w:p w14:paraId="02EB3759" w14:textId="77777777" w:rsidR="00D85B34" w:rsidRPr="00794712" w:rsidRDefault="00D85B34" w:rsidP="00D85B34">
      <w:pPr>
        <w:rPr>
          <w:lang w:val="ru-RU"/>
        </w:rPr>
      </w:pPr>
      <w:r w:rsidRPr="00794712">
        <w:rPr>
          <w:lang w:val="ru-RU"/>
        </w:rPr>
        <w:tab/>
        <w:t>第三种谬误则认为，在耶稣基督中确实是上帝本人道成肉身，但并非“道”即上帝的独生子，而是圣父上帝，或是整个圣三一——被理解为一个神圣位格，以三个名字和三重显现的形式存在： 即“父受难论”和“反三位一体论”的异端，这些异端在二、三世纪曾多次遭到谴责。</w:t>
      </w:r>
      <w:r w:rsidR="00C23335">
        <w:rPr>
          <w:rStyle w:val="FootnoteReference"/>
          <w:lang w:val="ru-RU"/>
        </w:rPr>
        <w:footnoteReference w:id="76"/>
      </w:r>
    </w:p>
    <w:p w14:paraId="14B6F108" w14:textId="77777777" w:rsidR="00D85B34" w:rsidRPr="00794712" w:rsidRDefault="00A95A76" w:rsidP="00D85B34">
      <w:pPr>
        <w:ind w:firstLine="708"/>
        <w:rPr>
          <w:lang w:val="ru-RU"/>
        </w:rPr>
      </w:pPr>
      <w:r w:rsidRPr="00A95A76">
        <w:rPr>
          <w:b/>
          <w:bCs/>
          <w:lang w:val="ru-RU"/>
        </w:rPr>
        <w:t>b)</w:t>
      </w:r>
      <w:r w:rsidR="00D85B34" w:rsidRPr="00794712">
        <w:rPr>
          <w:lang w:val="ru-RU"/>
        </w:rPr>
        <w:t xml:space="preserve"> 关于耶稣基督人性方面的谬误，同样可分为三类。</w:t>
      </w:r>
    </w:p>
    <w:p w14:paraId="49496D04" w14:textId="77777777" w:rsidR="00D85B34" w:rsidRPr="00794712" w:rsidRDefault="00D85B34" w:rsidP="00D85B34">
      <w:pPr>
        <w:rPr>
          <w:lang w:val="ru-RU"/>
        </w:rPr>
      </w:pPr>
      <w:r w:rsidRPr="00794712">
        <w:rPr>
          <w:lang w:val="ru-RU"/>
        </w:rPr>
        <w:tab/>
        <w:t>部分异端分子对耶稣基督的肉身存在误解。许多人认为神性不配披戴任何物质外壳，因此宣称主耶稣根本没有肉身，祂的身体只是虚幻的、幻影般的，正因如此，他们自己也被称为“多基特派”：</w:t>
      </w:r>
      <w:r w:rsidR="00C23335">
        <w:rPr>
          <w:rStyle w:val="FootnoteReference"/>
          <w:lang w:val="ru-RU"/>
        </w:rPr>
        <w:footnoteReference w:id="77"/>
      </w:r>
      <w:r w:rsidRPr="00794712">
        <w:rPr>
          <w:lang w:val="ru-RU"/>
        </w:rPr>
        <w:t xml:space="preserve"> 这一异端早在使徒时代就已出现，并被圣约翰·神学家在其前两封书信中予以驳斥</w:t>
      </w:r>
      <w:r w:rsidR="00EE6DB1" w:rsidRPr="00BD6C1B">
        <w:rPr>
          <w:lang w:val="ru-RU"/>
        </w:rPr>
        <w:t>[</w:t>
      </w:r>
      <w:r w:rsidRPr="00794712">
        <w:rPr>
          <w:lang w:val="ru-RU"/>
        </w:rPr>
        <w:t>(约壹 4</w:t>
      </w:r>
      <w:r>
        <w:rPr>
          <w:lang w:val="ru-RU"/>
        </w:rPr>
        <w:t>:</w:t>
      </w:r>
      <w:r w:rsidRPr="00794712">
        <w:rPr>
          <w:lang w:val="ru-RU"/>
        </w:rPr>
        <w:t>2-3</w:t>
      </w:r>
      <w:r w:rsidR="00EE6DB1">
        <w:rPr>
          <w:lang w:val="ru-RU"/>
        </w:rPr>
        <w:t>)</w:t>
      </w:r>
      <w:r w:rsidRPr="00794712">
        <w:rPr>
          <w:lang w:val="ru-RU"/>
        </w:rPr>
        <w:t>；</w:t>
      </w:r>
      <w:r w:rsidR="00EE6DB1">
        <w:rPr>
          <w:lang w:val="ru-RU"/>
        </w:rPr>
        <w:t>(</w:t>
      </w:r>
      <w:r w:rsidRPr="00794712">
        <w:rPr>
          <w:lang w:val="ru-RU"/>
        </w:rPr>
        <w:t>约贰 7)</w:t>
      </w:r>
      <w:r w:rsidR="00EE6DB1" w:rsidRPr="00EE6DB1">
        <w:rPr>
          <w:lang w:val="ru-RU"/>
        </w:rPr>
        <w:t>]</w:t>
      </w:r>
      <w:r w:rsidRPr="00794712">
        <w:rPr>
          <w:lang w:val="ru-RU"/>
        </w:rPr>
        <w:t>，随后愈演愈烈，并在众多诺斯替教派中广泛传播。</w:t>
      </w:r>
      <w:r w:rsidR="00C23335">
        <w:rPr>
          <w:rStyle w:val="FootnoteReference"/>
          <w:lang w:val="ru-RU"/>
        </w:rPr>
        <w:footnoteReference w:id="78"/>
      </w:r>
      <w:r w:rsidRPr="00794712">
        <w:rPr>
          <w:lang w:val="ru-RU"/>
        </w:rPr>
        <w:t xml:space="preserve"> 然而，某些派别，即阿佩利安派、瓦伦蒂尼安派和摩尼教徒，尽管承认基督拥有真实的身体而非幻影</w:t>
      </w:r>
      <w:r>
        <w:rPr>
          <w:lang w:val="ru-RU"/>
        </w:rPr>
        <w:t>，</w:t>
      </w:r>
      <w:r w:rsidRPr="00794712">
        <w:rPr>
          <w:lang w:val="ru-RU"/>
        </w:rPr>
        <w:t xml:space="preserve"> 认为这具身体与我们人类的身体相似，而是将其视为某种天上的、属灵的身体——主仅凭此身体经过圣母的子宫，并未从她那里汲取任何东西；</w:t>
      </w:r>
      <w:r w:rsidR="00C23335">
        <w:rPr>
          <w:rStyle w:val="FootnoteReference"/>
          <w:lang w:val="ru-RU"/>
        </w:rPr>
        <w:footnoteReference w:id="79"/>
      </w:r>
      <w:r w:rsidRPr="00794712">
        <w:rPr>
          <w:lang w:val="ru-RU"/>
        </w:rPr>
        <w:t xml:space="preserve"> 或者，即使将其视为物质身体，但比我们的身体更为精微，由世界的本质构成，因此同样未从圣母那里汲取。</w:t>
      </w:r>
      <w:r w:rsidR="00C23335">
        <w:rPr>
          <w:rStyle w:val="FootnoteReference"/>
          <w:lang w:val="ru-RU"/>
        </w:rPr>
        <w:footnoteReference w:id="80"/>
      </w:r>
      <w:r w:rsidRPr="00794712">
        <w:rPr>
          <w:lang w:val="ru-RU"/>
        </w:rPr>
        <w:t xml:space="preserve"> 继圣约翰·神学家之后，以下人士曾撰文反对这些异端观点：伊格纳提乌斯·神承者、爱任纽、梅利顿、特土良、亚历山大的克利门特以及许多其他古代教会的教师；</w:t>
      </w:r>
      <w:r w:rsidR="00C23335">
        <w:rPr>
          <w:rStyle w:val="FootnoteReference"/>
          <w:lang w:val="ru-RU"/>
        </w:rPr>
        <w:footnoteReference w:id="81"/>
      </w:r>
      <w:r w:rsidRPr="00794712">
        <w:rPr>
          <w:lang w:val="ru-RU"/>
        </w:rPr>
        <w:t xml:space="preserve"> 然而，直至今日，贵格会和再洗礼派仍在关于耶稣基督肉身的议题上发表类似的谬论。</w:t>
      </w:r>
      <w:r w:rsidR="00C23335">
        <w:rPr>
          <w:rStyle w:val="FootnoteReference"/>
          <w:lang w:val="ru-RU"/>
        </w:rPr>
        <w:footnoteReference w:id="82"/>
      </w:r>
    </w:p>
    <w:p w14:paraId="20E80A45" w14:textId="77777777" w:rsidR="00D85B34" w:rsidRPr="00794712" w:rsidRDefault="00D85B34" w:rsidP="00D85B34">
      <w:pPr>
        <w:rPr>
          <w:lang w:val="ru-RU"/>
        </w:rPr>
      </w:pPr>
      <w:r w:rsidRPr="00794712">
        <w:rPr>
          <w:lang w:val="ru-RU"/>
        </w:rPr>
        <w:tab/>
        <w:t>还有些异端分子在耶稣基督的灵魂问题上陷入谬误，他们断言基督要么根本没有人的灵魂——他的神性取而代之，</w:t>
      </w:r>
      <w:r w:rsidR="00730E59">
        <w:rPr>
          <w:rStyle w:val="FootnoteReference"/>
          <w:lang w:val="ru-RU"/>
        </w:rPr>
        <w:footnoteReference w:id="83"/>
      </w:r>
      <w:r w:rsidRPr="00794712">
        <w:rPr>
          <w:lang w:val="ru-RU"/>
        </w:rPr>
        <w:t xml:space="preserve"> 要么即使有灵魂，也仅是低等的、感官性的，而没有人的理性（</w:t>
      </w:r>
      <w:r w:rsidRPr="00AA0891">
        <w:t>νοϋς</w:t>
      </w:r>
      <w:r w:rsidRPr="00794712">
        <w:rPr>
          <w:lang w:val="ru-RU"/>
        </w:rPr>
        <w:t>）或灵（</w:t>
      </w:r>
      <w:r w:rsidRPr="00AA0891">
        <w:t>πνεύμα</w:t>
      </w:r>
      <w:r w:rsidRPr="00794712">
        <w:rPr>
          <w:lang w:val="ru-RU"/>
        </w:rPr>
        <w:t>）。</w:t>
      </w:r>
      <w:r w:rsidR="00730E59">
        <w:rPr>
          <w:rStyle w:val="FootnoteReference"/>
          <w:lang w:val="ru-RU"/>
        </w:rPr>
        <w:footnoteReference w:id="84"/>
      </w:r>
      <w:r w:rsidRPr="00794712">
        <w:rPr>
          <w:lang w:val="ru-RU"/>
        </w:rPr>
        <w:t xml:space="preserve"> </w:t>
      </w:r>
      <w:r w:rsidRPr="00794712">
        <w:rPr>
          <w:lang w:val="ru-RU"/>
        </w:rPr>
        <w:lastRenderedPageBreak/>
        <w:t>针对这两种形式的谬论——阿波利纳里及其追随者曾竭力传播此说，</w:t>
      </w:r>
      <w:r w:rsidR="00730E59">
        <w:rPr>
          <w:rStyle w:val="FootnoteReference"/>
          <w:lang w:val="ru-RU"/>
        </w:rPr>
        <w:footnoteReference w:id="85"/>
      </w:r>
      <w:r w:rsidRPr="00794712">
        <w:rPr>
          <w:lang w:val="ru-RU"/>
        </w:rPr>
        <w:t xml:space="preserve"> ——教会已在以下大公会议上作出裁决：亚历山大会议（362年）、 罗马大公会议（373年）以及君士坦丁堡大公会议——即第一、第二次普世大公会议（381年）——更不用说那些驳斥同一谬论的个别教师了。</w:t>
      </w:r>
      <w:r w:rsidR="00730E59">
        <w:rPr>
          <w:rStyle w:val="FootnoteReference"/>
          <w:lang w:val="ru-RU"/>
        </w:rPr>
        <w:footnoteReference w:id="86"/>
      </w:r>
    </w:p>
    <w:p w14:paraId="00DECE6A" w14:textId="77777777" w:rsidR="00D85B34" w:rsidRPr="00794712" w:rsidRDefault="00D85B34" w:rsidP="00D85B34">
      <w:pPr>
        <w:rPr>
          <w:lang w:val="ru-RU"/>
        </w:rPr>
      </w:pPr>
      <w:r w:rsidRPr="00794712">
        <w:rPr>
          <w:lang w:val="ru-RU"/>
        </w:rPr>
        <w:tab/>
        <w:t>还有一类人关于耶稣基督按人性降生的教义陷入谬误，宣称祂并非以超自然的方式由至圣童贞女玛利亚所生，而是像普通人一样由约瑟和玛利亚所生：这就是克林福的异端， 卡波克拉特及其他信奉犹太教的诺斯替派所宣扬的异端，</w:t>
      </w:r>
      <w:r w:rsidR="00730E59">
        <w:rPr>
          <w:rStyle w:val="FootnoteReference"/>
          <w:lang w:val="ru-RU"/>
        </w:rPr>
        <w:footnoteReference w:id="87"/>
      </w:r>
      <w:r w:rsidRPr="00794712">
        <w:rPr>
          <w:lang w:val="ru-RU"/>
        </w:rPr>
        <w:t xml:space="preserve"> 该异端自出现之初便被教会导师们揭露： 伊格纳提乌斯·神载者、伊里内乌斯、特土良、耶路撒冷的西里尔等人，</w:t>
      </w:r>
      <w:r w:rsidR="00730E59">
        <w:rPr>
          <w:rStyle w:val="FootnoteReference"/>
          <w:lang w:val="ru-RU"/>
        </w:rPr>
        <w:footnoteReference w:id="88"/>
      </w:r>
      <w:r w:rsidRPr="00794712">
        <w:rPr>
          <w:lang w:val="ru-RU"/>
        </w:rPr>
        <w:t xml:space="preserve"> 随后在第二次大公会议的信经中被庄严谴责，该信经宣称神的儿子是“由圣灵和</w:t>
      </w:r>
      <w:r>
        <w:rPr>
          <w:lang w:val="ru-RU"/>
        </w:rPr>
        <w:t>童贞女玛利亚”</w:t>
      </w:r>
      <w:r w:rsidRPr="00794712">
        <w:rPr>
          <w:lang w:val="ru-RU"/>
        </w:rPr>
        <w:t>道成肉身</w:t>
      </w:r>
      <w:r>
        <w:rPr>
          <w:lang w:val="ru-RU"/>
        </w:rPr>
        <w:t>。</w:t>
      </w:r>
      <w:r w:rsidRPr="00794712">
        <w:rPr>
          <w:lang w:val="ru-RU"/>
        </w:rPr>
        <w:t xml:space="preserve"> 在离我们最近的时代，这一异端又被理性主义者从尘埃中翻了出来。</w:t>
      </w:r>
    </w:p>
    <w:p w14:paraId="7EA167B6" w14:textId="77777777" w:rsidR="00D85B34" w:rsidRPr="00794712" w:rsidRDefault="00A95A76" w:rsidP="00D85B34">
      <w:pPr>
        <w:ind w:firstLine="708"/>
        <w:rPr>
          <w:lang w:val="ru-RU"/>
        </w:rPr>
      </w:pPr>
      <w:r w:rsidRPr="00A95A76">
        <w:rPr>
          <w:b/>
          <w:bCs/>
          <w:lang w:val="ru-RU"/>
        </w:rPr>
        <w:t>c)</w:t>
      </w:r>
      <w:r w:rsidR="00D85B34" w:rsidRPr="00794712">
        <w:rPr>
          <w:lang w:val="ru-RU"/>
        </w:rPr>
        <w:t xml:space="preserve"> 最后，关于耶稣基督内神性与人性两种本性的结合，已知的谬误有四种：聂斯托里派的谬误、尤提克斯的谬误、单性论者的谬误以及收养论者的谬误。</w:t>
      </w:r>
    </w:p>
    <w:p w14:paraId="11149B98" w14:textId="77777777" w:rsidR="00D85B34" w:rsidRPr="00794712" w:rsidRDefault="00D85B34" w:rsidP="00D85B34">
      <w:pPr>
        <w:rPr>
          <w:lang w:val="ru-RU"/>
        </w:rPr>
      </w:pPr>
      <w:r w:rsidRPr="00794712">
        <w:rPr>
          <w:lang w:val="ru-RU"/>
        </w:rPr>
        <w:tab/>
        <w:t>前君士坦丁堡宗主教聂斯托里（五世纪）与其追随者完全将耶稣基督的两种本性分隔开来——甚至到了承认祂有两个位格的地步，并教导说：</w:t>
      </w:r>
    </w:p>
    <w:p w14:paraId="5EA1D994" w14:textId="77777777" w:rsidR="00D85B34" w:rsidRPr="00794712" w:rsidRDefault="00D85B34" w:rsidP="00D85B34">
      <w:pPr>
        <w:rPr>
          <w:lang w:val="ru-RU"/>
        </w:rPr>
      </w:pPr>
      <w:r w:rsidRPr="00794712">
        <w:rPr>
          <w:lang w:val="ru-RU"/>
        </w:rPr>
        <w:tab/>
        <w:t>“道成肉身的上帝并未与人的本性结合，也并非由圣母玛利亚所生；而是由她生下了一位普通人——基督，上帝之道仅以一种外在的形式、 在道德层面上——祂如同住在圣殿中一般居住于此，正如祂先前居住在摩西和其他先知之中一样；因此，基督仅仅是‘神之承载者’（</w:t>
      </w:r>
      <w:r w:rsidRPr="00AA0891">
        <w:t>θεοφόρος</w:t>
      </w:r>
      <w:r w:rsidRPr="00794712">
        <w:rPr>
          <w:lang w:val="ru-RU"/>
        </w:rPr>
        <w:t>），而非‘神人’；同样，至圣童贞女也仅仅是‘基督之母’（</w:t>
      </w:r>
      <w:r w:rsidRPr="00AA0891">
        <w:t>χριστοτόκοζ</w:t>
      </w:r>
      <w:r w:rsidRPr="00794712">
        <w:rPr>
          <w:lang w:val="ru-RU"/>
        </w:rPr>
        <w:t>），而非‘圣母</w:t>
      </w:r>
      <w:r>
        <w:rPr>
          <w:lang w:val="ru-RU"/>
        </w:rPr>
        <w:t>’。”</w:t>
      </w:r>
      <w:r w:rsidR="00730E59">
        <w:rPr>
          <w:rStyle w:val="FootnoteReference"/>
          <w:lang w:val="ru-RU"/>
        </w:rPr>
        <w:footnoteReference w:id="89"/>
      </w:r>
      <w:r w:rsidRPr="00794712">
        <w:rPr>
          <w:lang w:val="ru-RU"/>
        </w:rPr>
        <w:t xml:space="preserve"> 这一谬论首先被亚历山大的圣西里尔揭露，随后在教宗塞莱斯廷主持下的罗马大公会议上遭到谴责，继而在同一位圣西里尔主持下的亚历山大大公会议上再次受到谴责，最终于431年在以弗所召开的第三次大公会议上被庄严地谴责。</w:t>
      </w:r>
      <w:r w:rsidR="00730E59">
        <w:rPr>
          <w:rStyle w:val="FootnoteReference"/>
          <w:lang w:val="ru-RU"/>
        </w:rPr>
        <w:footnoteReference w:id="90"/>
      </w:r>
    </w:p>
    <w:p w14:paraId="0224E7EC" w14:textId="77777777" w:rsidR="00D85B34" w:rsidRPr="00794712" w:rsidRDefault="00D85B34" w:rsidP="00D85B34">
      <w:pPr>
        <w:rPr>
          <w:lang w:val="ru-RU"/>
        </w:rPr>
      </w:pPr>
      <w:r w:rsidRPr="00794712">
        <w:rPr>
          <w:lang w:val="ru-RU"/>
        </w:rPr>
        <w:tab/>
        <w:t>埃夫提希乌斯，君士坦丁堡某修道院的大修道院长（五世纪）， 在反对聂斯托里乌斯异端时，却陷入了相反的极端，将基督的两种本性完全混为一谈，以致不仅承认祂只有一个位格，而且只有一种本性，因此该异端分子的追随者被称为“一性论者”（源自</w:t>
      </w:r>
      <w:r w:rsidRPr="00AA0891">
        <w:t>希腊语</w:t>
      </w:r>
      <w:r w:rsidRPr="0097554A">
        <w:rPr>
          <w:lang w:val="ru-RU"/>
        </w:rPr>
        <w:t>“</w:t>
      </w:r>
      <w:r w:rsidRPr="00AA0891">
        <w:t>μόνος</w:t>
      </w:r>
      <w:r w:rsidRPr="0097554A">
        <w:rPr>
          <w:lang w:val="ru-RU"/>
        </w:rPr>
        <w:t>”</w:t>
      </w:r>
      <w:r w:rsidRPr="00794712">
        <w:rPr>
          <w:lang w:val="ru-RU"/>
        </w:rPr>
        <w:t>（唯一）</w:t>
      </w:r>
      <w:r w:rsidRPr="00AA0891">
        <w:t>和</w:t>
      </w:r>
      <w:r w:rsidRPr="0097554A">
        <w:rPr>
          <w:lang w:val="ru-RU"/>
        </w:rPr>
        <w:t>“</w:t>
      </w:r>
      <w:r w:rsidRPr="00AA0891">
        <w:t>φύσις</w:t>
      </w:r>
      <w:r w:rsidRPr="0097554A">
        <w:rPr>
          <w:lang w:val="ru-RU"/>
        </w:rPr>
        <w:t>”</w:t>
      </w:r>
      <w:r w:rsidRPr="00794712">
        <w:rPr>
          <w:lang w:val="ru-RU"/>
        </w:rPr>
        <w:t xml:space="preserve">（本性））： </w:t>
      </w:r>
      <w:r w:rsidRPr="00794712">
        <w:rPr>
          <w:lang w:val="ru-RU"/>
        </w:rPr>
        <w:lastRenderedPageBreak/>
        <w:t>因为他教导说，在基督里，人性在位格联合中被神性所吞没，除了可见的形像之外，已丧失了人类本性的一切特征；因此，在基督里显现并活在世上的，实际上是道本身，只是以肉身的形像出现，而道的神性也经历了受难、被埋葬和复活。</w:t>
      </w:r>
      <w:r w:rsidR="00730E59">
        <w:rPr>
          <w:rStyle w:val="FootnoteReference"/>
          <w:lang w:val="ru-RU"/>
        </w:rPr>
        <w:footnoteReference w:id="91"/>
      </w:r>
      <w:r w:rsidRPr="00794712">
        <w:rPr>
          <w:lang w:val="ru-RU"/>
        </w:rPr>
        <w:t xml:space="preserve"> 这种谬论早在优提克之前就曾多次出现，</w:t>
      </w:r>
      <w:r w:rsidR="00730E59">
        <w:rPr>
          <w:rStyle w:val="FootnoteReference"/>
          <w:lang w:val="ru-RU"/>
        </w:rPr>
        <w:footnoteReference w:id="92"/>
      </w:r>
      <w:r w:rsidRPr="00794712">
        <w:rPr>
          <w:lang w:val="ru-RU"/>
        </w:rPr>
        <w:t xml:space="preserve"> ，只是被优提克加以强化和传播，他以特别的顽固和嚣张的态度捍卫这一学说，最终被第四次大公会议——迦克墩大公会议——庄严地谴责。</w:t>
      </w:r>
      <w:r w:rsidR="00730E59">
        <w:rPr>
          <w:rStyle w:val="FootnoteReference"/>
          <w:lang w:val="ru-RU"/>
        </w:rPr>
        <w:footnoteReference w:id="93"/>
      </w:r>
    </w:p>
    <w:p w14:paraId="5CE20473" w14:textId="77777777" w:rsidR="00D85B34" w:rsidRPr="00794712" w:rsidRDefault="00D85B34" w:rsidP="00D85B34">
      <w:pPr>
        <w:rPr>
          <w:lang w:val="ru-RU"/>
        </w:rPr>
      </w:pPr>
      <w:r w:rsidRPr="00794712">
        <w:rPr>
          <w:lang w:val="ru-RU"/>
        </w:rPr>
        <w:tab/>
        <w:t>单意论（μόνος——唯一；θέλημα——意志、意愿）异端约于630年出现，可被视为单性论的进一步发展，其本质在于：尽管耶稣基督具有两种本性，但只有一个意志、一种作为。 这一异端在教会中引发了巨大的动荡，并使多位宗</w:t>
      </w:r>
      <w:r>
        <w:rPr>
          <w:lang w:val="ru-RU"/>
        </w:rPr>
        <w:t>主教——</w:t>
      </w:r>
      <w:r w:rsidRPr="00794712">
        <w:rPr>
          <w:lang w:val="ru-RU"/>
        </w:rPr>
        <w:t>君士坦丁堡的塞尔吉乌斯和皮尔、罗马的奥诺里乌斯、亚历山大的基拉以及许多其他人——陷入其中，最终于680年在第六次大公会议（即</w:t>
      </w:r>
      <w:r w:rsidRPr="00AA0891">
        <w:t>第三次君</w:t>
      </w:r>
      <w:r w:rsidRPr="00794712">
        <w:rPr>
          <w:lang w:val="ru-RU"/>
        </w:rPr>
        <w:t>士坦丁堡大公会议）上被庄严谴责。</w:t>
      </w:r>
      <w:r w:rsidR="00730E59">
        <w:rPr>
          <w:rStyle w:val="FootnoteReference"/>
          <w:lang w:val="ru-RU"/>
        </w:rPr>
        <w:footnoteReference w:id="94"/>
      </w:r>
    </w:p>
    <w:p w14:paraId="65D1A710" w14:textId="77777777" w:rsidR="00D85B34" w:rsidRPr="00794712" w:rsidRDefault="00D85B34" w:rsidP="00D85B34">
      <w:pPr>
        <w:rPr>
          <w:lang w:val="ru-RU"/>
        </w:rPr>
      </w:pPr>
      <w:r w:rsidRPr="00794712">
        <w:rPr>
          <w:lang w:val="ru-RU"/>
        </w:rPr>
        <w:tab/>
        <w:t>最后，阿多普提安派的伪教义源于聂斯托利派的教义，于八世纪末逐渐变质，该派主张：耶稣基督以其人性而言，并非天父的亲生之子，而是蒙恩领养的（</w:t>
      </w:r>
      <w:r w:rsidRPr="00AA0891">
        <w:t>adoptivus</w:t>
      </w:r>
      <w:r w:rsidRPr="00794712">
        <w:rPr>
          <w:lang w:val="ru-RU"/>
        </w:rPr>
        <w:t>）， 这显然暗示了耶稣基督的两个本性被分割为两个位格。 这一异端的始作俑者是两位西班牙</w:t>
      </w:r>
      <w:r>
        <w:rPr>
          <w:lang w:val="ru-RU"/>
        </w:rPr>
        <w:t>主教</w:t>
      </w:r>
      <w:r w:rsidRPr="00794712">
        <w:rPr>
          <w:lang w:val="ru-RU"/>
        </w:rPr>
        <w:t>——费利克斯和埃利潘德（约公元783年）；但该学说很快从西班牙蔓延至整个西方教会，并被高卢、德国和意大利的许多地方公会议所谴责。</w:t>
      </w:r>
      <w:r w:rsidR="00730E59">
        <w:rPr>
          <w:rStyle w:val="FootnoteReference"/>
          <w:lang w:val="ru-RU"/>
        </w:rPr>
        <w:footnoteReference w:id="95"/>
      </w:r>
    </w:p>
    <w:p w14:paraId="37030840" w14:textId="77777777" w:rsidR="00D85B34" w:rsidRDefault="00D85B34" w:rsidP="00D85B34">
      <w:pPr>
        <w:rPr>
          <w:lang w:val="ru-RU"/>
        </w:rPr>
      </w:pPr>
      <w:r w:rsidRPr="00794712">
        <w:rPr>
          <w:lang w:val="ru-RU"/>
        </w:rPr>
        <w:tab/>
        <w:t xml:space="preserve">在所有这些关于主耶稣位格的众多异端之中，正统教会自使徒时代起便始终捍卫并阐明同一教义，并在第四次大公会议上以如下措辞特别有力地表达了这一教义： </w:t>
      </w:r>
    </w:p>
    <w:p w14:paraId="0A604742" w14:textId="77777777" w:rsidR="00D85B34" w:rsidRDefault="00D85B34" w:rsidP="00D85B34">
      <w:pPr>
        <w:rPr>
          <w:lang w:val="ru-RU"/>
        </w:rPr>
      </w:pPr>
    </w:p>
    <w:p w14:paraId="2A9A77CF" w14:textId="77777777" w:rsidR="00D85B34" w:rsidRDefault="00D85B34" w:rsidP="00D85B34">
      <w:pPr>
        <w:ind w:left="708"/>
        <w:rPr>
          <w:lang w:val="ru-RU"/>
        </w:rPr>
      </w:pPr>
      <w:r w:rsidRPr="0032266B">
        <w:rPr>
          <w:lang w:val="ru-RU"/>
        </w:rPr>
        <w:t>“追随圣父们的教导，我们全体一致地教导并宣认同一位主耶稣基督的圣子，祂在神性上完全，在人性上完全， 祂是真正的神，也是真正的人，同具理智的灵魂与肉体，在神性上与父同质，在人性上与我们同质，除罪以外在一切事上与我们相似，在神性上于创世之前由父所生，在人性上则在末世为我们的缘故，并为我们的救赎，由童贞圣母玛利亚所生； 同一位基督，即独生子、主，在两种本性中不可混淆、不变、不可分割、不可分离地被认知——以致这种结合丝毫未破坏两种本性的区别，反而更充分地保留了每种本性的特性，并结合为一个位格和一个位格，——并非被分割或分开为两个位格，而是同一位圣子、独生子、道成肉身的上帝、主耶稣基督，正如古时先知们所教导的，正如主耶稣基督亲自教导我们的，以及正如教父们的信经所传给我们的</w:t>
      </w:r>
      <w:r>
        <w:rPr>
          <w:lang w:val="ru-RU"/>
        </w:rPr>
        <w:t>。”</w:t>
      </w:r>
      <w:r w:rsidR="009A19ED">
        <w:rPr>
          <w:rStyle w:val="FootnoteReference"/>
          <w:lang w:val="ru-RU"/>
        </w:rPr>
        <w:footnoteReference w:id="96"/>
      </w:r>
    </w:p>
    <w:p w14:paraId="02F308F5" w14:textId="77777777" w:rsidR="00D85B34" w:rsidRPr="00794712" w:rsidRDefault="00D85B34" w:rsidP="00D85B34">
      <w:pPr>
        <w:rPr>
          <w:lang w:val="ru-RU"/>
        </w:rPr>
      </w:pPr>
    </w:p>
    <w:p w14:paraId="40AB60CB" w14:textId="77777777" w:rsidR="00D85B34" w:rsidRDefault="00D85B34" w:rsidP="00D85B34">
      <w:pPr>
        <w:rPr>
          <w:lang w:val="ru-RU"/>
        </w:rPr>
      </w:pPr>
      <w:r w:rsidRPr="00794712">
        <w:rPr>
          <w:lang w:val="ru-RU"/>
        </w:rPr>
        <w:tab/>
        <w:t xml:space="preserve">由此可见，东正教会关于主耶稣位格的所有教义由两个主要论点构成： </w:t>
      </w:r>
    </w:p>
    <w:p w14:paraId="09AD11A9" w14:textId="77777777" w:rsidR="00D85B34" w:rsidRDefault="00D85B34" w:rsidP="00D85B34">
      <w:pPr>
        <w:ind w:firstLine="708"/>
        <w:rPr>
          <w:lang w:val="ru-RU"/>
        </w:rPr>
      </w:pPr>
      <w:r>
        <w:t>I</w:t>
      </w:r>
      <w:r w:rsidRPr="00794712">
        <w:rPr>
          <w:lang w:val="ru-RU"/>
        </w:rPr>
        <w:t xml:space="preserve">）基督耶稣内有两个本性，即神性与人性；以及 </w:t>
      </w:r>
    </w:p>
    <w:p w14:paraId="4F8B3691" w14:textId="77777777" w:rsidR="00D85B34" w:rsidRPr="00794712" w:rsidRDefault="00D85B34" w:rsidP="00D85B34">
      <w:pPr>
        <w:ind w:firstLine="708"/>
        <w:rPr>
          <w:lang w:val="ru-RU"/>
        </w:rPr>
      </w:pPr>
      <w:r>
        <w:t>II</w:t>
      </w:r>
      <w:r w:rsidRPr="00794712">
        <w:rPr>
          <w:lang w:val="ru-RU"/>
        </w:rPr>
        <w:t>）这两种本性在他里面构成一个位格。</w:t>
      </w:r>
    </w:p>
    <w:p w14:paraId="2AB93F08" w14:textId="77777777" w:rsidR="00D85B34" w:rsidRDefault="00D85B34" w:rsidP="00D85B34">
      <w:pPr>
        <w:rPr>
          <w:lang w:val="ru-RU"/>
        </w:rPr>
      </w:pPr>
      <w:r w:rsidRPr="00794712">
        <w:rPr>
          <w:lang w:val="ru-RU"/>
        </w:rPr>
        <w:tab/>
      </w:r>
    </w:p>
    <w:p w14:paraId="1FB3CE08" w14:textId="77777777" w:rsidR="00D85B34" w:rsidRPr="00794712" w:rsidRDefault="00D85B34" w:rsidP="007B240B">
      <w:pPr>
        <w:pStyle w:val="Heading4"/>
        <w:rPr>
          <w:lang w:val="ru-RU"/>
        </w:rPr>
      </w:pPr>
      <w:bookmarkStart w:id="108" w:name="_Toc133155562"/>
      <w:bookmarkStart w:id="109" w:name="_Toc180664575"/>
      <w:bookmarkStart w:id="110" w:name="_Toc180679196"/>
      <w:bookmarkStart w:id="111" w:name="_Toc180679253"/>
      <w:bookmarkStart w:id="112" w:name="_Toc180679776"/>
      <w:bookmarkStart w:id="113" w:name="_Toc238453409"/>
      <w:bookmarkStart w:id="114" w:name="_Toc238453658"/>
      <w:bookmarkStart w:id="115" w:name="_Toc238466395"/>
      <w:bookmarkStart w:id="116" w:name="_Toc238576474"/>
      <w:r w:rsidRPr="00AA0891">
        <w:t>I</w:t>
      </w:r>
      <w:r w:rsidRPr="00794712">
        <w:rPr>
          <w:lang w:val="ru-RU"/>
        </w:rPr>
        <w:t>. 关于耶稣基督的两种本性</w:t>
      </w:r>
      <w:bookmarkEnd w:id="108"/>
      <w:bookmarkEnd w:id="109"/>
      <w:bookmarkEnd w:id="110"/>
      <w:bookmarkEnd w:id="111"/>
      <w:bookmarkEnd w:id="112"/>
      <w:bookmarkEnd w:id="113"/>
      <w:bookmarkEnd w:id="114"/>
      <w:bookmarkEnd w:id="115"/>
      <w:bookmarkEnd w:id="116"/>
    </w:p>
    <w:p w14:paraId="4FF3BE41" w14:textId="77777777" w:rsidR="00D85B34" w:rsidRDefault="00D85B34" w:rsidP="00D85B34">
      <w:pPr>
        <w:rPr>
          <w:lang w:val="ru-RU"/>
        </w:rPr>
      </w:pPr>
    </w:p>
    <w:p w14:paraId="54D6AA0A" w14:textId="77777777" w:rsidR="00D85B34" w:rsidRPr="00794712" w:rsidRDefault="00D85B34" w:rsidP="007B240B">
      <w:pPr>
        <w:pStyle w:val="Heading5"/>
        <w:rPr>
          <w:lang w:val="ru-RU"/>
        </w:rPr>
      </w:pPr>
      <w:bookmarkStart w:id="117" w:name="_Toc133155563"/>
      <w:bookmarkStart w:id="118" w:name="_Toc180664576"/>
      <w:bookmarkStart w:id="119" w:name="_Toc180679197"/>
      <w:bookmarkStart w:id="120" w:name="_Toc180679254"/>
      <w:bookmarkStart w:id="121" w:name="_Toc180679777"/>
      <w:bookmarkStart w:id="122" w:name="_Toc238453659"/>
      <w:bookmarkStart w:id="123" w:name="_Toc238576475"/>
      <w:r w:rsidRPr="00794712">
        <w:rPr>
          <w:lang w:val="ru-RU"/>
        </w:rPr>
        <w:t>§133. 主耶稣具有神性，正是神的儿子</w:t>
      </w:r>
      <w:bookmarkEnd w:id="117"/>
      <w:bookmarkEnd w:id="118"/>
      <w:bookmarkEnd w:id="119"/>
      <w:bookmarkEnd w:id="120"/>
      <w:bookmarkEnd w:id="121"/>
      <w:bookmarkEnd w:id="122"/>
      <w:bookmarkEnd w:id="123"/>
    </w:p>
    <w:p w14:paraId="4A462716" w14:textId="77777777" w:rsidR="00D85B34" w:rsidRDefault="00D85B34" w:rsidP="00D85B34">
      <w:pPr>
        <w:ind w:firstLine="708"/>
        <w:rPr>
          <w:lang w:val="ru-RU"/>
        </w:rPr>
      </w:pPr>
      <w:r w:rsidRPr="00794712">
        <w:rPr>
          <w:lang w:val="ru-RU"/>
        </w:rPr>
        <w:t xml:space="preserve">我们从以下经文中确信这一真理： </w:t>
      </w:r>
    </w:p>
    <w:p w14:paraId="00564E96" w14:textId="77777777" w:rsidR="00D85B34" w:rsidRPr="00422E01" w:rsidRDefault="00D85B34" w:rsidP="00D85B34">
      <w:pPr>
        <w:pStyle w:val="ListParagraph"/>
        <w:numPr>
          <w:ilvl w:val="0"/>
          <w:numId w:val="33"/>
        </w:numPr>
        <w:rPr>
          <w:lang w:val="ru-RU"/>
        </w:rPr>
      </w:pPr>
      <w:r w:rsidRPr="00422E01">
        <w:rPr>
          <w:lang w:val="ru-RU"/>
        </w:rPr>
        <w:t xml:space="preserve">旧约中关于弥赛亚的经文， </w:t>
      </w:r>
    </w:p>
    <w:p w14:paraId="0A1190EF" w14:textId="77777777" w:rsidR="00D85B34" w:rsidRDefault="00D85B34" w:rsidP="00D85B34">
      <w:pPr>
        <w:pStyle w:val="ListParagraph"/>
        <w:numPr>
          <w:ilvl w:val="0"/>
          <w:numId w:val="33"/>
        </w:numPr>
        <w:rPr>
          <w:lang w:val="ru-RU"/>
        </w:rPr>
      </w:pPr>
      <w:r w:rsidRPr="00422E01">
        <w:rPr>
          <w:lang w:val="ru-RU"/>
        </w:rPr>
        <w:t xml:space="preserve">基督救主关于祂自己的教导， </w:t>
      </w:r>
    </w:p>
    <w:p w14:paraId="5EF1DC64" w14:textId="77777777" w:rsidR="00D85B34" w:rsidRDefault="00D85B34" w:rsidP="00D85B34">
      <w:pPr>
        <w:pStyle w:val="ListParagraph"/>
        <w:numPr>
          <w:ilvl w:val="0"/>
          <w:numId w:val="33"/>
        </w:numPr>
        <w:rPr>
          <w:lang w:val="ru-RU"/>
        </w:rPr>
      </w:pPr>
      <w:r w:rsidRPr="00422E01">
        <w:rPr>
          <w:lang w:val="ru-RU"/>
        </w:rPr>
        <w:t xml:space="preserve">从圣使徒们关于祂的教导， </w:t>
      </w:r>
    </w:p>
    <w:p w14:paraId="7FA0E00D" w14:textId="77777777" w:rsidR="00D85B34" w:rsidRPr="00422E01" w:rsidRDefault="00D85B34" w:rsidP="00D85B34">
      <w:pPr>
        <w:pStyle w:val="ListParagraph"/>
        <w:numPr>
          <w:ilvl w:val="0"/>
          <w:numId w:val="33"/>
        </w:numPr>
        <w:rPr>
          <w:lang w:val="ru-RU"/>
        </w:rPr>
      </w:pPr>
      <w:r w:rsidRPr="00422E01">
        <w:rPr>
          <w:lang w:val="ru-RU"/>
        </w:rPr>
        <w:t>使徒时代圣徒及整个教会的教导与信仰。</w:t>
      </w:r>
    </w:p>
    <w:p w14:paraId="59C04DAE" w14:textId="77777777" w:rsidR="00D85B34" w:rsidRDefault="00D85B34" w:rsidP="00D85B34">
      <w:pPr>
        <w:rPr>
          <w:lang w:val="ru-RU"/>
        </w:rPr>
      </w:pPr>
    </w:p>
    <w:p w14:paraId="4170E8E6" w14:textId="77777777" w:rsidR="00D85B34" w:rsidRPr="00794712" w:rsidRDefault="00D85B34" w:rsidP="00D85B34">
      <w:pPr>
        <w:pStyle w:val="Heading5"/>
        <w:rPr>
          <w:lang w:val="ru-RU"/>
        </w:rPr>
      </w:pPr>
      <w:bookmarkStart w:id="124" w:name="_Toc238453660"/>
      <w:bookmarkStart w:id="125" w:name="_Toc238576476"/>
      <w:r w:rsidRPr="00AA0891">
        <w:t>一</w:t>
      </w:r>
      <w:r w:rsidRPr="00794712">
        <w:rPr>
          <w:lang w:val="ru-RU"/>
        </w:rPr>
        <w:t>、在旧约中，弥赛亚被称为：</w:t>
      </w:r>
      <w:bookmarkEnd w:id="124"/>
      <w:bookmarkEnd w:id="125"/>
    </w:p>
    <w:p w14:paraId="23A38D7B" w14:textId="77777777" w:rsidR="00D85B34" w:rsidRPr="00794712" w:rsidRDefault="00D85B34" w:rsidP="00D85B34">
      <w:pPr>
        <w:rPr>
          <w:lang w:val="ru-RU"/>
        </w:rPr>
      </w:pPr>
      <w:r w:rsidRPr="00EE6DB1">
        <w:rPr>
          <w:b/>
          <w:bCs/>
          <w:lang w:val="ru-RU"/>
        </w:rPr>
        <w:t>1.</w:t>
      </w:r>
      <w:r w:rsidRPr="00794712">
        <w:rPr>
          <w:lang w:val="ru-RU"/>
        </w:rPr>
        <w:t xml:space="preserve"> 自永恒以来由父的本性所生的神的儿子。</w:t>
      </w:r>
      <w:r w:rsidR="00224D5E">
        <w:rPr>
          <w:lang w:val="ru-RU"/>
        </w:rPr>
        <w:t>（《诗篇》2）</w:t>
      </w:r>
      <w:r w:rsidRPr="00794712">
        <w:rPr>
          <w:lang w:val="ru-RU"/>
        </w:rPr>
        <w:t>，所有圣使徒 [(《使徒行传》4</w:t>
      </w:r>
      <w:r>
        <w:rPr>
          <w:lang w:val="ru-RU"/>
        </w:rPr>
        <w:t>:</w:t>
      </w:r>
      <w:r w:rsidRPr="00794712">
        <w:rPr>
          <w:lang w:val="ru-RU"/>
        </w:rPr>
        <w:t>24–28</w:t>
      </w:r>
      <w:r w:rsidR="00EE6DB1" w:rsidRPr="00EE6DB1">
        <w:rPr>
          <w:lang w:val="ru-RU"/>
        </w:rPr>
        <w:t>)</w:t>
      </w:r>
      <w:r w:rsidRPr="00794712">
        <w:rPr>
          <w:lang w:val="ru-RU"/>
        </w:rPr>
        <w:t>；</w:t>
      </w:r>
      <w:r w:rsidR="00EE6DB1" w:rsidRPr="00EE6DB1">
        <w:rPr>
          <w:rFonts w:cs="Cambria Math"/>
          <w:lang w:val="ru-RU"/>
        </w:rPr>
        <w:t>(</w:t>
      </w:r>
      <w:r w:rsidR="00EE6DB1" w:rsidRPr="00794712">
        <w:rPr>
          <w:lang w:val="ru-RU"/>
        </w:rPr>
        <w:t>《使徒行传》</w:t>
      </w:r>
      <w:r w:rsidRPr="00794712">
        <w:rPr>
          <w:lang w:val="ru-RU"/>
        </w:rPr>
        <w:t>13</w:t>
      </w:r>
      <w:r w:rsidR="00EE6DB1" w:rsidRPr="00EE6DB1">
        <w:rPr>
          <w:lang w:val="ru-RU"/>
        </w:rPr>
        <w:t>)；</w:t>
      </w:r>
      <w:r w:rsidR="00EE6DB1" w:rsidRPr="00EE6DB1">
        <w:rPr>
          <w:rFonts w:cs="Cambria Math"/>
          <w:lang w:val="ru-RU"/>
        </w:rPr>
        <w:t>(</w:t>
      </w:r>
      <w:r w:rsidR="00EE6DB1" w:rsidRPr="00794712">
        <w:rPr>
          <w:lang w:val="ru-RU"/>
        </w:rPr>
        <w:t>《使徒行传》</w:t>
      </w:r>
      <w:r w:rsidRPr="00794712">
        <w:rPr>
          <w:lang w:val="ru-RU"/>
        </w:rPr>
        <w:t>32-34</w:t>
      </w:r>
      <w:r w:rsidR="00EE6DB1" w:rsidRPr="00EE6DB1">
        <w:rPr>
          <w:lang w:val="ru-RU"/>
        </w:rPr>
        <w:t>)</w:t>
      </w:r>
      <w:r w:rsidRPr="00794712">
        <w:rPr>
          <w:lang w:val="ru-RU"/>
        </w:rPr>
        <w:t xml:space="preserve">； </w:t>
      </w:r>
      <w:r w:rsidR="00EE6DB1" w:rsidRPr="00EE6DB1">
        <w:rPr>
          <w:lang w:val="ru-RU"/>
        </w:rPr>
        <w:t>（</w:t>
      </w:r>
      <w:r w:rsidRPr="00794712">
        <w:rPr>
          <w:lang w:val="ru-RU"/>
        </w:rPr>
        <w:t>希伯来书 1</w:t>
      </w:r>
      <w:r>
        <w:rPr>
          <w:lang w:val="ru-RU"/>
        </w:rPr>
        <w:t>:</w:t>
      </w:r>
      <w:r w:rsidRPr="00794712">
        <w:rPr>
          <w:lang w:val="ru-RU"/>
        </w:rPr>
        <w:t>5</w:t>
      </w:r>
      <w:r w:rsidR="00EE6DB1" w:rsidRPr="00EE6DB1">
        <w:rPr>
          <w:lang w:val="ru-RU"/>
        </w:rPr>
        <w:t>）</w:t>
      </w:r>
      <w:r w:rsidRPr="00794712">
        <w:rPr>
          <w:lang w:val="ru-RU"/>
        </w:rPr>
        <w:t>；</w:t>
      </w:r>
      <w:r w:rsidR="00EE6DB1" w:rsidRPr="00EE6DB1">
        <w:rPr>
          <w:rFonts w:cs="Cambria Math"/>
          <w:lang w:val="ru-RU"/>
        </w:rPr>
        <w:t>（</w:t>
      </w:r>
      <w:r w:rsidR="00EE6DB1" w:rsidRPr="00794712">
        <w:rPr>
          <w:lang w:val="ru-RU"/>
        </w:rPr>
        <w:t>希伯来书</w:t>
      </w:r>
      <w:r w:rsidRPr="00794712">
        <w:rPr>
          <w:lang w:val="ru-RU"/>
        </w:rPr>
        <w:t xml:space="preserve"> 5</w:t>
      </w:r>
      <w:r>
        <w:rPr>
          <w:lang w:val="ru-RU"/>
        </w:rPr>
        <w:t>:</w:t>
      </w:r>
      <w:r w:rsidRPr="00794712">
        <w:rPr>
          <w:lang w:val="ru-RU"/>
        </w:rPr>
        <w:t>5）</w:t>
      </w:r>
      <w:r w:rsidR="00EE6DB1" w:rsidRPr="00EE6DB1">
        <w:rPr>
          <w:lang w:val="ru-RU"/>
        </w:rPr>
        <w:t>]</w:t>
      </w:r>
      <w:r w:rsidRPr="00794712">
        <w:rPr>
          <w:lang w:val="ru-RU"/>
        </w:rPr>
        <w:t>以及古代犹太人</w:t>
      </w:r>
      <w:r w:rsidR="004E44E5">
        <w:rPr>
          <w:rStyle w:val="FootnoteReference"/>
          <w:lang w:val="ru-RU"/>
        </w:rPr>
        <w:footnoteReference w:id="97"/>
      </w:r>
      <w:r w:rsidRPr="00794712">
        <w:rPr>
          <w:lang w:val="ru-RU"/>
        </w:rPr>
        <w:t xml:space="preserve"> 都归于弥赛亚，这位弥赛亚为自己作见证说：</w:t>
      </w:r>
      <w:r w:rsidRPr="008953F4">
        <w:rPr>
          <w:i/>
          <w:iCs/>
          <w:lang w:val="ru-RU"/>
        </w:rPr>
        <w:t>“主对我说：‘你是我的儿子； 我今日生了你”</w:t>
      </w:r>
      <w:r w:rsidRPr="00794712">
        <w:rPr>
          <w:lang w:val="ru-RU"/>
        </w:rPr>
        <w:t>（</w:t>
      </w:r>
      <w:r>
        <w:rPr>
          <w:lang w:val="ru-RU"/>
        </w:rPr>
        <w:t>诗篇 2:7</w:t>
      </w:r>
      <w:r w:rsidRPr="00794712">
        <w:rPr>
          <w:lang w:val="ru-RU"/>
        </w:rPr>
        <w:t>），即永恒地生了你或正在生你。在</w:t>
      </w:r>
      <w:r w:rsidR="00224D5E">
        <w:rPr>
          <w:lang w:val="ru-RU"/>
        </w:rPr>
        <w:t>（诗篇 109）</w:t>
      </w:r>
      <w:r w:rsidRPr="00794712">
        <w:rPr>
          <w:lang w:val="ru-RU"/>
        </w:rPr>
        <w:t xml:space="preserve">中，该经文也被使徒们 </w:t>
      </w:r>
      <w:r w:rsidR="00EE6DB1" w:rsidRPr="00EE6DB1">
        <w:rPr>
          <w:lang w:val="ru-RU"/>
        </w:rPr>
        <w:t>[</w:t>
      </w:r>
      <w:r w:rsidRPr="00794712">
        <w:rPr>
          <w:lang w:val="ru-RU"/>
        </w:rPr>
        <w:t>(使徒行传 2</w:t>
      </w:r>
      <w:r>
        <w:rPr>
          <w:rFonts w:cs="Cambria Math"/>
          <w:lang w:val="ru-RU"/>
        </w:rPr>
        <w:t>:</w:t>
      </w:r>
      <w:r w:rsidRPr="00794712">
        <w:rPr>
          <w:lang w:val="ru-RU"/>
        </w:rPr>
        <w:t>34-36</w:t>
      </w:r>
      <w:r w:rsidR="00EE6DB1" w:rsidRPr="00EE6DB1">
        <w:rPr>
          <w:lang w:val="ru-RU"/>
        </w:rPr>
        <w:t>)</w:t>
      </w:r>
      <w:r w:rsidRPr="00794712">
        <w:rPr>
          <w:lang w:val="ru-RU"/>
        </w:rPr>
        <w:t xml:space="preserve">; </w:t>
      </w:r>
      <w:r w:rsidR="00EE6DB1" w:rsidRPr="00EE6DB1">
        <w:rPr>
          <w:lang w:val="ru-RU"/>
        </w:rPr>
        <w:t>（</w:t>
      </w:r>
      <w:r w:rsidRPr="00794712">
        <w:rPr>
          <w:lang w:val="ru-RU"/>
        </w:rPr>
        <w:t>希伯来书 1</w:t>
      </w:r>
      <w:r>
        <w:rPr>
          <w:lang w:val="ru-RU"/>
        </w:rPr>
        <w:t>:</w:t>
      </w:r>
      <w:r w:rsidRPr="00794712">
        <w:rPr>
          <w:lang w:val="ru-RU"/>
        </w:rPr>
        <w:t>13</w:t>
      </w:r>
      <w:r w:rsidR="00EE6DB1" w:rsidRPr="00EE6DB1">
        <w:rPr>
          <w:lang w:val="ru-RU"/>
        </w:rPr>
        <w:t>）</w:t>
      </w:r>
      <w:r w:rsidRPr="00794712">
        <w:rPr>
          <w:lang w:val="ru-RU"/>
        </w:rPr>
        <w:t>；</w:t>
      </w:r>
      <w:r w:rsidR="00EE6DB1" w:rsidRPr="00EE6DB1">
        <w:rPr>
          <w:rFonts w:cs="Cambria Math"/>
          <w:lang w:val="ru-RU"/>
        </w:rPr>
        <w:t>（</w:t>
      </w:r>
      <w:r w:rsidR="00224D5E">
        <w:rPr>
          <w:rFonts w:cs="Cambria Math"/>
          <w:lang w:val="ru-RU"/>
        </w:rPr>
        <w:t>希伯来书</w:t>
      </w:r>
      <w:r w:rsidRPr="00794712">
        <w:rPr>
          <w:lang w:val="ru-RU"/>
        </w:rPr>
        <w:t xml:space="preserve"> 7</w:t>
      </w:r>
      <w:r>
        <w:rPr>
          <w:lang w:val="ru-RU"/>
        </w:rPr>
        <w:t>:</w:t>
      </w:r>
      <w:r w:rsidRPr="00794712">
        <w:rPr>
          <w:lang w:val="ru-RU"/>
        </w:rPr>
        <w:t>17-25）</w:t>
      </w:r>
      <w:r w:rsidR="00EE6DB1" w:rsidRPr="00EE6DB1">
        <w:rPr>
          <w:lang w:val="ru-RU"/>
        </w:rPr>
        <w:t>]</w:t>
      </w:r>
      <w:r w:rsidRPr="00794712">
        <w:rPr>
          <w:lang w:val="ru-RU"/>
        </w:rPr>
        <w:t>以及古代犹太人所指的弥赛亚，</w:t>
      </w:r>
      <w:r w:rsidR="004E44E5">
        <w:rPr>
          <w:rStyle w:val="FootnoteReference"/>
          <w:lang w:val="ru-RU"/>
        </w:rPr>
        <w:footnoteReference w:id="98"/>
      </w:r>
      <w:r w:rsidRPr="00794712">
        <w:rPr>
          <w:lang w:val="ru-RU"/>
        </w:rPr>
        <w:t xml:space="preserve"> ，上帝亲自对他说：</w:t>
      </w:r>
      <w:r w:rsidRPr="007920E8">
        <w:rPr>
          <w:i/>
          <w:iCs/>
          <w:lang w:val="ru-RU"/>
        </w:rPr>
        <w:t>从母腹中</w:t>
      </w:r>
      <w:r w:rsidRPr="00794712">
        <w:rPr>
          <w:lang w:val="ru-RU"/>
        </w:rPr>
        <w:t>，即从我的本性中，</w:t>
      </w:r>
      <w:r w:rsidRPr="00A750A8">
        <w:rPr>
          <w:i/>
          <w:iCs/>
          <w:lang w:val="ru-RU"/>
        </w:rPr>
        <w:t>在黎明之前</w:t>
      </w:r>
      <w:r w:rsidRPr="00794712">
        <w:rPr>
          <w:lang w:val="ru-RU"/>
        </w:rPr>
        <w:t>，即在一切时间之前，</w:t>
      </w:r>
      <w:r w:rsidRPr="00A750A8">
        <w:rPr>
          <w:i/>
          <w:iCs/>
          <w:lang w:val="ru-RU"/>
        </w:rPr>
        <w:t>我就生了你</w:t>
      </w:r>
      <w:r w:rsidRPr="00794712">
        <w:rPr>
          <w:lang w:val="ru-RU"/>
        </w:rPr>
        <w:t>（</w:t>
      </w:r>
      <w:r>
        <w:rPr>
          <w:lang w:val="ru-RU"/>
        </w:rPr>
        <w:t>诗篇 109:3</w:t>
      </w:r>
      <w:r w:rsidRPr="00794712">
        <w:rPr>
          <w:lang w:val="ru-RU"/>
        </w:rPr>
        <w:t>）。 先知弥迦在预言弥赛亚将出于伯利恒时，还补充说祂还有另一种——永恒的——起源：</w:t>
      </w:r>
      <w:r w:rsidRPr="005223C1">
        <w:rPr>
          <w:i/>
          <w:iCs/>
          <w:lang w:val="ru-RU"/>
        </w:rPr>
        <w:t>“祂的起源自太初，自亘古之日”</w:t>
      </w:r>
      <w:r w:rsidRPr="00794712">
        <w:rPr>
          <w:lang w:val="ru-RU"/>
        </w:rPr>
        <w:t xml:space="preserve"> （弥5</w:t>
      </w:r>
      <w:r w:rsidRPr="005223C1">
        <w:rPr>
          <w:lang w:val="ru-RU"/>
        </w:rPr>
        <w:t>:</w:t>
      </w:r>
      <w:r w:rsidRPr="00794712">
        <w:rPr>
          <w:lang w:val="ru-RU"/>
        </w:rPr>
        <w:t>2）——而这一预言也被整个犹太教会视为指向弥赛亚的预言</w:t>
      </w:r>
      <w:r w:rsidR="00EE6DB1" w:rsidRPr="00BD6C1B">
        <w:rPr>
          <w:lang w:val="ru-RU"/>
        </w:rPr>
        <w:t>[</w:t>
      </w:r>
      <w:r w:rsidR="00224D5E">
        <w:rPr>
          <w:lang w:val="ru-RU"/>
        </w:rPr>
        <w:t>（</w:t>
      </w:r>
      <w:r w:rsidRPr="00794712">
        <w:rPr>
          <w:lang w:val="ru-RU"/>
        </w:rPr>
        <w:t>太2</w:t>
      </w:r>
      <w:r w:rsidRPr="004620A8">
        <w:rPr>
          <w:lang w:val="ru-RU"/>
        </w:rPr>
        <w:t>:</w:t>
      </w:r>
      <w:r w:rsidRPr="00794712">
        <w:rPr>
          <w:lang w:val="ru-RU"/>
        </w:rPr>
        <w:t>4-6</w:t>
      </w:r>
      <w:r w:rsidR="00EE6DB1" w:rsidRPr="00BD6C1B">
        <w:rPr>
          <w:lang w:val="ru-RU"/>
        </w:rPr>
        <w:t>）</w:t>
      </w:r>
      <w:r w:rsidRPr="00794712">
        <w:rPr>
          <w:lang w:val="ru-RU"/>
        </w:rPr>
        <w:t>；</w:t>
      </w:r>
      <w:r w:rsidR="00EE6DB1" w:rsidRPr="00BD6C1B">
        <w:rPr>
          <w:lang w:val="ru-RU"/>
        </w:rPr>
        <w:t>（</w:t>
      </w:r>
      <w:r w:rsidRPr="00794712">
        <w:rPr>
          <w:lang w:val="ru-RU"/>
        </w:rPr>
        <w:t>约7</w:t>
      </w:r>
      <w:r w:rsidRPr="004620A8">
        <w:rPr>
          <w:lang w:val="ru-RU"/>
        </w:rPr>
        <w:t>:</w:t>
      </w:r>
      <w:r w:rsidRPr="00794712">
        <w:rPr>
          <w:lang w:val="ru-RU"/>
        </w:rPr>
        <w:t>42）</w:t>
      </w:r>
      <w:r w:rsidR="00EE6DB1" w:rsidRPr="00BD6C1B">
        <w:rPr>
          <w:lang w:val="ru-RU"/>
        </w:rPr>
        <w:t>]</w:t>
      </w:r>
      <w:r w:rsidRPr="00794712">
        <w:rPr>
          <w:lang w:val="ru-RU"/>
        </w:rPr>
        <w:t>。</w:t>
      </w:r>
    </w:p>
    <w:p w14:paraId="54777DED" w14:textId="77777777" w:rsidR="00D85B34" w:rsidRDefault="00D85B34" w:rsidP="00D85B34">
      <w:pPr>
        <w:rPr>
          <w:lang w:val="ru-RU"/>
        </w:rPr>
      </w:pPr>
    </w:p>
    <w:p w14:paraId="0726C990" w14:textId="77777777" w:rsidR="00D85B34" w:rsidRPr="00794712" w:rsidRDefault="00D85B34" w:rsidP="00D85B34">
      <w:pPr>
        <w:rPr>
          <w:lang w:val="ru-RU"/>
        </w:rPr>
      </w:pPr>
      <w:r w:rsidRPr="00EE6DB1">
        <w:rPr>
          <w:b/>
          <w:bCs/>
          <w:lang w:val="ru-RU"/>
        </w:rPr>
        <w:t>2.</w:t>
      </w:r>
      <w:r w:rsidRPr="00794712">
        <w:rPr>
          <w:lang w:val="ru-RU"/>
        </w:rPr>
        <w:t xml:space="preserve"> 主、上帝（阿多奈、耶洛希姆），甚至耶和华——这些专属于独一真神的名号。例如：</w:t>
      </w:r>
      <w:r w:rsidR="00A95A76" w:rsidRPr="00A95A76">
        <w:rPr>
          <w:b/>
          <w:lang w:val="ru-RU"/>
        </w:rPr>
        <w:t>a）</w:t>
      </w:r>
      <w:r w:rsidR="00224D5E">
        <w:rPr>
          <w:lang w:val="ru-RU"/>
        </w:rPr>
        <w:t>《诗篇》第44篇中的</w:t>
      </w:r>
      <w:r w:rsidRPr="00794712">
        <w:rPr>
          <w:lang w:val="ru-RU"/>
        </w:rPr>
        <w:t>话语：</w:t>
      </w:r>
      <w:r w:rsidRPr="00973DEC">
        <w:rPr>
          <w:i/>
          <w:iCs/>
          <w:lang w:val="ru-RU"/>
        </w:rPr>
        <w:t>“神啊，你的宝座是永存的；公义的权杖就是你国度的权杖； 你喜爱公义，憎恶不义；因此，神——你的神——用喜乐的膏油膏了你，胜过膏了你的同工”</w:t>
      </w:r>
      <w:r w:rsidRPr="00794712">
        <w:rPr>
          <w:lang w:val="ru-RU"/>
        </w:rPr>
        <w:t>（</w:t>
      </w:r>
      <w:r>
        <w:rPr>
          <w:lang w:val="ru-RU"/>
        </w:rPr>
        <w:t>诗篇44:8</w:t>
      </w:r>
      <w:r w:rsidRPr="00794712">
        <w:rPr>
          <w:lang w:val="ru-RU"/>
        </w:rPr>
        <w:t>）——这些经文既被使徒（希伯来书1</w:t>
      </w:r>
      <w:r>
        <w:rPr>
          <w:lang w:val="ru-RU"/>
        </w:rPr>
        <w:t>:</w:t>
      </w:r>
      <w:r w:rsidRPr="00794712">
        <w:rPr>
          <w:lang w:val="ru-RU"/>
        </w:rPr>
        <w:t>7-9）也被古代犹太人视为指向弥赛亚；</w:t>
      </w:r>
      <w:r w:rsidR="005864AB">
        <w:rPr>
          <w:rStyle w:val="FootnoteReference"/>
          <w:lang w:val="ru-RU"/>
        </w:rPr>
        <w:footnoteReference w:id="99"/>
      </w:r>
      <w:r w:rsidR="00A95A76" w:rsidRPr="00A95A76">
        <w:rPr>
          <w:b/>
          <w:lang w:val="ru-RU"/>
        </w:rPr>
        <w:t xml:space="preserve"> b) </w:t>
      </w:r>
      <w:r w:rsidR="00224D5E">
        <w:rPr>
          <w:lang w:val="ru-RU"/>
        </w:rPr>
        <w:t>《诗篇》109篇中的</w:t>
      </w:r>
      <w:r w:rsidRPr="00794712">
        <w:rPr>
          <w:lang w:val="ru-RU"/>
        </w:rPr>
        <w:t>话语：</w:t>
      </w:r>
      <w:r w:rsidRPr="00C9337E">
        <w:rPr>
          <w:i/>
          <w:iCs/>
          <w:lang w:val="ru-RU"/>
        </w:rPr>
        <w:t>“耶和华对我的主说：‘你坐在我的右边’”</w:t>
      </w:r>
      <w:r w:rsidRPr="00794712">
        <w:rPr>
          <w:lang w:val="ru-RU"/>
        </w:rPr>
        <w:t>（</w:t>
      </w:r>
      <w:r>
        <w:rPr>
          <w:lang w:val="ru-RU"/>
        </w:rPr>
        <w:t>《诗篇》109:1</w:t>
      </w:r>
      <w:r w:rsidRPr="00794712">
        <w:rPr>
          <w:lang w:val="ru-RU"/>
        </w:rPr>
        <w:t>），基督——救主本人将此归于弥赛亚</w:t>
      </w:r>
      <w:r w:rsidR="000A57C3">
        <w:rPr>
          <w:lang w:val="ru-RU"/>
        </w:rPr>
        <w:t>（《马太福音》</w:t>
      </w:r>
      <w:r w:rsidRPr="00794712">
        <w:rPr>
          <w:lang w:val="ru-RU"/>
        </w:rPr>
        <w:t>22</w:t>
      </w:r>
      <w:r>
        <w:rPr>
          <w:lang w:val="ru-RU"/>
        </w:rPr>
        <w:t>:</w:t>
      </w:r>
      <w:r w:rsidRPr="00794712">
        <w:rPr>
          <w:lang w:val="ru-RU"/>
        </w:rPr>
        <w:t>41-46）；</w:t>
      </w:r>
      <w:r w:rsidR="00A95A76" w:rsidRPr="00A95A76">
        <w:rPr>
          <w:b/>
          <w:lang w:val="ru-RU"/>
        </w:rPr>
        <w:t xml:space="preserve"> c)</w:t>
      </w:r>
      <w:r w:rsidRPr="00794712">
        <w:rPr>
          <w:lang w:val="ru-RU"/>
        </w:rPr>
        <w:t xml:space="preserve"> 玛拉基的预言：</w:t>
      </w:r>
      <w:r w:rsidRPr="0062589B">
        <w:rPr>
          <w:i/>
          <w:iCs/>
          <w:lang w:val="ru-RU"/>
        </w:rPr>
        <w:t>“看哪，我要差遣我的使者，他必在我前面预备道路；你们所寻求的主必忽然进入他的殿，就是你们所仰慕的立约之天使； 看哪，祂来了，万军之耶和华如此说”</w:t>
      </w:r>
      <w:r w:rsidRPr="00794712">
        <w:rPr>
          <w:lang w:val="ru-RU"/>
        </w:rPr>
        <w:t>（玛拉基书 3</w:t>
      </w:r>
      <w:r>
        <w:rPr>
          <w:lang w:val="ru-RU"/>
        </w:rPr>
        <w:t>:</w:t>
      </w:r>
      <w:r w:rsidRPr="00794712">
        <w:rPr>
          <w:lang w:val="ru-RU"/>
        </w:rPr>
        <w:t>1），救主本人也将这一预言归于弥赛亚</w:t>
      </w:r>
      <w:r w:rsidR="000A57C3">
        <w:rPr>
          <w:lang w:val="ru-RU"/>
        </w:rPr>
        <w:t>（马太福音</w:t>
      </w:r>
      <w:r w:rsidRPr="00794712">
        <w:rPr>
          <w:lang w:val="ru-RU"/>
        </w:rPr>
        <w:t xml:space="preserve"> 11</w:t>
      </w:r>
      <w:r w:rsidRPr="00060123">
        <w:rPr>
          <w:lang w:val="ru-RU"/>
        </w:rPr>
        <w:t>:</w:t>
      </w:r>
      <w:r w:rsidRPr="00794712">
        <w:rPr>
          <w:lang w:val="ru-RU"/>
        </w:rPr>
        <w:t>10-11）；</w:t>
      </w:r>
      <w:r w:rsidR="00A95A76" w:rsidRPr="00A95A76">
        <w:rPr>
          <w:b/>
          <w:lang w:val="ru-RU"/>
        </w:rPr>
        <w:t>d)</w:t>
      </w:r>
      <w:r w:rsidRPr="00794712">
        <w:rPr>
          <w:lang w:val="ru-RU"/>
        </w:rPr>
        <w:t xml:space="preserve"> 耶利米两次重复的预言： </w:t>
      </w:r>
      <w:r w:rsidRPr="00C825DC">
        <w:rPr>
          <w:i/>
          <w:iCs/>
          <w:lang w:val="ru-RU"/>
        </w:rPr>
        <w:t>“看哪，日子将到，耶和华说，我要为大卫兴起一个公义的苗裔，他必作王，行事有智慧，在地上施行公义和正直。在他日子里，犹大必得救，以色列必安然居住；看哪，他的名，人必称他为：‘耶和华（</w:t>
      </w:r>
      <w:r w:rsidR="00A95A76" w:rsidRPr="009907F0">
        <w:rPr>
          <w:bCs/>
          <w:i/>
          <w:iCs/>
          <w:lang w:val="ru-RU"/>
        </w:rPr>
        <w:lastRenderedPageBreak/>
        <w:t>耶和华）</w:t>
      </w:r>
      <w:r w:rsidRPr="00C825DC">
        <w:rPr>
          <w:i/>
          <w:iCs/>
          <w:lang w:val="ru-RU"/>
        </w:rPr>
        <w:t>——我们的义’”</w:t>
      </w:r>
      <w:r w:rsidRPr="00794712">
        <w:rPr>
          <w:lang w:val="ru-RU"/>
        </w:rPr>
        <w:t xml:space="preserve"> </w:t>
      </w:r>
      <w:r w:rsidR="00EE6DB1" w:rsidRPr="00EE6DB1">
        <w:rPr>
          <w:lang w:val="ru-RU"/>
        </w:rPr>
        <w:t>[</w:t>
      </w:r>
      <w:r w:rsidRPr="00794712">
        <w:rPr>
          <w:lang w:val="ru-RU"/>
        </w:rPr>
        <w:t>(耶23</w:t>
      </w:r>
      <w:r w:rsidRPr="00C825DC">
        <w:rPr>
          <w:lang w:val="ru-RU"/>
        </w:rPr>
        <w:t>:</w:t>
      </w:r>
      <w:r w:rsidRPr="00794712">
        <w:rPr>
          <w:lang w:val="ru-RU"/>
        </w:rPr>
        <w:t>5-6</w:t>
      </w:r>
      <w:r w:rsidR="00EE6DB1" w:rsidRPr="00EE6DB1">
        <w:rPr>
          <w:lang w:val="ru-RU"/>
        </w:rPr>
        <w:t>)</w:t>
      </w:r>
      <w:r w:rsidRPr="00794712">
        <w:rPr>
          <w:lang w:val="ru-RU"/>
        </w:rPr>
        <w:t>；参见</w:t>
      </w:r>
      <w:r w:rsidR="00EE6DB1" w:rsidRPr="00EE6DB1">
        <w:rPr>
          <w:lang w:val="ru-RU"/>
        </w:rPr>
        <w:t>(</w:t>
      </w:r>
      <w:r w:rsidRPr="00794712">
        <w:rPr>
          <w:lang w:val="ru-RU"/>
        </w:rPr>
        <w:t>耶33</w:t>
      </w:r>
      <w:r w:rsidRPr="004620A8">
        <w:rPr>
          <w:lang w:val="ru-RU"/>
        </w:rPr>
        <w:t>:</w:t>
      </w:r>
      <w:r w:rsidRPr="00794712">
        <w:rPr>
          <w:lang w:val="ru-RU"/>
        </w:rPr>
        <w:t>15-16)</w:t>
      </w:r>
      <w:r w:rsidR="00EE6DB1" w:rsidRPr="00A95A76">
        <w:rPr>
          <w:lang w:val="ru-RU"/>
        </w:rPr>
        <w:t>]</w:t>
      </w:r>
      <w:r w:rsidRPr="00794712">
        <w:rPr>
          <w:lang w:val="ru-RU"/>
        </w:rPr>
        <w:t>——这是古代犹太人一致认为指向弥赛亚的预言。</w:t>
      </w:r>
      <w:r w:rsidR="005864AB">
        <w:rPr>
          <w:rStyle w:val="FootnoteReference"/>
          <w:lang w:val="ru-RU"/>
        </w:rPr>
        <w:footnoteReference w:id="100"/>
      </w:r>
    </w:p>
    <w:p w14:paraId="760F5254" w14:textId="77777777" w:rsidR="00D85B34" w:rsidRPr="00794712" w:rsidRDefault="00D85B34" w:rsidP="00D85B34">
      <w:pPr>
        <w:rPr>
          <w:lang w:val="ru-RU"/>
        </w:rPr>
      </w:pPr>
      <w:r w:rsidRPr="00794712">
        <w:rPr>
          <w:lang w:val="ru-RU"/>
        </w:rPr>
        <w:tab/>
      </w:r>
      <w:r w:rsidRPr="00EE6DB1">
        <w:rPr>
          <w:b/>
          <w:bCs/>
        </w:rPr>
        <w:t>II</w:t>
      </w:r>
      <w:r w:rsidRPr="00EE6DB1">
        <w:rPr>
          <w:b/>
          <w:bCs/>
          <w:lang w:val="ru-RU"/>
        </w:rPr>
        <w:t>.</w:t>
      </w:r>
      <w:r w:rsidRPr="00794712">
        <w:rPr>
          <w:lang w:val="ru-RU"/>
        </w:rPr>
        <w:t xml:space="preserve"> 根据旧约的预言，救主基督降临人间时，也亲自教导世人，表明祂是真正的神的儿子，是神。在这项教导的众多例证中，我们将列举其中几例。</w:t>
      </w:r>
    </w:p>
    <w:p w14:paraId="44D6697C"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救主与犹太领袖尼哥底母谈论属灵的重生时，曾这样说：</w:t>
      </w:r>
      <w:r w:rsidR="00D85B34" w:rsidRPr="004620A8">
        <w:rPr>
          <w:i/>
          <w:iCs/>
          <w:lang w:val="ru-RU"/>
        </w:rPr>
        <w:t>“除了从天上降下、仍在天上的人子，没有人升过天</w:t>
      </w:r>
      <w:r w:rsidR="00D85B34" w:rsidRPr="004620A8">
        <w:rPr>
          <w:lang w:val="ru-RU"/>
        </w:rPr>
        <w:t>……</w:t>
      </w:r>
      <w:r w:rsidR="00D85B34" w:rsidRPr="00794712">
        <w:rPr>
          <w:lang w:val="ru-RU"/>
        </w:rPr>
        <w:t xml:space="preserve"> </w:t>
      </w:r>
      <w:r w:rsidR="00D85B34" w:rsidRPr="003A5963">
        <w:rPr>
          <w:i/>
          <w:iCs/>
          <w:lang w:val="ru-RU"/>
        </w:rPr>
        <w:t>因为神爱世人，甚至将祂的独生子赐给他们，叫一切信祂的，不至灭亡，反得永</w:t>
      </w:r>
      <w:r w:rsidR="00D85B34" w:rsidRPr="003A5963">
        <w:rPr>
          <w:lang w:val="ru-RU"/>
        </w:rPr>
        <w:t>生</w:t>
      </w:r>
      <w:r w:rsidR="00D85B34" w:rsidRPr="003A5963">
        <w:rPr>
          <w:i/>
          <w:iCs/>
          <w:lang w:val="ru-RU"/>
        </w:rPr>
        <w:t>……“信祂的，不被定罪；不信的，已经受了定罪，因为他不信神独生子的名”</w:t>
      </w:r>
      <w:r w:rsidR="00D85B34" w:rsidRPr="00794712">
        <w:rPr>
          <w:lang w:val="ru-RU"/>
        </w:rPr>
        <w:t xml:space="preserve"> </w:t>
      </w:r>
      <w:r w:rsidR="005864AB">
        <w:rPr>
          <w:lang w:val="ru-RU"/>
        </w:rPr>
        <w:t>（</w:t>
      </w:r>
      <w:r w:rsidR="00D85B34" w:rsidRPr="00794712">
        <w:rPr>
          <w:lang w:val="ru-RU"/>
        </w:rPr>
        <w:t>约3</w:t>
      </w:r>
      <w:r w:rsidR="00D85B34" w:rsidRPr="004620A8">
        <w:rPr>
          <w:lang w:val="ru-RU"/>
        </w:rPr>
        <w:t>:</w:t>
      </w:r>
      <w:r w:rsidR="00D85B34" w:rsidRPr="00794712">
        <w:rPr>
          <w:lang w:val="ru-RU"/>
        </w:rPr>
        <w:t>13-18）。</w:t>
      </w:r>
      <w:r w:rsidR="00A95A76" w:rsidRPr="00A95A76">
        <w:rPr>
          <w:b/>
          <w:lang w:val="ru-RU"/>
        </w:rPr>
        <w:t>在此——a）</w:t>
      </w:r>
      <w:r w:rsidR="00D85B34" w:rsidRPr="00794712">
        <w:rPr>
          <w:lang w:val="ru-RU"/>
        </w:rPr>
        <w:t>在开篇之语中，救主明确将无所不在的属性归于自己，这种属性绝不可能属于任何受造之物；</w:t>
      </w:r>
      <w:r w:rsidR="00A95A76" w:rsidRPr="00A95A76">
        <w:rPr>
          <w:b/>
          <w:lang w:val="ru-RU"/>
        </w:rPr>
        <w:t xml:space="preserve"> b)</w:t>
      </w:r>
      <w:r w:rsidR="00D85B34" w:rsidRPr="00794712">
        <w:rPr>
          <w:lang w:val="ru-RU"/>
        </w:rPr>
        <w:t xml:space="preserve"> 随后称自己为神的独生子（</w:t>
      </w:r>
      <w:r w:rsidR="00D85B34" w:rsidRPr="00AA0891">
        <w:t>μονογενής</w:t>
      </w:r>
      <w:r w:rsidR="00D85B34" w:rsidRPr="00794712">
        <w:rPr>
          <w:lang w:val="ru-RU"/>
        </w:rPr>
        <w:t>），毫无疑问，这是在字面意义上，即由神的本体所生，具有神的本体：因为这位儿子拥有无所不在——这是神的属性；</w:t>
      </w:r>
      <w:r w:rsidR="00A95A76" w:rsidRPr="00A95A76">
        <w:rPr>
          <w:b/>
          <w:lang w:val="ru-RU"/>
        </w:rPr>
        <w:t xml:space="preserve"> c)</w:t>
      </w:r>
      <w:r w:rsidR="00D85B34" w:rsidRPr="00794712">
        <w:rPr>
          <w:lang w:val="ru-RU"/>
        </w:rPr>
        <w:t xml:space="preserve"> 最后，他见证道：若不相信祂正是那位无所不在的独生子，人类就不可能得救。</w:t>
      </w:r>
    </w:p>
    <w:p w14:paraId="70999562" w14:textId="77777777" w:rsidR="00D85B34" w:rsidRPr="00794712" w:rsidRDefault="00F45CFB" w:rsidP="00D85B34">
      <w:pPr>
        <w:ind w:firstLine="708"/>
        <w:rPr>
          <w:lang w:val="ru-RU"/>
        </w:rPr>
      </w:pPr>
      <w:r w:rsidRPr="00F45CFB">
        <w:rPr>
          <w:b/>
          <w:bCs/>
          <w:lang w:val="ru-RU"/>
        </w:rPr>
        <w:t>2）</w:t>
      </w:r>
      <w:r w:rsidR="00D85B34" w:rsidRPr="00794712">
        <w:rPr>
          <w:lang w:val="ru-RU"/>
        </w:rPr>
        <w:t>在犹太人的祭司长、文士和长老面前</w:t>
      </w:r>
      <w:r w:rsidR="005864AB">
        <w:rPr>
          <w:lang w:val="ru-RU"/>
        </w:rPr>
        <w:t>（可</w:t>
      </w:r>
      <w:r w:rsidR="00D85B34" w:rsidRPr="00794712">
        <w:rPr>
          <w:lang w:val="ru-RU"/>
        </w:rPr>
        <w:t>11</w:t>
      </w:r>
      <w:r w:rsidR="00D85B34" w:rsidRPr="003A5963">
        <w:rPr>
          <w:lang w:val="ru-RU"/>
        </w:rPr>
        <w:t>:</w:t>
      </w:r>
      <w:r w:rsidR="001B763B" w:rsidRPr="001B763B">
        <w:rPr>
          <w:b/>
          <w:lang w:val="ru-RU"/>
        </w:rPr>
        <w:t>27）</w:t>
      </w:r>
      <w:r w:rsidR="00D85B34" w:rsidRPr="00794712">
        <w:rPr>
          <w:lang w:val="ru-RU"/>
        </w:rPr>
        <w:t>，讲了一个比喻：有个人</w:t>
      </w:r>
      <w:r w:rsidR="00D85B34">
        <w:rPr>
          <w:lang w:val="ru-RU"/>
        </w:rPr>
        <w:t>栽了一片</w:t>
      </w:r>
      <w:r w:rsidR="00D85B34" w:rsidRPr="00794712">
        <w:rPr>
          <w:lang w:val="ru-RU"/>
        </w:rPr>
        <w:t>葡萄园</w:t>
      </w:r>
      <w:r w:rsidR="00D85B34" w:rsidRPr="003A5963">
        <w:rPr>
          <w:lang w:val="ru-RU"/>
        </w:rPr>
        <w:t>，周围筑起篱笆</w:t>
      </w:r>
      <w:r w:rsidR="00D85B34" w:rsidRPr="00794712">
        <w:rPr>
          <w:lang w:val="ru-RU"/>
        </w:rPr>
        <w:t>，又</w:t>
      </w:r>
      <w:r w:rsidR="00D85B34">
        <w:rPr>
          <w:lang w:val="ru-RU"/>
        </w:rPr>
        <w:t>把它交给园丁</w:t>
      </w:r>
      <w:r w:rsidR="005864AB">
        <w:rPr>
          <w:lang w:val="ru-RU"/>
        </w:rPr>
        <w:t xml:space="preserve">（可 </w:t>
      </w:r>
      <w:r w:rsidR="00D85B34" w:rsidRPr="00794712">
        <w:rPr>
          <w:lang w:val="ru-RU"/>
        </w:rPr>
        <w:t>12</w:t>
      </w:r>
      <w:r w:rsidR="00D85B34" w:rsidRPr="003A5963">
        <w:rPr>
          <w:lang w:val="ru-RU"/>
        </w:rPr>
        <w:t>:</w:t>
      </w:r>
      <w:r w:rsidR="00D85B34" w:rsidRPr="00794712">
        <w:rPr>
          <w:lang w:val="ru-RU"/>
        </w:rPr>
        <w:t>1-2），并以此比喻天父——祂在犹太民族中栽种了自己的教会，并将教会交给了他们，即民族的领袖们——救主说：起初，葡萄园的主人在特定的时间，曾一次又一次地（ ）派他的仆人</w:t>
      </w:r>
      <w:r w:rsidR="00D85B34">
        <w:rPr>
          <w:lang w:val="ru-RU"/>
        </w:rPr>
        <w:t>去见园丁</w:t>
      </w:r>
      <w:r w:rsidR="00D85B34" w:rsidRPr="00794712">
        <w:rPr>
          <w:lang w:val="ru-RU"/>
        </w:rPr>
        <w:t>，为要收取葡萄的果实。 但当那些园丁</w:t>
      </w:r>
      <w:r w:rsidR="00D85B34">
        <w:rPr>
          <w:lang w:val="ru-RU"/>
        </w:rPr>
        <w:t>殴打</w:t>
      </w:r>
      <w:r w:rsidR="00D85B34" w:rsidRPr="00794712">
        <w:rPr>
          <w:lang w:val="ru-RU"/>
        </w:rPr>
        <w:t>并羞辱地赶走了一些被派去的人，甚至</w:t>
      </w:r>
      <w:r w:rsidR="00D85B34">
        <w:rPr>
          <w:lang w:val="ru-RU"/>
        </w:rPr>
        <w:t>杀害了</w:t>
      </w:r>
      <w:r w:rsidR="00D85B34" w:rsidRPr="00794712">
        <w:rPr>
          <w:lang w:val="ru-RU"/>
        </w:rPr>
        <w:t>另一些人之后，园主便决定亲自派他的儿子去见他们：</w:t>
      </w:r>
      <w:r w:rsidR="00D85B34" w:rsidRPr="00413799">
        <w:rPr>
          <w:i/>
          <w:iCs/>
          <w:lang w:val="ru-RU"/>
        </w:rPr>
        <w:t>‘他还有一个儿子，是他所疼爱的，最后也派他去见他们，说：他们会尊重我的儿子。 但那些葡萄园主彼此说：‘这是继承人；我们去杀了他，产业就归我们了。’于是他们抓住他，杀了他，把他扔出了葡萄园”</w:t>
      </w:r>
      <w:r w:rsidR="00D85B34" w:rsidRPr="003A5963">
        <w:rPr>
          <w:lang w:val="ru-RU"/>
        </w:rPr>
        <w:t>（可12:</w:t>
      </w:r>
      <w:r w:rsidR="00D85B34" w:rsidRPr="00413799">
        <w:rPr>
          <w:lang w:val="ru-RU"/>
        </w:rPr>
        <w:t>6-8</w:t>
      </w:r>
      <w:r w:rsidR="00D85B34" w:rsidRPr="003A5963">
        <w:rPr>
          <w:lang w:val="ru-RU"/>
        </w:rPr>
        <w:t>）</w:t>
      </w:r>
      <w:r w:rsidR="00D85B34" w:rsidRPr="00413799">
        <w:rPr>
          <w:lang w:val="ru-RU"/>
        </w:rPr>
        <w:t xml:space="preserve">。 </w:t>
      </w:r>
      <w:r w:rsidR="00D85B34" w:rsidRPr="00794712">
        <w:rPr>
          <w:lang w:val="ru-RU"/>
        </w:rPr>
        <w:t>通过这种对比——即上帝先前差遣到犹太人那里的仆人（即先知们）与祂自己（作为独一的上帝之子、蒙父所爱的、父的继承人）之间的对比——我们的主明确表明，祂称自己为“上帝之子”并非比喻意义，而是字面意义。</w:t>
      </w:r>
    </w:p>
    <w:p w14:paraId="4F04BA8D"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当救主医治了那个瘫子，而犹太人</w:t>
      </w:r>
      <w:r w:rsidR="00D85B34" w:rsidRPr="00413799">
        <w:rPr>
          <w:i/>
          <w:iCs/>
          <w:lang w:val="ru-RU"/>
        </w:rPr>
        <w:t>“因为祂在安息日行这些事</w:t>
      </w:r>
      <w:r w:rsidR="00D85B34" w:rsidRPr="00794712">
        <w:rPr>
          <w:lang w:val="ru-RU"/>
        </w:rPr>
        <w:t>，</w:t>
      </w:r>
      <w:r w:rsidR="00D85B34" w:rsidRPr="00413799">
        <w:rPr>
          <w:i/>
          <w:iCs/>
          <w:lang w:val="ru-RU"/>
        </w:rPr>
        <w:t>就想要杀祂”</w:t>
      </w:r>
      <w:r w:rsidR="005864AB">
        <w:rPr>
          <w:lang w:val="ru-RU"/>
        </w:rPr>
        <w:t>（</w:t>
      </w:r>
      <w:r w:rsidR="00D85B34" w:rsidRPr="00794712">
        <w:rPr>
          <w:lang w:val="ru-RU"/>
        </w:rPr>
        <w:t>约5</w:t>
      </w:r>
      <w:r w:rsidR="00D85B34" w:rsidRPr="00413799">
        <w:rPr>
          <w:lang w:val="ru-RU"/>
        </w:rPr>
        <w:t>:</w:t>
      </w:r>
      <w:r w:rsidR="00D85B34" w:rsidRPr="00794712">
        <w:rPr>
          <w:lang w:val="ru-RU"/>
        </w:rPr>
        <w:t>16）时，祂仿佛为了自辩，对他们说：</w:t>
      </w:r>
      <w:r w:rsidR="00D85B34" w:rsidRPr="00413799">
        <w:rPr>
          <w:i/>
          <w:iCs/>
          <w:lang w:val="ru-RU"/>
        </w:rPr>
        <w:t>“我父直到如今还在作工，我也作工”</w:t>
      </w:r>
      <w:r w:rsidR="005864AB">
        <w:rPr>
          <w:lang w:val="ru-RU"/>
        </w:rPr>
        <w:t>（</w:t>
      </w:r>
      <w:r w:rsidR="00D85B34" w:rsidRPr="00794712">
        <w:rPr>
          <w:lang w:val="ru-RU"/>
        </w:rPr>
        <w:t>约5</w:t>
      </w:r>
      <w:r w:rsidR="00D85B34" w:rsidRPr="00413799">
        <w:rPr>
          <w:lang w:val="ru-RU"/>
        </w:rPr>
        <w:t>:17</w:t>
      </w:r>
      <w:r w:rsidR="00D85B34" w:rsidRPr="00794712">
        <w:rPr>
          <w:lang w:val="ru-RU"/>
        </w:rPr>
        <w:t xml:space="preserve">）。 主耶稣在这段回答中，在权利和权柄上将自己与天父视为平等，犹太人正是以此确切的含义理解了这番话， </w:t>
      </w:r>
      <w:r w:rsidR="00D85B34" w:rsidRPr="00631EE5">
        <w:rPr>
          <w:i/>
          <w:iCs/>
          <w:lang w:val="ru-RU"/>
        </w:rPr>
        <w:t>“犹太人就更想要杀他，因为他不仅违背安息日，还</w:t>
      </w:r>
      <w:r w:rsidR="003C034F" w:rsidRPr="003C034F">
        <w:rPr>
          <w:i/>
          <w:iCs/>
          <w:lang w:val="ru-RU"/>
        </w:rPr>
        <w:t>称神为</w:t>
      </w:r>
      <w:r w:rsidR="00D85B34" w:rsidRPr="00631EE5">
        <w:rPr>
          <w:i/>
          <w:iCs/>
          <w:lang w:val="ru-RU"/>
        </w:rPr>
        <w:t>他的父</w:t>
      </w:r>
      <w:r w:rsidR="00D85B34" w:rsidRPr="00794712">
        <w:rPr>
          <w:lang w:val="ru-RU"/>
        </w:rPr>
        <w:t>（</w:t>
      </w:r>
      <w:r w:rsidR="00D85B34" w:rsidRPr="00AA0891">
        <w:t>ίδιον</w:t>
      </w:r>
      <w:r w:rsidR="00D85B34" w:rsidRPr="00794712">
        <w:rPr>
          <w:lang w:val="ru-RU"/>
        </w:rPr>
        <w:t>）</w:t>
      </w:r>
      <w:r w:rsidR="003C034F" w:rsidRPr="003C034F">
        <w:rPr>
          <w:i/>
          <w:iCs/>
          <w:lang w:val="ru-RU"/>
        </w:rPr>
        <w:t>，将自己与神</w:t>
      </w:r>
      <w:r w:rsidR="00D85B34" w:rsidRPr="00631EE5">
        <w:rPr>
          <w:i/>
          <w:iCs/>
          <w:lang w:val="ru-RU"/>
        </w:rPr>
        <w:t>等同”</w:t>
      </w:r>
      <w:r w:rsidR="005864AB">
        <w:rPr>
          <w:lang w:val="ru-RU"/>
        </w:rPr>
        <w:t>（约</w:t>
      </w:r>
      <w:r w:rsidR="00D85B34" w:rsidRPr="00794712">
        <w:rPr>
          <w:lang w:val="ru-RU"/>
        </w:rPr>
        <w:t>5</w:t>
      </w:r>
      <w:r w:rsidR="00D85B34" w:rsidRPr="00413799">
        <w:rPr>
          <w:lang w:val="ru-RU"/>
        </w:rPr>
        <w:t>:</w:t>
      </w:r>
      <w:r w:rsidR="00D85B34" w:rsidRPr="00631EE5">
        <w:rPr>
          <w:lang w:val="ru-RU"/>
        </w:rPr>
        <w:t>18</w:t>
      </w:r>
      <w:r w:rsidR="00D85B34" w:rsidRPr="00794712">
        <w:rPr>
          <w:lang w:val="ru-RU"/>
        </w:rPr>
        <w:t>）。 当时，耶稣非但没有指出犹太人误解了祂，反而继续说道</w:t>
      </w:r>
      <w:r w:rsidR="00D85B34" w:rsidRPr="00631EE5">
        <w:rPr>
          <w:i/>
          <w:iCs/>
          <w:lang w:val="ru-RU"/>
        </w:rPr>
        <w:t>：“我实实在在地告诉你们：子凭自己不能做什么，除非看见父所做的，子也照样做”</w:t>
      </w:r>
      <w:r w:rsidR="005864AB">
        <w:rPr>
          <w:lang w:val="ru-RU"/>
        </w:rPr>
        <w:t>（</w:t>
      </w:r>
      <w:r w:rsidR="00D85B34" w:rsidRPr="00794712">
        <w:rPr>
          <w:lang w:val="ru-RU"/>
        </w:rPr>
        <w:t>约5</w:t>
      </w:r>
      <w:r w:rsidR="00D85B34" w:rsidRPr="00413799">
        <w:rPr>
          <w:lang w:val="ru-RU"/>
        </w:rPr>
        <w:t>:</w:t>
      </w:r>
      <w:r w:rsidR="00220D19">
        <w:rPr>
          <w:lang w:val="ru-RU"/>
        </w:rPr>
        <w:t>19</w:t>
      </w:r>
      <w:r w:rsidR="00D85B34" w:rsidRPr="00794712">
        <w:rPr>
          <w:lang w:val="ru-RU"/>
        </w:rPr>
        <w:t xml:space="preserve">）。 </w:t>
      </w:r>
      <w:r w:rsidR="00D85B34" w:rsidRPr="00631EE5">
        <w:rPr>
          <w:i/>
          <w:iCs/>
          <w:lang w:val="ru-RU"/>
        </w:rPr>
        <w:t>因为，正如父叫死人复活、使人活着一样，子也能使他所愿意的人活着。因为父不审判任何人，乃将一切的审判都交给了子，叫众人尊敬子，如同尊敬父一样。 不尊崇子的，就是不尊崇差遣祂的父</w:t>
      </w:r>
      <w:r w:rsidR="00D85B34" w:rsidRPr="00631EE5">
        <w:rPr>
          <w:lang w:val="ru-RU"/>
        </w:rPr>
        <w:t>（约5:21-23）</w:t>
      </w:r>
      <w:r w:rsidR="00D85B34" w:rsidRPr="00794712">
        <w:rPr>
          <w:lang w:val="ru-RU"/>
        </w:rPr>
        <w:t>。</w:t>
      </w:r>
      <w:r w:rsidR="00D85B34" w:rsidRPr="00631EE5">
        <w:rPr>
          <w:i/>
          <w:iCs/>
          <w:lang w:val="ru-RU"/>
        </w:rPr>
        <w:t>“因为父怎样在自己里面有生命，就怎样赐给子在自己里面有生命”</w:t>
      </w:r>
      <w:r w:rsidR="00220D19">
        <w:rPr>
          <w:lang w:val="ru-RU"/>
        </w:rPr>
        <w:t>（</w:t>
      </w:r>
      <w:r w:rsidR="00D85B34" w:rsidRPr="00631EE5">
        <w:rPr>
          <w:lang w:val="ru-RU"/>
        </w:rPr>
        <w:t>约5:26</w:t>
      </w:r>
      <w:r w:rsidR="00D85B34" w:rsidRPr="00794712">
        <w:rPr>
          <w:lang w:val="ru-RU"/>
        </w:rPr>
        <w:t xml:space="preserve">）。 在此，救主将与天父完全相同的独立行神迹的权柄、同样的神圣尊荣、以及同样的独立性归于自己。不仅如此：为了进一步使犹太人确信祂话语的真实性，以及 </w:t>
      </w:r>
      <w:r w:rsidR="00D85B34" w:rsidRPr="00794712">
        <w:rPr>
          <w:lang w:val="ru-RU"/>
        </w:rPr>
        <w:lastRenderedPageBreak/>
        <w:t>祂的神性确凿无疑，祂进一步向他们指出了关于祂的外部见证：</w:t>
      </w:r>
      <w:r w:rsidR="00A95A76" w:rsidRPr="00A95A76">
        <w:rPr>
          <w:b/>
          <w:lang w:val="ru-RU"/>
        </w:rPr>
        <w:t>a)</w:t>
      </w:r>
      <w:r w:rsidR="00D85B34" w:rsidRPr="00794712">
        <w:rPr>
          <w:lang w:val="ru-RU"/>
        </w:rPr>
        <w:t xml:space="preserve"> 施洗约翰的见证，他称祂为从天上来的神的儿子，且高过万有 </w:t>
      </w:r>
      <w:r w:rsidR="000B336B" w:rsidRPr="000B336B">
        <w:rPr>
          <w:lang w:val="ru-RU"/>
        </w:rPr>
        <w:t>[</w:t>
      </w:r>
      <w:r w:rsidR="005864AB">
        <w:rPr>
          <w:lang w:val="ru-RU"/>
        </w:rPr>
        <w:t>(约</w:t>
      </w:r>
      <w:r w:rsidR="00220D19">
        <w:rPr>
          <w:lang w:val="ru-RU"/>
        </w:rPr>
        <w:t xml:space="preserve"> 5:</w:t>
      </w:r>
      <w:r w:rsidR="00D85B34" w:rsidRPr="00794712">
        <w:rPr>
          <w:lang w:val="ru-RU"/>
        </w:rPr>
        <w:t>32-33</w:t>
      </w:r>
      <w:r w:rsidR="000B336B" w:rsidRPr="000B336B">
        <w:rPr>
          <w:lang w:val="ru-RU"/>
        </w:rPr>
        <w:t>)</w:t>
      </w:r>
      <w:r w:rsidR="00D85B34" w:rsidRPr="00794712">
        <w:rPr>
          <w:lang w:val="ru-RU"/>
        </w:rPr>
        <w:t>；</w:t>
      </w:r>
      <w:r w:rsidR="000B336B" w:rsidRPr="000B336B">
        <w:rPr>
          <w:lang w:val="ru-RU"/>
        </w:rPr>
        <w:t>(</w:t>
      </w:r>
      <w:r w:rsidR="00220D19">
        <w:rPr>
          <w:lang w:val="ru-RU"/>
        </w:rPr>
        <w:t>约</w:t>
      </w:r>
      <w:r w:rsidR="00D85B34" w:rsidRPr="00794712">
        <w:rPr>
          <w:lang w:val="ru-RU"/>
        </w:rPr>
        <w:t xml:space="preserve"> 3</w:t>
      </w:r>
      <w:r w:rsidR="00D85B34">
        <w:rPr>
          <w:lang w:val="ru-RU"/>
        </w:rPr>
        <w:t>:</w:t>
      </w:r>
      <w:r w:rsidR="00D85B34" w:rsidRPr="00794712">
        <w:rPr>
          <w:lang w:val="ru-RU"/>
        </w:rPr>
        <w:t>31-36)</w:t>
      </w:r>
      <w:r w:rsidR="000B336B" w:rsidRPr="000B336B">
        <w:rPr>
          <w:lang w:val="ru-RU"/>
        </w:rPr>
        <w:t>]</w:t>
      </w:r>
      <w:r w:rsidR="00D85B34" w:rsidRPr="00794712">
        <w:rPr>
          <w:lang w:val="ru-RU"/>
        </w:rPr>
        <w:t>；</w:t>
      </w:r>
      <w:r w:rsidR="00A95A76" w:rsidRPr="00A95A76">
        <w:rPr>
          <w:b/>
          <w:lang w:val="ru-RU"/>
        </w:rPr>
        <w:t xml:space="preserve"> b)</w:t>
      </w:r>
      <w:r w:rsidR="00D85B34" w:rsidRPr="00794712">
        <w:rPr>
          <w:lang w:val="ru-RU"/>
        </w:rPr>
        <w:t xml:space="preserve"> 祂所行的神迹</w:t>
      </w:r>
      <w:r w:rsidR="00D85B34" w:rsidRPr="00631EE5">
        <w:rPr>
          <w:i/>
          <w:iCs/>
          <w:lang w:val="ru-RU"/>
        </w:rPr>
        <w:t>奇事，这是别人所不能</w:t>
      </w:r>
      <w:r w:rsidR="000B336B" w:rsidRPr="000B336B">
        <w:rPr>
          <w:lang w:val="ru-RU"/>
        </w:rPr>
        <w:t>行的 [</w:t>
      </w:r>
      <w:r w:rsidR="005864AB">
        <w:rPr>
          <w:lang w:val="ru-RU"/>
        </w:rPr>
        <w:t>(约</w:t>
      </w:r>
      <w:r w:rsidR="00D85B34">
        <w:rPr>
          <w:lang w:val="ru-RU"/>
        </w:rPr>
        <w:t xml:space="preserve"> 5:</w:t>
      </w:r>
      <w:r w:rsidR="00D85B34" w:rsidRPr="00794712">
        <w:rPr>
          <w:lang w:val="ru-RU"/>
        </w:rPr>
        <w:t>36</w:t>
      </w:r>
      <w:r w:rsidR="000B336B" w:rsidRPr="000B336B">
        <w:rPr>
          <w:lang w:val="ru-RU"/>
        </w:rPr>
        <w:t>)</w:t>
      </w:r>
      <w:r w:rsidR="00D85B34" w:rsidRPr="00794712">
        <w:rPr>
          <w:lang w:val="ru-RU"/>
        </w:rPr>
        <w:t>；</w:t>
      </w:r>
      <w:r w:rsidR="000B336B" w:rsidRPr="000B336B">
        <w:rPr>
          <w:lang w:val="ru-RU"/>
        </w:rPr>
        <w:t>(</w:t>
      </w:r>
      <w:r w:rsidR="00220D19">
        <w:rPr>
          <w:lang w:val="ru-RU"/>
        </w:rPr>
        <w:t>约</w:t>
      </w:r>
      <w:r w:rsidR="00D85B34" w:rsidRPr="00794712">
        <w:rPr>
          <w:lang w:val="ru-RU"/>
        </w:rPr>
        <w:t xml:space="preserve"> 15</w:t>
      </w:r>
      <w:r w:rsidR="00D85B34">
        <w:rPr>
          <w:lang w:val="ru-RU"/>
        </w:rPr>
        <w:t>:</w:t>
      </w:r>
      <w:r w:rsidR="00D85B34" w:rsidRPr="00794712">
        <w:rPr>
          <w:lang w:val="ru-RU"/>
        </w:rPr>
        <w:t>24)</w:t>
      </w:r>
      <w:r w:rsidR="000B336B" w:rsidRPr="000B336B">
        <w:rPr>
          <w:lang w:val="ru-RU"/>
        </w:rPr>
        <w:t>]</w:t>
      </w:r>
      <w:r w:rsidR="00D85B34" w:rsidRPr="00794712">
        <w:rPr>
          <w:lang w:val="ru-RU"/>
        </w:rPr>
        <w:t>；</w:t>
      </w:r>
      <w:r w:rsidR="00A95A76" w:rsidRPr="00A95A76">
        <w:rPr>
          <w:b/>
          <w:lang w:val="ru-RU"/>
        </w:rPr>
        <w:t xml:space="preserve">c) </w:t>
      </w:r>
      <w:r w:rsidR="00D85B34" w:rsidRPr="00794712">
        <w:rPr>
          <w:lang w:val="ru-RU"/>
        </w:rPr>
        <w:t>天父的见证，祂曾说：</w:t>
      </w:r>
      <w:r w:rsidR="00D85B34" w:rsidRPr="0066710E">
        <w:rPr>
          <w:i/>
          <w:iCs/>
          <w:lang w:val="ru-RU"/>
        </w:rPr>
        <w:t xml:space="preserve">“这是我的爱子，我所喜悦的” </w:t>
      </w:r>
      <w:r w:rsidR="000B336B" w:rsidRPr="000B336B">
        <w:rPr>
          <w:lang w:val="ru-RU"/>
        </w:rPr>
        <w:t>[</w:t>
      </w:r>
      <w:r w:rsidR="005864AB">
        <w:rPr>
          <w:lang w:val="ru-RU"/>
        </w:rPr>
        <w:t>(约</w:t>
      </w:r>
      <w:r w:rsidR="00D85B34">
        <w:rPr>
          <w:lang w:val="ru-RU"/>
        </w:rPr>
        <w:t xml:space="preserve"> 5:</w:t>
      </w:r>
      <w:r w:rsidR="00D85B34" w:rsidRPr="00794712">
        <w:rPr>
          <w:lang w:val="ru-RU"/>
        </w:rPr>
        <w:t>37</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马太福音 3</w:t>
      </w:r>
      <w:r w:rsidR="00D85B34">
        <w:rPr>
          <w:lang w:val="ru-RU"/>
        </w:rPr>
        <w:t>:</w:t>
      </w:r>
      <w:r w:rsidR="00D85B34" w:rsidRPr="00794712">
        <w:rPr>
          <w:lang w:val="ru-RU"/>
        </w:rPr>
        <w:t>17）</w:t>
      </w:r>
      <w:r w:rsidR="000B336B" w:rsidRPr="000B336B">
        <w:rPr>
          <w:lang w:val="ru-RU"/>
        </w:rPr>
        <w:t>]</w:t>
      </w:r>
      <w:r w:rsidR="00D85B34" w:rsidRPr="00794712">
        <w:rPr>
          <w:lang w:val="ru-RU"/>
        </w:rPr>
        <w:t xml:space="preserve">，以及 </w:t>
      </w:r>
      <w:r w:rsidR="00A95A76" w:rsidRPr="00A95A76">
        <w:rPr>
          <w:b/>
          <w:lang w:val="ru-RU"/>
        </w:rPr>
        <w:t>d)</w:t>
      </w:r>
      <w:r w:rsidR="00D85B34" w:rsidRPr="00794712">
        <w:rPr>
          <w:lang w:val="ru-RU"/>
        </w:rPr>
        <w:t xml:space="preserve"> 旧约经文的见证：</w:t>
      </w:r>
      <w:r w:rsidR="00D85B34" w:rsidRPr="000F660F">
        <w:rPr>
          <w:i/>
          <w:iCs/>
          <w:lang w:val="ru-RU"/>
        </w:rPr>
        <w:t>“你们查考圣经，因你们以为内中有永生；给我作见证的就是这经”</w:t>
      </w:r>
      <w:r w:rsidR="005864AB">
        <w:rPr>
          <w:lang w:val="ru-RU"/>
        </w:rPr>
        <w:t>（约翰福音</w:t>
      </w:r>
      <w:r w:rsidR="00D85B34">
        <w:rPr>
          <w:lang w:val="ru-RU"/>
        </w:rPr>
        <w:t xml:space="preserve"> 5:39</w:t>
      </w:r>
      <w:r w:rsidR="00D85B34" w:rsidRPr="00794712">
        <w:rPr>
          <w:lang w:val="ru-RU"/>
        </w:rPr>
        <w:t>）。</w:t>
      </w:r>
    </w:p>
    <w:p w14:paraId="03758712" w14:textId="77777777" w:rsidR="00D85B34" w:rsidRPr="00794712" w:rsidRDefault="00F45CFB" w:rsidP="00D85B34">
      <w:pPr>
        <w:ind w:firstLine="708"/>
        <w:rPr>
          <w:lang w:val="ru-RU"/>
        </w:rPr>
      </w:pPr>
      <w:r w:rsidRPr="00F45CFB">
        <w:rPr>
          <w:b/>
          <w:bCs/>
          <w:lang w:val="ru-RU"/>
        </w:rPr>
        <w:t>4)</w:t>
      </w:r>
      <w:r w:rsidR="00D85B34" w:rsidRPr="00794712">
        <w:rPr>
          <w:lang w:val="ru-RU"/>
        </w:rPr>
        <w:t xml:space="preserve"> 不久后又发生了一起类似的事件。有一次，救主来到耶路撒冷的圣殿，犹太人围住祂，迫切地问道：</w:t>
      </w:r>
      <w:r w:rsidR="00D85B34" w:rsidRPr="000F660F">
        <w:rPr>
          <w:i/>
          <w:iCs/>
          <w:lang w:val="ru-RU"/>
        </w:rPr>
        <w:t>“祢还要让我们困惑多久？祢若是基督，就直说吧”</w:t>
      </w:r>
      <w:r w:rsidR="005864AB">
        <w:rPr>
          <w:lang w:val="ru-RU"/>
        </w:rPr>
        <w:t>（</w:t>
      </w:r>
      <w:r w:rsidR="00D85B34" w:rsidRPr="00794712">
        <w:rPr>
          <w:lang w:val="ru-RU"/>
        </w:rPr>
        <w:t>约10</w:t>
      </w:r>
      <w:r w:rsidR="00D85B34" w:rsidRPr="000F660F">
        <w:rPr>
          <w:lang w:val="ru-RU"/>
        </w:rPr>
        <w:t>:</w:t>
      </w:r>
      <w:r w:rsidR="00D85B34" w:rsidRPr="00794712">
        <w:rPr>
          <w:lang w:val="ru-RU"/>
        </w:rPr>
        <w:t xml:space="preserve">24）；当时，祂在回答他们时，其中提到： </w:t>
      </w:r>
      <w:r w:rsidR="00D85B34" w:rsidRPr="000F660F">
        <w:rPr>
          <w:i/>
          <w:iCs/>
          <w:lang w:val="ru-RU"/>
        </w:rPr>
        <w:t>“我与父原为一”</w:t>
      </w:r>
      <w:r w:rsidR="005864AB">
        <w:rPr>
          <w:lang w:val="ru-RU"/>
        </w:rPr>
        <w:t>（约翰福音</w:t>
      </w:r>
      <w:r w:rsidR="00D85B34" w:rsidRPr="00794712">
        <w:rPr>
          <w:lang w:val="ru-RU"/>
        </w:rPr>
        <w:t xml:space="preserve"> 10</w:t>
      </w:r>
      <w:r w:rsidR="00D85B34" w:rsidRPr="000F660F">
        <w:rPr>
          <w:lang w:val="ru-RU"/>
        </w:rPr>
        <w:t>:29</w:t>
      </w:r>
      <w:r w:rsidR="00D85B34" w:rsidRPr="00794712">
        <w:rPr>
          <w:lang w:val="ru-RU"/>
        </w:rPr>
        <w:t>）。 这番话激怒了提问者，以至于他们</w:t>
      </w:r>
      <w:r w:rsidR="00D85B34" w:rsidRPr="000F660F">
        <w:rPr>
          <w:i/>
          <w:iCs/>
          <w:lang w:val="ru-RU"/>
        </w:rPr>
        <w:t>“拿起石头要打祂”，</w:t>
      </w:r>
      <w:r w:rsidR="00D85B34" w:rsidRPr="00794712">
        <w:rPr>
          <w:lang w:val="ru-RU"/>
        </w:rPr>
        <w:t>并补充道：</w:t>
      </w:r>
      <w:r w:rsidR="00D85B34" w:rsidRPr="000F660F">
        <w:rPr>
          <w:i/>
          <w:iCs/>
          <w:lang w:val="ru-RU"/>
        </w:rPr>
        <w:t>“我们不是因你行了什么善事要拿石头打你，乃是因你说僭妄的话；又因你是个人，竟自称为神”</w:t>
      </w:r>
      <w:r w:rsidR="005864AB">
        <w:rPr>
          <w:lang w:val="ru-RU"/>
        </w:rPr>
        <w:t>（约翰</w:t>
      </w:r>
      <w:r w:rsidR="00D85B34">
        <w:rPr>
          <w:lang w:val="ru-RU"/>
        </w:rPr>
        <w:t>福音10:</w:t>
      </w:r>
      <w:r w:rsidR="00D85B34" w:rsidRPr="00794712">
        <w:rPr>
          <w:lang w:val="ru-RU"/>
        </w:rPr>
        <w:t xml:space="preserve">30-33）。 然而，这一次，救主非但没有向犹太人指出，他根本没有像他们所想的那样自称是神——相反，他反而进一步论证了这一观点，直接称自己为与父不可分割的“神的儿子”： </w:t>
      </w:r>
      <w:r w:rsidR="00D85B34" w:rsidRPr="009F2F3E">
        <w:rPr>
          <w:i/>
          <w:iCs/>
          <w:lang w:val="ru-RU"/>
        </w:rPr>
        <w:t>“你们竟对那被父分别为圣、又差到世上来的那位说：‘你亵渎神’，只因我说：‘我是神的儿子’？我若不做我父所做的事，你们就不要信我；我若做了，你们纵然不信我，也要信这些事，好叫你们知道并相信：父在我里面，我也在父里面”</w:t>
      </w:r>
      <w:r w:rsidR="00D85B34">
        <w:rPr>
          <w:lang w:val="ru-RU"/>
        </w:rPr>
        <w:t xml:space="preserve"> </w:t>
      </w:r>
      <w:r w:rsidR="005864AB">
        <w:rPr>
          <w:lang w:val="ru-RU"/>
        </w:rPr>
        <w:t>（约10</w:t>
      </w:r>
      <w:r w:rsidR="00D85B34" w:rsidRPr="009F2F3E">
        <w:rPr>
          <w:lang w:val="ru-RU"/>
        </w:rPr>
        <w:t>:36-38）</w:t>
      </w:r>
      <w:r w:rsidR="00D85B34" w:rsidRPr="00794712">
        <w:rPr>
          <w:lang w:val="ru-RU"/>
        </w:rPr>
        <w:t>。</w:t>
      </w:r>
      <w:r w:rsidR="00D85B34" w:rsidRPr="009F2F3E">
        <w:rPr>
          <w:i/>
          <w:iCs/>
          <w:lang w:val="ru-RU"/>
        </w:rPr>
        <w:t>“那时</w:t>
      </w:r>
      <w:r w:rsidR="00D85B34" w:rsidRPr="00794712">
        <w:rPr>
          <w:lang w:val="ru-RU"/>
        </w:rPr>
        <w:t>，</w:t>
      </w:r>
      <w:r w:rsidR="00D85B34" w:rsidRPr="009F2F3E">
        <w:rPr>
          <w:i/>
          <w:iCs/>
          <w:lang w:val="ru-RU"/>
        </w:rPr>
        <w:t>他们又想要捉拿祂，”</w:t>
      </w:r>
      <w:r w:rsidR="00D85B34" w:rsidRPr="00794712">
        <w:rPr>
          <w:lang w:val="ru-RU"/>
        </w:rPr>
        <w:t>福音书作者接着写道</w:t>
      </w:r>
      <w:r w:rsidR="00D85B34" w:rsidRPr="009F2F3E">
        <w:rPr>
          <w:i/>
          <w:iCs/>
          <w:lang w:val="ru-RU"/>
        </w:rPr>
        <w:t>，“但祂却从他们手中躲开了”</w:t>
      </w:r>
      <w:r w:rsidR="005864AB">
        <w:rPr>
          <w:lang w:val="ru-RU"/>
        </w:rPr>
        <w:t>（约</w:t>
      </w:r>
      <w:r w:rsidR="00D85B34">
        <w:rPr>
          <w:lang w:val="ru-RU"/>
        </w:rPr>
        <w:t>10:</w:t>
      </w:r>
      <w:r w:rsidR="00D85B34" w:rsidRPr="00794712">
        <w:rPr>
          <w:lang w:val="ru-RU"/>
        </w:rPr>
        <w:t>39）。</w:t>
      </w:r>
    </w:p>
    <w:p w14:paraId="4ECB7AD4" w14:textId="77777777" w:rsidR="00D85B34" w:rsidRPr="009D2DBA" w:rsidRDefault="00F45CFB" w:rsidP="00D85B34">
      <w:pPr>
        <w:ind w:firstLine="708"/>
        <w:rPr>
          <w:i/>
          <w:iCs/>
          <w:lang w:val="ru-RU"/>
        </w:rPr>
      </w:pPr>
      <w:r w:rsidRPr="00F45CFB">
        <w:rPr>
          <w:b/>
          <w:bCs/>
          <w:lang w:val="ru-RU"/>
        </w:rPr>
        <w:t>5)</w:t>
      </w:r>
      <w:r w:rsidR="00D85B34" w:rsidRPr="00794712">
        <w:rPr>
          <w:lang w:val="ru-RU"/>
        </w:rPr>
        <w:t xml:space="preserve"> 第三起类似但更为惊人的事件发生在救主临终之前。祂被捆绑着，被带到彼拉多面前受审。 在那里，在听取了许多控告耶稣的假见证人之后，大祭司终于站起来，庄严地问祂：</w:t>
      </w:r>
      <w:r w:rsidR="00D85B34" w:rsidRPr="009D2DBA">
        <w:rPr>
          <w:i/>
          <w:iCs/>
          <w:lang w:val="ru-RU"/>
        </w:rPr>
        <w:t>“我指着永生神起誓，你告诉我们，你是不是基督，神的儿子？</w:t>
      </w:r>
      <w:r w:rsidR="000B336B" w:rsidRPr="000B336B">
        <w:rPr>
          <w:lang w:val="ru-RU"/>
        </w:rPr>
        <w:t>”[</w:t>
      </w:r>
      <w:r w:rsidR="00224D5E">
        <w:rPr>
          <w:lang w:val="ru-RU"/>
        </w:rPr>
        <w:t>(太</w:t>
      </w:r>
      <w:r w:rsidR="00D85B34" w:rsidRPr="00794712">
        <w:rPr>
          <w:lang w:val="ru-RU"/>
        </w:rPr>
        <w:t xml:space="preserve"> 26</w:t>
      </w:r>
      <w:r w:rsidR="00D85B34" w:rsidRPr="009D2DBA">
        <w:rPr>
          <w:lang w:val="ru-RU"/>
        </w:rPr>
        <w:t>:</w:t>
      </w:r>
      <w:r w:rsidR="00D85B34" w:rsidRPr="00794712">
        <w:rPr>
          <w:lang w:val="ru-RU"/>
        </w:rPr>
        <w:t>63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可14</w:t>
      </w:r>
      <w:r w:rsidR="00D85B34" w:rsidRPr="009D2DBA">
        <w:rPr>
          <w:lang w:val="ru-RU"/>
        </w:rPr>
        <w:t>:</w:t>
      </w:r>
      <w:r w:rsidR="00D85B34" w:rsidRPr="00794712">
        <w:rPr>
          <w:lang w:val="ru-RU"/>
        </w:rPr>
        <w:t>61）</w:t>
      </w:r>
      <w:r w:rsidR="000B336B" w:rsidRPr="000B336B">
        <w:rPr>
          <w:lang w:val="ru-RU"/>
        </w:rPr>
        <w:t>]</w:t>
      </w:r>
      <w:r w:rsidR="00D85B34" w:rsidRPr="00794712">
        <w:rPr>
          <w:lang w:val="ru-RU"/>
        </w:rPr>
        <w:t>——耶稣毫不犹豫地回答说：</w:t>
      </w:r>
      <w:r w:rsidR="00D85B34" w:rsidRPr="009D2DBA">
        <w:rPr>
          <w:i/>
          <w:iCs/>
          <w:lang w:val="ru-RU"/>
        </w:rPr>
        <w:t>“我就是；你们将要看见人子坐在全能者的右边，驾着天上的云降临。”</w:t>
      </w:r>
      <w:r w:rsidR="005864AB">
        <w:rPr>
          <w:lang w:val="ru-RU"/>
        </w:rPr>
        <w:t>（</w:t>
      </w:r>
      <w:r w:rsidR="00D85B34" w:rsidRPr="00794712">
        <w:rPr>
          <w:lang w:val="ru-RU"/>
        </w:rPr>
        <w:t>可14</w:t>
      </w:r>
      <w:r w:rsidR="00D85B34" w:rsidRPr="009D2DBA">
        <w:rPr>
          <w:lang w:val="ru-RU"/>
        </w:rPr>
        <w:t>:</w:t>
      </w:r>
      <w:r w:rsidR="00D85B34" w:rsidRPr="00794712">
        <w:rPr>
          <w:lang w:val="ru-RU"/>
        </w:rPr>
        <w:t xml:space="preserve">62） </w:t>
      </w:r>
      <w:r w:rsidR="00D85B34" w:rsidRPr="009D2DBA">
        <w:rPr>
          <w:i/>
          <w:iCs/>
          <w:lang w:val="ru-RU"/>
        </w:rPr>
        <w:t>“那时，大祭司就撕裂自己的衣服，说：‘他说亵渎的话！我们还需要什么见证人呢？看哪，你们现在已经听见他亵渎的话了！你们认为他该怎样？’他们回答说：‘该死</w:t>
      </w:r>
      <w:r w:rsidR="00D85B34" w:rsidRPr="00B364AA">
        <w:rPr>
          <w:i/>
          <w:iCs/>
          <w:lang w:val="ru-RU"/>
        </w:rPr>
        <w:t>。’”</w:t>
      </w:r>
      <w:r w:rsidR="000A57C3">
        <w:rPr>
          <w:lang w:val="ru-RU"/>
        </w:rPr>
        <w:t>（太</w:t>
      </w:r>
      <w:r w:rsidR="00D85B34" w:rsidRPr="00794712">
        <w:rPr>
          <w:lang w:val="ru-RU"/>
        </w:rPr>
        <w:t>26</w:t>
      </w:r>
      <w:r w:rsidR="00D85B34" w:rsidRPr="00B364AA">
        <w:rPr>
          <w:lang w:val="ru-RU"/>
        </w:rPr>
        <w:t>:</w:t>
      </w:r>
      <w:r w:rsidR="00D85B34" w:rsidRPr="00794712">
        <w:rPr>
          <w:lang w:val="ru-RU"/>
        </w:rPr>
        <w:t>65-66）。 随后，犹太人将耶稣带到彼拉多面前，对他说：</w:t>
      </w:r>
      <w:r w:rsidR="00D85B34" w:rsidRPr="00B364AA">
        <w:rPr>
          <w:i/>
          <w:iCs/>
          <w:lang w:val="ru-RU"/>
        </w:rPr>
        <w:t>“我们有律法，照着我们的律法 ，他该死，因为他自称是神的儿子”</w:t>
      </w:r>
      <w:r w:rsidR="005864AB">
        <w:rPr>
          <w:lang w:val="ru-RU"/>
        </w:rPr>
        <w:t>（</w:t>
      </w:r>
      <w:r w:rsidR="00D85B34" w:rsidRPr="00794712">
        <w:rPr>
          <w:lang w:val="ru-RU"/>
        </w:rPr>
        <w:t>约19</w:t>
      </w:r>
      <w:r w:rsidR="00D85B34" w:rsidRPr="00B364AA">
        <w:rPr>
          <w:lang w:val="ru-RU"/>
        </w:rPr>
        <w:t>:</w:t>
      </w:r>
      <w:r w:rsidR="00D85B34" w:rsidRPr="00794712">
        <w:rPr>
          <w:lang w:val="ru-RU"/>
        </w:rPr>
        <w:t>7）。就这样，救主毫不犹豫地以自己的死来证实了他神性的真理。</w:t>
      </w:r>
    </w:p>
    <w:p w14:paraId="6F34072E" w14:textId="77777777" w:rsidR="00D85B34" w:rsidRPr="00794712" w:rsidRDefault="00F45CFB" w:rsidP="00D85B34">
      <w:pPr>
        <w:ind w:firstLine="708"/>
        <w:rPr>
          <w:lang w:val="ru-RU"/>
        </w:rPr>
      </w:pPr>
      <w:r w:rsidRPr="00F45CFB">
        <w:rPr>
          <w:b/>
          <w:bCs/>
          <w:lang w:val="ru-RU"/>
        </w:rPr>
        <w:t>6)</w:t>
      </w:r>
      <w:r w:rsidR="00D85B34" w:rsidRPr="00794712">
        <w:rPr>
          <w:lang w:val="ru-RU"/>
        </w:rPr>
        <w:t xml:space="preserve"> 此外，除了无所不在 </w:t>
      </w:r>
      <w:r w:rsidR="000B336B" w:rsidRPr="000B336B">
        <w:rPr>
          <w:lang w:val="ru-RU"/>
        </w:rPr>
        <w:t>[</w:t>
      </w:r>
      <w:r w:rsidR="005864AB">
        <w:rPr>
          <w:lang w:val="ru-RU"/>
        </w:rPr>
        <w:t>(约</w:t>
      </w:r>
      <w:r w:rsidR="00D85B34" w:rsidRPr="00794712">
        <w:rPr>
          <w:lang w:val="ru-RU"/>
        </w:rPr>
        <w:t xml:space="preserve"> 3</w:t>
      </w:r>
      <w:r w:rsidR="00D85B34" w:rsidRPr="00B364AA">
        <w:rPr>
          <w:lang w:val="ru-RU"/>
        </w:rPr>
        <w:t>:</w:t>
      </w:r>
      <w:r w:rsidR="00D85B34" w:rsidRPr="00794712">
        <w:rPr>
          <w:lang w:val="ru-RU"/>
        </w:rPr>
        <w:t>13</w:t>
      </w:r>
      <w:r w:rsidR="000B336B" w:rsidRPr="000B336B">
        <w:rPr>
          <w:lang w:val="ru-RU"/>
        </w:rPr>
        <w:t>)</w:t>
      </w:r>
      <w:r w:rsidR="00D85B34" w:rsidRPr="00794712">
        <w:rPr>
          <w:lang w:val="ru-RU"/>
        </w:rPr>
        <w:t>；</w:t>
      </w:r>
      <w:r w:rsidR="000B336B" w:rsidRPr="000B336B">
        <w:rPr>
          <w:lang w:val="ru-RU"/>
        </w:rPr>
        <w:t>(</w:t>
      </w:r>
      <w:r w:rsidR="00D85B34" w:rsidRPr="00794712">
        <w:rPr>
          <w:lang w:val="ru-RU"/>
        </w:rPr>
        <w:t>太 18</w:t>
      </w:r>
      <w:r w:rsidR="00D85B34" w:rsidRPr="00B364AA">
        <w:rPr>
          <w:lang w:val="ru-RU"/>
        </w:rPr>
        <w:t>:</w:t>
      </w:r>
      <w:r w:rsidR="00D85B34" w:rsidRPr="00794712">
        <w:rPr>
          <w:lang w:val="ru-RU"/>
        </w:rPr>
        <w:t>20</w:t>
      </w:r>
      <w:r w:rsidR="000B336B" w:rsidRPr="000B336B">
        <w:rPr>
          <w:lang w:val="ru-RU"/>
        </w:rPr>
        <w:t>)</w:t>
      </w:r>
      <w:r w:rsidR="00D85B34" w:rsidRPr="00794712">
        <w:rPr>
          <w:lang w:val="ru-RU"/>
        </w:rPr>
        <w:t>；</w:t>
      </w:r>
      <w:r w:rsidR="00B810D6">
        <w:rPr>
          <w:lang w:val="ru-RU"/>
        </w:rPr>
        <w:t xml:space="preserve"> </w:t>
      </w:r>
      <w:r w:rsidR="000B336B" w:rsidRPr="000B336B">
        <w:rPr>
          <w:lang w:val="ru-RU"/>
        </w:rPr>
        <w:t>（</w:t>
      </w:r>
      <w:r w:rsidR="00B810D6">
        <w:rPr>
          <w:lang w:val="ru-RU"/>
        </w:rPr>
        <w:t>太</w:t>
      </w:r>
      <w:r w:rsidR="00D85B34" w:rsidRPr="00794712">
        <w:rPr>
          <w:lang w:val="ru-RU"/>
        </w:rPr>
        <w:t>28</w:t>
      </w:r>
      <w:r w:rsidR="00D85B34" w:rsidRPr="00B364AA">
        <w:rPr>
          <w:lang w:val="ru-RU"/>
        </w:rPr>
        <w:t>:</w:t>
      </w:r>
      <w:r w:rsidR="00D85B34" w:rsidRPr="00794712">
        <w:rPr>
          <w:lang w:val="ru-RU"/>
        </w:rPr>
        <w:t>20）</w:t>
      </w:r>
      <w:r w:rsidR="000B336B" w:rsidRPr="000B336B">
        <w:rPr>
          <w:lang w:val="ru-RU"/>
        </w:rPr>
        <w:t>]</w:t>
      </w:r>
      <w:r w:rsidR="00D85B34" w:rsidRPr="00794712">
        <w:rPr>
          <w:lang w:val="ru-RU"/>
        </w:rPr>
        <w:t>和独立性</w:t>
      </w:r>
      <w:r w:rsidR="005864AB">
        <w:rPr>
          <w:lang w:val="ru-RU"/>
        </w:rPr>
        <w:t>（</w:t>
      </w:r>
      <w:r w:rsidR="00D85B34" w:rsidRPr="00794712">
        <w:rPr>
          <w:lang w:val="ru-RU"/>
        </w:rPr>
        <w:t>约5</w:t>
      </w:r>
      <w:r w:rsidR="00D85B34" w:rsidRPr="00B364AA">
        <w:rPr>
          <w:lang w:val="ru-RU"/>
        </w:rPr>
        <w:t>:</w:t>
      </w:r>
      <w:r w:rsidR="00D85B34" w:rsidRPr="00794712">
        <w:rPr>
          <w:lang w:val="ru-RU"/>
        </w:rPr>
        <w:t>26）——我们之前已经提到过这些——祂还归于自己其他的神性属性：</w:t>
      </w:r>
      <w:r w:rsidR="00A95A76" w:rsidRPr="00A95A76">
        <w:rPr>
          <w:b/>
          <w:lang w:val="ru-RU"/>
        </w:rPr>
        <w:t>a）</w:t>
      </w:r>
      <w:r w:rsidR="00D85B34" w:rsidRPr="00794712">
        <w:rPr>
          <w:lang w:val="ru-RU"/>
        </w:rPr>
        <w:t>永恒：</w:t>
      </w:r>
      <w:r w:rsidR="00D85B34" w:rsidRPr="00444C4D">
        <w:rPr>
          <w:i/>
          <w:iCs/>
          <w:lang w:val="ru-RU"/>
        </w:rPr>
        <w:t>“我实实在在地告诉你们：在亚伯拉罕出生之前，我就是”</w:t>
      </w:r>
      <w:r w:rsidR="005864AB">
        <w:rPr>
          <w:lang w:val="ru-RU"/>
        </w:rPr>
        <w:t>（</w:t>
      </w:r>
      <w:r w:rsidR="00D85B34" w:rsidRPr="00794712">
        <w:rPr>
          <w:lang w:val="ru-RU"/>
        </w:rPr>
        <w:t>约8</w:t>
      </w:r>
      <w:r w:rsidR="00D85B34" w:rsidRPr="00444C4D">
        <w:rPr>
          <w:lang w:val="ru-RU"/>
        </w:rPr>
        <w:t>:</w:t>
      </w:r>
      <w:r w:rsidR="00D85B34" w:rsidRPr="00794712">
        <w:rPr>
          <w:lang w:val="ru-RU"/>
        </w:rPr>
        <w:t xml:space="preserve">58）； </w:t>
      </w:r>
      <w:r w:rsidR="00D85B34" w:rsidRPr="00444C4D">
        <w:rPr>
          <w:i/>
          <w:iCs/>
          <w:lang w:val="ru-RU"/>
        </w:rPr>
        <w:t>“父啊，现在求你将那我从创世以前在你那里所拥有的荣耀，赐给我，使我在你那里得着荣耀”</w:t>
      </w:r>
      <w:r w:rsidR="005864AB">
        <w:rPr>
          <w:lang w:val="ru-RU"/>
        </w:rPr>
        <w:t>（</w:t>
      </w:r>
      <w:r w:rsidR="00D85B34" w:rsidRPr="00444C4D">
        <w:rPr>
          <w:lang w:val="ru-RU"/>
        </w:rPr>
        <w:t>约17:5</w:t>
      </w:r>
      <w:r w:rsidR="00D85B34" w:rsidRPr="00794712">
        <w:rPr>
          <w:lang w:val="ru-RU"/>
        </w:rPr>
        <w:t>）；</w:t>
      </w:r>
      <w:r w:rsidR="00A95A76" w:rsidRPr="00A95A76">
        <w:rPr>
          <w:b/>
          <w:lang w:val="ru-RU"/>
        </w:rPr>
        <w:t>b）</w:t>
      </w:r>
      <w:r w:rsidR="00D85B34" w:rsidRPr="00794712">
        <w:rPr>
          <w:lang w:val="ru-RU"/>
        </w:rPr>
        <w:t>全能：</w:t>
      </w:r>
      <w:r w:rsidR="00D85B34" w:rsidRPr="00444C4D">
        <w:rPr>
          <w:i/>
          <w:iCs/>
          <w:lang w:val="ru-RU"/>
        </w:rPr>
        <w:t>“我的羊听我的声音，我也认识他们，他们也跟着我。 我赐给他们永生，他们永不灭亡；谁也不能从我手里把他们夺去。那把我赐给他们的父，比万有都大；谁也不能从我父手里把他们夺去。我与父原为一”</w:t>
      </w:r>
      <w:r w:rsidR="005864AB">
        <w:rPr>
          <w:lang w:val="ru-RU"/>
        </w:rPr>
        <w:t>（约翰福音</w:t>
      </w:r>
      <w:r w:rsidR="00D85B34" w:rsidRPr="00794712">
        <w:rPr>
          <w:lang w:val="ru-RU"/>
        </w:rPr>
        <w:t xml:space="preserve"> 10</w:t>
      </w:r>
      <w:r w:rsidR="00D85B34" w:rsidRPr="00444C4D">
        <w:rPr>
          <w:lang w:val="ru-RU"/>
        </w:rPr>
        <w:t>:</w:t>
      </w:r>
      <w:r w:rsidR="00D85B34" w:rsidRPr="00444C4D">
        <w:rPr>
          <w:rFonts w:cs="Cambria Math"/>
          <w:lang w:val="ru-RU"/>
        </w:rPr>
        <w:t>27-30</w:t>
      </w:r>
      <w:r w:rsidR="00D85B34" w:rsidRPr="00794712">
        <w:rPr>
          <w:lang w:val="ru-RU"/>
        </w:rPr>
        <w:t>）；</w:t>
      </w:r>
      <w:r w:rsidR="00A95A76" w:rsidRPr="00A95A76">
        <w:rPr>
          <w:b/>
          <w:lang w:val="ru-RU"/>
        </w:rPr>
        <w:t xml:space="preserve"> c)</w:t>
      </w:r>
      <w:r w:rsidR="00D85B34" w:rsidRPr="00794712">
        <w:rPr>
          <w:lang w:val="ru-RU"/>
        </w:rPr>
        <w:t xml:space="preserve"> 与天父同等的认知：</w:t>
      </w:r>
      <w:r w:rsidR="00D85B34" w:rsidRPr="00444C4D">
        <w:rPr>
          <w:i/>
          <w:iCs/>
          <w:lang w:val="ru-RU"/>
        </w:rPr>
        <w:t>“凡事都由我父交给我了；除了父，没有人认识子；除了子和子所愿意启示的人，也没有人认识父”</w:t>
      </w:r>
      <w:r w:rsidR="006A7A21" w:rsidRPr="006A7A21">
        <w:rPr>
          <w:lang w:val="ru-RU"/>
        </w:rPr>
        <w:t>[</w:t>
      </w:r>
      <w:r w:rsidR="000A57C3">
        <w:rPr>
          <w:lang w:val="ru-RU"/>
        </w:rPr>
        <w:t>(</w:t>
      </w:r>
      <w:r w:rsidR="00D85B34" w:rsidRPr="00794712">
        <w:rPr>
          <w:lang w:val="ru-RU"/>
        </w:rPr>
        <w:t>太11</w:t>
      </w:r>
      <w:r w:rsidR="00D85B34" w:rsidRPr="00444C4D">
        <w:rPr>
          <w:lang w:val="ru-RU"/>
        </w:rPr>
        <w:t>:</w:t>
      </w:r>
      <w:r w:rsidR="00D85B34" w:rsidRPr="00794712">
        <w:rPr>
          <w:lang w:val="ru-RU"/>
        </w:rPr>
        <w:t>27</w:t>
      </w:r>
      <w:r w:rsidR="000B336B" w:rsidRPr="006A7A21">
        <w:rPr>
          <w:lang w:val="ru-RU"/>
        </w:rPr>
        <w:t>)</w:t>
      </w:r>
      <w:r w:rsidR="00D85B34" w:rsidRPr="00794712">
        <w:rPr>
          <w:lang w:val="ru-RU"/>
        </w:rPr>
        <w:t>；</w:t>
      </w:r>
      <w:r w:rsidR="000B336B" w:rsidRPr="006A7A21">
        <w:rPr>
          <w:lang w:val="ru-RU"/>
        </w:rPr>
        <w:t>(</w:t>
      </w:r>
      <w:r w:rsidR="00D85B34" w:rsidRPr="00444C4D">
        <w:rPr>
          <w:lang w:val="ru-RU"/>
        </w:rPr>
        <w:t>约10:15</w:t>
      </w:r>
      <w:r w:rsidR="00D85B34" w:rsidRPr="00794712">
        <w:rPr>
          <w:lang w:val="ru-RU"/>
        </w:rPr>
        <w:t>)</w:t>
      </w:r>
      <w:r w:rsidR="006A7A21" w:rsidRPr="006A7A21">
        <w:rPr>
          <w:lang w:val="ru-RU"/>
        </w:rPr>
        <w:t>]</w:t>
      </w:r>
      <w:r w:rsidR="00D85B34" w:rsidRPr="00794712">
        <w:rPr>
          <w:lang w:val="ru-RU"/>
        </w:rPr>
        <w:t>。</w:t>
      </w:r>
    </w:p>
    <w:p w14:paraId="3A046CB1" w14:textId="77777777" w:rsidR="00D85B34" w:rsidRPr="00794712" w:rsidRDefault="00D85B34" w:rsidP="00D85B34">
      <w:pPr>
        <w:rPr>
          <w:lang w:val="ru-RU"/>
        </w:rPr>
      </w:pPr>
      <w:r w:rsidRPr="00794712">
        <w:rPr>
          <w:lang w:val="ru-RU"/>
        </w:rPr>
        <w:tab/>
      </w:r>
      <w:r w:rsidRPr="00444C4D">
        <w:rPr>
          <w:b/>
          <w:bCs/>
        </w:rPr>
        <w:t>III</w:t>
      </w:r>
      <w:r w:rsidRPr="000B336B">
        <w:rPr>
          <w:b/>
          <w:bCs/>
          <w:lang w:val="ru-RU"/>
        </w:rPr>
        <w:t>.</w:t>
      </w:r>
      <w:r w:rsidRPr="00794712">
        <w:rPr>
          <w:lang w:val="ru-RU"/>
        </w:rPr>
        <w:t xml:space="preserve"> 救主基督如何教导关于祂自己：后来，祂的门徒们也在圣灵的启示下，同样地教导关于祂的事。例如：</w:t>
      </w:r>
    </w:p>
    <w:p w14:paraId="56CA9B3D" w14:textId="77777777" w:rsidR="00D85B34" w:rsidRPr="00794712" w:rsidRDefault="00F45CFB" w:rsidP="00D85B34">
      <w:pPr>
        <w:ind w:firstLine="708"/>
        <w:rPr>
          <w:lang w:val="ru-RU"/>
        </w:rPr>
      </w:pPr>
      <w:r w:rsidRPr="00F45CFB">
        <w:rPr>
          <w:b/>
          <w:bCs/>
          <w:lang w:val="ru-RU"/>
        </w:rPr>
        <w:lastRenderedPageBreak/>
        <w:t>1)</w:t>
      </w:r>
      <w:r w:rsidR="00D85B34" w:rsidRPr="00794712">
        <w:rPr>
          <w:lang w:val="ru-RU"/>
        </w:rPr>
        <w:t xml:space="preserve"> 圣福音书作者马太在描述救主奇妙的受孕时，将以赛亚的预言归于祂：</w:t>
      </w:r>
      <w:r w:rsidR="00D85B34" w:rsidRPr="00920F77">
        <w:rPr>
          <w:i/>
          <w:iCs/>
          <w:lang w:val="ru-RU"/>
        </w:rPr>
        <w:t xml:space="preserve">“看哪，处女将怀孕生子，人要称祂的名为以马内利” </w:t>
      </w:r>
      <w:r w:rsidR="006A7A21" w:rsidRPr="006A7A21">
        <w:rPr>
          <w:lang w:val="ru-RU"/>
        </w:rPr>
        <w:t>[</w:t>
      </w:r>
      <w:r w:rsidR="00224D5E">
        <w:rPr>
          <w:lang w:val="ru-RU"/>
        </w:rPr>
        <w:t>(太</w:t>
      </w:r>
      <w:r w:rsidR="00D85B34" w:rsidRPr="00794712">
        <w:rPr>
          <w:lang w:val="ru-RU"/>
        </w:rPr>
        <w:t xml:space="preserve"> 1</w:t>
      </w:r>
      <w:r w:rsidR="00D85B34">
        <w:rPr>
          <w:lang w:val="ru-RU"/>
        </w:rPr>
        <w:t>:</w:t>
      </w:r>
      <w:r w:rsidR="00D85B34" w:rsidRPr="00794712">
        <w:rPr>
          <w:lang w:val="ru-RU"/>
        </w:rPr>
        <w:t>23</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赛7</w:t>
      </w:r>
      <w:r w:rsidR="00D85B34">
        <w:rPr>
          <w:lang w:val="ru-RU"/>
        </w:rPr>
        <w:t>:</w:t>
      </w:r>
      <w:r w:rsidR="00D85B34" w:rsidRPr="00794712">
        <w:rPr>
          <w:lang w:val="ru-RU"/>
        </w:rPr>
        <w:t>14）</w:t>
      </w:r>
      <w:r w:rsidR="006A7A21" w:rsidRPr="006A7A21">
        <w:rPr>
          <w:lang w:val="ru-RU"/>
        </w:rPr>
        <w:t>]</w:t>
      </w:r>
      <w:r w:rsidR="00D85B34" w:rsidRPr="00794712">
        <w:rPr>
          <w:lang w:val="ru-RU"/>
        </w:rPr>
        <w:t>。</w:t>
      </w:r>
    </w:p>
    <w:p w14:paraId="35B2644E"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圣福音书作者马可以</w:t>
      </w:r>
      <w:r w:rsidR="00D85B34" w:rsidRPr="00920F77">
        <w:rPr>
          <w:i/>
          <w:iCs/>
          <w:lang w:val="ru-RU"/>
        </w:rPr>
        <w:t>“耶稣基督，神的儿子，福音的开端”</w:t>
      </w:r>
      <w:r w:rsidR="00D85B34" w:rsidRPr="00794712">
        <w:rPr>
          <w:lang w:val="ru-RU"/>
        </w:rPr>
        <w:t>开篇</w:t>
      </w:r>
      <w:r w:rsidR="005864AB">
        <w:rPr>
          <w:lang w:val="ru-RU"/>
        </w:rPr>
        <w:t>（可</w:t>
      </w:r>
      <w:r w:rsidR="00D85B34" w:rsidRPr="00794712">
        <w:rPr>
          <w:lang w:val="ru-RU"/>
        </w:rPr>
        <w:t>1</w:t>
      </w:r>
      <w:r w:rsidR="00D85B34">
        <w:rPr>
          <w:lang w:val="ru-RU"/>
        </w:rPr>
        <w:t>:</w:t>
      </w:r>
      <w:r w:rsidR="00D85B34" w:rsidRPr="00794712">
        <w:rPr>
          <w:lang w:val="ru-RU"/>
        </w:rPr>
        <w:t xml:space="preserve">1），随后在叙述救主受洗时说道： </w:t>
      </w:r>
      <w:r w:rsidR="00D85B34" w:rsidRPr="00920F77">
        <w:rPr>
          <w:i/>
          <w:iCs/>
          <w:lang w:val="ru-RU"/>
        </w:rPr>
        <w:t>“祂刚从水里上来，约翰就看见天开了，圣灵仿佛鸽子降在祂身上。又有声音从天上来说：‘你是我的爱子，我喜悦你。’</w:t>
      </w:r>
      <w:r w:rsidR="008A3626">
        <w:rPr>
          <w:lang w:val="ru-RU"/>
        </w:rPr>
        <w:t>”（</w:t>
      </w:r>
      <w:r w:rsidR="00D85B34" w:rsidRPr="00920F77">
        <w:rPr>
          <w:lang w:val="ru-RU"/>
        </w:rPr>
        <w:t>可1:10-11）。</w:t>
      </w:r>
    </w:p>
    <w:p w14:paraId="17BEC274" w14:textId="77777777" w:rsidR="00D85B34" w:rsidRDefault="00F45CFB" w:rsidP="00D85B34">
      <w:pPr>
        <w:ind w:firstLine="708"/>
        <w:rPr>
          <w:lang w:val="ru-RU"/>
        </w:rPr>
      </w:pPr>
      <w:r w:rsidRPr="00F45CFB">
        <w:rPr>
          <w:b/>
          <w:bCs/>
          <w:lang w:val="ru-RU"/>
        </w:rPr>
        <w:t xml:space="preserve">3) </w:t>
      </w:r>
      <w:r w:rsidR="00D85B34" w:rsidRPr="00794712">
        <w:rPr>
          <w:lang w:val="ru-RU"/>
        </w:rPr>
        <w:t>圣路加福音记载了天使对撒迦利亚关于他即将出生的儿子约翰——救主的前驱——所说的预言：</w:t>
      </w:r>
      <w:r w:rsidR="00D85B34" w:rsidRPr="00920F77">
        <w:rPr>
          <w:i/>
          <w:iCs/>
          <w:lang w:val="ru-RU"/>
        </w:rPr>
        <w:t>“……他要使许多以色列人归向他们的主上帝；他要在以利亚的灵和能力中，走在主的前面”</w:t>
      </w:r>
      <w:r w:rsidR="008A3626">
        <w:rPr>
          <w:lang w:val="ru-RU"/>
        </w:rPr>
        <w:t>（路加</w:t>
      </w:r>
      <w:r w:rsidR="00D85B34" w:rsidRPr="00794712">
        <w:rPr>
          <w:lang w:val="ru-RU"/>
        </w:rPr>
        <w:t>福音1</w:t>
      </w:r>
      <w:r w:rsidR="00D85B34" w:rsidRPr="00014E6F">
        <w:rPr>
          <w:lang w:val="ru-RU"/>
        </w:rPr>
        <w:t>:</w:t>
      </w:r>
      <w:r w:rsidR="00D85B34" w:rsidRPr="00794712">
        <w:rPr>
          <w:lang w:val="ru-RU"/>
        </w:rPr>
        <w:t>16-17）。</w:t>
      </w:r>
    </w:p>
    <w:p w14:paraId="0C36A5E0" w14:textId="77777777" w:rsidR="00D85B34" w:rsidRPr="00794712" w:rsidRDefault="00F45CFB" w:rsidP="00D85B34">
      <w:pPr>
        <w:ind w:firstLine="708"/>
        <w:rPr>
          <w:lang w:val="ru-RU"/>
        </w:rPr>
      </w:pPr>
      <w:r w:rsidRPr="00F45CFB">
        <w:rPr>
          <w:b/>
          <w:bCs/>
          <w:lang w:val="ru-RU"/>
        </w:rPr>
        <w:t>4)</w:t>
      </w:r>
      <w:r w:rsidR="00D85B34" w:rsidRPr="00794712">
        <w:rPr>
          <w:lang w:val="ru-RU"/>
        </w:rPr>
        <w:t xml:space="preserve"> 圣约翰·神学家在他的《福音书》开篇写道：</w:t>
      </w:r>
      <w:r w:rsidR="00D85B34" w:rsidRPr="00014E6F">
        <w:rPr>
          <w:i/>
          <w:iCs/>
          <w:lang w:val="ru-RU"/>
        </w:rPr>
        <w:t>“太初有道，道与神同在，道就是神。这道太初与神同在。 万物是藉着祂造的；凡被造的，没有一样不是藉着祂造的”</w:t>
      </w:r>
      <w:r w:rsidR="005864AB">
        <w:rPr>
          <w:lang w:val="ru-RU"/>
        </w:rPr>
        <w:t>（约</w:t>
      </w:r>
      <w:r w:rsidR="00D85B34" w:rsidRPr="00794712">
        <w:rPr>
          <w:lang w:val="ru-RU"/>
        </w:rPr>
        <w:t>1</w:t>
      </w:r>
      <w:r w:rsidR="00D85B34" w:rsidRPr="00B51901">
        <w:rPr>
          <w:lang w:val="ru-RU"/>
        </w:rPr>
        <w:t>:</w:t>
      </w:r>
      <w:r w:rsidR="00D85B34" w:rsidRPr="00794712">
        <w:rPr>
          <w:lang w:val="ru-RU"/>
        </w:rPr>
        <w:t>1-3）。也就是说，他直接称“道”为神，将祂描述为自起初或自永恒以来就存在，有别于圣父，并且创造了万物。 接着写道：</w:t>
      </w:r>
      <w:r w:rsidR="00D85B34" w:rsidRPr="00B51901">
        <w:rPr>
          <w:i/>
          <w:iCs/>
          <w:lang w:val="ru-RU"/>
        </w:rPr>
        <w:t>“道成了肉身，住在我们中间，充充满满地有恩典有真理；我们也见过祂的荣光，正是父独生子的荣光……因为律法是藉着摩西传的；恩典和真理都是藉着耶稣基督来的”</w:t>
      </w:r>
      <w:r w:rsidR="005864AB">
        <w:rPr>
          <w:lang w:val="ru-RU"/>
        </w:rPr>
        <w:t>（约翰</w:t>
      </w:r>
      <w:r w:rsidR="00D85B34">
        <w:rPr>
          <w:lang w:val="ru-RU"/>
        </w:rPr>
        <w:t>福音1:</w:t>
      </w:r>
      <w:r w:rsidR="00D85B34" w:rsidRPr="00794712">
        <w:rPr>
          <w:lang w:val="ru-RU"/>
        </w:rPr>
        <w:t>14-17）。 也就是说，这见证了这道正是天父的独生子，祂道成肉身，祂就是耶稣基督本人。 更进一步：</w:t>
      </w:r>
      <w:r w:rsidR="00D85B34" w:rsidRPr="00B51901">
        <w:rPr>
          <w:i/>
          <w:iCs/>
          <w:lang w:val="ru-RU"/>
        </w:rPr>
        <w:t>“从来没有人看见神，只有在父怀里的独生子将祂显明出来”</w:t>
      </w:r>
      <w:r w:rsidR="005864AB">
        <w:rPr>
          <w:lang w:val="ru-RU"/>
        </w:rPr>
        <w:t>（约</w:t>
      </w:r>
      <w:r w:rsidR="00D85B34">
        <w:rPr>
          <w:lang w:val="ru-RU"/>
        </w:rPr>
        <w:t>1:</w:t>
      </w:r>
      <w:r w:rsidR="00D85B34" w:rsidRPr="00794712">
        <w:rPr>
          <w:lang w:val="ru-RU"/>
        </w:rPr>
        <w:t>18）。也就是说，这表明耶稣基督是真正意义上的独生子，即存在于父怀中的那位。 而在结束他的福音书时，他特别指出，他写作的全部目的</w:t>
      </w:r>
      <w:r w:rsidR="00D85B34">
        <w:rPr>
          <w:lang w:val="ru-RU"/>
        </w:rPr>
        <w:t>正是</w:t>
      </w:r>
      <w:r w:rsidR="00D85B34" w:rsidRPr="00794712">
        <w:rPr>
          <w:lang w:val="ru-RU"/>
        </w:rPr>
        <w:t>为了证明耶稣基督的神性：</w:t>
      </w:r>
      <w:r w:rsidR="00D85B34" w:rsidRPr="00B51901">
        <w:rPr>
          <w:i/>
          <w:iCs/>
          <w:lang w:val="ru-RU"/>
        </w:rPr>
        <w:t>“这些事记下来，是要叫你们信耶稣是基督，是神的儿子，并且叫你们信了祂，就可以因祂的名得生命”</w:t>
      </w:r>
      <w:r w:rsidR="005864AB">
        <w:rPr>
          <w:lang w:val="ru-RU"/>
        </w:rPr>
        <w:t>（约翰</w:t>
      </w:r>
      <w:r w:rsidR="00D85B34" w:rsidRPr="00794712">
        <w:rPr>
          <w:lang w:val="ru-RU"/>
        </w:rPr>
        <w:t>福音20</w:t>
      </w:r>
      <w:r w:rsidR="00D85B34">
        <w:rPr>
          <w:lang w:val="ru-RU"/>
        </w:rPr>
        <w:t>:</w:t>
      </w:r>
      <w:r w:rsidR="00D85B34" w:rsidRPr="00794712">
        <w:rPr>
          <w:lang w:val="ru-RU"/>
        </w:rPr>
        <w:t>31）。 同一位使徒在他第一封书信的开头，称基督这位救主</w:t>
      </w:r>
      <w:r w:rsidR="00D85B34">
        <w:rPr>
          <w:lang w:val="ru-RU"/>
        </w:rPr>
        <w:t>为“生命之道</w:t>
      </w:r>
      <w:r w:rsidR="008A3626">
        <w:rPr>
          <w:lang w:val="ru-RU"/>
        </w:rPr>
        <w:t>”（约壹1</w:t>
      </w:r>
      <w:r w:rsidR="00D85B34">
        <w:rPr>
          <w:lang w:val="ru-RU"/>
        </w:rPr>
        <w:t>:</w:t>
      </w:r>
      <w:r w:rsidR="00D85B34" w:rsidRPr="00794712">
        <w:rPr>
          <w:lang w:val="ru-RU"/>
        </w:rPr>
        <w:t>1），</w:t>
      </w:r>
      <w:r w:rsidR="00D85B34" w:rsidRPr="00342E7E">
        <w:rPr>
          <w:lang w:val="ru-RU"/>
        </w:rPr>
        <w:t>以及“那原在父那里、现在向我们显明的</w:t>
      </w:r>
      <w:r w:rsidR="00D85B34">
        <w:rPr>
          <w:lang w:val="ru-RU"/>
        </w:rPr>
        <w:t>永生”</w:t>
      </w:r>
      <w:r w:rsidR="008A3626">
        <w:rPr>
          <w:lang w:val="ru-RU"/>
        </w:rPr>
        <w:t>（约壹1</w:t>
      </w:r>
      <w:r w:rsidR="00D85B34">
        <w:rPr>
          <w:lang w:val="ru-RU"/>
        </w:rPr>
        <w:t>:2</w:t>
      </w:r>
      <w:r w:rsidR="00D85B34" w:rsidRPr="00794712">
        <w:rPr>
          <w:lang w:val="ru-RU"/>
        </w:rPr>
        <w:t xml:space="preserve">）；而在书信的结尾，他这样说道： </w:t>
      </w:r>
      <w:r w:rsidR="00D85B34" w:rsidRPr="00342E7E">
        <w:rPr>
          <w:i/>
          <w:iCs/>
          <w:lang w:val="ru-RU"/>
        </w:rPr>
        <w:t>“我们也知道，神的儿子已经来了，赐给我们光和智慧，使我们能认识那位真神，并在祂的真儿子耶稣基督里。 祂就是真神，也是永生”</w:t>
      </w:r>
      <w:r w:rsidR="008A3626">
        <w:rPr>
          <w:lang w:val="ru-RU"/>
        </w:rPr>
        <w:t>（《约翰一书》</w:t>
      </w:r>
      <w:r w:rsidR="00D85B34" w:rsidRPr="00342E7E">
        <w:rPr>
          <w:lang w:val="ru-RU"/>
        </w:rPr>
        <w:t>5:20</w:t>
      </w:r>
      <w:r w:rsidR="00D85B34" w:rsidRPr="00794712">
        <w:rPr>
          <w:lang w:val="ru-RU"/>
        </w:rPr>
        <w:t>），在此将先前称为</w:t>
      </w:r>
      <w:r w:rsidR="00D85B34">
        <w:rPr>
          <w:lang w:val="ru-RU"/>
        </w:rPr>
        <w:t>“永生”</w:t>
      </w:r>
      <w:r w:rsidR="00D85B34" w:rsidRPr="00794712">
        <w:rPr>
          <w:lang w:val="ru-RU"/>
        </w:rPr>
        <w:t>的那位，称为“真神的儿子”和“真神”。 最后，《启示录》多次引用向他显现的救主的话：‘我是阿尔法，也是欧米茄；我是初，也是终；我是首先的，也是末后的</w:t>
      </w:r>
      <w:r w:rsidR="006A7A21" w:rsidRPr="006A7A21">
        <w:rPr>
          <w:lang w:val="ru-RU"/>
        </w:rPr>
        <w:t>’[</w:t>
      </w:r>
      <w:r w:rsidR="00D85B34" w:rsidRPr="00794712">
        <w:rPr>
          <w:lang w:val="ru-RU"/>
        </w:rPr>
        <w:t>(</w:t>
      </w:r>
      <w:r w:rsidR="00D85B34">
        <w:rPr>
          <w:lang w:val="ru-RU"/>
        </w:rPr>
        <w:t>启</w:t>
      </w:r>
      <w:r w:rsidR="00D85B34" w:rsidRPr="00794712">
        <w:rPr>
          <w:lang w:val="ru-RU"/>
        </w:rPr>
        <w:t>1</w:t>
      </w:r>
      <w:r w:rsidR="00D85B34">
        <w:rPr>
          <w:lang w:val="ru-RU"/>
        </w:rPr>
        <w:t>:8-10</w:t>
      </w:r>
      <w:r w:rsidR="006A7A21" w:rsidRPr="006A7A21">
        <w:rPr>
          <w:lang w:val="ru-RU"/>
        </w:rPr>
        <w:t>)</w:t>
      </w:r>
      <w:r w:rsidR="00D85B34" w:rsidRPr="00342E7E">
        <w:rPr>
          <w:lang w:val="ru-RU"/>
        </w:rPr>
        <w:t>；</w:t>
      </w:r>
      <w:r w:rsidR="00D85B34" w:rsidRPr="00794712">
        <w:rPr>
          <w:lang w:val="ru-RU"/>
        </w:rPr>
        <w:t xml:space="preserve"> </w:t>
      </w:r>
      <w:r w:rsidR="006A7A21" w:rsidRPr="006A7A21">
        <w:rPr>
          <w:lang w:val="ru-RU"/>
        </w:rPr>
        <w:t>（</w:t>
      </w:r>
      <w:r w:rsidR="00D85B34" w:rsidRPr="00342E7E">
        <w:rPr>
          <w:lang w:val="ru-RU"/>
        </w:rPr>
        <w:t>启1:6</w:t>
      </w:r>
      <w:r w:rsidR="006A7A21" w:rsidRPr="006A7A21">
        <w:rPr>
          <w:lang w:val="ru-RU"/>
        </w:rPr>
        <w:t>）</w:t>
      </w:r>
      <w:r w:rsidR="00D85B34" w:rsidRPr="00342E7E">
        <w:rPr>
          <w:lang w:val="ru-RU"/>
        </w:rPr>
        <w:t>，</w:t>
      </w:r>
      <w:r w:rsidR="006A7A21" w:rsidRPr="006A7A21">
        <w:rPr>
          <w:lang w:val="ru-RU"/>
        </w:rPr>
        <w:t>（</w:t>
      </w:r>
      <w:r w:rsidR="00D85B34" w:rsidRPr="00342E7E">
        <w:rPr>
          <w:lang w:val="ru-RU"/>
        </w:rPr>
        <w:t>启22:13</w:t>
      </w:r>
      <w:r w:rsidR="00D85B34" w:rsidRPr="00794712">
        <w:rPr>
          <w:lang w:val="ru-RU"/>
        </w:rPr>
        <w:t>）</w:t>
      </w:r>
      <w:r w:rsidR="006A7A21" w:rsidRPr="006A7A21">
        <w:rPr>
          <w:lang w:val="ru-RU"/>
        </w:rPr>
        <w:t>]</w:t>
      </w:r>
      <w:r w:rsidR="00D85B34" w:rsidRPr="00794712">
        <w:rPr>
          <w:lang w:val="ru-RU"/>
        </w:rPr>
        <w:t>，并表明基督是</w:t>
      </w:r>
      <w:r w:rsidR="00D85B34" w:rsidRPr="00456759">
        <w:rPr>
          <w:i/>
          <w:iCs/>
          <w:lang w:val="ru-RU"/>
        </w:rPr>
        <w:t>地上诸王的主</w:t>
      </w:r>
      <w:r w:rsidR="00D85B34" w:rsidRPr="00794712">
        <w:rPr>
          <w:lang w:val="ru-RU"/>
        </w:rPr>
        <w:t>（启1</w:t>
      </w:r>
      <w:r w:rsidR="00D85B34">
        <w:rPr>
          <w:lang w:val="ru-RU"/>
        </w:rPr>
        <w:t>:</w:t>
      </w:r>
      <w:r w:rsidR="00D85B34" w:rsidRPr="00794712">
        <w:rPr>
          <w:lang w:val="ru-RU"/>
        </w:rPr>
        <w:t>5），</w:t>
      </w:r>
      <w:r w:rsidR="00D85B34" w:rsidRPr="00456759">
        <w:rPr>
          <w:i/>
          <w:iCs/>
          <w:lang w:val="ru-RU"/>
        </w:rPr>
        <w:t>万王之王、万主之主</w:t>
      </w:r>
      <w:r w:rsidR="006A7A21" w:rsidRPr="006A7A21">
        <w:rPr>
          <w:lang w:val="ru-RU"/>
        </w:rPr>
        <w:t>[</w:t>
      </w:r>
      <w:r w:rsidR="00D85B34" w:rsidRPr="00794712">
        <w:rPr>
          <w:lang w:val="ru-RU"/>
        </w:rPr>
        <w:t>（</w:t>
      </w:r>
      <w:r w:rsidR="00D85B34">
        <w:rPr>
          <w:lang w:val="ru-RU"/>
        </w:rPr>
        <w:t>启17:14</w:t>
      </w:r>
      <w:r w:rsidR="006A7A21" w:rsidRPr="006A7A21">
        <w:rPr>
          <w:lang w:val="ru-RU"/>
        </w:rPr>
        <w:t>）</w:t>
      </w:r>
      <w:r w:rsidR="00D85B34" w:rsidRPr="00456759">
        <w:rPr>
          <w:lang w:val="ru-RU"/>
        </w:rPr>
        <w:t>；</w:t>
      </w:r>
      <w:r w:rsidR="006A7A21" w:rsidRPr="006A7A21">
        <w:rPr>
          <w:lang w:val="ru-RU"/>
        </w:rPr>
        <w:t>（</w:t>
      </w:r>
      <w:r w:rsidR="00D85B34" w:rsidRPr="00794712">
        <w:rPr>
          <w:lang w:val="ru-RU"/>
        </w:rPr>
        <w:t>启19</w:t>
      </w:r>
      <w:r w:rsidR="00D85B34">
        <w:rPr>
          <w:lang w:val="ru-RU"/>
        </w:rPr>
        <w:t>:</w:t>
      </w:r>
      <w:r w:rsidR="00D85B34" w:rsidRPr="00794712">
        <w:rPr>
          <w:lang w:val="ru-RU"/>
        </w:rPr>
        <w:t>16）</w:t>
      </w:r>
      <w:r w:rsidR="006A7A21" w:rsidRPr="006A7A21">
        <w:rPr>
          <w:lang w:val="ru-RU"/>
        </w:rPr>
        <w:t>]</w:t>
      </w:r>
      <w:r w:rsidR="00D85B34" w:rsidRPr="00794712">
        <w:rPr>
          <w:lang w:val="ru-RU"/>
        </w:rPr>
        <w:t>。</w:t>
      </w:r>
    </w:p>
    <w:p w14:paraId="27862BAA" w14:textId="77777777" w:rsidR="00D85B34" w:rsidRPr="00794712" w:rsidRDefault="00F45CFB" w:rsidP="00D85B34">
      <w:pPr>
        <w:ind w:firstLine="708"/>
        <w:rPr>
          <w:lang w:val="ru-RU"/>
        </w:rPr>
      </w:pPr>
      <w:r w:rsidRPr="00F45CFB">
        <w:rPr>
          <w:b/>
          <w:bCs/>
          <w:lang w:val="ru-RU"/>
        </w:rPr>
        <w:t>5)</w:t>
      </w:r>
      <w:r w:rsidR="00D85B34" w:rsidRPr="00794712">
        <w:rPr>
          <w:lang w:val="ru-RU"/>
        </w:rPr>
        <w:t xml:space="preserve"> 使徒犹大在描述异端分子时说：</w:t>
      </w:r>
      <w:r w:rsidR="00D85B34" w:rsidRPr="00B866DB">
        <w:rPr>
          <w:i/>
          <w:iCs/>
          <w:lang w:val="ru-RU"/>
        </w:rPr>
        <w:t>“因为有些人已经潜入你们中间，他们从古时就被定为受审判的，是行不义的，将我们神的恩典当作放纵情欲的借口，并且否认我们唯一的统治者——神和我们的主耶稣基督”</w:t>
      </w:r>
      <w:r w:rsidR="00D85B34" w:rsidRPr="00794712">
        <w:rPr>
          <w:lang w:val="ru-RU"/>
        </w:rPr>
        <w:t>（</w:t>
      </w:r>
      <w:r w:rsidR="00D85B34">
        <w:rPr>
          <w:lang w:val="ru-RU"/>
        </w:rPr>
        <w:t>犹大书 1:</w:t>
      </w:r>
      <w:r w:rsidR="00D85B34" w:rsidRPr="00794712">
        <w:rPr>
          <w:lang w:val="ru-RU"/>
        </w:rPr>
        <w:t>4）。</w:t>
      </w:r>
    </w:p>
    <w:p w14:paraId="6145CF74" w14:textId="77777777" w:rsidR="00D85B34" w:rsidRPr="00794712" w:rsidRDefault="00F45CFB" w:rsidP="00D85B34">
      <w:pPr>
        <w:ind w:firstLine="708"/>
        <w:rPr>
          <w:lang w:val="ru-RU"/>
        </w:rPr>
      </w:pPr>
      <w:r w:rsidRPr="00F45CFB">
        <w:rPr>
          <w:b/>
          <w:bCs/>
          <w:lang w:val="ru-RU"/>
        </w:rPr>
        <w:t>6)</w:t>
      </w:r>
      <w:r w:rsidR="00D85B34" w:rsidRPr="00794712">
        <w:rPr>
          <w:lang w:val="ru-RU"/>
        </w:rPr>
        <w:t xml:space="preserve"> 圣使徒保罗在他的书信中称救主为：道成肉身的上帝</w:t>
      </w:r>
      <w:r w:rsidR="00621F17">
        <w:rPr>
          <w:lang w:val="ru-RU"/>
        </w:rPr>
        <w:t>（提摩太前书</w:t>
      </w:r>
      <w:r w:rsidR="00D85B34" w:rsidRPr="00794712">
        <w:rPr>
          <w:lang w:val="ru-RU"/>
        </w:rPr>
        <w:t xml:space="preserve"> 3</w:t>
      </w:r>
      <w:r w:rsidR="00D85B34">
        <w:rPr>
          <w:lang w:val="ru-RU"/>
        </w:rPr>
        <w:t>:</w:t>
      </w:r>
      <w:r w:rsidR="00D85B34" w:rsidRPr="00794712">
        <w:rPr>
          <w:lang w:val="ru-RU"/>
        </w:rPr>
        <w:t>16）、荣耀的主</w:t>
      </w:r>
      <w:r w:rsidR="00621F17">
        <w:rPr>
          <w:lang w:val="ru-RU"/>
        </w:rPr>
        <w:t>（哥林多前书</w:t>
      </w:r>
      <w:r w:rsidR="00D85B34" w:rsidRPr="00794712">
        <w:rPr>
          <w:lang w:val="ru-RU"/>
        </w:rPr>
        <w:t xml:space="preserve"> 2</w:t>
      </w:r>
      <w:r w:rsidR="00D85B34">
        <w:rPr>
          <w:lang w:val="ru-RU"/>
        </w:rPr>
        <w:t>:</w:t>
      </w:r>
      <w:r w:rsidR="00D85B34" w:rsidRPr="00794712">
        <w:rPr>
          <w:lang w:val="ru-RU"/>
        </w:rPr>
        <w:t>8）、伟大的上帝（提多书 2</w:t>
      </w:r>
      <w:r w:rsidR="00D85B34">
        <w:rPr>
          <w:lang w:val="ru-RU"/>
        </w:rPr>
        <w:t>:</w:t>
      </w:r>
      <w:r w:rsidR="00D85B34" w:rsidRPr="00794712">
        <w:rPr>
          <w:lang w:val="ru-RU"/>
        </w:rPr>
        <w:t>11-13）、蒙福的上帝（罗马书 9</w:t>
      </w:r>
      <w:r w:rsidR="00D85B34">
        <w:rPr>
          <w:lang w:val="ru-RU"/>
        </w:rPr>
        <w:t>:</w:t>
      </w:r>
      <w:r w:rsidR="00D85B34" w:rsidRPr="00794712">
        <w:rPr>
          <w:lang w:val="ru-RU"/>
        </w:rPr>
        <w:t xml:space="preserve">4-5）， </w:t>
      </w:r>
      <w:r w:rsidR="00D85B34" w:rsidRPr="00B866DB">
        <w:rPr>
          <w:i/>
          <w:iCs/>
          <w:lang w:val="ru-RU"/>
        </w:rPr>
        <w:t>“</w:t>
      </w:r>
      <w:r w:rsidR="00D85B34" w:rsidRPr="00794712">
        <w:rPr>
          <w:lang w:val="ru-RU"/>
        </w:rPr>
        <w:t>神独生</w:t>
      </w:r>
      <w:r w:rsidR="00D85B34" w:rsidRPr="00B866DB">
        <w:rPr>
          <w:i/>
          <w:iCs/>
          <w:lang w:val="ru-RU"/>
        </w:rPr>
        <w:t>子”</w:t>
      </w:r>
      <w:r w:rsidR="00D85B34" w:rsidRPr="00794712">
        <w:rPr>
          <w:lang w:val="ru-RU"/>
        </w:rPr>
        <w:t>（</w:t>
      </w:r>
      <w:r w:rsidR="00D85B34" w:rsidRPr="00AA0891">
        <w:t>ίδιον</w:t>
      </w:r>
      <w:r w:rsidR="00D85B34" w:rsidRPr="00794712">
        <w:rPr>
          <w:lang w:val="ru-RU"/>
        </w:rPr>
        <w:t>）（罗8</w:t>
      </w:r>
      <w:r w:rsidR="00D85B34">
        <w:rPr>
          <w:lang w:val="ru-RU"/>
        </w:rPr>
        <w:t>:</w:t>
      </w:r>
      <w:r w:rsidR="00D85B34" w:rsidRPr="00794712">
        <w:rPr>
          <w:lang w:val="ru-RU"/>
        </w:rPr>
        <w:t>32）</w:t>
      </w:r>
      <w:r w:rsidR="00D85B34" w:rsidRPr="00B866DB">
        <w:rPr>
          <w:i/>
          <w:iCs/>
          <w:lang w:val="ru-RU"/>
        </w:rPr>
        <w:t>，“他本有神的形像，并不以自己与神同等为强夺 ”</w:t>
      </w:r>
      <w:r w:rsidR="00D85B34" w:rsidRPr="00794712">
        <w:rPr>
          <w:lang w:val="ru-RU"/>
        </w:rPr>
        <w:t xml:space="preserve"> </w:t>
      </w:r>
      <w:r w:rsidR="001973A6">
        <w:rPr>
          <w:lang w:val="ru-RU"/>
        </w:rPr>
        <w:t>（腓</w:t>
      </w:r>
      <w:r w:rsidR="00D85B34" w:rsidRPr="00794712">
        <w:rPr>
          <w:lang w:val="ru-RU"/>
        </w:rPr>
        <w:t xml:space="preserve"> 2</w:t>
      </w:r>
      <w:r w:rsidR="00D85B34" w:rsidRPr="00B866DB">
        <w:rPr>
          <w:lang w:val="ru-RU"/>
        </w:rPr>
        <w:t>:</w:t>
      </w:r>
      <w:r w:rsidR="00D85B34" w:rsidRPr="00794712">
        <w:rPr>
          <w:lang w:val="ru-RU"/>
        </w:rPr>
        <w:t>6）；赋予祂神的属性：永恒（来 13</w:t>
      </w:r>
      <w:r w:rsidR="00D85B34" w:rsidRPr="00B866DB">
        <w:rPr>
          <w:lang w:val="ru-RU"/>
        </w:rPr>
        <w:t>:</w:t>
      </w:r>
      <w:r w:rsidR="00D85B34" w:rsidRPr="00794712">
        <w:rPr>
          <w:lang w:val="ru-RU"/>
        </w:rPr>
        <w:t>8）、不变（</w:t>
      </w:r>
      <w:r w:rsidR="00D85B34">
        <w:rPr>
          <w:lang w:val="ru-RU"/>
        </w:rPr>
        <w:t>来</w:t>
      </w:r>
      <w:r w:rsidR="00D85B34" w:rsidRPr="00794712">
        <w:rPr>
          <w:lang w:val="ru-RU"/>
        </w:rPr>
        <w:t xml:space="preserve"> 1</w:t>
      </w:r>
      <w:r w:rsidR="00D85B34">
        <w:rPr>
          <w:lang w:val="ru-RU"/>
        </w:rPr>
        <w:t>:</w:t>
      </w:r>
      <w:r w:rsidR="00D85B34" w:rsidRPr="00794712">
        <w:rPr>
          <w:lang w:val="ru-RU"/>
        </w:rPr>
        <w:t>10-12）、全能</w:t>
      </w:r>
      <w:r w:rsidR="006A7A21" w:rsidRPr="006A7A21">
        <w:rPr>
          <w:lang w:val="ru-RU"/>
        </w:rPr>
        <w:t>[</w:t>
      </w:r>
      <w:r w:rsidR="00D85B34" w:rsidRPr="00794712">
        <w:rPr>
          <w:lang w:val="ru-RU"/>
        </w:rPr>
        <w:t>（来 1</w:t>
      </w:r>
      <w:r w:rsidR="00D85B34">
        <w:rPr>
          <w:lang w:val="ru-RU"/>
        </w:rPr>
        <w:t>:</w:t>
      </w:r>
      <w:r w:rsidR="00D85B34" w:rsidRPr="00794712">
        <w:rPr>
          <w:lang w:val="ru-RU"/>
        </w:rPr>
        <w:t>3</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 xml:space="preserve">腓 </w:t>
      </w:r>
      <w:r w:rsidR="00D85B34" w:rsidRPr="00794712">
        <w:rPr>
          <w:lang w:val="ru-RU"/>
        </w:rPr>
        <w:lastRenderedPageBreak/>
        <w:t>3</w:t>
      </w:r>
      <w:r w:rsidR="00D85B34">
        <w:rPr>
          <w:lang w:val="ru-RU"/>
        </w:rPr>
        <w:t>:</w:t>
      </w:r>
      <w:r w:rsidR="00D85B34" w:rsidRPr="00794712">
        <w:rPr>
          <w:lang w:val="ru-RU"/>
        </w:rPr>
        <w:t>21)</w:t>
      </w:r>
      <w:r w:rsidR="006A7A21" w:rsidRPr="006A7A21">
        <w:rPr>
          <w:lang w:val="ru-RU"/>
        </w:rPr>
        <w:t>]</w:t>
      </w:r>
      <w:r w:rsidR="00D85B34" w:rsidRPr="00794712">
        <w:rPr>
          <w:lang w:val="ru-RU"/>
        </w:rPr>
        <w:t>，并说：</w:t>
      </w:r>
      <w:r w:rsidR="00D85B34" w:rsidRPr="00B866DB">
        <w:rPr>
          <w:i/>
          <w:iCs/>
          <w:lang w:val="ru-RU"/>
        </w:rPr>
        <w:t>“因为万有都是藉着祂造的，无论是天上的、地上的，能看见的、不能看见的，或是有位的、主治的、执政的、掌权的，一概都是藉着祂造的，又是为祂造的。”</w:t>
      </w:r>
      <w:r w:rsidR="00D85B34" w:rsidRPr="00794712">
        <w:rPr>
          <w:lang w:val="ru-RU"/>
        </w:rPr>
        <w:t>（西 1</w:t>
      </w:r>
      <w:r w:rsidR="00D85B34" w:rsidRPr="00B866DB">
        <w:rPr>
          <w:lang w:val="ru-RU"/>
        </w:rPr>
        <w:t>:</w:t>
      </w:r>
      <w:r w:rsidR="00D85B34" w:rsidRPr="00794712">
        <w:rPr>
          <w:lang w:val="ru-RU"/>
        </w:rPr>
        <w:t xml:space="preserve">16-17）； </w:t>
      </w:r>
      <w:r w:rsidR="00D85B34" w:rsidRPr="00FF54EF">
        <w:rPr>
          <w:i/>
          <w:iCs/>
          <w:lang w:val="ru-RU"/>
        </w:rPr>
        <w:t xml:space="preserve">“祂在万有之先，万有也靠祂而立” </w:t>
      </w:r>
      <w:r w:rsidR="006A7A21" w:rsidRPr="006A7A21">
        <w:rPr>
          <w:lang w:val="ru-RU"/>
        </w:rPr>
        <w:t>[</w:t>
      </w:r>
      <w:r w:rsidR="00D85B34" w:rsidRPr="00794712">
        <w:rPr>
          <w:lang w:val="ru-RU"/>
        </w:rPr>
        <w:t>(歌罗西书 1</w:t>
      </w:r>
      <w:r w:rsidR="00D85B34" w:rsidRPr="00FF54EF">
        <w:rPr>
          <w:lang w:val="ru-RU"/>
        </w:rPr>
        <w:t>:</w:t>
      </w:r>
      <w:r w:rsidR="00D85B34" w:rsidRPr="00794712">
        <w:rPr>
          <w:lang w:val="ru-RU"/>
        </w:rPr>
        <w:t>17</w:t>
      </w:r>
      <w:r w:rsidR="006A7A21" w:rsidRPr="006A7A21">
        <w:rPr>
          <w:lang w:val="ru-RU"/>
        </w:rPr>
        <w:t>)</w:t>
      </w:r>
      <w:r w:rsidR="00D85B34" w:rsidRPr="00794712">
        <w:rPr>
          <w:lang w:val="ru-RU"/>
        </w:rPr>
        <w:t>；</w:t>
      </w:r>
      <w:r w:rsidR="006A7A21" w:rsidRPr="006A7A21">
        <w:rPr>
          <w:lang w:val="ru-RU"/>
        </w:rPr>
        <w:t>(</w:t>
      </w:r>
      <w:r w:rsidR="00D85B34" w:rsidRPr="00794712">
        <w:rPr>
          <w:lang w:val="ru-RU"/>
        </w:rPr>
        <w:t>希伯来书 1</w:t>
      </w:r>
      <w:r w:rsidR="00D85B34" w:rsidRPr="00FF54EF">
        <w:rPr>
          <w:lang w:val="ru-RU"/>
        </w:rPr>
        <w:t>:</w:t>
      </w:r>
      <w:r w:rsidR="00D85B34" w:rsidRPr="00794712">
        <w:rPr>
          <w:lang w:val="ru-RU"/>
        </w:rPr>
        <w:t>3)</w:t>
      </w:r>
      <w:r w:rsidR="006A7A21" w:rsidRPr="006A7A21">
        <w:rPr>
          <w:lang w:val="ru-RU"/>
        </w:rPr>
        <w:t>]</w:t>
      </w:r>
      <w:r w:rsidR="00D85B34" w:rsidRPr="00794712">
        <w:rPr>
          <w:lang w:val="ru-RU"/>
        </w:rPr>
        <w:t>。</w:t>
      </w:r>
      <w:r w:rsidR="005864AB">
        <w:rPr>
          <w:rStyle w:val="FootnoteReference"/>
          <w:lang w:val="ru-RU"/>
        </w:rPr>
        <w:footnoteReference w:id="101"/>
      </w:r>
    </w:p>
    <w:p w14:paraId="4E3485E8" w14:textId="77777777" w:rsidR="00D85B34" w:rsidRPr="00794712" w:rsidRDefault="00D85B34" w:rsidP="00D85B34">
      <w:pPr>
        <w:rPr>
          <w:lang w:val="ru-RU"/>
        </w:rPr>
      </w:pPr>
      <w:r w:rsidRPr="00794712">
        <w:rPr>
          <w:lang w:val="ru-RU"/>
        </w:rPr>
        <w:tab/>
      </w:r>
      <w:r w:rsidRPr="00E36592">
        <w:rPr>
          <w:b/>
          <w:bCs/>
        </w:rPr>
        <w:t>IV</w:t>
      </w:r>
      <w:r w:rsidRPr="006A7A21">
        <w:rPr>
          <w:b/>
          <w:bCs/>
          <w:lang w:val="ru-RU"/>
        </w:rPr>
        <w:t>.</w:t>
      </w:r>
      <w:r w:rsidRPr="00794712">
        <w:rPr>
          <w:lang w:val="ru-RU"/>
        </w:rPr>
        <w:t xml:space="preserve"> 继救主基督和圣使徒之后，自基督教诞生之初，所有教会教师便一致教导祂的神性。以下列举若干</w:t>
      </w:r>
      <w:r w:rsidR="005864AB">
        <w:rPr>
          <w:rStyle w:val="FootnoteReference"/>
          <w:lang w:val="ru-RU"/>
        </w:rPr>
        <w:footnoteReference w:id="102"/>
      </w:r>
      <w:r w:rsidRPr="00794712">
        <w:rPr>
          <w:lang w:val="ru-RU"/>
        </w:rPr>
        <w:t xml:space="preserve"> 的见证：</w:t>
      </w:r>
    </w:p>
    <w:p w14:paraId="5001FD48"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使徒时代的圣徒。</w:t>
      </w:r>
    </w:p>
    <w:p w14:paraId="775E917D" w14:textId="77777777" w:rsidR="00D85B34" w:rsidRPr="00794712" w:rsidRDefault="00D85B34" w:rsidP="00D85B34">
      <w:pPr>
        <w:rPr>
          <w:lang w:val="ru-RU"/>
        </w:rPr>
      </w:pPr>
      <w:r w:rsidRPr="00794712">
        <w:rPr>
          <w:lang w:val="ru-RU"/>
        </w:rPr>
        <w:tab/>
        <w:t>圣伊格纳提乌斯·神载者在致特拉利亚人的书信中写道：“当提防此类（异端分子）。若你们不自高自大，不背离上帝——耶稣基督、主教以及使徒的诫命，便能免受他们的侵害。</w:t>
      </w:r>
      <w:r>
        <w:rPr>
          <w:lang w:val="ru-RU"/>
        </w:rPr>
        <w:t>”</w:t>
      </w:r>
      <w:r w:rsidR="005864AB">
        <w:rPr>
          <w:rStyle w:val="FootnoteReference"/>
          <w:lang w:val="ru-RU"/>
        </w:rPr>
        <w:footnoteReference w:id="103"/>
      </w:r>
      <w:r w:rsidRPr="00794712">
        <w:rPr>
          <w:lang w:val="ru-RU"/>
        </w:rPr>
        <w:t xml:space="preserve"> 在致以弗所基督徒的书信中写道：“一切不义的枷锁已被打破；无知已被推翻；随着上帝以人的形象（</w:t>
      </w:r>
      <w:r w:rsidRPr="00AA0891">
        <w:t>Θεού</w:t>
      </w:r>
      <w:r w:rsidRPr="0097554A">
        <w:rPr>
          <w:lang w:val="ru-RU"/>
        </w:rPr>
        <w:t xml:space="preserve"> </w:t>
      </w:r>
      <w:r w:rsidRPr="00AA0891">
        <w:t>άνθρωπίνως</w:t>
      </w:r>
      <w:r w:rsidRPr="00794712">
        <w:rPr>
          <w:lang w:val="ru-RU"/>
        </w:rPr>
        <w:t>）显现，古老的王国已被摧毁，为的是新的、永恒</w:t>
      </w:r>
      <w:r w:rsidRPr="00EE714A">
        <w:rPr>
          <w:lang w:val="ru-RU"/>
        </w:rPr>
        <w:t>的生命”……</w:t>
      </w:r>
      <w:r w:rsidRPr="00794712">
        <w:rPr>
          <w:lang w:val="ru-RU"/>
        </w:rPr>
        <w:t xml:space="preserve"> “你们所有人，无一例外，在恩典的帮助下，都联合于同一信仰和同一位耶稣基督——祂按肉体出自大卫的后裔，是人子，也是神的儿子。</w:t>
      </w:r>
      <w:r>
        <w:rPr>
          <w:lang w:val="ru-RU"/>
        </w:rPr>
        <w:t>”</w:t>
      </w:r>
      <w:r w:rsidR="005864AB">
        <w:rPr>
          <w:rStyle w:val="FootnoteReference"/>
          <w:lang w:val="ru-RU"/>
        </w:rPr>
        <w:footnoteReference w:id="104"/>
      </w:r>
      <w:r w:rsidRPr="00794712">
        <w:rPr>
          <w:lang w:val="ru-RU"/>
        </w:rPr>
        <w:t xml:space="preserve"> 在致罗马教会的书信中：“伊格纳提乌斯，亦被称为‘神之承载者’，蒙至高之神及其独生子耶稣基督的仁慈眷顾， 致蒙爱的教会，你们因那位喜悦一切出于我们上帝耶稣基督之爱的作为者的旨意而蒙光照——愿你们在我们上帝耶稣基督里，以至高无上的纯全喜乐而欢欣</w:t>
      </w:r>
      <w:r>
        <w:rPr>
          <w:lang w:val="ru-RU"/>
        </w:rPr>
        <w:t>。”</w:t>
      </w:r>
      <w:r w:rsidR="00224D5E">
        <w:rPr>
          <w:rStyle w:val="FootnoteReference"/>
          <w:lang w:val="ru-RU"/>
        </w:rPr>
        <w:footnoteReference w:id="105"/>
      </w:r>
    </w:p>
    <w:p w14:paraId="02005C8E" w14:textId="77777777" w:rsidR="00D85B34" w:rsidRPr="00794712" w:rsidRDefault="00D85B34" w:rsidP="00D85B34">
      <w:pPr>
        <w:rPr>
          <w:lang w:val="ru-RU"/>
        </w:rPr>
      </w:pPr>
      <w:r w:rsidRPr="00794712">
        <w:rPr>
          <w:lang w:val="ru-RU"/>
        </w:rPr>
        <w:tab/>
        <w:t>圣波利卡普在致腓立比人的书信中，以如下话语向他们致意：“波利卡普，以及与他同在的腓立比上帝教会中的长老们：愿来自耶稣基督——全能的上帝、我们的主和救主——的恩典与平安，加倍地临到你们</w:t>
      </w:r>
      <w:r>
        <w:rPr>
          <w:lang w:val="ru-RU"/>
        </w:rPr>
        <w:t>。”</w:t>
      </w:r>
      <w:r w:rsidR="00224D5E">
        <w:rPr>
          <w:rStyle w:val="FootnoteReference"/>
          <w:lang w:val="ru-RU"/>
        </w:rPr>
        <w:footnoteReference w:id="106"/>
      </w:r>
    </w:p>
    <w:p w14:paraId="62EB55AD" w14:textId="77777777" w:rsidR="00D85B34" w:rsidRPr="00794712" w:rsidRDefault="00D85B34" w:rsidP="00D85B34">
      <w:pPr>
        <w:rPr>
          <w:lang w:val="ru-RU"/>
        </w:rPr>
      </w:pPr>
      <w:r w:rsidRPr="00794712">
        <w:rPr>
          <w:lang w:val="ru-RU"/>
        </w:rPr>
        <w:tab/>
        <w:t>这位被称为《致迪奥尼修斯书》作者的使徒式人物说道：</w:t>
      </w:r>
      <w:r>
        <w:rPr>
          <w:lang w:val="ru-RU"/>
        </w:rPr>
        <w:t>“</w:t>
      </w:r>
      <w:r w:rsidRPr="00794712">
        <w:rPr>
          <w:lang w:val="ru-RU"/>
        </w:rPr>
        <w:t>（</w:t>
      </w:r>
      <w:r w:rsidR="00A95A76" w:rsidRPr="00A95A76">
        <w:rPr>
          <w:b/>
          <w:lang w:val="ru-RU"/>
        </w:rPr>
        <w:t>上帝）</w:t>
      </w:r>
      <w:r w:rsidRPr="00794712">
        <w:rPr>
          <w:lang w:val="ru-RU"/>
        </w:rPr>
        <w:t>亲自将祂的儿子交出来，为要赎我们——圣者为不法者，无辜者为有罪者，义者为不义者，不朽者为朽坏者，不死者为必死者。 因为除了祂的公义，还有什么能遮盖我们的罪呢？除了独一的上帝之子，还有谁能使你们这些悖逆不义之人称义呢？</w:t>
      </w:r>
      <w:r>
        <w:rPr>
          <w:lang w:val="ru-RU"/>
        </w:rPr>
        <w:t>”</w:t>
      </w:r>
      <w:r w:rsidR="00A619D0">
        <w:rPr>
          <w:rStyle w:val="FootnoteReference"/>
          <w:lang w:val="ru-RU"/>
        </w:rPr>
        <w:footnoteReference w:id="107"/>
      </w:r>
    </w:p>
    <w:p w14:paraId="7942C07D"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二、三世纪的教父与导师：</w:t>
      </w:r>
    </w:p>
    <w:p w14:paraId="10DF68CF" w14:textId="77777777" w:rsidR="00D85B34" w:rsidRPr="00794712" w:rsidRDefault="00D85B34" w:rsidP="00D85B34">
      <w:pPr>
        <w:rPr>
          <w:lang w:val="ru-RU"/>
        </w:rPr>
      </w:pPr>
      <w:r w:rsidRPr="00794712">
        <w:rPr>
          <w:lang w:val="ru-RU"/>
        </w:rPr>
        <w:tab/>
        <w:t>圣殉道者尤斯丁说：</w:t>
      </w:r>
      <w:r w:rsidRPr="00D01639">
        <w:rPr>
          <w:i/>
          <w:iCs/>
          <w:lang w:val="ru-RU"/>
        </w:rPr>
        <w:t>“‘我们要照着我们的形象、按着我们的</w:t>
      </w:r>
      <w:r>
        <w:rPr>
          <w:i/>
          <w:iCs/>
          <w:lang w:val="ru-RU"/>
        </w:rPr>
        <w:t>样式造人……</w:t>
      </w:r>
      <w:r w:rsidRPr="00794712">
        <w:rPr>
          <w:lang w:val="ru-RU"/>
        </w:rPr>
        <w:t>’（创世记1</w:t>
      </w:r>
      <w:r>
        <w:rPr>
          <w:lang w:val="ru-RU"/>
        </w:rPr>
        <w:t>:</w:t>
      </w:r>
      <w:r w:rsidRPr="00794712">
        <w:rPr>
          <w:lang w:val="ru-RU"/>
        </w:rPr>
        <w:t>26-27）</w:t>
      </w:r>
      <w:r w:rsidRPr="00D01639">
        <w:rPr>
          <w:i/>
          <w:iCs/>
          <w:lang w:val="ru-RU"/>
        </w:rPr>
        <w:t>，‘神就照着神的</w:t>
      </w:r>
      <w:r w:rsidRPr="00794712">
        <w:rPr>
          <w:lang w:val="ru-RU"/>
        </w:rPr>
        <w:t>形象造人’，这神的话语指向神的独生子，启示我们应当称祂为神。</w:t>
      </w:r>
      <w:r>
        <w:rPr>
          <w:lang w:val="ru-RU"/>
        </w:rPr>
        <w:t>”</w:t>
      </w:r>
      <w:r w:rsidR="00A619D0">
        <w:rPr>
          <w:rStyle w:val="FootnoteReference"/>
          <w:lang w:val="ru-RU"/>
        </w:rPr>
        <w:footnoteReference w:id="108"/>
      </w:r>
    </w:p>
    <w:p w14:paraId="65C4882A" w14:textId="77777777" w:rsidR="00D85B34" w:rsidRPr="00794712" w:rsidRDefault="00D85B34" w:rsidP="00D85B34">
      <w:pPr>
        <w:rPr>
          <w:lang w:val="ru-RU"/>
        </w:rPr>
      </w:pPr>
      <w:r w:rsidRPr="00794712">
        <w:rPr>
          <w:lang w:val="ru-RU"/>
        </w:rPr>
        <w:tab/>
        <w:t xml:space="preserve">圣爱任纽作证说，在他那个时代，整个教会都相信： “信独一基督耶稣，即为我们的救恩道成肉身的上帝之子；并信圣灵，祂曾藉先知预言了我们所爱的主耶稣基督—— </w:t>
      </w:r>
      <w:r w:rsidRPr="00794712">
        <w:rPr>
          <w:lang w:val="ru-RU"/>
        </w:rPr>
        <w:lastRenderedPageBreak/>
        <w:t>我们的主，以及祂将在父的荣耀中从天降临，以统领万有（弗1</w:t>
      </w:r>
      <w:r>
        <w:rPr>
          <w:lang w:val="ru-RU"/>
        </w:rPr>
        <w:t>:</w:t>
      </w:r>
      <w:r w:rsidRPr="00794712">
        <w:rPr>
          <w:lang w:val="ru-RU"/>
        </w:rPr>
        <w:t>10），使天上、地上和阴间的一切膝盖，都在看不见的父的旨意下，向我们的主、我们的神、救主和君王耶稣基督屈膝。</w:t>
      </w:r>
      <w:r w:rsidR="00A619D0">
        <w:rPr>
          <w:rStyle w:val="FootnoteReference"/>
          <w:lang w:val="ru-RU"/>
        </w:rPr>
        <w:footnoteReference w:id="109"/>
      </w:r>
    </w:p>
    <w:p w14:paraId="3FA8B196" w14:textId="77777777" w:rsidR="00D85B34" w:rsidRPr="00794712" w:rsidRDefault="00D85B34" w:rsidP="00D85B34">
      <w:pPr>
        <w:rPr>
          <w:lang w:val="ru-RU"/>
        </w:rPr>
      </w:pPr>
      <w:r w:rsidRPr="00794712">
        <w:rPr>
          <w:lang w:val="ru-RU"/>
        </w:rPr>
        <w:tab/>
        <w:t>圣希波吕托斯，圣爱任纽的门徒：“为了我们，万有的上帝成了人，好叫祂借着那能受苦的肉身受苦，赎回我们这被交于死亡的整个人类；同时，祂又借着肉身，以无情欲的神性行神迹，将我们提升至不朽且蒙福的生命中</w:t>
      </w:r>
      <w:r>
        <w:rPr>
          <w:lang w:val="ru-RU"/>
        </w:rPr>
        <w:t>。”</w:t>
      </w:r>
      <w:r w:rsidR="007608BF">
        <w:rPr>
          <w:rStyle w:val="FootnoteReference"/>
          <w:lang w:val="ru-RU"/>
        </w:rPr>
        <w:footnoteReference w:id="110"/>
      </w:r>
    </w:p>
    <w:p w14:paraId="45B1AAC6" w14:textId="77777777" w:rsidR="00D85B34" w:rsidRPr="00794712" w:rsidRDefault="00D85B34" w:rsidP="00D85B34">
      <w:pPr>
        <w:rPr>
          <w:lang w:val="ru-RU"/>
        </w:rPr>
      </w:pPr>
      <w:r w:rsidRPr="00794712">
        <w:rPr>
          <w:lang w:val="ru-RU"/>
        </w:rPr>
        <w:tab/>
        <w:t>亚历山大的圣狄奥尼修斯：“从来没有一个时候，上帝不是父——我承认，基督作为道、智慧和能力，具有永恒的存在。 天父是永恒之光，从未开始，也永不终止：因此，在他之前、与他同在的，是那无始且永恒从他而生、彰显他的光辉……既然天父是永恒的，那么圣子也是永恒的，正如光从光而生</w:t>
      </w:r>
      <w:r>
        <w:rPr>
          <w:lang w:val="ru-RU"/>
        </w:rPr>
        <w:t>。”</w:t>
      </w:r>
      <w:r w:rsidR="007608BF">
        <w:rPr>
          <w:rStyle w:val="FootnoteReference"/>
          <w:lang w:val="ru-RU"/>
        </w:rPr>
        <w:footnoteReference w:id="111"/>
      </w:r>
    </w:p>
    <w:p w14:paraId="4BF13B41" w14:textId="77777777" w:rsidR="00D85B34" w:rsidRPr="00794712" w:rsidRDefault="00D85B34" w:rsidP="00D85B34">
      <w:pPr>
        <w:rPr>
          <w:lang w:val="ru-RU"/>
        </w:rPr>
      </w:pPr>
      <w:r w:rsidRPr="00794712">
        <w:rPr>
          <w:lang w:val="ru-RU"/>
        </w:rPr>
        <w:tab/>
        <w:t>圣梅福迪乌斯</w:t>
      </w:r>
      <w:r w:rsidR="00A95A76" w:rsidRPr="00A95A76">
        <w:rPr>
          <w:b/>
          <w:lang w:val="ru-RU"/>
        </w:rPr>
        <w:t xml:space="preserve">·帕塔尔斯基——a) </w:t>
      </w:r>
      <w:r w:rsidRPr="00794712">
        <w:rPr>
          <w:lang w:val="ru-RU"/>
        </w:rPr>
        <w:t>在关于西缅和安娜的讲道中：“未婚的童贞女生下了长子，即从父所生的独生子；我说，她生下了那位在至高之处无母而从唯一之父的本质中显现的光芒</w:t>
      </w:r>
      <w:r w:rsidR="00A95A76" w:rsidRPr="00A95A76">
        <w:rPr>
          <w:b/>
          <w:lang w:val="ru-RU"/>
        </w:rPr>
        <w:t>；</w:t>
      </w:r>
      <w:r>
        <w:rPr>
          <w:lang w:val="ru-RU"/>
        </w:rPr>
        <w:t>”</w:t>
      </w:r>
      <w:r w:rsidR="007608BF">
        <w:rPr>
          <w:rStyle w:val="FootnoteReference"/>
          <w:lang w:val="ru-RU"/>
        </w:rPr>
        <w:footnoteReference w:id="112"/>
      </w:r>
      <w:r w:rsidR="00A95A76" w:rsidRPr="00A95A76">
        <w:rPr>
          <w:b/>
          <w:lang w:val="ru-RU"/>
        </w:rPr>
        <w:t xml:space="preserve"> b) </w:t>
      </w:r>
      <w:r w:rsidRPr="00794712">
        <w:rPr>
          <w:lang w:val="ru-RU"/>
        </w:rPr>
        <w:t>在瓦伊周的讲道中： “奉主之名而来的</w:t>
      </w:r>
      <w:r>
        <w:rPr>
          <w:lang w:val="ru-RU"/>
        </w:rPr>
        <w:t>，</w:t>
      </w:r>
      <w:r w:rsidRPr="00794712">
        <w:rPr>
          <w:lang w:val="ru-RU"/>
        </w:rPr>
        <w:t>是应当称颂</w:t>
      </w:r>
      <w:r>
        <w:rPr>
          <w:lang w:val="ru-RU"/>
        </w:rPr>
        <w:t>的</w:t>
      </w:r>
      <w:r w:rsidRPr="00794712">
        <w:rPr>
          <w:lang w:val="ru-RU"/>
        </w:rPr>
        <w:t>——真神奉真神之名，全能者源于全能者，圣子奉圣父之名，真王源于真王，祂的国度与生祂者一样，是永恒的、自古</w:t>
      </w:r>
      <w:r w:rsidRPr="00FF325F">
        <w:rPr>
          <w:lang w:val="ru-RU"/>
        </w:rPr>
        <w:t>以来的……</w:t>
      </w:r>
      <w:r w:rsidRPr="00794712">
        <w:rPr>
          <w:lang w:val="ru-RU"/>
        </w:rPr>
        <w:t xml:space="preserve"> 因此，异端者啊，当惧怕毁灭基督的国度，以免亵渎那生他的父。而你，信徒啊，当怀着信心归向基督——我们真正的上帝。</w:t>
      </w:r>
      <w:r>
        <w:rPr>
          <w:lang w:val="ru-RU"/>
        </w:rPr>
        <w:t>”</w:t>
      </w:r>
      <w:r w:rsidR="007608BF">
        <w:rPr>
          <w:rStyle w:val="FootnoteReference"/>
          <w:lang w:val="ru-RU"/>
        </w:rPr>
        <w:footnoteReference w:id="113"/>
      </w:r>
    </w:p>
    <w:p w14:paraId="007B17D7" w14:textId="77777777" w:rsidR="00D85B34" w:rsidRPr="00794712" w:rsidRDefault="00D85B34" w:rsidP="00D85B34">
      <w:pPr>
        <w:rPr>
          <w:lang w:val="ru-RU"/>
        </w:rPr>
      </w:pPr>
      <w:r w:rsidRPr="00794712">
        <w:rPr>
          <w:lang w:val="ru-RU"/>
        </w:rPr>
        <w:tab/>
        <w:t>最后，让我们回顾一下：公元三世纪，安提阿大公会议捍卫了关于基督耶稣作为真神的独生子、真神的教义，反对萨莫萨的保罗的异端学说（</w:t>
      </w:r>
      <w:r>
        <w:rPr>
          <w:lang w:val="ru-RU"/>
        </w:rPr>
        <w:t>公元269年</w:t>
      </w:r>
      <w:r w:rsidRPr="00794712">
        <w:rPr>
          <w:lang w:val="ru-RU"/>
        </w:rPr>
        <w:t>）；而在公元四世纪，尼西亚大公会议—— 作为第一次普世大公会议，捍卫并确立了主耶稣基督——上帝之子——与天父同为真神、同质一体的教义，以对抗阿里乌斯（325年）。</w:t>
      </w:r>
    </w:p>
    <w:p w14:paraId="0D4E43D0" w14:textId="77777777" w:rsidR="00C62F0D" w:rsidRPr="00BD6C1B" w:rsidRDefault="00C62F0D" w:rsidP="00C62F0D">
      <w:pPr>
        <w:rPr>
          <w:lang w:val="ru-RU"/>
        </w:rPr>
      </w:pPr>
      <w:bookmarkStart w:id="126" w:name="_Toc133155564"/>
    </w:p>
    <w:p w14:paraId="0E8C3897" w14:textId="77777777" w:rsidR="00D85B34" w:rsidRPr="00794712" w:rsidRDefault="00D85B34" w:rsidP="007B240B">
      <w:pPr>
        <w:pStyle w:val="Heading5"/>
        <w:rPr>
          <w:lang w:val="ru-RU"/>
        </w:rPr>
      </w:pPr>
      <w:bookmarkStart w:id="127" w:name="_Toc180664577"/>
      <w:bookmarkStart w:id="128" w:name="_Toc180679198"/>
      <w:bookmarkStart w:id="129" w:name="_Toc180679255"/>
      <w:bookmarkStart w:id="130" w:name="_Toc180679778"/>
      <w:bookmarkStart w:id="131" w:name="_Toc238453661"/>
      <w:bookmarkStart w:id="132" w:name="_Toc238576477"/>
      <w:r w:rsidRPr="00794712">
        <w:rPr>
          <w:lang w:val="ru-RU"/>
        </w:rPr>
        <w:t>§134. 主耶稣具有人性，正是圣母玛利亚之子</w:t>
      </w:r>
      <w:bookmarkEnd w:id="126"/>
      <w:bookmarkEnd w:id="127"/>
      <w:bookmarkEnd w:id="128"/>
      <w:bookmarkEnd w:id="129"/>
      <w:bookmarkEnd w:id="130"/>
      <w:bookmarkEnd w:id="131"/>
      <w:bookmarkEnd w:id="132"/>
    </w:p>
    <w:p w14:paraId="3463B669" w14:textId="77777777" w:rsidR="00D85B34" w:rsidRPr="00794712" w:rsidRDefault="00D85B34" w:rsidP="00D85B34">
      <w:pPr>
        <w:ind w:firstLine="708"/>
        <w:rPr>
          <w:lang w:val="ru-RU"/>
        </w:rPr>
      </w:pPr>
      <w:r w:rsidRPr="00794712">
        <w:rPr>
          <w:lang w:val="ru-RU"/>
        </w:rPr>
        <w:t>作为完全的神，救主基督同时也是完全的人，在神性上与圣父同质，在人性上与我们同质，是至圣童贞女玛利亚之子（《东正教信条》第一卷，对第38个问题的回答）。</w:t>
      </w:r>
    </w:p>
    <w:p w14:paraId="7059A927" w14:textId="77777777" w:rsidR="00D85B34" w:rsidRPr="00794712" w:rsidRDefault="00D85B34" w:rsidP="00D85B34">
      <w:pPr>
        <w:ind w:firstLine="708"/>
        <w:rPr>
          <w:lang w:val="ru-RU"/>
        </w:rPr>
      </w:pPr>
      <w:r w:rsidRPr="003009D8">
        <w:rPr>
          <w:b/>
          <w:bCs/>
        </w:rPr>
        <w:t>I</w:t>
      </w:r>
      <w:r w:rsidRPr="003009D8">
        <w:rPr>
          <w:lang w:val="ru-RU"/>
        </w:rPr>
        <w:t>.</w:t>
      </w:r>
      <w:r w:rsidRPr="00794712">
        <w:rPr>
          <w:lang w:val="ru-RU"/>
        </w:rPr>
        <w:t xml:space="preserve"> 这一真理在圣经中得到了极其详尽的阐明，且显而易见：</w:t>
      </w:r>
    </w:p>
    <w:p w14:paraId="3ABB3EE8"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来自《旧约》中关于弥赛亚的应许和预言。在这里，弥赛亚被称为“女人的后裔”（创世记 3</w:t>
      </w:r>
      <w:r w:rsidR="00D85B34" w:rsidRPr="003009D8">
        <w:rPr>
          <w:lang w:val="ru-RU"/>
        </w:rPr>
        <w:t>:</w:t>
      </w:r>
      <w:r w:rsidR="00D85B34" w:rsidRPr="00794712">
        <w:rPr>
          <w:lang w:val="ru-RU"/>
        </w:rPr>
        <w:t>16）、“亚伯拉罕的</w:t>
      </w:r>
      <w:r w:rsidR="00743A7C" w:rsidRPr="00743A7C">
        <w:rPr>
          <w:lang w:val="ru-RU"/>
        </w:rPr>
        <w:t>后裔”[</w:t>
      </w:r>
      <w:r w:rsidR="00D85B34" w:rsidRPr="00794712">
        <w:rPr>
          <w:lang w:val="ru-RU"/>
        </w:rPr>
        <w:t>（</w:t>
      </w:r>
      <w:r w:rsidR="00D85B34">
        <w:rPr>
          <w:lang w:val="ru-RU"/>
        </w:rPr>
        <w:t>创世记</w:t>
      </w:r>
      <w:r w:rsidR="00D85B34" w:rsidRPr="00794712">
        <w:rPr>
          <w:lang w:val="ru-RU"/>
        </w:rPr>
        <w:t xml:space="preserve"> 12</w:t>
      </w:r>
      <w:r w:rsidR="00D85B34">
        <w:rPr>
          <w:lang w:val="ru-RU"/>
        </w:rPr>
        <w:t>:</w:t>
      </w:r>
      <w:r w:rsidR="00D85B34" w:rsidRPr="00794712">
        <w:rPr>
          <w:lang w:val="ru-RU"/>
        </w:rPr>
        <w:t>2-3</w:t>
      </w:r>
      <w:r w:rsidR="00743A7C" w:rsidRPr="00743A7C">
        <w:rPr>
          <w:lang w:val="ru-RU"/>
        </w:rPr>
        <w:t>）</w:t>
      </w:r>
      <w:r w:rsidR="00D85B34" w:rsidRPr="00794712">
        <w:rPr>
          <w:lang w:val="ru-RU"/>
        </w:rPr>
        <w:t xml:space="preserve">； </w:t>
      </w:r>
      <w:r w:rsidR="00743A7C" w:rsidRPr="00743A7C">
        <w:rPr>
          <w:lang w:val="ru-RU"/>
        </w:rPr>
        <w:t>（</w:t>
      </w:r>
      <w:r w:rsidR="00743A7C">
        <w:rPr>
          <w:lang w:val="ru-RU"/>
        </w:rPr>
        <w:t>创世记</w:t>
      </w:r>
      <w:r w:rsidR="00D85B34" w:rsidRPr="00794712">
        <w:rPr>
          <w:lang w:val="ru-RU"/>
        </w:rPr>
        <w:t xml:space="preserve"> 22:18）</w:t>
      </w:r>
      <w:r w:rsidR="00743A7C" w:rsidRPr="00743A7C">
        <w:rPr>
          <w:lang w:val="ru-RU"/>
        </w:rPr>
        <w:t>）</w:t>
      </w:r>
      <w:r w:rsidR="00D85B34" w:rsidRPr="00794712">
        <w:rPr>
          <w:lang w:val="ru-RU"/>
        </w:rPr>
        <w:t>、以撒（</w:t>
      </w:r>
      <w:r w:rsidR="00D85B34">
        <w:rPr>
          <w:lang w:val="ru-RU"/>
        </w:rPr>
        <w:t>创世记</w:t>
      </w:r>
      <w:r w:rsidR="00D85B34" w:rsidRPr="00794712">
        <w:rPr>
          <w:lang w:val="ru-RU"/>
        </w:rPr>
        <w:t xml:space="preserve"> 26</w:t>
      </w:r>
      <w:r w:rsidR="00D85B34">
        <w:rPr>
          <w:lang w:val="ru-RU"/>
        </w:rPr>
        <w:t>:</w:t>
      </w:r>
      <w:r w:rsidRPr="00F45CFB">
        <w:rPr>
          <w:b/>
          <w:lang w:val="ru-RU"/>
        </w:rPr>
        <w:t>4）</w:t>
      </w:r>
      <w:r w:rsidR="00D85B34" w:rsidRPr="00794712">
        <w:rPr>
          <w:lang w:val="ru-RU"/>
        </w:rPr>
        <w:t>和雅各（</w:t>
      </w:r>
      <w:r w:rsidR="00D85B34">
        <w:rPr>
          <w:lang w:val="ru-RU"/>
        </w:rPr>
        <w:t>创世记</w:t>
      </w:r>
      <w:r w:rsidR="00D85B34" w:rsidRPr="00794712">
        <w:rPr>
          <w:lang w:val="ru-RU"/>
        </w:rPr>
        <w:t xml:space="preserve"> 28</w:t>
      </w:r>
      <w:r w:rsidR="00D85B34">
        <w:rPr>
          <w:lang w:val="ru-RU"/>
        </w:rPr>
        <w:t>:</w:t>
      </w:r>
      <w:r w:rsidR="00D85B34" w:rsidRPr="00794712">
        <w:rPr>
          <w:lang w:val="ru-RU"/>
        </w:rPr>
        <w:t>14）的后裔；耶西根上的枝条和花朵（以赛亚书 11</w:t>
      </w:r>
      <w:r w:rsidR="00D85B34">
        <w:rPr>
          <w:lang w:val="ru-RU"/>
        </w:rPr>
        <w:t>:</w:t>
      </w:r>
      <w:r w:rsidR="00D85B34" w:rsidRPr="00794712">
        <w:rPr>
          <w:lang w:val="ru-RU"/>
        </w:rPr>
        <w:t>1-3）；大卫的后裔（耶利米书 23</w:t>
      </w:r>
      <w:r w:rsidR="00D85B34">
        <w:rPr>
          <w:lang w:val="ru-RU"/>
        </w:rPr>
        <w:t>:</w:t>
      </w:r>
      <w:r w:rsidR="00D85B34" w:rsidRPr="00794712">
        <w:rPr>
          <w:lang w:val="ru-RU"/>
        </w:rPr>
        <w:t>5-6）； 预示了——祂由童女所生的形象（赛7</w:t>
      </w:r>
      <w:r w:rsidR="00D85B34">
        <w:rPr>
          <w:lang w:val="ru-RU"/>
        </w:rPr>
        <w:t>:</w:t>
      </w:r>
      <w:r w:rsidR="00D85B34" w:rsidRPr="00794712">
        <w:rPr>
          <w:lang w:val="ru-RU"/>
        </w:rPr>
        <w:t>14）、出生地（弥5</w:t>
      </w:r>
      <w:r w:rsidR="00D85B34">
        <w:rPr>
          <w:lang w:val="ru-RU"/>
        </w:rPr>
        <w:t>:</w:t>
      </w:r>
      <w:r w:rsidR="00D85B34" w:rsidRPr="00794712">
        <w:rPr>
          <w:lang w:val="ru-RU"/>
        </w:rPr>
        <w:t xml:space="preserve">2）、祂一生的境遇 </w:t>
      </w:r>
      <w:r w:rsidR="00743A7C" w:rsidRPr="00743A7C">
        <w:rPr>
          <w:lang w:val="ru-RU"/>
        </w:rPr>
        <w:t>[</w:t>
      </w:r>
      <w:r w:rsidR="00D85B34" w:rsidRPr="00794712">
        <w:rPr>
          <w:lang w:val="ru-RU"/>
        </w:rPr>
        <w:t>(诗71</w:t>
      </w:r>
      <w:r w:rsidR="00D85B34">
        <w:rPr>
          <w:lang w:val="ru-RU"/>
        </w:rPr>
        <w:t>:</w:t>
      </w:r>
      <w:r w:rsidR="00D85B34" w:rsidRPr="00794712">
        <w:rPr>
          <w:lang w:val="ru-RU"/>
        </w:rPr>
        <w:t>10-11</w:t>
      </w:r>
      <w:r w:rsidR="00743A7C" w:rsidRPr="00743A7C">
        <w:rPr>
          <w:lang w:val="ru-RU"/>
        </w:rPr>
        <w:t>)</w:t>
      </w:r>
      <w:r w:rsidR="00D85B34" w:rsidRPr="00794712">
        <w:rPr>
          <w:lang w:val="ru-RU"/>
        </w:rPr>
        <w:t>；</w:t>
      </w:r>
      <w:r w:rsidR="00743A7C" w:rsidRPr="00743A7C">
        <w:rPr>
          <w:rFonts w:cs="Cambria Math"/>
          <w:lang w:val="ru-RU"/>
        </w:rPr>
        <w:t>(</w:t>
      </w:r>
      <w:r w:rsidR="00D85B34" w:rsidRPr="00794712">
        <w:rPr>
          <w:lang w:val="ru-RU"/>
        </w:rPr>
        <w:t>诗77</w:t>
      </w:r>
      <w:r w:rsidR="00D85B34">
        <w:rPr>
          <w:lang w:val="ru-RU"/>
        </w:rPr>
        <w:t>:</w:t>
      </w:r>
      <w:r w:rsidR="00D85B34" w:rsidRPr="00794712">
        <w:rPr>
          <w:lang w:val="ru-RU"/>
        </w:rPr>
        <w:t>2</w:t>
      </w:r>
      <w:r w:rsidR="00743A7C">
        <w:rPr>
          <w:lang w:val="ru-RU"/>
        </w:rPr>
        <w:t>)</w:t>
      </w:r>
      <w:r w:rsidR="00D85B34" w:rsidRPr="00794712">
        <w:rPr>
          <w:lang w:val="ru-RU"/>
        </w:rPr>
        <w:t xml:space="preserve">； </w:t>
      </w:r>
      <w:r w:rsidR="00743A7C">
        <w:rPr>
          <w:lang w:val="ru-RU"/>
        </w:rPr>
        <w:t>（</w:t>
      </w:r>
      <w:r w:rsidR="00D85B34" w:rsidRPr="00794712">
        <w:rPr>
          <w:lang w:val="ru-RU"/>
        </w:rPr>
        <w:t>赛35</w:t>
      </w:r>
      <w:r w:rsidR="00D85B34">
        <w:rPr>
          <w:lang w:val="ru-RU"/>
        </w:rPr>
        <w:t>:</w:t>
      </w:r>
      <w:r w:rsidR="00D85B34" w:rsidRPr="00794712">
        <w:rPr>
          <w:lang w:val="ru-RU"/>
        </w:rPr>
        <w:t>3-6</w:t>
      </w:r>
      <w:r w:rsidR="00743A7C">
        <w:rPr>
          <w:lang w:val="ru-RU"/>
        </w:rPr>
        <w:t>）</w:t>
      </w:r>
      <w:r w:rsidR="00D85B34" w:rsidRPr="00794712">
        <w:rPr>
          <w:lang w:val="ru-RU"/>
        </w:rPr>
        <w:t>；</w:t>
      </w:r>
      <w:r w:rsidR="00743A7C">
        <w:rPr>
          <w:lang w:val="ru-RU"/>
        </w:rPr>
        <w:t>（</w:t>
      </w:r>
      <w:r w:rsidR="00D85B34" w:rsidRPr="00794712">
        <w:rPr>
          <w:lang w:val="ru-RU"/>
        </w:rPr>
        <w:t>亚9</w:t>
      </w:r>
      <w:r w:rsidR="00D85B34">
        <w:rPr>
          <w:lang w:val="ru-RU"/>
        </w:rPr>
        <w:t>:</w:t>
      </w:r>
      <w:r w:rsidR="00D85B34" w:rsidRPr="00794712">
        <w:rPr>
          <w:lang w:val="ru-RU"/>
        </w:rPr>
        <w:t>9）</w:t>
      </w:r>
      <w:r w:rsidR="00743A7C" w:rsidRPr="00743A7C">
        <w:rPr>
          <w:lang w:val="ru-RU"/>
        </w:rPr>
        <w:t>]</w:t>
      </w:r>
      <w:r w:rsidR="00D85B34" w:rsidRPr="00794712">
        <w:rPr>
          <w:lang w:val="ru-RU"/>
        </w:rPr>
        <w:t xml:space="preserve">以及祂的死亡 </w:t>
      </w:r>
      <w:r w:rsidR="00743A7C" w:rsidRPr="00743A7C">
        <w:rPr>
          <w:lang w:val="ru-RU"/>
        </w:rPr>
        <w:t>[</w:t>
      </w:r>
      <w:r w:rsidR="00D85B34" w:rsidRPr="00794712">
        <w:rPr>
          <w:lang w:val="ru-RU"/>
        </w:rPr>
        <w:t>(赛53</w:t>
      </w:r>
      <w:r w:rsidR="00D85B34">
        <w:rPr>
          <w:lang w:val="ru-RU"/>
        </w:rPr>
        <w:t>:</w:t>
      </w:r>
      <w:r w:rsidR="00D85B34" w:rsidRPr="00794712">
        <w:rPr>
          <w:lang w:val="ru-RU"/>
        </w:rPr>
        <w:t>3-10</w:t>
      </w:r>
      <w:r w:rsidR="00743A7C">
        <w:rPr>
          <w:lang w:val="ru-RU"/>
        </w:rPr>
        <w:t>)</w:t>
      </w:r>
      <w:r w:rsidR="00D85B34" w:rsidRPr="00794712">
        <w:rPr>
          <w:lang w:val="ru-RU"/>
        </w:rPr>
        <w:t>；</w:t>
      </w:r>
      <w:r w:rsidR="00743A7C">
        <w:rPr>
          <w:lang w:val="ru-RU"/>
        </w:rPr>
        <w:t>（</w:t>
      </w:r>
      <w:r w:rsidR="00D85B34" w:rsidRPr="00794712">
        <w:rPr>
          <w:lang w:val="ru-RU"/>
        </w:rPr>
        <w:t>诗71</w:t>
      </w:r>
      <w:r w:rsidR="00D85B34">
        <w:rPr>
          <w:lang w:val="ru-RU"/>
        </w:rPr>
        <w:t>:</w:t>
      </w:r>
      <w:r w:rsidR="00D85B34" w:rsidRPr="00794712">
        <w:rPr>
          <w:lang w:val="ru-RU"/>
        </w:rPr>
        <w:t>10-11</w:t>
      </w:r>
      <w:r w:rsidR="00743A7C">
        <w:rPr>
          <w:lang w:val="ru-RU"/>
        </w:rPr>
        <w:t>)</w:t>
      </w:r>
      <w:r w:rsidR="00D85B34" w:rsidRPr="00794712">
        <w:rPr>
          <w:lang w:val="ru-RU"/>
        </w:rPr>
        <w:t>；（诗77</w:t>
      </w:r>
      <w:r w:rsidR="00D85B34">
        <w:rPr>
          <w:lang w:val="ru-RU"/>
        </w:rPr>
        <w:t>:</w:t>
      </w:r>
      <w:r w:rsidR="00D85B34" w:rsidRPr="00794712">
        <w:rPr>
          <w:lang w:val="ru-RU"/>
        </w:rPr>
        <w:t>2</w:t>
      </w:r>
      <w:r w:rsidR="00743A7C">
        <w:rPr>
          <w:lang w:val="ru-RU"/>
        </w:rPr>
        <w:t>)</w:t>
      </w:r>
      <w:r w:rsidR="00D85B34" w:rsidRPr="00794712">
        <w:rPr>
          <w:lang w:val="ru-RU"/>
        </w:rPr>
        <w:t>；（亚9</w:t>
      </w:r>
      <w:r w:rsidR="00D85B34">
        <w:rPr>
          <w:lang w:val="ru-RU"/>
        </w:rPr>
        <w:t>:</w:t>
      </w:r>
      <w:r w:rsidR="00D85B34" w:rsidRPr="00794712">
        <w:rPr>
          <w:lang w:val="ru-RU"/>
        </w:rPr>
        <w:t>9</w:t>
      </w:r>
      <w:r w:rsidR="00743A7C" w:rsidRPr="00743A7C">
        <w:rPr>
          <w:lang w:val="ru-RU"/>
        </w:rPr>
        <w:t>)]</w:t>
      </w:r>
      <w:r w:rsidR="00D85B34" w:rsidRPr="00794712">
        <w:rPr>
          <w:lang w:val="ru-RU"/>
        </w:rPr>
        <w:t xml:space="preserve"> 等。</w:t>
      </w:r>
    </w:p>
    <w:p w14:paraId="3C692492" w14:textId="77777777" w:rsidR="00D85B34" w:rsidRPr="00794712" w:rsidRDefault="00F45CFB" w:rsidP="00D85B34">
      <w:pPr>
        <w:ind w:firstLine="708"/>
        <w:rPr>
          <w:lang w:val="ru-RU"/>
        </w:rPr>
      </w:pPr>
      <w:r w:rsidRPr="00F45CFB">
        <w:rPr>
          <w:b/>
          <w:bCs/>
          <w:lang w:val="ru-RU"/>
        </w:rPr>
        <w:t>2）</w:t>
      </w:r>
      <w:r w:rsidR="00D85B34" w:rsidRPr="00794712">
        <w:rPr>
          <w:lang w:val="ru-RU"/>
        </w:rPr>
        <w:t>来自《新约》中由福音书作者马太和路加所记载的救世主基督的家谱。</w:t>
      </w:r>
      <w:r w:rsidR="00C62F0D">
        <w:rPr>
          <w:lang w:val="ru-RU"/>
        </w:rPr>
        <w:t>福音书作者马太</w:t>
      </w:r>
      <w:r w:rsidR="00D85B34" w:rsidRPr="00794712">
        <w:rPr>
          <w:lang w:val="ru-RU"/>
        </w:rPr>
        <w:t>按照从亚伯拉罕传承下来的血脉叙述了这一家谱，开篇写道：</w:t>
      </w:r>
      <w:r w:rsidR="00D85B34" w:rsidRPr="00BA6E36">
        <w:rPr>
          <w:i/>
          <w:iCs/>
          <w:lang w:val="ru-RU"/>
        </w:rPr>
        <w:t>“耶稣基督的家谱，是大卫的子孙，亚伯拉罕的子孙。 亚伯拉罕生</w:t>
      </w:r>
      <w:r w:rsidR="00D85B34" w:rsidRPr="00794712">
        <w:rPr>
          <w:lang w:val="ru-RU"/>
        </w:rPr>
        <w:t>以撒……”等等；并</w:t>
      </w:r>
      <w:r w:rsidR="00D85B34" w:rsidRPr="00BA6E36">
        <w:rPr>
          <w:i/>
          <w:iCs/>
          <w:lang w:val="ru-RU"/>
        </w:rPr>
        <w:t>以“雅各生约瑟，就是马利亚的丈夫；那称为基督的耶稣是从她生的”</w:t>
      </w:r>
      <w:r w:rsidR="000A57C3">
        <w:rPr>
          <w:lang w:val="ru-RU"/>
        </w:rPr>
        <w:t>（</w:t>
      </w:r>
      <w:r w:rsidR="00D85B34" w:rsidRPr="00794712">
        <w:rPr>
          <w:lang w:val="ru-RU"/>
        </w:rPr>
        <w:lastRenderedPageBreak/>
        <w:t>太1</w:t>
      </w:r>
      <w:r w:rsidR="00D85B34" w:rsidRPr="00BA6E36">
        <w:rPr>
          <w:lang w:val="ru-RU"/>
        </w:rPr>
        <w:t>:</w:t>
      </w:r>
      <w:r w:rsidR="00D85B34" w:rsidRPr="00794712">
        <w:rPr>
          <w:lang w:val="ru-RU"/>
        </w:rPr>
        <w:t>1-2</w:t>
      </w:r>
      <w:r w:rsidR="00D85B34" w:rsidRPr="00BA6E36">
        <w:rPr>
          <w:lang w:val="ru-RU"/>
        </w:rPr>
        <w:t>,</w:t>
      </w:r>
      <w:r w:rsidR="00D85B34" w:rsidRPr="00794712">
        <w:rPr>
          <w:lang w:val="ru-RU"/>
        </w:rPr>
        <w:t xml:space="preserve"> 16）作结。</w:t>
      </w:r>
      <w:r w:rsidR="00C62F0D">
        <w:rPr>
          <w:lang w:val="ru-RU"/>
        </w:rPr>
        <w:t>福音书作者</w:t>
      </w:r>
      <w:r w:rsidR="00D85B34" w:rsidRPr="00794712">
        <w:rPr>
          <w:lang w:val="ru-RU"/>
        </w:rPr>
        <w:t xml:space="preserve">路加则沿亚当的血脉向上追溯，开篇写道： </w:t>
      </w:r>
      <w:r w:rsidR="00D85B34" w:rsidRPr="00BA6E36">
        <w:rPr>
          <w:i/>
          <w:iCs/>
          <w:lang w:val="ru-RU"/>
        </w:rPr>
        <w:t>“耶稣开始传道的时候，约有三十岁，按人的看法，祂是约瑟的儿子，约瑟是以利，以利</w:t>
      </w:r>
      <w:r w:rsidR="00D85B34" w:rsidRPr="00794712">
        <w:rPr>
          <w:lang w:val="ru-RU"/>
        </w:rPr>
        <w:t>是马太……”等等；结尾处写道：</w:t>
      </w:r>
      <w:r w:rsidR="00D85B34" w:rsidRPr="00BA6E36">
        <w:rPr>
          <w:i/>
          <w:iCs/>
          <w:lang w:val="ru-RU"/>
        </w:rPr>
        <w:t>“……该南，以诺，西弗，亚当，神的儿子”</w:t>
      </w:r>
      <w:r w:rsidR="008A3626">
        <w:rPr>
          <w:lang w:val="ru-RU"/>
        </w:rPr>
        <w:t>（路加</w:t>
      </w:r>
      <w:r w:rsidR="00D85B34" w:rsidRPr="00794712">
        <w:rPr>
          <w:lang w:val="ru-RU"/>
        </w:rPr>
        <w:t>福音3</w:t>
      </w:r>
      <w:r w:rsidR="00D85B34" w:rsidRPr="005D7544">
        <w:rPr>
          <w:lang w:val="ru-RU"/>
        </w:rPr>
        <w:t>:</w:t>
      </w:r>
      <w:r w:rsidR="00D85B34" w:rsidRPr="00794712">
        <w:rPr>
          <w:lang w:val="ru-RU"/>
        </w:rPr>
        <w:t>23-38）。</w:t>
      </w:r>
    </w:p>
    <w:p w14:paraId="28ACCA29" w14:textId="77777777" w:rsidR="00D85B34" w:rsidRPr="00794712" w:rsidRDefault="00F45CFB" w:rsidP="00D85B34">
      <w:pPr>
        <w:ind w:firstLine="708"/>
        <w:rPr>
          <w:lang w:val="ru-RU"/>
        </w:rPr>
      </w:pPr>
      <w:r w:rsidRPr="00F45CFB">
        <w:rPr>
          <w:b/>
          <w:bCs/>
          <w:lang w:val="ru-RU"/>
        </w:rPr>
        <w:t>3）</w:t>
      </w:r>
      <w:r w:rsidR="00D85B34" w:rsidRPr="00794712">
        <w:rPr>
          <w:lang w:val="ru-RU"/>
        </w:rPr>
        <w:t>关于耶稣基督降生经过的福音书记载。福音书作者叙述道：</w:t>
      </w:r>
    </w:p>
    <w:p w14:paraId="07D44790"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天使如何向至圣童贞女报喜：</w:t>
      </w:r>
      <w:r w:rsidRPr="009178EB">
        <w:rPr>
          <w:i/>
          <w:iCs/>
          <w:lang w:val="ru-RU"/>
        </w:rPr>
        <w:t>“马利亚，不要怕，因为你在神面前已经蒙恩了；看哪，你将怀孕生子，要给他起名叫耶稣”</w:t>
      </w:r>
      <w:r w:rsidR="008A3626">
        <w:rPr>
          <w:lang w:val="ru-RU"/>
        </w:rPr>
        <w:t>（路加</w:t>
      </w:r>
      <w:r w:rsidRPr="00794712">
        <w:rPr>
          <w:lang w:val="ru-RU"/>
        </w:rPr>
        <w:t>福音1</w:t>
      </w:r>
      <w:r w:rsidRPr="009178EB">
        <w:rPr>
          <w:lang w:val="ru-RU"/>
        </w:rPr>
        <w:t>:</w:t>
      </w:r>
      <w:r w:rsidRPr="00794712">
        <w:rPr>
          <w:lang w:val="ru-RU"/>
        </w:rPr>
        <w:t>30-31）。</w:t>
      </w:r>
    </w:p>
    <w:p w14:paraId="75CA096B"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天使如何向圣母玛利亚的未婚夫约瑟说明：</w:t>
      </w:r>
      <w:r w:rsidRPr="009178EB">
        <w:rPr>
          <w:i/>
          <w:iCs/>
          <w:lang w:val="ru-RU"/>
        </w:rPr>
        <w:t>“大卫的子孙约瑟啊！不要怕娶你的妻子玛利亚为妻，因为她腹中所怀的，是出于圣灵；她将生一个儿子，你要给他起名叫耶稣”</w:t>
      </w:r>
      <w:r w:rsidR="000A57C3">
        <w:rPr>
          <w:lang w:val="ru-RU"/>
        </w:rPr>
        <w:t>（马太</w:t>
      </w:r>
      <w:r w:rsidRPr="00794712">
        <w:rPr>
          <w:lang w:val="ru-RU"/>
        </w:rPr>
        <w:t>福音1</w:t>
      </w:r>
      <w:r w:rsidRPr="00623813">
        <w:rPr>
          <w:lang w:val="ru-RU"/>
        </w:rPr>
        <w:t>:</w:t>
      </w:r>
      <w:r w:rsidRPr="00794712">
        <w:rPr>
          <w:lang w:val="ru-RU"/>
        </w:rPr>
        <w:t>20-21）。</w:t>
      </w:r>
    </w:p>
    <w:p w14:paraId="62D85138"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至圣童贞女在经历正常孕期后，确实生下了孩子：</w:t>
      </w:r>
      <w:r w:rsidRPr="00623813">
        <w:rPr>
          <w:i/>
          <w:iCs/>
          <w:lang w:val="ru-RU"/>
        </w:rPr>
        <w:t>“他们正住在那儿（伯利恒）的时候，马利亚的产期到了；她生了头胎的儿子，用布包起来，放在马槽里，因为客店里没有地方给他们”</w:t>
      </w:r>
      <w:r w:rsidR="008A3626">
        <w:rPr>
          <w:lang w:val="ru-RU"/>
        </w:rPr>
        <w:t>（路加福音</w:t>
      </w:r>
      <w:r w:rsidRPr="00794712">
        <w:rPr>
          <w:lang w:val="ru-RU"/>
        </w:rPr>
        <w:t xml:space="preserve"> 2</w:t>
      </w:r>
      <w:r w:rsidR="00C62F0D">
        <w:rPr>
          <w:lang w:val="ru-RU"/>
        </w:rPr>
        <w:t>:</w:t>
      </w:r>
      <w:r w:rsidRPr="00794712">
        <w:rPr>
          <w:lang w:val="ru-RU"/>
        </w:rPr>
        <w:t>7）。</w:t>
      </w:r>
      <w:r w:rsidR="00E070F3">
        <w:rPr>
          <w:rStyle w:val="FootnoteReference"/>
          <w:lang w:val="ru-RU"/>
        </w:rPr>
        <w:footnoteReference w:id="114"/>
      </w:r>
    </w:p>
    <w:p w14:paraId="1FB0BB38" w14:textId="77777777" w:rsidR="00D85B34" w:rsidRPr="00794712" w:rsidRDefault="00D85B34" w:rsidP="00D85B34">
      <w:pPr>
        <w:rPr>
          <w:lang w:val="ru-RU"/>
        </w:rPr>
      </w:pPr>
      <w:r w:rsidRPr="00794712">
        <w:rPr>
          <w:lang w:val="ru-RU"/>
        </w:rPr>
        <w:tab/>
      </w:r>
      <w:r w:rsidR="00A95A76" w:rsidRPr="00A95A76">
        <w:rPr>
          <w:b/>
          <w:lang w:val="ru-RU"/>
        </w:rPr>
        <w:t>d)</w:t>
      </w:r>
      <w:r w:rsidRPr="00794712">
        <w:rPr>
          <w:lang w:val="ru-RU"/>
        </w:rPr>
        <w:t xml:space="preserve"> 伯利恒的牧羊人遵照天使的</w:t>
      </w:r>
      <w:r>
        <w:rPr>
          <w:lang w:val="ru-RU"/>
        </w:rPr>
        <w:t>指引</w:t>
      </w:r>
      <w:r w:rsidRPr="00794712">
        <w:rPr>
          <w:lang w:val="ru-RU"/>
        </w:rPr>
        <w:t>，来到大卫的</w:t>
      </w:r>
      <w:r>
        <w:rPr>
          <w:lang w:val="ru-RU"/>
        </w:rPr>
        <w:t>城</w:t>
      </w:r>
      <w:r w:rsidRPr="00623813">
        <w:rPr>
          <w:lang w:val="ru-RU"/>
        </w:rPr>
        <w:t>（</w:t>
      </w:r>
      <w:r>
        <w:rPr>
          <w:lang w:val="ru-RU"/>
        </w:rPr>
        <w:t>伯利恒）</w:t>
      </w:r>
      <w:r w:rsidRPr="00623813">
        <w:rPr>
          <w:i/>
          <w:iCs/>
          <w:lang w:val="ru-RU"/>
        </w:rPr>
        <w:t>，“找到了马利亚和约瑟，以及躺在马槽里的婴孩”</w:t>
      </w:r>
      <w:r w:rsidRPr="00794712">
        <w:rPr>
          <w:lang w:val="ru-RU"/>
        </w:rPr>
        <w:t xml:space="preserve"> （路加福音 2</w:t>
      </w:r>
      <w:r w:rsidRPr="00623813">
        <w:rPr>
          <w:lang w:val="ru-RU"/>
        </w:rPr>
        <w:t>:</w:t>
      </w:r>
      <w:r w:rsidRPr="00794712">
        <w:rPr>
          <w:lang w:val="ru-RU"/>
        </w:rPr>
        <w:t>16）；同样，来自东方的贤士们也因那颗非凡的星辰指引</w:t>
      </w:r>
      <w:r w:rsidRPr="00623813">
        <w:rPr>
          <w:i/>
          <w:iCs/>
          <w:lang w:val="ru-RU"/>
        </w:rPr>
        <w:t>，“进了房子，看见那婴孩和祂的母亲马利亚，就俯伏拜祂”</w:t>
      </w:r>
      <w:r w:rsidR="000A57C3">
        <w:rPr>
          <w:lang w:val="ru-RU"/>
        </w:rPr>
        <w:t>（马太福音</w:t>
      </w:r>
      <w:r w:rsidRPr="00794712">
        <w:rPr>
          <w:lang w:val="ru-RU"/>
        </w:rPr>
        <w:t xml:space="preserve"> 2</w:t>
      </w:r>
      <w:r w:rsidRPr="00623813">
        <w:rPr>
          <w:lang w:val="ru-RU"/>
        </w:rPr>
        <w:t>:</w:t>
      </w:r>
      <w:r w:rsidRPr="00794712">
        <w:rPr>
          <w:lang w:val="ru-RU"/>
        </w:rPr>
        <w:t>11）。</w:t>
      </w:r>
    </w:p>
    <w:p w14:paraId="5A0B2012" w14:textId="77777777" w:rsidR="00D85B34" w:rsidRPr="00794712" w:rsidRDefault="00D85B34" w:rsidP="00D85B34">
      <w:pPr>
        <w:rPr>
          <w:lang w:val="ru-RU"/>
        </w:rPr>
      </w:pPr>
      <w:r w:rsidRPr="00794712">
        <w:rPr>
          <w:lang w:val="ru-RU"/>
        </w:rPr>
        <w:tab/>
      </w:r>
      <w:r w:rsidR="00A95A76" w:rsidRPr="00A95A76">
        <w:rPr>
          <w:b/>
          <w:lang w:val="ru-RU"/>
        </w:rPr>
        <w:t>e)</w:t>
      </w:r>
      <w:r w:rsidRPr="00794712">
        <w:rPr>
          <w:lang w:val="ru-RU"/>
        </w:rPr>
        <w:t xml:space="preserve"> 祂出生八天后受了割礼</w:t>
      </w:r>
      <w:r w:rsidRPr="008E657D">
        <w:rPr>
          <w:i/>
          <w:iCs/>
          <w:lang w:val="ru-RU"/>
        </w:rPr>
        <w:t>，“给祂起名叫耶稣，这名字是天使在祂受孕前就给祂起的”</w:t>
      </w:r>
      <w:r w:rsidR="008A3626">
        <w:rPr>
          <w:lang w:val="ru-RU"/>
        </w:rPr>
        <w:t>（路加福音</w:t>
      </w:r>
      <w:r w:rsidRPr="00794712">
        <w:rPr>
          <w:lang w:val="ru-RU"/>
        </w:rPr>
        <w:t xml:space="preserve"> 2</w:t>
      </w:r>
      <w:r>
        <w:rPr>
          <w:lang w:val="ru-RU"/>
        </w:rPr>
        <w:t>:</w:t>
      </w:r>
      <w:r w:rsidRPr="00794712">
        <w:rPr>
          <w:lang w:val="ru-RU"/>
        </w:rPr>
        <w:t>21）。</w:t>
      </w:r>
    </w:p>
    <w:p w14:paraId="77DA2C60" w14:textId="77777777" w:rsidR="00D85B34" w:rsidRPr="00794712" w:rsidRDefault="00D85B34" w:rsidP="00D85B34">
      <w:pPr>
        <w:rPr>
          <w:lang w:val="ru-RU"/>
        </w:rPr>
      </w:pPr>
      <w:r w:rsidRPr="00794712">
        <w:rPr>
          <w:lang w:val="ru-RU"/>
        </w:rPr>
        <w:tab/>
      </w:r>
      <w:r w:rsidR="00A95A76" w:rsidRPr="00A95A76">
        <w:rPr>
          <w:b/>
          <w:lang w:val="ru-RU"/>
        </w:rPr>
        <w:t xml:space="preserve">f) </w:t>
      </w:r>
      <w:r w:rsidRPr="008E657D">
        <w:rPr>
          <w:i/>
          <w:iCs/>
          <w:lang w:val="ru-RU"/>
        </w:rPr>
        <w:t>“当他们照摩西律法所定的洁净期满了，就把祂带到耶路撒冷，要把祂献给主”，</w:t>
      </w:r>
      <w:r w:rsidRPr="00794712">
        <w:rPr>
          <w:lang w:val="ru-RU"/>
        </w:rPr>
        <w:t>在那里，长老西缅将这位神圣的婴孩抱在怀中，并称颂了上帝</w:t>
      </w:r>
      <w:r w:rsidR="008A3626">
        <w:rPr>
          <w:lang w:val="ru-RU"/>
        </w:rPr>
        <w:t>（路加</w:t>
      </w:r>
      <w:r>
        <w:rPr>
          <w:lang w:val="ru-RU"/>
        </w:rPr>
        <w:t>福音2</w:t>
      </w:r>
      <w:r w:rsidRPr="008E657D">
        <w:rPr>
          <w:lang w:val="ru-RU"/>
        </w:rPr>
        <w:t>:</w:t>
      </w:r>
      <w:r w:rsidRPr="00794712">
        <w:rPr>
          <w:lang w:val="ru-RU"/>
        </w:rPr>
        <w:t>22</w:t>
      </w:r>
      <w:r w:rsidRPr="008E657D">
        <w:rPr>
          <w:lang w:val="ru-RU"/>
        </w:rPr>
        <w:t>,</w:t>
      </w:r>
      <w:r w:rsidRPr="00794712">
        <w:rPr>
          <w:lang w:val="ru-RU"/>
        </w:rPr>
        <w:t xml:space="preserve"> 28）。</w:t>
      </w:r>
    </w:p>
    <w:p w14:paraId="07E556EA"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从《福音书》中关于耶稣基督在世生活的后续记载来看。 我们在此读到，主耶稣作为人，早在婴孩时期，就必须按照神旨意的安排，与母亲和约瑟一同从伯利恒逃往埃及，以躲避威胁祂生命的危险</w:t>
      </w:r>
      <w:r w:rsidR="000A57C3">
        <w:rPr>
          <w:lang w:val="ru-RU"/>
        </w:rPr>
        <w:t>（</w:t>
      </w:r>
      <w:r w:rsidR="00D85B34" w:rsidRPr="00794712">
        <w:rPr>
          <w:lang w:val="ru-RU"/>
        </w:rPr>
        <w:t>太2</w:t>
      </w:r>
      <w:r w:rsidR="00D85B34" w:rsidRPr="00406599">
        <w:rPr>
          <w:lang w:val="ru-RU"/>
        </w:rPr>
        <w:t>:</w:t>
      </w:r>
      <w:r w:rsidR="00D85B34" w:rsidRPr="00794712">
        <w:rPr>
          <w:lang w:val="ru-RU"/>
        </w:rPr>
        <w:t>13-14）； 作为人，</w:t>
      </w:r>
      <w:r w:rsidR="00D85B34" w:rsidRPr="007F6CAF">
        <w:rPr>
          <w:i/>
          <w:iCs/>
          <w:lang w:val="ru-RU"/>
        </w:rPr>
        <w:t>祂逐渐长大，在灵里日益强健</w:t>
      </w:r>
      <w:r w:rsidR="008A3626">
        <w:rPr>
          <w:lang w:val="ru-RU"/>
        </w:rPr>
        <w:t>（路加福音</w:t>
      </w:r>
      <w:r w:rsidR="00D85B34" w:rsidRPr="00794712">
        <w:rPr>
          <w:lang w:val="ru-RU"/>
        </w:rPr>
        <w:t xml:space="preserve"> 2</w:t>
      </w:r>
      <w:r w:rsidR="00D85B34">
        <w:rPr>
          <w:lang w:val="ru-RU"/>
        </w:rPr>
        <w:t>:</w:t>
      </w:r>
      <w:r w:rsidR="00D85B34" w:rsidRPr="00794712">
        <w:rPr>
          <w:lang w:val="ru-RU"/>
        </w:rPr>
        <w:t>40）；作为马利亚的</w:t>
      </w:r>
      <w:r w:rsidR="00D85B34" w:rsidRPr="007F6CAF">
        <w:rPr>
          <w:lang w:val="ru-RU"/>
        </w:rPr>
        <w:t>儿子，祂顺服马利亚和她的未婚夫</w:t>
      </w:r>
      <w:r w:rsidR="008A3626">
        <w:rPr>
          <w:lang w:val="ru-RU"/>
        </w:rPr>
        <w:t>（路加福音</w:t>
      </w:r>
      <w:r w:rsidR="00D85B34" w:rsidRPr="00794712">
        <w:rPr>
          <w:lang w:val="ru-RU"/>
        </w:rPr>
        <w:t xml:space="preserve"> 2</w:t>
      </w:r>
      <w:r w:rsidR="00D85B34">
        <w:rPr>
          <w:lang w:val="ru-RU"/>
        </w:rPr>
        <w:t>:</w:t>
      </w:r>
      <w:r w:rsidR="00D85B34" w:rsidRPr="00794712">
        <w:rPr>
          <w:lang w:val="ru-RU"/>
        </w:rPr>
        <w:t xml:space="preserve">51）； </w:t>
      </w:r>
      <w:r w:rsidR="00D85B34" w:rsidRPr="00794712">
        <w:rPr>
          <w:lang w:val="ru-RU"/>
        </w:rPr>
        <w:lastRenderedPageBreak/>
        <w:t>作为人，在约旦河接受了约翰的洗礼</w:t>
      </w:r>
      <w:r w:rsidR="005864AB">
        <w:rPr>
          <w:lang w:val="ru-RU"/>
        </w:rPr>
        <w:t>（可</w:t>
      </w:r>
      <w:r w:rsidR="00D85B34" w:rsidRPr="00794712">
        <w:rPr>
          <w:lang w:val="ru-RU"/>
        </w:rPr>
        <w:t>1</w:t>
      </w:r>
      <w:r w:rsidR="00D85B34">
        <w:rPr>
          <w:lang w:val="ru-RU"/>
        </w:rPr>
        <w:t>:</w:t>
      </w:r>
      <w:r w:rsidR="00D85B34" w:rsidRPr="00794712">
        <w:rPr>
          <w:lang w:val="ru-RU"/>
        </w:rPr>
        <w:t>9），而约翰之所以能在前来受洗的人群中认出祂，正是因为</w:t>
      </w:r>
      <w:r w:rsidR="00D85B34" w:rsidRPr="007F6CAF">
        <w:rPr>
          <w:i/>
          <w:iCs/>
          <w:lang w:val="ru-RU"/>
        </w:rPr>
        <w:t>看见圣灵如鸽子一般从天而降，停留在祂身上</w:t>
      </w:r>
      <w:r w:rsidR="005864AB">
        <w:rPr>
          <w:lang w:val="ru-RU"/>
        </w:rPr>
        <w:t>（约</w:t>
      </w:r>
      <w:r w:rsidR="00D85B34" w:rsidRPr="00794712">
        <w:rPr>
          <w:lang w:val="ru-RU"/>
        </w:rPr>
        <w:t>1</w:t>
      </w:r>
      <w:r w:rsidR="00D85B34">
        <w:rPr>
          <w:lang w:val="ru-RU"/>
        </w:rPr>
        <w:t>:</w:t>
      </w:r>
      <w:r w:rsidR="00D85B34" w:rsidRPr="00794712">
        <w:rPr>
          <w:lang w:val="ru-RU"/>
        </w:rPr>
        <w:t>32-33）。 由此可见，主耶稣在开始事工后，走遍各城各</w:t>
      </w:r>
      <w:r w:rsidR="00D85B34">
        <w:rPr>
          <w:lang w:val="ru-RU"/>
        </w:rPr>
        <w:t>乡</w:t>
      </w:r>
      <w:r w:rsidR="00D85B34" w:rsidRPr="00794712">
        <w:rPr>
          <w:lang w:val="ru-RU"/>
        </w:rPr>
        <w:t>传讲救恩的福音，处处都被公认为真正的人，从未需要向任何人证明祂人性的真实性； 祂有时会参与各种聚会</w:t>
      </w:r>
      <w:r w:rsidR="008A3626">
        <w:rPr>
          <w:lang w:val="ru-RU"/>
        </w:rPr>
        <w:t>（路加</w:t>
      </w:r>
      <w:r w:rsidR="00D85B34" w:rsidRPr="00794712">
        <w:rPr>
          <w:lang w:val="ru-RU"/>
        </w:rPr>
        <w:t>福音5</w:t>
      </w:r>
      <w:r w:rsidR="00D85B34">
        <w:rPr>
          <w:lang w:val="ru-RU"/>
        </w:rPr>
        <w:t>:</w:t>
      </w:r>
      <w:r w:rsidR="00D85B34" w:rsidRPr="00794712">
        <w:rPr>
          <w:lang w:val="ru-RU"/>
        </w:rPr>
        <w:t>29），曾出席加利利迦拿的婚宴</w:t>
      </w:r>
      <w:r w:rsidR="005864AB">
        <w:rPr>
          <w:lang w:val="ru-RU"/>
        </w:rPr>
        <w:t>（约翰</w:t>
      </w:r>
      <w:r w:rsidR="00D85B34" w:rsidRPr="00794712">
        <w:rPr>
          <w:lang w:val="ru-RU"/>
        </w:rPr>
        <w:t>福音2</w:t>
      </w:r>
      <w:r w:rsidR="00D85B34">
        <w:rPr>
          <w:lang w:val="ru-RU"/>
        </w:rPr>
        <w:t>:</w:t>
      </w:r>
      <w:r w:rsidR="00D85B34" w:rsidRPr="00794712">
        <w:rPr>
          <w:lang w:val="ru-RU"/>
        </w:rPr>
        <w:t>1-11），在拉撒路的家中</w:t>
      </w:r>
      <w:r w:rsidR="005864AB">
        <w:rPr>
          <w:lang w:val="ru-RU"/>
        </w:rPr>
        <w:t>（</w:t>
      </w:r>
      <w:r w:rsidR="00D85B34" w:rsidRPr="00794712">
        <w:rPr>
          <w:lang w:val="ru-RU"/>
        </w:rPr>
        <w:t>约翰福音12</w:t>
      </w:r>
      <w:r w:rsidR="00D85B34">
        <w:rPr>
          <w:lang w:val="ru-RU"/>
        </w:rPr>
        <w:t>:</w:t>
      </w:r>
      <w:r w:rsidR="00D85B34" w:rsidRPr="00794712">
        <w:rPr>
          <w:lang w:val="ru-RU"/>
        </w:rPr>
        <w:t>2）和撒该的家中</w:t>
      </w:r>
      <w:r w:rsidR="008A3626">
        <w:rPr>
          <w:lang w:val="ru-RU"/>
        </w:rPr>
        <w:t>（路加福音</w:t>
      </w:r>
      <w:r w:rsidR="00D85B34" w:rsidRPr="00794712">
        <w:rPr>
          <w:lang w:val="ru-RU"/>
        </w:rPr>
        <w:t>16</w:t>
      </w:r>
      <w:r w:rsidR="00D85B34">
        <w:rPr>
          <w:lang w:val="ru-RU"/>
        </w:rPr>
        <w:t>:</w:t>
      </w:r>
      <w:r w:rsidR="00D85B34" w:rsidRPr="00794712">
        <w:rPr>
          <w:lang w:val="ru-RU"/>
        </w:rPr>
        <w:t>5-8）设宴； 祂每年都会前往耶路撒冷过逾越节，并亲自与门徒们按照礼仪律法守逾越节</w:t>
      </w:r>
      <w:r w:rsidR="000A57C3">
        <w:rPr>
          <w:lang w:val="ru-RU"/>
        </w:rPr>
        <w:t>（马太福音26:</w:t>
      </w:r>
      <w:r w:rsidR="001B763B" w:rsidRPr="004F07F1">
        <w:rPr>
          <w:lang w:val="ru-RU"/>
        </w:rPr>
        <w:t>17）</w:t>
      </w:r>
      <w:r w:rsidR="00D85B34" w:rsidRPr="00794712">
        <w:rPr>
          <w:lang w:val="ru-RU"/>
        </w:rPr>
        <w:t>等。 最后，福音书作者们以极其详尽的笔触描绘了我们主所受的苦难，讲述了祂的受死、安葬、复活和</w:t>
      </w:r>
      <w:r w:rsidR="00D85B34">
        <w:rPr>
          <w:lang w:val="ru-RU"/>
        </w:rPr>
        <w:t>升天</w:t>
      </w:r>
      <w:r w:rsidR="00D85B34" w:rsidRPr="00794712">
        <w:rPr>
          <w:lang w:val="ru-RU"/>
        </w:rPr>
        <w:t>——所有这些事件，若祂不具备人性，就绝对不可能发生。</w:t>
      </w:r>
    </w:p>
    <w:p w14:paraId="04440230" w14:textId="77777777" w:rsidR="00D85B34" w:rsidRPr="00794712" w:rsidRDefault="00F45CFB" w:rsidP="00D85B34">
      <w:pPr>
        <w:ind w:firstLine="708"/>
        <w:rPr>
          <w:lang w:val="ru-RU"/>
        </w:rPr>
      </w:pPr>
      <w:r w:rsidRPr="00F45CFB">
        <w:rPr>
          <w:b/>
          <w:bCs/>
          <w:lang w:val="ru-RU"/>
        </w:rPr>
        <w:t>5)</w:t>
      </w:r>
      <w:r w:rsidR="00D85B34" w:rsidRPr="00794712">
        <w:rPr>
          <w:lang w:val="ru-RU"/>
        </w:rPr>
        <w:t xml:space="preserve"> 圣经中对耶稣基督的称谓。他曾自称：</w:t>
      </w:r>
      <w:r w:rsidR="00A95A76" w:rsidRPr="00A95A76">
        <w:rPr>
          <w:b/>
          <w:lang w:val="ru-RU"/>
        </w:rPr>
        <w:t xml:space="preserve">a) </w:t>
      </w:r>
      <w:r w:rsidR="00D85B34" w:rsidRPr="00794712">
        <w:rPr>
          <w:lang w:val="ru-RU"/>
        </w:rPr>
        <w:t>人：他曾对犹太人说：</w:t>
      </w:r>
      <w:r w:rsidR="00E070F3" w:rsidRPr="00E070F3">
        <w:rPr>
          <w:i/>
          <w:iCs/>
          <w:lang w:val="ru-RU"/>
        </w:rPr>
        <w:t>“你们</w:t>
      </w:r>
      <w:r w:rsidR="00D85B34" w:rsidRPr="00F6333C">
        <w:rPr>
          <w:i/>
          <w:iCs/>
          <w:lang w:val="ru-RU"/>
        </w:rPr>
        <w:t>现在</w:t>
      </w:r>
      <w:r w:rsidR="00E070F3" w:rsidRPr="00E070F3">
        <w:rPr>
          <w:i/>
          <w:iCs/>
          <w:lang w:val="ru-RU"/>
        </w:rPr>
        <w:t>竟想要杀我——这个把从神那里听到的真理告诉你们的人</w:t>
      </w:r>
      <w:r w:rsidR="005864AB">
        <w:rPr>
          <w:lang w:val="ru-RU"/>
        </w:rPr>
        <w:t>”（</w:t>
      </w:r>
      <w:r w:rsidR="00D85B34" w:rsidRPr="00794712">
        <w:rPr>
          <w:lang w:val="ru-RU"/>
        </w:rPr>
        <w:t>约8</w:t>
      </w:r>
      <w:r w:rsidR="00E070F3">
        <w:rPr>
          <w:lang w:val="ru-RU"/>
        </w:rPr>
        <w:t>:</w:t>
      </w:r>
      <w:r w:rsidR="00D85B34" w:rsidRPr="00794712">
        <w:rPr>
          <w:lang w:val="ru-RU"/>
        </w:rPr>
        <w:t>40）；</w:t>
      </w:r>
      <w:r w:rsidR="00A95A76" w:rsidRPr="00A95A76">
        <w:rPr>
          <w:b/>
          <w:lang w:val="ru-RU"/>
        </w:rPr>
        <w:t>b)</w:t>
      </w:r>
      <w:r w:rsidR="00D85B34" w:rsidRPr="00794712">
        <w:rPr>
          <w:lang w:val="ru-RU"/>
        </w:rPr>
        <w:t xml:space="preserve"> 经常自称“人子”，例如： </w:t>
      </w:r>
      <w:r w:rsidR="00D85B34" w:rsidRPr="00F6333C">
        <w:rPr>
          <w:i/>
          <w:iCs/>
          <w:lang w:val="ru-RU"/>
        </w:rPr>
        <w:t xml:space="preserve">“狐狸有洞，天空的飞鸟有窝，人子却没有地方枕头” </w:t>
      </w:r>
      <w:r w:rsidR="00743A7C" w:rsidRPr="00743A7C">
        <w:rPr>
          <w:lang w:val="ru-RU"/>
        </w:rPr>
        <w:t>[</w:t>
      </w:r>
      <w:r w:rsidR="000A57C3">
        <w:rPr>
          <w:lang w:val="ru-RU"/>
        </w:rPr>
        <w:t>(太</w:t>
      </w:r>
      <w:r w:rsidR="00D85B34" w:rsidRPr="00794712">
        <w:rPr>
          <w:lang w:val="ru-RU"/>
        </w:rPr>
        <w:t xml:space="preserve"> 8</w:t>
      </w:r>
      <w:r w:rsidR="00D85B34" w:rsidRPr="00A507FB">
        <w:rPr>
          <w:lang w:val="ru-RU"/>
        </w:rPr>
        <w:t>:</w:t>
      </w:r>
      <w:r w:rsidR="00D85B34" w:rsidRPr="00794712">
        <w:rPr>
          <w:lang w:val="ru-RU"/>
        </w:rPr>
        <w:t>20</w:t>
      </w:r>
      <w:r w:rsidR="00743A7C" w:rsidRPr="00743A7C">
        <w:rPr>
          <w:lang w:val="ru-RU"/>
        </w:rPr>
        <w:t>)</w:t>
      </w:r>
      <w:r w:rsidR="00D85B34" w:rsidRPr="00794712">
        <w:rPr>
          <w:lang w:val="ru-RU"/>
        </w:rPr>
        <w:t>；</w:t>
      </w:r>
      <w:r w:rsidR="00743A7C" w:rsidRPr="00743A7C">
        <w:rPr>
          <w:lang w:val="ru-RU"/>
        </w:rPr>
        <w:t>(</w:t>
      </w:r>
      <w:r w:rsidR="00743A7C">
        <w:rPr>
          <w:lang w:val="ru-RU"/>
        </w:rPr>
        <w:t>太</w:t>
      </w:r>
      <w:r w:rsidR="00D85B34" w:rsidRPr="00794712">
        <w:rPr>
          <w:lang w:val="ru-RU"/>
        </w:rPr>
        <w:t xml:space="preserve"> 11</w:t>
      </w:r>
      <w:r w:rsidR="00D85B34" w:rsidRPr="00A507FB">
        <w:rPr>
          <w:lang w:val="ru-RU"/>
        </w:rPr>
        <w:t>:</w:t>
      </w:r>
      <w:r w:rsidR="00D85B34" w:rsidRPr="00794712">
        <w:rPr>
          <w:lang w:val="ru-RU"/>
        </w:rPr>
        <w:t>19</w:t>
      </w:r>
      <w:r w:rsidR="00743A7C">
        <w:rPr>
          <w:lang w:val="ru-RU"/>
        </w:rPr>
        <w:t>)</w:t>
      </w:r>
      <w:r w:rsidR="00D85B34" w:rsidRPr="00794712">
        <w:rPr>
          <w:lang w:val="ru-RU"/>
        </w:rPr>
        <w:t>；</w:t>
      </w:r>
      <w:r w:rsidR="00743A7C">
        <w:rPr>
          <w:lang w:val="ru-RU"/>
        </w:rPr>
        <w:t>(太</w:t>
      </w:r>
      <w:r w:rsidR="00D85B34" w:rsidRPr="00794712">
        <w:rPr>
          <w:lang w:val="ru-RU"/>
        </w:rPr>
        <w:t xml:space="preserve"> 18</w:t>
      </w:r>
      <w:r w:rsidR="00D85B34" w:rsidRPr="00A507FB">
        <w:rPr>
          <w:lang w:val="ru-RU"/>
        </w:rPr>
        <w:t>:</w:t>
      </w:r>
      <w:r w:rsidR="00D85B34" w:rsidRPr="00794712">
        <w:rPr>
          <w:lang w:val="ru-RU"/>
        </w:rPr>
        <w:t>11</w:t>
      </w:r>
      <w:r w:rsidR="00743A7C">
        <w:rPr>
          <w:lang w:val="ru-RU"/>
        </w:rPr>
        <w:t>)</w:t>
      </w:r>
      <w:r w:rsidR="00D85B34" w:rsidRPr="00794712">
        <w:rPr>
          <w:lang w:val="ru-RU"/>
        </w:rPr>
        <w:t>；</w:t>
      </w:r>
      <w:r w:rsidR="00743A7C">
        <w:rPr>
          <w:lang w:val="ru-RU"/>
        </w:rPr>
        <w:t>(太</w:t>
      </w:r>
      <w:r w:rsidR="00D85B34" w:rsidRPr="00794712">
        <w:rPr>
          <w:lang w:val="ru-RU"/>
        </w:rPr>
        <w:t xml:space="preserve"> 20</w:t>
      </w:r>
      <w:r w:rsidR="00D85B34" w:rsidRPr="00A507FB">
        <w:rPr>
          <w:lang w:val="ru-RU"/>
        </w:rPr>
        <w:t>:</w:t>
      </w:r>
      <w:r w:rsidR="00D85B34" w:rsidRPr="00794712">
        <w:rPr>
          <w:lang w:val="ru-RU"/>
        </w:rPr>
        <w:t>28</w:t>
      </w:r>
      <w:r w:rsidR="00743A7C">
        <w:rPr>
          <w:lang w:val="ru-RU"/>
        </w:rPr>
        <w:t>)</w:t>
      </w:r>
      <w:r w:rsidR="00D85B34" w:rsidRPr="00794712">
        <w:rPr>
          <w:lang w:val="ru-RU"/>
        </w:rPr>
        <w:t xml:space="preserve">； </w:t>
      </w:r>
      <w:r w:rsidR="00743A7C">
        <w:rPr>
          <w:lang w:val="ru-RU"/>
        </w:rPr>
        <w:t>(</w:t>
      </w:r>
      <w:r w:rsidR="00D85B34" w:rsidRPr="00794712">
        <w:rPr>
          <w:lang w:val="ru-RU"/>
        </w:rPr>
        <w:t>可 8</w:t>
      </w:r>
      <w:r w:rsidR="00D85B34" w:rsidRPr="00A507FB">
        <w:rPr>
          <w:lang w:val="ru-RU"/>
        </w:rPr>
        <w:t>:</w:t>
      </w:r>
      <w:r w:rsidR="00D85B34" w:rsidRPr="00794712">
        <w:rPr>
          <w:lang w:val="ru-RU"/>
        </w:rPr>
        <w:t>31</w:t>
      </w:r>
      <w:r w:rsidR="00743A7C">
        <w:rPr>
          <w:lang w:val="ru-RU"/>
        </w:rPr>
        <w:t>)</w:t>
      </w:r>
      <w:r w:rsidR="00D85B34" w:rsidRPr="00794712">
        <w:rPr>
          <w:lang w:val="ru-RU"/>
        </w:rPr>
        <w:t>；</w:t>
      </w:r>
      <w:r w:rsidR="00743A7C">
        <w:rPr>
          <w:rFonts w:cs="Cambria Math"/>
          <w:lang w:val="ru-RU"/>
        </w:rPr>
        <w:t>(太</w:t>
      </w:r>
      <w:r w:rsidR="00D85B34" w:rsidRPr="00794712">
        <w:rPr>
          <w:lang w:val="ru-RU"/>
        </w:rPr>
        <w:t xml:space="preserve"> 9</w:t>
      </w:r>
      <w:r w:rsidR="00D85B34" w:rsidRPr="00A507FB">
        <w:rPr>
          <w:lang w:val="ru-RU"/>
        </w:rPr>
        <w:t>:</w:t>
      </w:r>
      <w:r w:rsidR="00D85B34" w:rsidRPr="00794712">
        <w:rPr>
          <w:lang w:val="ru-RU"/>
        </w:rPr>
        <w:t>12</w:t>
      </w:r>
      <w:r w:rsidR="00743A7C">
        <w:rPr>
          <w:lang w:val="ru-RU"/>
        </w:rPr>
        <w:t>)</w:t>
      </w:r>
      <w:r w:rsidR="00D85B34" w:rsidRPr="00794712">
        <w:rPr>
          <w:lang w:val="ru-RU"/>
        </w:rPr>
        <w:t>；</w:t>
      </w:r>
      <w:r w:rsidR="00743A7C">
        <w:rPr>
          <w:lang w:val="ru-RU"/>
        </w:rPr>
        <w:t>(</w:t>
      </w:r>
      <w:r w:rsidR="00D85B34" w:rsidRPr="00794712">
        <w:rPr>
          <w:lang w:val="ru-RU"/>
        </w:rPr>
        <w:t>路 22</w:t>
      </w:r>
      <w:r w:rsidR="00D85B34" w:rsidRPr="002049D9">
        <w:rPr>
          <w:lang w:val="ru-RU"/>
        </w:rPr>
        <w:t>:</w:t>
      </w:r>
      <w:r w:rsidR="00D85B34" w:rsidRPr="00794712">
        <w:rPr>
          <w:lang w:val="ru-RU"/>
        </w:rPr>
        <w:t>48</w:t>
      </w:r>
      <w:r w:rsidR="00743A7C">
        <w:rPr>
          <w:lang w:val="ru-RU"/>
        </w:rPr>
        <w:t>)</w:t>
      </w:r>
      <w:r w:rsidR="00D85B34" w:rsidRPr="00794712">
        <w:rPr>
          <w:lang w:val="ru-RU"/>
        </w:rPr>
        <w:t>；</w:t>
      </w:r>
      <w:r w:rsidR="00743A7C">
        <w:rPr>
          <w:lang w:val="ru-RU"/>
        </w:rPr>
        <w:t>(</w:t>
      </w:r>
      <w:r w:rsidR="00D85B34" w:rsidRPr="00794712">
        <w:rPr>
          <w:lang w:val="ru-RU"/>
        </w:rPr>
        <w:t>约 3</w:t>
      </w:r>
      <w:r w:rsidR="00D85B34" w:rsidRPr="002049D9">
        <w:rPr>
          <w:lang w:val="ru-RU"/>
        </w:rPr>
        <w:t>:</w:t>
      </w:r>
      <w:r w:rsidR="00D85B34" w:rsidRPr="00794712">
        <w:rPr>
          <w:lang w:val="ru-RU"/>
        </w:rPr>
        <w:t>13</w:t>
      </w:r>
      <w:r w:rsidR="00743A7C">
        <w:rPr>
          <w:lang w:val="ru-RU"/>
        </w:rPr>
        <w:t>)</w:t>
      </w:r>
      <w:r w:rsidR="00D85B34" w:rsidRPr="00794712">
        <w:rPr>
          <w:lang w:val="ru-RU"/>
        </w:rPr>
        <w:t>；</w:t>
      </w:r>
      <w:r w:rsidR="00743A7C">
        <w:rPr>
          <w:rFonts w:cs="Cambria Math"/>
          <w:lang w:val="ru-RU"/>
        </w:rPr>
        <w:t>(太</w:t>
      </w:r>
      <w:r w:rsidR="00D85B34" w:rsidRPr="00794712">
        <w:rPr>
          <w:lang w:val="ru-RU"/>
        </w:rPr>
        <w:t xml:space="preserve"> 5</w:t>
      </w:r>
      <w:r w:rsidR="00D85B34" w:rsidRPr="002049D9">
        <w:rPr>
          <w:lang w:val="ru-RU"/>
        </w:rPr>
        <w:t>:</w:t>
      </w:r>
      <w:r w:rsidR="00D85B34" w:rsidRPr="00794712">
        <w:rPr>
          <w:lang w:val="ru-RU"/>
        </w:rPr>
        <w:t>27</w:t>
      </w:r>
      <w:r w:rsidR="00743A7C">
        <w:rPr>
          <w:lang w:val="ru-RU"/>
        </w:rPr>
        <w:t>)</w:t>
      </w:r>
      <w:r w:rsidR="00743A7C" w:rsidRPr="00743A7C">
        <w:rPr>
          <w:lang w:val="ru-RU"/>
        </w:rPr>
        <w:t xml:space="preserve">] </w:t>
      </w:r>
      <w:r w:rsidR="00D85B34" w:rsidRPr="00794712">
        <w:rPr>
          <w:lang w:val="ru-RU"/>
        </w:rPr>
        <w:t xml:space="preserve">等。圣使徒们也称祂为：人 </w:t>
      </w:r>
      <w:r w:rsidR="00743A7C" w:rsidRPr="00743A7C">
        <w:rPr>
          <w:lang w:val="ru-RU"/>
        </w:rPr>
        <w:t>[</w:t>
      </w:r>
      <w:r w:rsidR="00621F17">
        <w:rPr>
          <w:lang w:val="ru-RU"/>
        </w:rPr>
        <w:t>(提后</w:t>
      </w:r>
      <w:r w:rsidR="00D85B34" w:rsidRPr="00794712">
        <w:rPr>
          <w:lang w:val="ru-RU"/>
        </w:rPr>
        <w:t xml:space="preserve"> 2</w:t>
      </w:r>
      <w:r w:rsidR="00D85B34" w:rsidRPr="002049D9">
        <w:rPr>
          <w:lang w:val="ru-RU"/>
        </w:rPr>
        <w:t>:</w:t>
      </w:r>
      <w:r w:rsidR="00D85B34" w:rsidRPr="00794712">
        <w:rPr>
          <w:lang w:val="ru-RU"/>
        </w:rPr>
        <w:t>5</w:t>
      </w:r>
      <w:r w:rsidR="00743A7C" w:rsidRPr="00743A7C">
        <w:rPr>
          <w:lang w:val="ru-RU"/>
        </w:rPr>
        <w:t>)</w:t>
      </w:r>
      <w:r w:rsidR="00D85B34" w:rsidRPr="00794712">
        <w:rPr>
          <w:lang w:val="ru-RU"/>
        </w:rPr>
        <w:t xml:space="preserve">； </w:t>
      </w:r>
      <w:r w:rsidR="00743A7C" w:rsidRPr="00743A7C">
        <w:rPr>
          <w:lang w:val="ru-RU"/>
        </w:rPr>
        <w:t>（</w:t>
      </w:r>
      <w:r w:rsidR="00E070F3">
        <w:rPr>
          <w:lang w:val="ru-RU"/>
        </w:rPr>
        <w:t>林前</w:t>
      </w:r>
      <w:r w:rsidR="00D85B34" w:rsidRPr="00794712">
        <w:rPr>
          <w:lang w:val="ru-RU"/>
        </w:rPr>
        <w:t xml:space="preserve"> 15</w:t>
      </w:r>
      <w:r w:rsidR="00D85B34" w:rsidRPr="002049D9">
        <w:rPr>
          <w:lang w:val="ru-RU"/>
        </w:rPr>
        <w:t>:</w:t>
      </w:r>
      <w:r w:rsidR="00D85B34" w:rsidRPr="00794712">
        <w:rPr>
          <w:lang w:val="ru-RU"/>
        </w:rPr>
        <w:t>21-47</w:t>
      </w:r>
      <w:r w:rsidR="00743A7C" w:rsidRPr="00743A7C">
        <w:rPr>
          <w:lang w:val="ru-RU"/>
        </w:rPr>
        <w:t>）</w:t>
      </w:r>
      <w:r w:rsidR="00D85B34" w:rsidRPr="00794712">
        <w:rPr>
          <w:lang w:val="ru-RU"/>
        </w:rPr>
        <w:t>；</w:t>
      </w:r>
      <w:r w:rsidR="00743A7C" w:rsidRPr="00743A7C">
        <w:rPr>
          <w:lang w:val="ru-RU"/>
        </w:rPr>
        <w:t>（</w:t>
      </w:r>
      <w:r w:rsidR="00D85B34" w:rsidRPr="00794712">
        <w:rPr>
          <w:lang w:val="ru-RU"/>
        </w:rPr>
        <w:t>徒 17</w:t>
      </w:r>
      <w:r w:rsidR="00D85B34" w:rsidRPr="002049D9">
        <w:rPr>
          <w:lang w:val="ru-RU"/>
        </w:rPr>
        <w:t>:</w:t>
      </w:r>
      <w:r w:rsidR="00D85B34" w:rsidRPr="00794712">
        <w:rPr>
          <w:lang w:val="ru-RU"/>
        </w:rPr>
        <w:t>31）</w:t>
      </w:r>
      <w:r w:rsidR="00743A7C" w:rsidRPr="00BD6C1B">
        <w:rPr>
          <w:lang w:val="ru-RU"/>
        </w:rPr>
        <w:t>]</w:t>
      </w:r>
      <w:r w:rsidR="00D85B34" w:rsidRPr="00794712">
        <w:rPr>
          <w:lang w:val="ru-RU"/>
        </w:rPr>
        <w:t>、男子（徒 17</w:t>
      </w:r>
      <w:r w:rsidR="00D85B34" w:rsidRPr="002049D9">
        <w:rPr>
          <w:lang w:val="ru-RU"/>
        </w:rPr>
        <w:t>:</w:t>
      </w:r>
      <w:r w:rsidR="00D85B34" w:rsidRPr="00794712">
        <w:rPr>
          <w:lang w:val="ru-RU"/>
        </w:rPr>
        <w:t>31）、另一个亚当</w:t>
      </w:r>
      <w:r w:rsidR="00621F17">
        <w:rPr>
          <w:lang w:val="ru-RU"/>
        </w:rPr>
        <w:t>（林前</w:t>
      </w:r>
      <w:r w:rsidR="00D85B34" w:rsidRPr="00794712">
        <w:rPr>
          <w:lang w:val="ru-RU"/>
        </w:rPr>
        <w:t xml:space="preserve"> 15</w:t>
      </w:r>
      <w:r w:rsidR="00D85B34" w:rsidRPr="002049D9">
        <w:rPr>
          <w:lang w:val="ru-RU"/>
        </w:rPr>
        <w:t>:</w:t>
      </w:r>
      <w:r w:rsidR="00D85B34" w:rsidRPr="00794712">
        <w:rPr>
          <w:lang w:val="ru-RU"/>
        </w:rPr>
        <w:t>45-49）。</w:t>
      </w:r>
    </w:p>
    <w:p w14:paraId="4014A13D" w14:textId="77777777" w:rsidR="00D85B34" w:rsidRPr="00794712" w:rsidRDefault="00F45CFB" w:rsidP="00D85B34">
      <w:pPr>
        <w:ind w:firstLine="708"/>
        <w:rPr>
          <w:lang w:val="ru-RU"/>
        </w:rPr>
      </w:pPr>
      <w:r w:rsidRPr="00F45CFB">
        <w:rPr>
          <w:b/>
          <w:bCs/>
          <w:lang w:val="ru-RU"/>
        </w:rPr>
        <w:t>6)</w:t>
      </w:r>
      <w:r w:rsidR="00D85B34" w:rsidRPr="00794712">
        <w:rPr>
          <w:lang w:val="ru-RU"/>
        </w:rPr>
        <w:t xml:space="preserve"> 特别是因为真神的道——而非虚幻的——以人的身体，连同其所有部位、属性和功能，与耶稣基督结合在一起。</w:t>
      </w:r>
    </w:p>
    <w:p w14:paraId="727A64AB"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接纳了祂的身体。经上记载，有一位虔诚的妇人</w:t>
      </w:r>
      <w:r w:rsidRPr="00AC25AB">
        <w:rPr>
          <w:i/>
          <w:iCs/>
          <w:lang w:val="ru-RU"/>
        </w:rPr>
        <w:t>“预先用香膏膏了祂的身体，为要安葬祂”</w:t>
      </w:r>
      <w:r w:rsidR="005864AB">
        <w:rPr>
          <w:lang w:val="ru-RU"/>
        </w:rPr>
        <w:t>（可</w:t>
      </w:r>
      <w:r w:rsidRPr="00794712">
        <w:rPr>
          <w:lang w:val="ru-RU"/>
        </w:rPr>
        <w:t>14</w:t>
      </w:r>
      <w:r w:rsidRPr="00AC25AB">
        <w:rPr>
          <w:lang w:val="ru-RU"/>
        </w:rPr>
        <w:t>:</w:t>
      </w:r>
      <w:r w:rsidRPr="00794712">
        <w:rPr>
          <w:lang w:val="ru-RU"/>
        </w:rPr>
        <w:t>8），又说</w:t>
      </w:r>
      <w:r w:rsidRPr="00AC25AB">
        <w:rPr>
          <w:i/>
          <w:iCs/>
          <w:lang w:val="ru-RU"/>
        </w:rPr>
        <w:t>“祂亲自在十字架上，将我们的罪担在自己的身上”（</w:t>
      </w:r>
      <w:r w:rsidRPr="00794712">
        <w:rPr>
          <w:lang w:val="ru-RU"/>
        </w:rPr>
        <w:t xml:space="preserve"> （</w:t>
      </w:r>
      <w:r w:rsidR="0087297C">
        <w:rPr>
          <w:lang w:val="ru-RU"/>
        </w:rPr>
        <w:t>彼得前书</w:t>
      </w:r>
      <w:r w:rsidRPr="00794712">
        <w:rPr>
          <w:lang w:val="ru-RU"/>
        </w:rPr>
        <w:t xml:space="preserve"> 2</w:t>
      </w:r>
      <w:r w:rsidRPr="00AC25AB">
        <w:rPr>
          <w:lang w:val="ru-RU"/>
        </w:rPr>
        <w:t>:</w:t>
      </w:r>
      <w:r w:rsidRPr="00794712">
        <w:rPr>
          <w:lang w:val="ru-RU"/>
        </w:rPr>
        <w:t>24）；据 记载，祂死后，亚利马太的约</w:t>
      </w:r>
      <w:r w:rsidRPr="00AC25AB">
        <w:rPr>
          <w:i/>
          <w:iCs/>
          <w:lang w:val="ru-RU"/>
        </w:rPr>
        <w:t>瑟“去见彼拉多，求耶稣的身体。彼拉多就吩咐把身体交给他；约瑟领了身体，用洁净的细麻布裹好，安放在他自己凿在磐石里的新坟墓中”</w:t>
      </w:r>
      <w:r w:rsidRPr="00794712">
        <w:rPr>
          <w:lang w:val="ru-RU"/>
        </w:rPr>
        <w:t xml:space="preserve"> </w:t>
      </w:r>
      <w:r w:rsidR="000A57C3">
        <w:rPr>
          <w:lang w:val="ru-RU"/>
        </w:rPr>
        <w:t>（马太福音</w:t>
      </w:r>
      <w:r w:rsidRPr="00794712">
        <w:rPr>
          <w:lang w:val="ru-RU"/>
        </w:rPr>
        <w:t xml:space="preserve"> 27</w:t>
      </w:r>
      <w:r w:rsidRPr="00AC25AB">
        <w:rPr>
          <w:lang w:val="ru-RU"/>
        </w:rPr>
        <w:t>:</w:t>
      </w:r>
      <w:r w:rsidRPr="00794712">
        <w:rPr>
          <w:lang w:val="ru-RU"/>
        </w:rPr>
        <w:t>58-60）；甚至在复活之后，当祂的身体已显出荣耀的形像时，主向门徒显现，说：</w:t>
      </w:r>
      <w:r w:rsidRPr="00AC25AB">
        <w:rPr>
          <w:i/>
          <w:iCs/>
          <w:lang w:val="ru-RU"/>
        </w:rPr>
        <w:t>“你们摸摸我，仔细看看；因为灵没有骨头，也没有肉，正如你们所看见的”</w:t>
      </w:r>
      <w:r w:rsidRPr="00794712">
        <w:rPr>
          <w:lang w:val="ru-RU"/>
        </w:rPr>
        <w:t xml:space="preserve"> </w:t>
      </w:r>
      <w:r w:rsidR="008A3626">
        <w:rPr>
          <w:lang w:val="ru-RU"/>
        </w:rPr>
        <w:t>（路加福音</w:t>
      </w:r>
      <w:r w:rsidRPr="00794712">
        <w:rPr>
          <w:lang w:val="ru-RU"/>
        </w:rPr>
        <w:t xml:space="preserve"> 24</w:t>
      </w:r>
      <w:r w:rsidRPr="00AC25AB">
        <w:rPr>
          <w:lang w:val="ru-RU"/>
        </w:rPr>
        <w:t>:</w:t>
      </w:r>
      <w:r w:rsidRPr="00794712">
        <w:rPr>
          <w:lang w:val="ru-RU"/>
        </w:rPr>
        <w:t>39），随后对多马说：</w:t>
      </w:r>
      <w:r w:rsidRPr="00AC25AB">
        <w:rPr>
          <w:i/>
          <w:iCs/>
          <w:lang w:val="ru-RU"/>
        </w:rPr>
        <w:t>“把你的指头伸过来，摸摸我的手；把你的手伸过来，探入我的肋旁；不要作不信的，要作信的。”</w:t>
      </w:r>
      <w:r w:rsidR="005864AB">
        <w:rPr>
          <w:lang w:val="ru-RU"/>
        </w:rPr>
        <w:t>（约翰福音</w:t>
      </w:r>
      <w:r w:rsidRPr="00794712">
        <w:rPr>
          <w:lang w:val="ru-RU"/>
        </w:rPr>
        <w:t xml:space="preserve"> 20</w:t>
      </w:r>
      <w:r w:rsidRPr="00AC25AB">
        <w:rPr>
          <w:lang w:val="ru-RU"/>
        </w:rPr>
        <w:t>:</w:t>
      </w:r>
      <w:r w:rsidRPr="00794712">
        <w:rPr>
          <w:lang w:val="ru-RU"/>
        </w:rPr>
        <w:t>27）。</w:t>
      </w:r>
      <w:r w:rsidR="0087297C">
        <w:rPr>
          <w:rStyle w:val="FootnoteReference"/>
          <w:lang w:val="ru-RU"/>
        </w:rPr>
        <w:footnoteReference w:id="115"/>
      </w:r>
    </w:p>
    <w:p w14:paraId="5C74E736"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具有身体的各部分：头</w:t>
      </w:r>
      <w:r w:rsidR="000A57C3">
        <w:rPr>
          <w:lang w:val="ru-RU"/>
        </w:rPr>
        <w:t>（太</w:t>
      </w:r>
      <w:r w:rsidRPr="00794712">
        <w:rPr>
          <w:lang w:val="ru-RU"/>
        </w:rPr>
        <w:t xml:space="preserve"> 27</w:t>
      </w:r>
      <w:r w:rsidRPr="00AC25AB">
        <w:rPr>
          <w:lang w:val="ru-RU"/>
        </w:rPr>
        <w:t>:</w:t>
      </w:r>
      <w:r w:rsidRPr="00794712">
        <w:rPr>
          <w:lang w:val="ru-RU"/>
        </w:rPr>
        <w:t>29-30）、手和脚</w:t>
      </w:r>
      <w:r w:rsidR="00743A7C" w:rsidRPr="00743A7C">
        <w:rPr>
          <w:lang w:val="ru-RU"/>
        </w:rPr>
        <w:t>[</w:t>
      </w:r>
      <w:r w:rsidR="005864AB">
        <w:rPr>
          <w:lang w:val="ru-RU"/>
        </w:rPr>
        <w:t>（约</w:t>
      </w:r>
      <w:r w:rsidRPr="00794712">
        <w:rPr>
          <w:lang w:val="ru-RU"/>
        </w:rPr>
        <w:t xml:space="preserve"> 12</w:t>
      </w:r>
      <w:r w:rsidRPr="00AC25AB">
        <w:rPr>
          <w:lang w:val="ru-RU"/>
        </w:rPr>
        <w:t>:</w:t>
      </w:r>
      <w:r w:rsidRPr="00794712">
        <w:rPr>
          <w:lang w:val="ru-RU"/>
        </w:rPr>
        <w:t>3</w:t>
      </w:r>
      <w:r w:rsidR="00743A7C" w:rsidRPr="00743A7C">
        <w:rPr>
          <w:lang w:val="ru-RU"/>
        </w:rPr>
        <w:t>）</w:t>
      </w:r>
      <w:r w:rsidRPr="00794712">
        <w:rPr>
          <w:lang w:val="ru-RU"/>
        </w:rPr>
        <w:t>；</w:t>
      </w:r>
      <w:r w:rsidR="00743A7C" w:rsidRPr="00743A7C">
        <w:rPr>
          <w:lang w:val="ru-RU"/>
        </w:rPr>
        <w:t>（</w:t>
      </w:r>
      <w:r w:rsidR="0087297C">
        <w:rPr>
          <w:lang w:val="ru-RU"/>
        </w:rPr>
        <w:t>路</w:t>
      </w:r>
      <w:r w:rsidRPr="00794712">
        <w:rPr>
          <w:lang w:val="ru-RU"/>
        </w:rPr>
        <w:t xml:space="preserve"> 24</w:t>
      </w:r>
      <w:r w:rsidRPr="00AC25AB">
        <w:rPr>
          <w:lang w:val="ru-RU"/>
        </w:rPr>
        <w:t>:</w:t>
      </w:r>
      <w:r w:rsidRPr="00794712">
        <w:rPr>
          <w:lang w:val="ru-RU"/>
        </w:rPr>
        <w:t>39）</w:t>
      </w:r>
      <w:r w:rsidR="00743A7C" w:rsidRPr="00743A7C">
        <w:rPr>
          <w:lang w:val="ru-RU"/>
        </w:rPr>
        <w:t>]</w:t>
      </w:r>
      <w:r w:rsidRPr="00794712">
        <w:rPr>
          <w:lang w:val="ru-RU"/>
        </w:rPr>
        <w:t>、手指</w:t>
      </w:r>
      <w:r w:rsidR="005864AB">
        <w:rPr>
          <w:lang w:val="ru-RU"/>
        </w:rPr>
        <w:t>（约</w:t>
      </w:r>
      <w:r w:rsidRPr="00794712">
        <w:rPr>
          <w:lang w:val="ru-RU"/>
        </w:rPr>
        <w:t xml:space="preserve"> 8</w:t>
      </w:r>
      <w:r w:rsidRPr="00871721">
        <w:rPr>
          <w:lang w:val="ru-RU"/>
        </w:rPr>
        <w:t>:</w:t>
      </w:r>
      <w:r w:rsidRPr="00794712">
        <w:rPr>
          <w:lang w:val="ru-RU"/>
        </w:rPr>
        <w:t>6）、小腿</w:t>
      </w:r>
      <w:r w:rsidR="005864AB">
        <w:rPr>
          <w:lang w:val="ru-RU"/>
        </w:rPr>
        <w:t>（约</w:t>
      </w:r>
      <w:r w:rsidRPr="00794712">
        <w:rPr>
          <w:lang w:val="ru-RU"/>
        </w:rPr>
        <w:t xml:space="preserve"> 19</w:t>
      </w:r>
      <w:r>
        <w:rPr>
          <w:lang w:val="ru-RU"/>
        </w:rPr>
        <w:t>:</w:t>
      </w:r>
      <w:r w:rsidR="00F45CFB" w:rsidRPr="00F45CFB">
        <w:rPr>
          <w:b/>
          <w:lang w:val="ru-RU"/>
        </w:rPr>
        <w:t>33）</w:t>
      </w:r>
      <w:r w:rsidRPr="00794712">
        <w:rPr>
          <w:lang w:val="ru-RU"/>
        </w:rPr>
        <w:t>和肋旁</w:t>
      </w:r>
      <w:r w:rsidR="00743A7C" w:rsidRPr="00743A7C">
        <w:rPr>
          <w:lang w:val="ru-RU"/>
        </w:rPr>
        <w:t>[</w:t>
      </w:r>
      <w:r w:rsidR="005864AB">
        <w:rPr>
          <w:lang w:val="ru-RU"/>
        </w:rPr>
        <w:t>（约</w:t>
      </w:r>
      <w:r>
        <w:rPr>
          <w:lang w:val="ru-RU"/>
        </w:rPr>
        <w:t xml:space="preserve"> 19:</w:t>
      </w:r>
      <w:r w:rsidRPr="00794712">
        <w:rPr>
          <w:lang w:val="ru-RU"/>
        </w:rPr>
        <w:t>34</w:t>
      </w:r>
      <w:r w:rsidR="00743A7C" w:rsidRPr="00743A7C">
        <w:rPr>
          <w:lang w:val="ru-RU"/>
        </w:rPr>
        <w:t>）</w:t>
      </w:r>
      <w:r w:rsidRPr="00794712">
        <w:rPr>
          <w:lang w:val="ru-RU"/>
        </w:rPr>
        <w:t xml:space="preserve">； </w:t>
      </w:r>
      <w:r w:rsidR="00743A7C" w:rsidRPr="00743A7C">
        <w:rPr>
          <w:lang w:val="ru-RU"/>
        </w:rPr>
        <w:t>（</w:t>
      </w:r>
      <w:r w:rsidRPr="00794712">
        <w:rPr>
          <w:lang w:val="ru-RU"/>
        </w:rPr>
        <w:t>约20</w:t>
      </w:r>
      <w:r>
        <w:rPr>
          <w:lang w:val="ru-RU"/>
        </w:rPr>
        <w:t>:</w:t>
      </w:r>
      <w:r w:rsidRPr="00794712">
        <w:rPr>
          <w:lang w:val="ru-RU"/>
        </w:rPr>
        <w:t>27）</w:t>
      </w:r>
      <w:r w:rsidR="00743A7C" w:rsidRPr="00743A7C">
        <w:rPr>
          <w:lang w:val="ru-RU"/>
        </w:rPr>
        <w:t>]</w:t>
      </w:r>
      <w:r w:rsidRPr="00794712">
        <w:rPr>
          <w:lang w:val="ru-RU"/>
        </w:rPr>
        <w:t>、血肉之躯</w:t>
      </w:r>
      <w:r w:rsidR="00743A7C" w:rsidRPr="00743A7C">
        <w:rPr>
          <w:lang w:val="ru-RU"/>
        </w:rPr>
        <w:t>[</w:t>
      </w:r>
      <w:r w:rsidRPr="00794712">
        <w:rPr>
          <w:lang w:val="ru-RU"/>
        </w:rPr>
        <w:t>（徒20</w:t>
      </w:r>
      <w:r>
        <w:rPr>
          <w:lang w:val="ru-RU"/>
        </w:rPr>
        <w:t>:</w:t>
      </w:r>
      <w:r w:rsidRPr="00794712">
        <w:rPr>
          <w:lang w:val="ru-RU"/>
        </w:rPr>
        <w:t>28</w:t>
      </w:r>
      <w:r w:rsidR="00743A7C" w:rsidRPr="00743A7C">
        <w:rPr>
          <w:lang w:val="ru-RU"/>
        </w:rPr>
        <w:t>）</w:t>
      </w:r>
      <w:r w:rsidRPr="00794712">
        <w:rPr>
          <w:lang w:val="ru-RU"/>
        </w:rPr>
        <w:t>；</w:t>
      </w:r>
      <w:r w:rsidR="00743A7C" w:rsidRPr="00743A7C">
        <w:rPr>
          <w:lang w:val="ru-RU"/>
        </w:rPr>
        <w:t>（</w:t>
      </w:r>
      <w:r w:rsidRPr="00794712">
        <w:rPr>
          <w:lang w:val="ru-RU"/>
        </w:rPr>
        <w:t>来2</w:t>
      </w:r>
      <w:r>
        <w:rPr>
          <w:lang w:val="ru-RU"/>
        </w:rPr>
        <w:t>:</w:t>
      </w:r>
      <w:r w:rsidRPr="00794712">
        <w:rPr>
          <w:lang w:val="ru-RU"/>
        </w:rPr>
        <w:t>14）</w:t>
      </w:r>
      <w:r w:rsidR="00743A7C" w:rsidRPr="00743A7C">
        <w:rPr>
          <w:lang w:val="ru-RU"/>
        </w:rPr>
        <w:t>]</w:t>
      </w:r>
      <w:r w:rsidRPr="00794712">
        <w:rPr>
          <w:lang w:val="ru-RU"/>
        </w:rPr>
        <w:t>。</w:t>
      </w:r>
    </w:p>
    <w:p w14:paraId="0BD6DC76"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具有肉体特性和生理功能。耶稣的身体：曾受过割礼</w:t>
      </w:r>
      <w:r w:rsidR="008A3626">
        <w:rPr>
          <w:lang w:val="ru-RU"/>
        </w:rPr>
        <w:t>（路加福音</w:t>
      </w:r>
      <w:r w:rsidRPr="00794712">
        <w:rPr>
          <w:lang w:val="ru-RU"/>
        </w:rPr>
        <w:t xml:space="preserve"> 2</w:t>
      </w:r>
      <w:r>
        <w:rPr>
          <w:lang w:val="ru-RU"/>
        </w:rPr>
        <w:t>:</w:t>
      </w:r>
      <w:r w:rsidRPr="00794712">
        <w:rPr>
          <w:lang w:val="ru-RU"/>
        </w:rPr>
        <w:t>21），需要饮食</w:t>
      </w:r>
      <w:r w:rsidR="00743A7C" w:rsidRPr="00743A7C">
        <w:rPr>
          <w:lang w:val="ru-RU"/>
        </w:rPr>
        <w:t>[</w:t>
      </w:r>
      <w:r w:rsidR="000A57C3">
        <w:rPr>
          <w:lang w:val="ru-RU"/>
        </w:rPr>
        <w:t>（马太福音</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w:t>
      </w:r>
      <w:r w:rsidR="00743A7C" w:rsidRPr="00743A7C">
        <w:rPr>
          <w:lang w:val="ru-RU"/>
        </w:rPr>
        <w:t>（</w:t>
      </w:r>
      <w:r w:rsidR="00743A7C">
        <w:rPr>
          <w:lang w:val="ru-RU"/>
        </w:rPr>
        <w:t>马太福音</w:t>
      </w:r>
      <w:r w:rsidRPr="00794712">
        <w:rPr>
          <w:lang w:val="ru-RU"/>
        </w:rPr>
        <w:t xml:space="preserve"> 21</w:t>
      </w:r>
      <w:r>
        <w:rPr>
          <w:lang w:val="ru-RU"/>
        </w:rPr>
        <w:t>:</w:t>
      </w:r>
      <w:r w:rsidRPr="00794712">
        <w:rPr>
          <w:lang w:val="ru-RU"/>
        </w:rPr>
        <w:t>18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路加福音</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w:t>
      </w:r>
      <w:r w:rsidR="00743A7C" w:rsidRPr="00743A7C">
        <w:rPr>
          <w:lang w:val="ru-RU"/>
        </w:rPr>
        <w:t>（</w:t>
      </w:r>
      <w:r w:rsidR="0087297C">
        <w:rPr>
          <w:lang w:val="ru-RU"/>
        </w:rPr>
        <w:t>约翰福音</w:t>
      </w:r>
      <w:r w:rsidRPr="00794712">
        <w:rPr>
          <w:lang w:val="ru-RU"/>
        </w:rPr>
        <w:t xml:space="preserve"> </w:t>
      </w:r>
      <w:r w:rsidRPr="00794712">
        <w:rPr>
          <w:lang w:val="ru-RU"/>
        </w:rPr>
        <w:lastRenderedPageBreak/>
        <w:t>19</w:t>
      </w:r>
      <w:r>
        <w:rPr>
          <w:lang w:val="ru-RU"/>
        </w:rPr>
        <w:t>:</w:t>
      </w:r>
      <w:r w:rsidRPr="00794712">
        <w:rPr>
          <w:lang w:val="ru-RU"/>
        </w:rPr>
        <w:t>28）</w:t>
      </w:r>
      <w:r w:rsidR="00743A7C" w:rsidRPr="00743A7C">
        <w:rPr>
          <w:lang w:val="ru-RU"/>
        </w:rPr>
        <w:t>]</w:t>
      </w:r>
      <w:r w:rsidRPr="00794712">
        <w:rPr>
          <w:lang w:val="ru-RU"/>
        </w:rPr>
        <w:t>，会感到疲倦</w:t>
      </w:r>
      <w:r w:rsidR="005864AB">
        <w:rPr>
          <w:lang w:val="ru-RU"/>
        </w:rPr>
        <w:t>（约翰福音</w:t>
      </w:r>
      <w:r w:rsidRPr="00794712">
        <w:rPr>
          <w:lang w:val="ru-RU"/>
        </w:rPr>
        <w:t xml:space="preserve"> 4</w:t>
      </w:r>
      <w:r>
        <w:rPr>
          <w:lang w:val="ru-RU"/>
        </w:rPr>
        <w:t>:</w:t>
      </w:r>
      <w:r w:rsidRPr="00794712">
        <w:rPr>
          <w:lang w:val="ru-RU"/>
        </w:rPr>
        <w:t xml:space="preserve">6），需要休息和睡眠 </w:t>
      </w:r>
      <w:r w:rsidR="00743A7C" w:rsidRPr="00743A7C">
        <w:rPr>
          <w:lang w:val="ru-RU"/>
        </w:rPr>
        <w:t>[</w:t>
      </w:r>
      <w:r w:rsidR="005864AB">
        <w:rPr>
          <w:lang w:val="ru-RU"/>
        </w:rPr>
        <w:t>(马可福音</w:t>
      </w:r>
      <w:r w:rsidRPr="00794712">
        <w:rPr>
          <w:lang w:val="ru-RU"/>
        </w:rPr>
        <w:t xml:space="preserve"> 4</w:t>
      </w:r>
      <w:r>
        <w:rPr>
          <w:lang w:val="ru-RU"/>
        </w:rPr>
        <w:t>:</w:t>
      </w:r>
      <w:r w:rsidRPr="00794712">
        <w:rPr>
          <w:lang w:val="ru-RU"/>
        </w:rPr>
        <w:t>38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太</w:t>
      </w:r>
      <w:r w:rsidRPr="00794712">
        <w:rPr>
          <w:lang w:val="ru-RU"/>
        </w:rPr>
        <w:t xml:space="preserve"> 8</w:t>
      </w:r>
      <w:r>
        <w:rPr>
          <w:lang w:val="ru-RU"/>
        </w:rPr>
        <w:t>:</w:t>
      </w:r>
      <w:r w:rsidRPr="00794712">
        <w:rPr>
          <w:lang w:val="ru-RU"/>
        </w:rPr>
        <w:t>24）</w:t>
      </w:r>
      <w:r w:rsidR="00743A7C" w:rsidRPr="00743A7C">
        <w:rPr>
          <w:lang w:val="ru-RU"/>
        </w:rPr>
        <w:t>]</w:t>
      </w:r>
      <w:r w:rsidRPr="00794712">
        <w:rPr>
          <w:lang w:val="ru-RU"/>
        </w:rPr>
        <w:t xml:space="preserve">，能够感受到病痛和苦难 </w:t>
      </w:r>
      <w:r w:rsidR="00743A7C" w:rsidRPr="00743A7C">
        <w:rPr>
          <w:lang w:val="ru-RU"/>
        </w:rPr>
        <w:t>[</w:t>
      </w:r>
      <w:r w:rsidR="008A3626">
        <w:rPr>
          <w:lang w:val="ru-RU"/>
        </w:rPr>
        <w:t>(路</w:t>
      </w:r>
      <w:r w:rsidRPr="00794712">
        <w:rPr>
          <w:lang w:val="ru-RU"/>
        </w:rPr>
        <w:t xml:space="preserve"> 22</w:t>
      </w:r>
      <w:r>
        <w:rPr>
          <w:lang w:val="ru-RU"/>
        </w:rPr>
        <w:t>:</w:t>
      </w:r>
      <w:r w:rsidRPr="00794712">
        <w:rPr>
          <w:lang w:val="ru-RU"/>
        </w:rPr>
        <w:t>41-44</w:t>
      </w:r>
      <w:r w:rsidR="00743A7C" w:rsidRPr="00743A7C">
        <w:rPr>
          <w:lang w:val="ru-RU"/>
        </w:rPr>
        <w:t>)</w:t>
      </w:r>
      <w:r w:rsidRPr="00794712">
        <w:rPr>
          <w:lang w:val="ru-RU"/>
        </w:rPr>
        <w:t>；</w:t>
      </w:r>
      <w:r w:rsidR="00743A7C" w:rsidRPr="00743A7C">
        <w:rPr>
          <w:lang w:val="ru-RU"/>
        </w:rPr>
        <w:t>（</w:t>
      </w:r>
      <w:r w:rsidR="0087297C">
        <w:rPr>
          <w:lang w:val="ru-RU"/>
        </w:rPr>
        <w:t>约</w:t>
      </w:r>
      <w:r w:rsidRPr="00794712">
        <w:rPr>
          <w:lang w:val="ru-RU"/>
        </w:rPr>
        <w:t xml:space="preserve"> 19</w:t>
      </w:r>
      <w:r>
        <w:rPr>
          <w:lang w:val="ru-RU"/>
        </w:rPr>
        <w:t>:</w:t>
      </w:r>
      <w:r w:rsidRPr="00794712">
        <w:rPr>
          <w:lang w:val="ru-RU"/>
        </w:rPr>
        <w:t>34-35)</w:t>
      </w:r>
      <w:r w:rsidR="00743A7C" w:rsidRPr="00743A7C">
        <w:rPr>
          <w:lang w:val="ru-RU"/>
        </w:rPr>
        <w:t>]</w:t>
      </w:r>
      <w:r w:rsidRPr="00794712">
        <w:rPr>
          <w:lang w:val="ru-RU"/>
        </w:rPr>
        <w:t>，尝过死亡的滋味，被埋葬并复活了</w:t>
      </w:r>
      <w:r w:rsidR="000A57C3">
        <w:rPr>
          <w:lang w:val="ru-RU"/>
        </w:rPr>
        <w:t>（太</w:t>
      </w:r>
      <w:r w:rsidRPr="00794712">
        <w:rPr>
          <w:lang w:val="ru-RU"/>
        </w:rPr>
        <w:t xml:space="preserve"> 27</w:t>
      </w:r>
      <w:r>
        <w:rPr>
          <w:lang w:val="ru-RU"/>
        </w:rPr>
        <w:t>:</w:t>
      </w:r>
      <w:r w:rsidR="00F45CFB" w:rsidRPr="004F07F1">
        <w:rPr>
          <w:lang w:val="ru-RU"/>
        </w:rPr>
        <w:t>40-61）</w:t>
      </w:r>
      <w:r w:rsidRPr="00794712">
        <w:rPr>
          <w:lang w:val="ru-RU"/>
        </w:rPr>
        <w:t>等等。</w:t>
      </w:r>
    </w:p>
    <w:p w14:paraId="4CD4462D" w14:textId="77777777" w:rsidR="00D85B34" w:rsidRPr="00794712" w:rsidRDefault="001B763B" w:rsidP="00D85B34">
      <w:pPr>
        <w:ind w:firstLine="708"/>
        <w:rPr>
          <w:lang w:val="ru-RU"/>
        </w:rPr>
      </w:pPr>
      <w:r w:rsidRPr="001B763B">
        <w:rPr>
          <w:b/>
          <w:bCs/>
          <w:lang w:val="ru-RU"/>
        </w:rPr>
        <w:t>7)</w:t>
      </w:r>
      <w:r w:rsidR="00D85B34" w:rsidRPr="00794712">
        <w:rPr>
          <w:lang w:val="ru-RU"/>
        </w:rPr>
        <w:t xml:space="preserve"> 最后，从圣经中可以看出，耶稣基督还兼具人类存在的另一部分——即灵魂或</w:t>
      </w:r>
      <w:r w:rsidR="00D85B34" w:rsidRPr="00AA0891">
        <w:t>灵</w:t>
      </w:r>
      <w:r w:rsidR="00D85B34" w:rsidRPr="0097554A">
        <w:rPr>
          <w:lang w:val="ru-RU"/>
        </w:rPr>
        <w:t>，</w:t>
      </w:r>
      <w:r w:rsidR="00D85B34" w:rsidRPr="00AA0891">
        <w:t>连同其</w:t>
      </w:r>
      <w:r w:rsidR="00D85B34" w:rsidRPr="00794712">
        <w:rPr>
          <w:lang w:val="ru-RU"/>
        </w:rPr>
        <w:t>力量、特性和表现形式。</w:t>
      </w:r>
    </w:p>
    <w:p w14:paraId="069505BE"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被归于祂的是灵魂或灵。</w:t>
      </w:r>
      <w:r w:rsidRPr="00871721">
        <w:rPr>
          <w:i/>
          <w:iCs/>
          <w:lang w:val="ru-RU"/>
        </w:rPr>
        <w:t>“我的灵魂极其忧伤，几乎要死”</w:t>
      </w:r>
      <w:r w:rsidR="000A57C3">
        <w:rPr>
          <w:lang w:val="ru-RU"/>
        </w:rPr>
        <w:t>（太</w:t>
      </w:r>
      <w:r w:rsidRPr="00794712">
        <w:rPr>
          <w:lang w:val="ru-RU"/>
        </w:rPr>
        <w:t>26</w:t>
      </w:r>
      <w:r>
        <w:rPr>
          <w:lang w:val="ru-RU"/>
        </w:rPr>
        <w:t>:</w:t>
      </w:r>
      <w:r w:rsidRPr="00794712">
        <w:rPr>
          <w:lang w:val="ru-RU"/>
        </w:rPr>
        <w:t>38），主亲自在客西马尼园对门徒们如此说。 同样，福音书作者在叙述祂被钉十字架之死时，也特别提到：</w:t>
      </w:r>
      <w:r w:rsidRPr="00871721">
        <w:rPr>
          <w:i/>
          <w:iCs/>
          <w:lang w:val="ru-RU"/>
        </w:rPr>
        <w:t>“耶稣又大声呼喊，便断了气”</w:t>
      </w:r>
      <w:r w:rsidR="000A57C3">
        <w:rPr>
          <w:lang w:val="ru-RU"/>
        </w:rPr>
        <w:t>（马太</w:t>
      </w:r>
      <w:r w:rsidRPr="00794712">
        <w:rPr>
          <w:lang w:val="ru-RU"/>
        </w:rPr>
        <w:t>福音27</w:t>
      </w:r>
      <w:r w:rsidRPr="00871721">
        <w:rPr>
          <w:lang w:val="ru-RU"/>
        </w:rPr>
        <w:t>:</w:t>
      </w:r>
      <w:r w:rsidRPr="00794712">
        <w:rPr>
          <w:lang w:val="ru-RU"/>
        </w:rPr>
        <w:t>50）；或者：</w:t>
      </w:r>
      <w:r w:rsidRPr="0036046E">
        <w:rPr>
          <w:i/>
          <w:iCs/>
          <w:lang w:val="ru-RU"/>
        </w:rPr>
        <w:t>“耶稣大声喊着说：‘父啊！ 我将我的灵交在你手里。”说了这话，便断了气”</w:t>
      </w:r>
      <w:r w:rsidR="008A3626">
        <w:rPr>
          <w:lang w:val="ru-RU"/>
        </w:rPr>
        <w:t>（路加</w:t>
      </w:r>
      <w:r w:rsidRPr="00794712">
        <w:rPr>
          <w:lang w:val="ru-RU"/>
        </w:rPr>
        <w:t>福音23</w:t>
      </w:r>
      <w:r w:rsidRPr="0036046E">
        <w:rPr>
          <w:lang w:val="ru-RU"/>
        </w:rPr>
        <w:t>:</w:t>
      </w:r>
      <w:r w:rsidRPr="00794712">
        <w:rPr>
          <w:lang w:val="ru-RU"/>
        </w:rPr>
        <w:t>46）；又如：</w:t>
      </w:r>
      <w:r w:rsidRPr="0036046E">
        <w:rPr>
          <w:i/>
          <w:iCs/>
          <w:lang w:val="ru-RU"/>
        </w:rPr>
        <w:t>“耶稣尝了那醋，就说：‘成了！’便低下头，将灵交了”</w:t>
      </w:r>
      <w:r w:rsidR="005864AB">
        <w:rPr>
          <w:lang w:val="ru-RU"/>
        </w:rPr>
        <w:t>（约翰</w:t>
      </w:r>
      <w:r w:rsidRPr="00794712">
        <w:rPr>
          <w:lang w:val="ru-RU"/>
        </w:rPr>
        <w:t>福音19</w:t>
      </w:r>
      <w:r w:rsidRPr="0036046E">
        <w:rPr>
          <w:lang w:val="ru-RU"/>
        </w:rPr>
        <w:t>:</w:t>
      </w:r>
      <w:r w:rsidRPr="00794712">
        <w:rPr>
          <w:lang w:val="ru-RU"/>
        </w:rPr>
        <w:t>30；哥林多前书16</w:t>
      </w:r>
      <w:r w:rsidRPr="0036046E">
        <w:rPr>
          <w:lang w:val="ru-RU"/>
        </w:rPr>
        <w:t>:</w:t>
      </w:r>
      <w:r w:rsidRPr="00794712">
        <w:rPr>
          <w:lang w:val="ru-RU"/>
        </w:rPr>
        <w:t>45）。</w:t>
      </w:r>
      <w:r w:rsidR="000742DD">
        <w:rPr>
          <w:rStyle w:val="FootnoteReference"/>
          <w:lang w:val="ru-RU"/>
        </w:rPr>
        <w:footnoteReference w:id="116"/>
      </w:r>
    </w:p>
    <w:p w14:paraId="1E09F1E3" w14:textId="77777777" w:rsidR="00D85B34" w:rsidRPr="009F21DC" w:rsidRDefault="00D85B34" w:rsidP="00D85B34">
      <w:pPr>
        <w:rPr>
          <w:lang w:val="ru-RU"/>
        </w:rPr>
      </w:pPr>
      <w:r w:rsidRPr="00794712">
        <w:rPr>
          <w:lang w:val="ru-RU"/>
        </w:rPr>
        <w:tab/>
      </w:r>
      <w:r w:rsidR="00A95A76" w:rsidRPr="00A95A76">
        <w:rPr>
          <w:b/>
          <w:lang w:val="ru-RU"/>
        </w:rPr>
        <w:t>b)</w:t>
      </w:r>
      <w:r w:rsidRPr="00794712">
        <w:rPr>
          <w:lang w:val="ru-RU"/>
        </w:rPr>
        <w:t xml:space="preserve"> 灵魂的力量被吸收，具体而言：</w:t>
      </w:r>
      <w:r w:rsidR="00A95A76" w:rsidRPr="004F07F1">
        <w:rPr>
          <w:b/>
          <w:bCs/>
          <w:lang w:val="ru-RU"/>
        </w:rPr>
        <w:t>aa)</w:t>
      </w:r>
      <w:r w:rsidRPr="00794712">
        <w:rPr>
          <w:lang w:val="ru-RU"/>
        </w:rPr>
        <w:t xml:space="preserve"> 人的理智，正如福音书作者所言：</w:t>
      </w:r>
      <w:r w:rsidRPr="0036046E">
        <w:rPr>
          <w:i/>
          <w:iCs/>
          <w:lang w:val="ru-RU"/>
        </w:rPr>
        <w:t>“耶稣在智慧和岁数上，并神和人所喜爱的恩宠上，都渐渐增长”</w:t>
      </w:r>
      <w:r w:rsidR="008A3626">
        <w:rPr>
          <w:lang w:val="ru-RU"/>
        </w:rPr>
        <w:t>（路加福音</w:t>
      </w:r>
      <w:r w:rsidRPr="00794712">
        <w:rPr>
          <w:lang w:val="ru-RU"/>
        </w:rPr>
        <w:t xml:space="preserve"> 2</w:t>
      </w:r>
      <w:r w:rsidRPr="0036046E">
        <w:rPr>
          <w:lang w:val="ru-RU"/>
        </w:rPr>
        <w:t>:</w:t>
      </w:r>
      <w:r w:rsidRPr="00794712">
        <w:rPr>
          <w:lang w:val="ru-RU"/>
        </w:rPr>
        <w:t>52），以及更早之前：</w:t>
      </w:r>
      <w:r w:rsidRPr="0036046E">
        <w:rPr>
          <w:i/>
          <w:iCs/>
          <w:lang w:val="ru-RU"/>
        </w:rPr>
        <w:t>“那孩子渐渐长大，心灵强健，充满智慧”</w:t>
      </w:r>
      <w:r w:rsidRPr="00794712">
        <w:rPr>
          <w:lang w:val="ru-RU"/>
        </w:rPr>
        <w:t xml:space="preserve"> </w:t>
      </w:r>
      <w:r w:rsidR="008A3626">
        <w:rPr>
          <w:lang w:val="ru-RU"/>
        </w:rPr>
        <w:t>（路加福音</w:t>
      </w:r>
      <w:r>
        <w:rPr>
          <w:lang w:val="ru-RU"/>
        </w:rPr>
        <w:t xml:space="preserve"> 2:</w:t>
      </w:r>
      <w:r w:rsidRPr="00794712">
        <w:rPr>
          <w:lang w:val="ru-RU"/>
        </w:rPr>
        <w:t>40）。</w:t>
      </w:r>
      <w:r w:rsidR="00A95A76" w:rsidRPr="004F07F1">
        <w:rPr>
          <w:b/>
          <w:bCs/>
          <w:lang w:val="ru-RU"/>
        </w:rPr>
        <w:t>bb)</w:t>
      </w:r>
      <w:r w:rsidRPr="00794712">
        <w:rPr>
          <w:lang w:val="ru-RU"/>
        </w:rPr>
        <w:t xml:space="preserve"> 人的意志，正如耶稣在客西马尼园的祷告所示：</w:t>
      </w:r>
      <w:r w:rsidRPr="0036046E">
        <w:rPr>
          <w:i/>
          <w:iCs/>
          <w:lang w:val="ru-RU"/>
        </w:rPr>
        <w:t xml:space="preserve">“父啊！倘若可行，求你叫这杯离开我；然而，不要照我的意思，只要照你的意思” </w:t>
      </w:r>
      <w:r w:rsidR="006E76E1" w:rsidRPr="006E76E1">
        <w:rPr>
          <w:lang w:val="ru-RU"/>
        </w:rPr>
        <w:t>[</w:t>
      </w:r>
      <w:r w:rsidR="000A57C3">
        <w:rPr>
          <w:lang w:val="ru-RU"/>
        </w:rPr>
        <w:t>(马太福音</w:t>
      </w:r>
      <w:r w:rsidRPr="00794712">
        <w:rPr>
          <w:lang w:val="ru-RU"/>
        </w:rPr>
        <w:t xml:space="preserve"> 26</w:t>
      </w:r>
      <w:r>
        <w:rPr>
          <w:lang w:val="ru-RU"/>
        </w:rPr>
        <w:t>:</w:t>
      </w:r>
      <w:r w:rsidRPr="00794712">
        <w:rPr>
          <w:lang w:val="ru-RU"/>
        </w:rPr>
        <w:t>39</w:t>
      </w:r>
      <w:r w:rsidR="006E76E1" w:rsidRPr="006E76E1">
        <w:rPr>
          <w:lang w:val="ru-RU"/>
        </w:rPr>
        <w:t>)</w:t>
      </w:r>
      <w:r w:rsidRPr="00794712">
        <w:rPr>
          <w:lang w:val="ru-RU"/>
        </w:rPr>
        <w:t>；</w:t>
      </w:r>
      <w:r w:rsidR="006E76E1" w:rsidRPr="006E76E1">
        <w:rPr>
          <w:lang w:val="ru-RU"/>
        </w:rPr>
        <w:t>(</w:t>
      </w:r>
      <w:r w:rsidR="0087297C">
        <w:rPr>
          <w:lang w:val="ru-RU"/>
        </w:rPr>
        <w:t>路加福音</w:t>
      </w:r>
      <w:r w:rsidRPr="00794712">
        <w:rPr>
          <w:lang w:val="ru-RU"/>
        </w:rPr>
        <w:t xml:space="preserve"> 22</w:t>
      </w:r>
      <w:r>
        <w:rPr>
          <w:lang w:val="ru-RU"/>
        </w:rPr>
        <w:t>:</w:t>
      </w:r>
      <w:r w:rsidRPr="00794712">
        <w:rPr>
          <w:lang w:val="ru-RU"/>
        </w:rPr>
        <w:t>42)</w:t>
      </w:r>
      <w:r w:rsidR="006E76E1" w:rsidRPr="006E76E1">
        <w:rPr>
          <w:lang w:val="ru-RU"/>
        </w:rPr>
        <w:t>]</w:t>
      </w:r>
      <w:r w:rsidRPr="00794712">
        <w:rPr>
          <w:lang w:val="ru-RU"/>
        </w:rPr>
        <w:t>。</w:t>
      </w:r>
    </w:p>
    <w:p w14:paraId="7E915D37"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灵魂的特质与表现也被体现出来。例如，据记载，耶稣有时心里欢喜 </w:t>
      </w:r>
      <w:r w:rsidR="006E76E1" w:rsidRPr="006E76E1">
        <w:rPr>
          <w:lang w:val="ru-RU"/>
        </w:rPr>
        <w:t>[</w:t>
      </w:r>
      <w:r w:rsidR="008A3626">
        <w:rPr>
          <w:lang w:val="ru-RU"/>
        </w:rPr>
        <w:t>(路加福音</w:t>
      </w:r>
      <w:r w:rsidRPr="00794712">
        <w:rPr>
          <w:lang w:val="ru-RU"/>
        </w:rPr>
        <w:t xml:space="preserve"> 10</w:t>
      </w:r>
      <w:r w:rsidRPr="002B4DEB">
        <w:rPr>
          <w:lang w:val="ru-RU"/>
        </w:rPr>
        <w:t>:</w:t>
      </w:r>
      <w:r w:rsidRPr="00794712">
        <w:rPr>
          <w:lang w:val="ru-RU"/>
        </w:rPr>
        <w:t>21</w:t>
      </w:r>
      <w:r w:rsidR="006E76E1" w:rsidRPr="006E76E1">
        <w:rPr>
          <w:lang w:val="ru-RU"/>
        </w:rPr>
        <w:t>)</w:t>
      </w:r>
      <w:r w:rsidRPr="00794712">
        <w:rPr>
          <w:lang w:val="ru-RU"/>
        </w:rPr>
        <w:t>；</w:t>
      </w:r>
      <w:r w:rsidR="006E76E1" w:rsidRPr="006E76E1">
        <w:rPr>
          <w:lang w:val="ru-RU"/>
        </w:rPr>
        <w:t>(</w:t>
      </w:r>
      <w:r w:rsidR="0087297C">
        <w:rPr>
          <w:lang w:val="ru-RU"/>
        </w:rPr>
        <w:t>约翰福音</w:t>
      </w:r>
      <w:r w:rsidRPr="00794712">
        <w:rPr>
          <w:lang w:val="ru-RU"/>
        </w:rPr>
        <w:t xml:space="preserve"> 11</w:t>
      </w:r>
      <w:r w:rsidRPr="002B4DEB">
        <w:rPr>
          <w:lang w:val="ru-RU"/>
        </w:rPr>
        <w:t>:</w:t>
      </w:r>
      <w:r w:rsidRPr="00794712">
        <w:rPr>
          <w:lang w:val="ru-RU"/>
        </w:rPr>
        <w:t>15)</w:t>
      </w:r>
      <w:r w:rsidR="006E76E1" w:rsidRPr="006E76E1">
        <w:rPr>
          <w:lang w:val="ru-RU"/>
        </w:rPr>
        <w:t>]</w:t>
      </w:r>
      <w:r w:rsidRPr="00794712">
        <w:rPr>
          <w:lang w:val="ru-RU"/>
        </w:rPr>
        <w:t xml:space="preserve">，有时心里忧愁 </w:t>
      </w:r>
      <w:r w:rsidR="006E76E1" w:rsidRPr="006E76E1">
        <w:rPr>
          <w:lang w:val="ru-RU"/>
        </w:rPr>
        <w:t>[</w:t>
      </w:r>
      <w:r w:rsidR="005864AB">
        <w:rPr>
          <w:lang w:val="ru-RU"/>
        </w:rPr>
        <w:t>(约翰福音</w:t>
      </w:r>
      <w:r w:rsidRPr="00794712">
        <w:rPr>
          <w:lang w:val="ru-RU"/>
        </w:rPr>
        <w:t xml:space="preserve"> 11</w:t>
      </w:r>
      <w:r w:rsidRPr="002B4DEB">
        <w:rPr>
          <w:lang w:val="ru-RU"/>
        </w:rPr>
        <w:t>:</w:t>
      </w:r>
      <w:r w:rsidRPr="00794712">
        <w:rPr>
          <w:lang w:val="ru-RU"/>
        </w:rPr>
        <w:t>33</w:t>
      </w:r>
      <w:r w:rsidR="006E76E1" w:rsidRPr="006E76E1">
        <w:rPr>
          <w:lang w:val="ru-RU"/>
        </w:rPr>
        <w:t>)</w:t>
      </w:r>
      <w:r w:rsidRPr="00794712">
        <w:rPr>
          <w:lang w:val="ru-RU"/>
        </w:rPr>
        <w:t>；</w:t>
      </w:r>
      <w:r w:rsidR="006E76E1" w:rsidRPr="006E76E1">
        <w:rPr>
          <w:rFonts w:cs="Cambria Math"/>
          <w:lang w:val="ru-RU"/>
        </w:rPr>
        <w:t>(</w:t>
      </w:r>
      <w:r w:rsidR="006E76E1">
        <w:rPr>
          <w:lang w:val="ru-RU"/>
        </w:rPr>
        <w:t>约翰福音</w:t>
      </w:r>
      <w:r w:rsidRPr="00794712">
        <w:rPr>
          <w:lang w:val="ru-RU"/>
        </w:rPr>
        <w:t xml:space="preserve"> 12</w:t>
      </w:r>
      <w:r w:rsidRPr="002B4DEB">
        <w:rPr>
          <w:lang w:val="ru-RU"/>
        </w:rPr>
        <w:t>:</w:t>
      </w:r>
      <w:r w:rsidRPr="00794712">
        <w:rPr>
          <w:lang w:val="ru-RU"/>
        </w:rPr>
        <w:t>27</w:t>
      </w:r>
      <w:r w:rsidR="006E76E1" w:rsidRPr="006E76E1">
        <w:rPr>
          <w:lang w:val="ru-RU"/>
        </w:rPr>
        <w:t>)</w:t>
      </w:r>
      <w:r w:rsidRPr="00794712">
        <w:rPr>
          <w:lang w:val="ru-RU"/>
        </w:rPr>
        <w:t>；</w:t>
      </w:r>
      <w:r w:rsidR="00FB2012">
        <w:rPr>
          <w:rFonts w:cs="Cambria Math"/>
          <w:lang w:val="ru-RU"/>
        </w:rPr>
        <w:t xml:space="preserve"> </w:t>
      </w:r>
      <w:r w:rsidR="006E76E1" w:rsidRPr="006E76E1">
        <w:rPr>
          <w:rFonts w:cs="Cambria Math"/>
          <w:lang w:val="ru-RU"/>
        </w:rPr>
        <w:t>(</w:t>
      </w:r>
      <w:r w:rsidRPr="00794712">
        <w:rPr>
          <w:lang w:val="ru-RU"/>
        </w:rPr>
        <w:t>约13</w:t>
      </w:r>
      <w:r w:rsidRPr="002B4DEB">
        <w:rPr>
          <w:lang w:val="ru-RU"/>
        </w:rPr>
        <w:t>:</w:t>
      </w:r>
      <w:r w:rsidRPr="00794712">
        <w:rPr>
          <w:lang w:val="ru-RU"/>
        </w:rPr>
        <w:t>21)</w:t>
      </w:r>
      <w:r w:rsidR="006E76E1" w:rsidRPr="006E76E1">
        <w:rPr>
          <w:lang w:val="ru-RU"/>
        </w:rPr>
        <w:t>]</w:t>
      </w:r>
      <w:r w:rsidRPr="00794712">
        <w:rPr>
          <w:lang w:val="ru-RU"/>
        </w:rPr>
        <w:t>，祂对孩童表现出特别的爱，并对那些阻止他们靠近祂的人表示愤慨</w:t>
      </w:r>
      <w:r w:rsidR="005864AB">
        <w:rPr>
          <w:lang w:val="ru-RU"/>
        </w:rPr>
        <w:t>（</w:t>
      </w:r>
      <w:r w:rsidRPr="00794712">
        <w:rPr>
          <w:lang w:val="ru-RU"/>
        </w:rPr>
        <w:t>可10</w:t>
      </w:r>
      <w:r w:rsidRPr="002B4DEB">
        <w:rPr>
          <w:lang w:val="ru-RU"/>
        </w:rPr>
        <w:t>:13-16</w:t>
      </w:r>
      <w:r w:rsidRPr="00794712">
        <w:rPr>
          <w:lang w:val="ru-RU"/>
        </w:rPr>
        <w:t xml:space="preserve">），祂为神的荣耀而热心，有时还伴随着公义的愤怒 </w:t>
      </w:r>
      <w:r w:rsidR="006E76E1" w:rsidRPr="006E76E1">
        <w:rPr>
          <w:lang w:val="ru-RU"/>
        </w:rPr>
        <w:t>[</w:t>
      </w:r>
      <w:r w:rsidR="005864AB">
        <w:rPr>
          <w:lang w:val="ru-RU"/>
        </w:rPr>
        <w:t>(</w:t>
      </w:r>
      <w:r w:rsidRPr="00794712">
        <w:rPr>
          <w:lang w:val="ru-RU"/>
        </w:rPr>
        <w:t>约2</w:t>
      </w:r>
      <w:r w:rsidRPr="002B4DEB">
        <w:rPr>
          <w:lang w:val="ru-RU"/>
        </w:rPr>
        <w:t>:</w:t>
      </w:r>
      <w:r w:rsidRPr="00794712">
        <w:rPr>
          <w:lang w:val="ru-RU"/>
        </w:rPr>
        <w:t>14-17</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太</w:t>
      </w:r>
      <w:r w:rsidRPr="00794712">
        <w:rPr>
          <w:lang w:val="ru-RU"/>
        </w:rPr>
        <w:t xml:space="preserve"> 21</w:t>
      </w:r>
      <w:r w:rsidRPr="002B4DEB">
        <w:rPr>
          <w:lang w:val="ru-RU"/>
        </w:rPr>
        <w:t>:</w:t>
      </w:r>
      <w:r w:rsidRPr="00794712">
        <w:rPr>
          <w:lang w:val="ru-RU"/>
        </w:rPr>
        <w:t>12-13)</w:t>
      </w:r>
      <w:r w:rsidR="006E76E1" w:rsidRPr="006E76E1">
        <w:rPr>
          <w:lang w:val="ru-RU"/>
        </w:rPr>
        <w:t>]</w:t>
      </w:r>
      <w:r w:rsidRPr="00794712">
        <w:rPr>
          <w:lang w:val="ru-RU"/>
        </w:rPr>
        <w:t xml:space="preserve">，祂在想到自己的受难与死亡时会忧伤悲痛 </w:t>
      </w:r>
      <w:r w:rsidR="006E76E1" w:rsidRPr="006E76E1">
        <w:rPr>
          <w:lang w:val="ru-RU"/>
        </w:rPr>
        <w:t>[</w:t>
      </w:r>
      <w:r w:rsidR="000A57C3">
        <w:rPr>
          <w:lang w:val="ru-RU"/>
        </w:rPr>
        <w:t>(太</w:t>
      </w:r>
      <w:r w:rsidRPr="00794712">
        <w:rPr>
          <w:lang w:val="ru-RU"/>
        </w:rPr>
        <w:t xml:space="preserve"> 26</w:t>
      </w:r>
      <w:r w:rsidRPr="002B4DEB">
        <w:rPr>
          <w:lang w:val="ru-RU"/>
        </w:rPr>
        <w:t>:</w:t>
      </w:r>
      <w:r w:rsidRPr="00794712">
        <w:rPr>
          <w:lang w:val="ru-RU"/>
        </w:rPr>
        <w:t>37-38</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路加福音</w:t>
      </w:r>
      <w:r w:rsidRPr="00794712">
        <w:rPr>
          <w:lang w:val="ru-RU"/>
        </w:rPr>
        <w:t xml:space="preserve"> 22</w:t>
      </w:r>
      <w:r w:rsidRPr="002B4DEB">
        <w:rPr>
          <w:lang w:val="ru-RU"/>
        </w:rPr>
        <w:t>:</w:t>
      </w:r>
      <w:r w:rsidRPr="00794712">
        <w:rPr>
          <w:lang w:val="ru-RU"/>
        </w:rPr>
        <w:t>42-45）</w:t>
      </w:r>
      <w:r w:rsidR="006E76E1" w:rsidRPr="006E76E1">
        <w:rPr>
          <w:lang w:val="ru-RU"/>
        </w:rPr>
        <w:t>]</w:t>
      </w:r>
      <w:r w:rsidRPr="00794712">
        <w:rPr>
          <w:lang w:val="ru-RU"/>
        </w:rPr>
        <w:t>，</w:t>
      </w:r>
      <w:r w:rsidRPr="002B4DEB">
        <w:rPr>
          <w:i/>
          <w:iCs/>
          <w:lang w:val="ru-RU"/>
        </w:rPr>
        <w:t>并且“祂在肉身的日子，曾用大声哀求，流着眼泪，向那能救祂免死的主祷告恳求；因祂的虔诚，祂的祷告便蒙应允”</w:t>
      </w:r>
      <w:r w:rsidRPr="00794712">
        <w:rPr>
          <w:lang w:val="ru-RU"/>
        </w:rPr>
        <w:t>（希伯来书 5</w:t>
      </w:r>
      <w:r w:rsidRPr="002B4DEB">
        <w:rPr>
          <w:lang w:val="ru-RU"/>
        </w:rPr>
        <w:t>:</w:t>
      </w:r>
      <w:r w:rsidRPr="00794712">
        <w:rPr>
          <w:lang w:val="ru-RU"/>
        </w:rPr>
        <w:t>7）。</w:t>
      </w:r>
    </w:p>
    <w:p w14:paraId="29B1F953" w14:textId="77777777" w:rsidR="00D85B34" w:rsidRPr="00794712" w:rsidRDefault="00D85B34" w:rsidP="00D85B34">
      <w:pPr>
        <w:rPr>
          <w:lang w:val="ru-RU"/>
        </w:rPr>
      </w:pPr>
      <w:r w:rsidRPr="00794712">
        <w:rPr>
          <w:lang w:val="ru-RU"/>
        </w:rPr>
        <w:tab/>
      </w:r>
      <w:r w:rsidRPr="00C02210">
        <w:rPr>
          <w:b/>
          <w:bCs/>
        </w:rPr>
        <w:t>二</w:t>
      </w:r>
      <w:r w:rsidRPr="00794712">
        <w:rPr>
          <w:lang w:val="ru-RU"/>
        </w:rPr>
        <w:t>、鉴于异端分子关于耶稣基督人性问题的种种谬误，圣父们和教会的导师们为了捍卫正统教义，经常就这一主题进行论述。他们——</w:t>
      </w:r>
    </w:p>
    <w:p w14:paraId="2BB69FD3"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他们论证了耶稣基督身上具有完全的人性。为此，他们不仅援引了圣经中明确的见证，还借助于在神的话语光照下的理性推论，主要阐明了这样一个观点：我们的救主必然必须是真正的人。必须是：</w:t>
      </w:r>
    </w:p>
    <w:p w14:paraId="181E1DBF" w14:textId="77777777" w:rsidR="00D85B34" w:rsidRPr="00794712" w:rsidRDefault="00D85B34" w:rsidP="00D85B34">
      <w:pPr>
        <w:rPr>
          <w:lang w:val="ru-RU"/>
        </w:rPr>
      </w:pPr>
      <w:r w:rsidRPr="00794712">
        <w:rPr>
          <w:lang w:val="ru-RU"/>
        </w:rPr>
        <w:lastRenderedPageBreak/>
        <w:tab/>
      </w:r>
      <w:r w:rsidR="00A95A76" w:rsidRPr="00A95A76">
        <w:rPr>
          <w:b/>
          <w:lang w:val="ru-RU"/>
        </w:rPr>
        <w:t>a)</w:t>
      </w:r>
      <w:r w:rsidRPr="00794712">
        <w:rPr>
          <w:lang w:val="ru-RU"/>
        </w:rPr>
        <w:t xml:space="preserve"> 作为我们在神与人之间的</w:t>
      </w:r>
      <w:r w:rsidRPr="0098739B">
        <w:rPr>
          <w:i/>
          <w:iCs/>
          <w:lang w:val="ru-RU"/>
        </w:rPr>
        <w:t>代</w:t>
      </w:r>
      <w:r w:rsidRPr="00794712">
        <w:rPr>
          <w:lang w:val="ru-RU"/>
        </w:rPr>
        <w:t>求者或中保</w:t>
      </w:r>
      <w:r w:rsidR="00621F17">
        <w:rPr>
          <w:lang w:val="ru-RU"/>
        </w:rPr>
        <w:t>（提摩太前书</w:t>
      </w:r>
      <w:r w:rsidRPr="00794712">
        <w:rPr>
          <w:lang w:val="ru-RU"/>
        </w:rPr>
        <w:t xml:space="preserve"> 2</w:t>
      </w:r>
      <w:r>
        <w:rPr>
          <w:lang w:val="ru-RU"/>
        </w:rPr>
        <w:t>:</w:t>
      </w:r>
      <w:r w:rsidRPr="00794712">
        <w:rPr>
          <w:lang w:val="ru-RU"/>
        </w:rPr>
        <w:t>5）。“中保必须与双方都有亲缘关系，”一位普世教父曾说，“才能成为中保。如果祂只与一方有亲缘关系，而与另一方没有，那么祂就不能成为中保。 倘若祂不具备与父神同质的本性，就不是中保，而是外人。正如祂理应具有人性——因为祂来到世人中间；同样，祂也理应具有神性——因为祂来自神。若祂仅是人，就不能成为中保；因为中保必须与神有着最密切的关系。 同样，若祂仅是神，也无法成为中保；因为那些祂为之代求的人，便无法亲近祂</w:t>
      </w:r>
      <w:r>
        <w:rPr>
          <w:lang w:val="ru-RU"/>
        </w:rPr>
        <w:t>。”</w:t>
      </w:r>
      <w:r w:rsidR="0012757D">
        <w:rPr>
          <w:rStyle w:val="FootnoteReference"/>
          <w:lang w:val="ru-RU"/>
        </w:rPr>
        <w:footnoteReference w:id="117"/>
      </w:r>
    </w:p>
    <w:p w14:paraId="5667F5C9"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作为我们的导师和启蒙者 </w:t>
      </w:r>
      <w:r w:rsidR="008F5A17" w:rsidRPr="00BD6C1B">
        <w:rPr>
          <w:lang w:val="ru-RU"/>
        </w:rPr>
        <w:t>[</w:t>
      </w:r>
      <w:r w:rsidR="008A3626">
        <w:rPr>
          <w:lang w:val="ru-RU"/>
        </w:rPr>
        <w:t>(路加福音</w:t>
      </w:r>
      <w:r w:rsidRPr="00794712">
        <w:rPr>
          <w:lang w:val="ru-RU"/>
        </w:rPr>
        <w:t xml:space="preserve"> 4</w:t>
      </w:r>
      <w:r>
        <w:rPr>
          <w:lang w:val="ru-RU"/>
        </w:rPr>
        <w:t>:</w:t>
      </w:r>
      <w:r w:rsidRPr="00794712">
        <w:rPr>
          <w:lang w:val="ru-RU"/>
        </w:rPr>
        <w:t>18-19</w:t>
      </w:r>
      <w:r w:rsidR="008F5A17">
        <w:rPr>
          <w:lang w:val="ru-RU"/>
        </w:rPr>
        <w:t>)</w:t>
      </w:r>
      <w:r w:rsidRPr="00794712">
        <w:rPr>
          <w:lang w:val="ru-RU"/>
        </w:rPr>
        <w:t>；</w:t>
      </w:r>
      <w:r w:rsidR="008F5A17">
        <w:rPr>
          <w:lang w:val="ru-RU"/>
        </w:rPr>
        <w:t>(</w:t>
      </w:r>
      <w:r w:rsidR="0087297C">
        <w:rPr>
          <w:lang w:val="ru-RU"/>
        </w:rPr>
        <w:t>约翰福音 8</w:t>
      </w:r>
      <w:r>
        <w:rPr>
          <w:lang w:val="ru-RU"/>
        </w:rPr>
        <w:t>:</w:t>
      </w:r>
      <w:r w:rsidRPr="00794712">
        <w:rPr>
          <w:lang w:val="ru-RU"/>
        </w:rPr>
        <w:t>11)</w:t>
      </w:r>
      <w:r w:rsidR="008F5A17" w:rsidRPr="00BD6C1B">
        <w:rPr>
          <w:lang w:val="ru-RU"/>
        </w:rPr>
        <w:t>]</w:t>
      </w:r>
      <w:r w:rsidRPr="00794712">
        <w:rPr>
          <w:lang w:val="ru-RU"/>
        </w:rPr>
        <w:t>。 “圣爱任纽指出，我们除了通过道成肉身的上帝之言，别无他法认识上帝；除了祂位格化的道，也没有其他人能向我们宣告天父（罗11</w:t>
      </w:r>
      <w:r>
        <w:rPr>
          <w:lang w:val="ru-RU"/>
        </w:rPr>
        <w:t>:</w:t>
      </w:r>
      <w:r w:rsidRPr="00794712">
        <w:rPr>
          <w:lang w:val="ru-RU"/>
        </w:rPr>
        <w:t>34-35）。 我再说一遍，我们唯有亲眼看见我们的启蒙者，亲耳聆听祂的话语，才能真正领受教导；如此，我们才可能效法祂的作为，践行祂的教诲，从而得以与祂建立共融，并从那位超越一切条件与限制的至善者那里汲取成长的力量。”</w:t>
      </w:r>
      <w:r w:rsidR="005769CF">
        <w:rPr>
          <w:rStyle w:val="FootnoteReference"/>
          <w:lang w:val="ru-RU"/>
        </w:rPr>
        <w:footnoteReference w:id="118"/>
      </w:r>
      <w:r w:rsidRPr="00794712">
        <w:rPr>
          <w:lang w:val="ru-RU"/>
        </w:rPr>
        <w:t xml:space="preserve"> 圣基里尔·耶路撒冷也以类似的方式论述道：“既然人只能从与自己相似的人那里听见，那么救主就取了与他相似的本性，以便更方便地教导人们。</w:t>
      </w:r>
      <w:r>
        <w:rPr>
          <w:lang w:val="ru-RU"/>
        </w:rPr>
        <w:t>”</w:t>
      </w:r>
      <w:r w:rsidR="009C6138">
        <w:rPr>
          <w:rStyle w:val="FootnoteReference"/>
          <w:lang w:val="ru-RU"/>
        </w:rPr>
        <w:footnoteReference w:id="119"/>
      </w:r>
    </w:p>
    <w:p w14:paraId="6D4D1235"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作为我们的救赎主和恢复者 </w:t>
      </w:r>
      <w:r w:rsidR="008F5A17" w:rsidRPr="00BD6C1B">
        <w:rPr>
          <w:lang w:val="ru-RU"/>
        </w:rPr>
        <w:t>[</w:t>
      </w:r>
      <w:r w:rsidRPr="00794712">
        <w:rPr>
          <w:lang w:val="ru-RU"/>
        </w:rPr>
        <w:t>(加 3</w:t>
      </w:r>
      <w:r>
        <w:rPr>
          <w:lang w:val="ru-RU"/>
        </w:rPr>
        <w:t>:</w:t>
      </w:r>
      <w:r w:rsidRPr="00794712">
        <w:rPr>
          <w:lang w:val="ru-RU"/>
        </w:rPr>
        <w:t>13</w:t>
      </w:r>
      <w:r w:rsidR="008F5A17" w:rsidRPr="00BD6C1B">
        <w:rPr>
          <w:lang w:val="ru-RU"/>
        </w:rPr>
        <w:t>)</w:t>
      </w:r>
      <w:r w:rsidRPr="00794712">
        <w:rPr>
          <w:lang w:val="ru-RU"/>
        </w:rPr>
        <w:t>；</w:t>
      </w:r>
      <w:r w:rsidR="008F5A17" w:rsidRPr="00BD6C1B">
        <w:rPr>
          <w:lang w:val="ru-RU"/>
        </w:rPr>
        <w:t>(</w:t>
      </w:r>
      <w:r w:rsidRPr="00794712">
        <w:rPr>
          <w:lang w:val="ru-RU"/>
        </w:rPr>
        <w:t>来 7</w:t>
      </w:r>
      <w:r>
        <w:rPr>
          <w:lang w:val="ru-RU"/>
        </w:rPr>
        <w:t>:</w:t>
      </w:r>
      <w:r w:rsidRPr="00794712">
        <w:rPr>
          <w:lang w:val="ru-RU"/>
        </w:rPr>
        <w:t>22)</w:t>
      </w:r>
      <w:r w:rsidR="008F5A17" w:rsidRPr="00BD6C1B">
        <w:rPr>
          <w:lang w:val="ru-RU"/>
        </w:rPr>
        <w:t>]</w:t>
      </w:r>
      <w:r w:rsidRPr="00794712">
        <w:rPr>
          <w:lang w:val="ru-RU"/>
        </w:rPr>
        <w:t>。 “若非与不朽者、永生者联合，我们便无法获得不朽与永生。但若不朽者、永生者不先成为与我们相同的人，我们又如何能与之联合，以致我们的朽坏被不朽所吞没</w:t>
      </w:r>
      <w:r>
        <w:rPr>
          <w:lang w:val="ru-RU"/>
        </w:rPr>
        <w:t>，</w:t>
      </w:r>
      <w:r w:rsidRPr="00794712">
        <w:rPr>
          <w:lang w:val="ru-RU"/>
        </w:rPr>
        <w:t>我们的死亡被永生所</w:t>
      </w:r>
      <w:r>
        <w:rPr>
          <w:lang w:val="ru-RU"/>
        </w:rPr>
        <w:t>取代呢？</w:t>
      </w:r>
      <w:r w:rsidRPr="00794712">
        <w:rPr>
          <w:lang w:val="ru-RU"/>
        </w:rPr>
        <w:t>”</w:t>
      </w:r>
      <w:r w:rsidR="009C6138">
        <w:rPr>
          <w:rStyle w:val="FootnoteReference"/>
          <w:lang w:val="ru-RU"/>
        </w:rPr>
        <w:footnoteReference w:id="120"/>
      </w:r>
      <w:r w:rsidRPr="00794712">
        <w:rPr>
          <w:lang w:val="ru-RU"/>
        </w:rPr>
        <w:t xml:space="preserve"> “主成为人子，是为了使我们这一族既因被战胜的人而经历死亡，又因得胜的人而重获生命；正如死亡曾借着 的人在我们身上得胜，我们也借着同一位人战胜了死亡。</w:t>
      </w:r>
      <w:r>
        <w:rPr>
          <w:lang w:val="ru-RU"/>
        </w:rPr>
        <w:t>”</w:t>
      </w:r>
      <w:r w:rsidR="00CD1B1D">
        <w:rPr>
          <w:rStyle w:val="FootnoteReference"/>
          <w:lang w:val="ru-RU"/>
        </w:rPr>
        <w:footnoteReference w:id="121"/>
      </w:r>
      <w:r w:rsidRPr="00794712">
        <w:rPr>
          <w:lang w:val="ru-RU"/>
        </w:rPr>
        <w:t xml:space="preserve"> “若非死亡与朽坏被消灭，这种联合便无法实现。 因此，主并非无故取了这必死的身体，而是为了在祂自己里面彻底消灭死亡，并更新那些按祂形象所造的人。</w:t>
      </w:r>
      <w:r>
        <w:rPr>
          <w:lang w:val="ru-RU"/>
        </w:rPr>
        <w:t>”</w:t>
      </w:r>
      <w:r w:rsidR="00CD1B1D">
        <w:rPr>
          <w:rStyle w:val="FootnoteReference"/>
          <w:lang w:val="ru-RU"/>
        </w:rPr>
        <w:footnoteReference w:id="122"/>
      </w:r>
    </w:p>
    <w:p w14:paraId="40C07490"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他们特别论证说，基督所取的是真实、确切的人身，而非幻影。 东正教教义的捍卫者们指出，尽管救主本人和使徒们都提供了关于基督身体的充分见证，但若否认基督身体的真实性，并断言神的儿子只是看似拥有我们的肉体，实际上并未</w:t>
      </w:r>
      <w:r w:rsidR="00A95A76" w:rsidRPr="00A95A76">
        <w:rPr>
          <w:b/>
          <w:lang w:val="ru-RU"/>
        </w:rPr>
        <w:t>拥有——a)</w:t>
      </w:r>
      <w:r w:rsidR="00D85B34" w:rsidRPr="00794712">
        <w:rPr>
          <w:lang w:val="ru-RU"/>
        </w:rPr>
        <w:t xml:space="preserve"> </w:t>
      </w:r>
      <w:r w:rsidR="00D85B34" w:rsidRPr="00794712">
        <w:rPr>
          <w:lang w:val="ru-RU"/>
        </w:rPr>
        <w:lastRenderedPageBreak/>
        <w:t>这就意味着怀疑祂说谎和欺骗——而祂正是真理本身；</w:t>
      </w:r>
      <w:r w:rsidR="0079571C">
        <w:rPr>
          <w:rStyle w:val="FootnoteReference"/>
          <w:lang w:val="ru-RU"/>
        </w:rPr>
        <w:footnoteReference w:id="123"/>
      </w:r>
      <w:r w:rsidR="00A95A76" w:rsidRPr="00A95A76">
        <w:rPr>
          <w:b/>
          <w:lang w:val="ru-RU"/>
        </w:rPr>
        <w:t xml:space="preserve"> б) </w:t>
      </w:r>
      <w:r w:rsidR="00D85B34" w:rsidRPr="00794712">
        <w:rPr>
          <w:lang w:val="ru-RU"/>
        </w:rPr>
        <w:t>就等于承认祂在世上的整个生活与作为都是幻影和欺骗；</w:t>
      </w:r>
      <w:r w:rsidR="0027114A">
        <w:rPr>
          <w:rStyle w:val="FootnoteReference"/>
          <w:lang w:val="ru-RU"/>
        </w:rPr>
        <w:footnoteReference w:id="124"/>
      </w:r>
      <w:r w:rsidR="00A95A76" w:rsidRPr="00A95A76">
        <w:rPr>
          <w:b/>
          <w:lang w:val="ru-RU"/>
        </w:rPr>
        <w:t xml:space="preserve"> в) </w:t>
      </w:r>
      <w:r w:rsidR="00D85B34" w:rsidRPr="00794712">
        <w:rPr>
          <w:lang w:val="ru-RU"/>
        </w:rPr>
        <w:t>就等于认为祂给予我们的所有教导——即要我们追随祂在十字架与苦难之路上的足迹——都是荒谬且毫无意义的；</w:t>
      </w:r>
      <w:r w:rsidR="0027114A">
        <w:rPr>
          <w:rStyle w:val="FootnoteReference"/>
          <w:lang w:val="ru-RU"/>
        </w:rPr>
        <w:footnoteReference w:id="125"/>
      </w:r>
      <w:r w:rsidR="00A95A76" w:rsidRPr="00A95A76">
        <w:rPr>
          <w:b/>
          <w:lang w:val="ru-RU"/>
        </w:rPr>
        <w:t xml:space="preserve"> г)</w:t>
      </w:r>
      <w:r w:rsidR="00D85B34" w:rsidRPr="00794712">
        <w:rPr>
          <w:lang w:val="ru-RU"/>
        </w:rPr>
        <w:t xml:space="preserve"> 总之，就等于推翻历史信仰的根基，并对感官所感知的事物引入怀疑与不信任；</w:t>
      </w:r>
      <w:r w:rsidR="0027114A">
        <w:rPr>
          <w:rStyle w:val="FootnoteReference"/>
          <w:lang w:val="ru-RU"/>
        </w:rPr>
        <w:footnoteReference w:id="126"/>
      </w:r>
      <w:r w:rsidR="00A95A76" w:rsidRPr="00A95A76">
        <w:rPr>
          <w:b/>
          <w:lang w:val="ru-RU"/>
        </w:rPr>
        <w:t xml:space="preserve"> e)</w:t>
      </w:r>
      <w:r w:rsidR="00D85B34" w:rsidRPr="00794712">
        <w:rPr>
          <w:lang w:val="ru-RU"/>
        </w:rPr>
        <w:t xml:space="preserve"> 最终，这意味着否认基督之死与我们得救的真理：“如果祂（神的儿子）没有真正成为人，那么祂就确实没有用自己的血赎回我们。</w:t>
      </w:r>
      <w:r w:rsidR="00D85B34">
        <w:rPr>
          <w:lang w:val="ru-RU"/>
        </w:rPr>
        <w:t>”</w:t>
      </w:r>
      <w:r w:rsidR="0027114A">
        <w:rPr>
          <w:rStyle w:val="FootnoteReference"/>
          <w:lang w:val="ru-RU"/>
        </w:rPr>
        <w:footnoteReference w:id="127"/>
      </w:r>
      <w:r w:rsidR="00D85B34" w:rsidRPr="00794712">
        <w:rPr>
          <w:lang w:val="ru-RU"/>
        </w:rPr>
        <w:t xml:space="preserve"> “幽灵不可能受苦——因此，神的一切作为都被摧毁了。</w:t>
      </w:r>
      <w:r w:rsidR="00D85B34">
        <w:rPr>
          <w:lang w:val="ru-RU"/>
        </w:rPr>
        <w:t>”</w:t>
      </w:r>
      <w:r w:rsidR="0027114A">
        <w:rPr>
          <w:rStyle w:val="FootnoteReference"/>
          <w:lang w:val="ru-RU"/>
        </w:rPr>
        <w:footnoteReference w:id="128"/>
      </w:r>
      <w:r w:rsidR="00D85B34" w:rsidRPr="00794712">
        <w:rPr>
          <w:lang w:val="ru-RU"/>
        </w:rPr>
        <w:t xml:space="preserve"> “如果《福音书》所记载的一切——饥饿、口渴、钉子、肋旁被刺穿、死亡——并非真实，而只是虚幻的：那么，救赎之家的奥秘便是幻影与欺骗，基督也是虚幻的，而非真实的人，而我们的得救也是虚幻的，而非真实的</w:t>
      </w:r>
      <w:r w:rsidR="00D85B34">
        <w:rPr>
          <w:lang w:val="ru-RU"/>
        </w:rPr>
        <w:t>。”</w:t>
      </w:r>
      <w:r w:rsidR="00B547D6">
        <w:rPr>
          <w:rStyle w:val="FootnoteReference"/>
          <w:lang w:val="ru-RU"/>
        </w:rPr>
        <w:footnoteReference w:id="129"/>
      </w:r>
    </w:p>
    <w:p w14:paraId="32449526" w14:textId="77777777" w:rsidR="00D85B34" w:rsidRPr="00794712" w:rsidRDefault="00F45CFB" w:rsidP="00D85B34">
      <w:pPr>
        <w:ind w:firstLine="708"/>
        <w:rPr>
          <w:lang w:val="ru-RU"/>
        </w:rPr>
      </w:pPr>
      <w:r w:rsidRPr="00F45CFB">
        <w:rPr>
          <w:b/>
          <w:bCs/>
          <w:lang w:val="ru-RU"/>
        </w:rPr>
        <w:t>3)</w:t>
      </w:r>
      <w:r w:rsidR="00D85B34" w:rsidRPr="00794712">
        <w:rPr>
          <w:lang w:val="ru-RU"/>
        </w:rPr>
        <w:t xml:space="preserve"> 他们论证说，基督不仅领受了肉体，还领受了真正的人类灵魂——即具有理智且自由的灵魂，这驳斥了异端分子所持的谬见，即基督的整个灵魂，或者至少是他的理智，都被他的神性所取代。其中最重要的论据如下：</w:t>
      </w:r>
    </w:p>
    <w:p w14:paraId="0C1AAEAC"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人类是全然堕</w:t>
      </w:r>
      <w:r>
        <w:rPr>
          <w:lang w:val="ru-RU"/>
        </w:rPr>
        <w:t>落的</w:t>
      </w:r>
      <w:r w:rsidRPr="00794712">
        <w:rPr>
          <w:lang w:val="ru-RU"/>
        </w:rPr>
        <w:t>——无论是身体还是灵魂；因此，救主不仅应当取了人的身体，还应当取了人的灵魂，才能全然拯救人类。“基督寻回那将要灭亡的，并将那迷失的羊扛在肩上，而非仅仅取了羊皮。” 为了将整个人与神性重新结合——这位在灵魂和身体上都完美的神——祂在我们本性中没有任何东西是祂没有取在自己身上的：因为经上说，祂</w:t>
      </w:r>
      <w:r w:rsidRPr="004A3F22">
        <w:rPr>
          <w:i/>
          <w:iCs/>
          <w:lang w:val="ru-RU"/>
        </w:rPr>
        <w:t>“在各方面都受过试探，只是没有犯罪”</w:t>
      </w:r>
      <w:r w:rsidRPr="00794712">
        <w:rPr>
          <w:lang w:val="ru-RU"/>
        </w:rPr>
        <w:t>（希伯来书4</w:t>
      </w:r>
      <w:r w:rsidRPr="004A3F22">
        <w:rPr>
          <w:lang w:val="ru-RU"/>
        </w:rPr>
        <w:t>:</w:t>
      </w:r>
      <w:r w:rsidRPr="00794712">
        <w:rPr>
          <w:lang w:val="ru-RU"/>
        </w:rPr>
        <w:t>15）。 而灵魂本身并非罪，只是因缺乏明辨力而与罪有了牵连。因此，为了使灵魂成圣，基督将其担在自己身上，并通过所担起的这部分，将成圣的恩典赐予全人类。</w:t>
      </w:r>
      <w:r>
        <w:rPr>
          <w:lang w:val="ru-RU"/>
        </w:rPr>
        <w:t>”</w:t>
      </w:r>
      <w:r w:rsidR="001B448F">
        <w:rPr>
          <w:rStyle w:val="FootnoteReference"/>
          <w:lang w:val="ru-RU"/>
        </w:rPr>
        <w:footnoteReference w:id="130"/>
      </w:r>
    </w:p>
    <w:p w14:paraId="76ABA41E" w14:textId="77777777" w:rsidR="00D85B34" w:rsidRPr="00794712" w:rsidRDefault="00D85B34" w:rsidP="00D85B34">
      <w:pPr>
        <w:rPr>
          <w:lang w:val="ru-RU"/>
        </w:rPr>
      </w:pPr>
      <w:r w:rsidRPr="00794712">
        <w:rPr>
          <w:lang w:val="ru-RU"/>
        </w:rPr>
        <w:lastRenderedPageBreak/>
        <w:tab/>
      </w:r>
      <w:r w:rsidR="00A95A76" w:rsidRPr="00A95A76">
        <w:rPr>
          <w:b/>
          <w:lang w:val="ru-RU"/>
        </w:rPr>
        <w:t>b)</w:t>
      </w:r>
      <w:r w:rsidRPr="00794712">
        <w:rPr>
          <w:lang w:val="ru-RU"/>
        </w:rPr>
        <w:t xml:space="preserve"> 灵魂与心灵在人类堕落中负有主要责任：救主为了拯救人类，首先就应当承担起它们。 “格里高利·神学家说，祂需要肉体是为了那被定罪的肉体，需要灵魂是为了灵魂，同样也需要理智，因为在亚当身上，理智不仅堕落了，而且正如医生们谈论疾病时所说，它是最先受到侵袭的。 因为，那领受了诫命的，却没有遵守诫命；那没有遵守的，便胆敢犯下罪行；那犯下罪行的，最需要得救；而那需要得救的，便被接纳了。 因此，被接纳的是理性</w:t>
      </w:r>
      <w:r>
        <w:rPr>
          <w:lang w:val="ru-RU"/>
        </w:rPr>
        <w:t>。”</w:t>
      </w:r>
      <w:r w:rsidR="00776A2C">
        <w:rPr>
          <w:rStyle w:val="FootnoteReference"/>
          <w:lang w:val="ru-RU"/>
        </w:rPr>
        <w:footnoteReference w:id="131"/>
      </w:r>
      <w:r w:rsidRPr="00794712">
        <w:rPr>
          <w:lang w:val="ru-RU"/>
        </w:rPr>
        <w:t xml:space="preserve"> 亚历山大的圣西里尔也阐述了类似的观点：“既然人被完全迷惑，并全然陷入了罪中；但在肉体之前，首先被迷惑的是理性（因为首先是理性的同意预定了罪，然后肉体才在行动中将其表现出来）： 因此，主基督为了恢复堕落的本性，理所当然地向（人的）所有部分伸出援手，并使倒下的部分复原——也就是说，既包括肉体，也包括按照造物主形象所创造的理智。</w:t>
      </w:r>
      <w:r>
        <w:rPr>
          <w:lang w:val="ru-RU"/>
        </w:rPr>
        <w:t>”</w:t>
      </w:r>
      <w:r w:rsidR="006D2B12">
        <w:rPr>
          <w:rStyle w:val="FootnoteReference"/>
          <w:lang w:val="ru-RU"/>
        </w:rPr>
        <w:footnoteReference w:id="132"/>
      </w:r>
    </w:p>
    <w:p w14:paraId="31C41679"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理性的灵魂充当了中介，借此，至纯的圣灵——上帝——在人身上与粗糙的肉体结合。“不可测度的上帝借着理性的灵魂——作为神性与粗糙肉体之间的中介——得以被承载</w:t>
      </w:r>
      <w:r>
        <w:rPr>
          <w:lang w:val="ru-RU"/>
        </w:rPr>
        <w:t>。”</w:t>
      </w:r>
      <w:r w:rsidR="006D2B12">
        <w:rPr>
          <w:rStyle w:val="FootnoteReference"/>
          <w:lang w:val="ru-RU"/>
        </w:rPr>
        <w:footnoteReference w:id="133"/>
      </w:r>
      <w:r w:rsidRPr="00794712">
        <w:rPr>
          <w:lang w:val="ru-RU"/>
        </w:rPr>
        <w:t xml:space="preserve"> “理智与理智结合，因为理智是最接近且最相通的；随后才与肉体结合，这是通过理智在神性与粗糙肉体之间的中介作用实现的</w:t>
      </w:r>
      <w:r>
        <w:rPr>
          <w:lang w:val="ru-RU"/>
        </w:rPr>
        <w:t>。”</w:t>
      </w:r>
      <w:r w:rsidR="006D2B12">
        <w:rPr>
          <w:rStyle w:val="FootnoteReference"/>
          <w:lang w:val="ru-RU"/>
        </w:rPr>
        <w:footnoteReference w:id="134"/>
      </w:r>
    </w:p>
    <w:p w14:paraId="4A9EF84C" w14:textId="77777777" w:rsidR="00D85B34" w:rsidRPr="00794712" w:rsidRDefault="00D85B34" w:rsidP="00D85B34">
      <w:pPr>
        <w:rPr>
          <w:lang w:val="ru-RU"/>
        </w:rPr>
      </w:pPr>
      <w:r w:rsidRPr="00794712">
        <w:rPr>
          <w:lang w:val="ru-RU"/>
        </w:rPr>
        <w:tab/>
      </w:r>
      <w:r w:rsidR="00A95A76" w:rsidRPr="00A95A76">
        <w:rPr>
          <w:b/>
          <w:lang w:val="ru-RU"/>
        </w:rPr>
        <w:t>d)</w:t>
      </w:r>
      <w:r w:rsidRPr="00794712">
        <w:rPr>
          <w:lang w:val="ru-RU"/>
        </w:rPr>
        <w:t xml:space="preserve"> 倘若基督没有接纳人类的灵魂，</w:t>
      </w:r>
      <w:r w:rsidRPr="00AA0891">
        <w:t>或其</w:t>
      </w:r>
      <w:r w:rsidRPr="00794712">
        <w:rPr>
          <w:lang w:val="ru-RU"/>
        </w:rPr>
        <w:t>理性，而仅仅接纳了肉体或无理性的灵魂：他便不会是人，而是低于人的存在。 “但有人说：有神性就足以代替理智……仅有肉身的神性还不是人，同样，仅有灵魂，或者既有肉身又有灵魂，却缺乏理智——而理智正是区分人的主要标志——也并非人。</w:t>
      </w:r>
      <w:r>
        <w:rPr>
          <w:lang w:val="ru-RU"/>
        </w:rPr>
        <w:t>”</w:t>
      </w:r>
      <w:r w:rsidR="006D2B12">
        <w:rPr>
          <w:rStyle w:val="FootnoteReference"/>
          <w:lang w:val="ru-RU"/>
        </w:rPr>
        <w:footnoteReference w:id="135"/>
      </w:r>
      <w:r w:rsidRPr="00794712">
        <w:rPr>
          <w:lang w:val="ru-RU"/>
        </w:rPr>
        <w:t xml:space="preserve"> “我们断言，神性的全部本质与整个人性结合在了一起。 在起初创造我们的道成肉身的上帝，并未拒绝祂赐予我们本性中的任何东西，而是将一切都取在自己身上：身体、具有理性和语言能力的灵魂，以及它们的属性。因为一个活着的生物，若缺少了其中任何一部分，或任何一种属性，就不再是人了</w:t>
      </w:r>
      <w:r>
        <w:rPr>
          <w:lang w:val="ru-RU"/>
        </w:rPr>
        <w:t>。”</w:t>
      </w:r>
      <w:r w:rsidR="00E25B08">
        <w:rPr>
          <w:rStyle w:val="FootnoteReference"/>
          <w:lang w:val="ru-RU"/>
        </w:rPr>
        <w:footnoteReference w:id="136"/>
      </w:r>
    </w:p>
    <w:p w14:paraId="4FA85B5E"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“如果被接纳的本性不具备人的理智，那么与魔鬼交战的便是上帝本人；而获胜的也是上帝。 既然是上帝获胜，那么我——既然对此胜利毫无贡献——便无法从中获益，甚至无法像那些以他人的战利品为荣的人那样为此感到喜悦。</w:t>
      </w:r>
      <w:r>
        <w:rPr>
          <w:lang w:val="ru-RU"/>
        </w:rPr>
        <w:t>”</w:t>
      </w:r>
      <w:r w:rsidR="00E25B08">
        <w:rPr>
          <w:rStyle w:val="FootnoteReference"/>
          <w:lang w:val="ru-RU"/>
        </w:rPr>
        <w:footnoteReference w:id="137"/>
      </w:r>
    </w:p>
    <w:p w14:paraId="08C6043C" w14:textId="77777777" w:rsidR="00D85B34" w:rsidRPr="00794712" w:rsidRDefault="00F45CFB" w:rsidP="00D85B34">
      <w:pPr>
        <w:ind w:firstLine="708"/>
        <w:rPr>
          <w:lang w:val="ru-RU"/>
        </w:rPr>
      </w:pPr>
      <w:r w:rsidRPr="00F45CFB">
        <w:rPr>
          <w:b/>
          <w:bCs/>
          <w:lang w:val="ru-RU"/>
        </w:rPr>
        <w:t>4)</w:t>
      </w:r>
      <w:r w:rsidR="00D85B34" w:rsidRPr="00794712">
        <w:rPr>
          <w:lang w:val="ru-RU"/>
        </w:rPr>
        <w:t xml:space="preserve"> 有人论证说，基督正是从至圣童贞玛利亚那里领受了人性，因此与我们同质，而非从上而降。例如，关于这一点，他们这样说：</w:t>
      </w:r>
    </w:p>
    <w:p w14:paraId="2F9D3888" w14:textId="77777777" w:rsidR="00D85B34" w:rsidRPr="00794712" w:rsidRDefault="00D85B34" w:rsidP="00D85B34">
      <w:pPr>
        <w:rPr>
          <w:lang w:val="ru-RU"/>
        </w:rPr>
      </w:pPr>
      <w:r w:rsidRPr="00794712">
        <w:rPr>
          <w:lang w:val="ru-RU"/>
        </w:rPr>
        <w:lastRenderedPageBreak/>
        <w:tab/>
        <w:t>圣爱任纽：“上帝为何没有从尘世中取性，而是从玛利亚那里取了人性？这是为了使祂的本性与应当被拯救的本性并无二致，而是以完全相同的形象显现，保持着相似性</w:t>
      </w:r>
      <w:r>
        <w:rPr>
          <w:lang w:val="ru-RU"/>
        </w:rPr>
        <w:t>。”</w:t>
      </w:r>
      <w:r w:rsidR="002C514F">
        <w:rPr>
          <w:rStyle w:val="FootnoteReference"/>
          <w:lang w:val="ru-RU"/>
        </w:rPr>
        <w:footnoteReference w:id="138"/>
      </w:r>
    </w:p>
    <w:p w14:paraId="3D8E7EDE" w14:textId="77777777" w:rsidR="00D85B34" w:rsidRPr="00794712" w:rsidRDefault="00D85B34" w:rsidP="00D85B34">
      <w:pPr>
        <w:rPr>
          <w:lang w:val="ru-RU"/>
        </w:rPr>
      </w:pPr>
      <w:r w:rsidRPr="00794712">
        <w:rPr>
          <w:lang w:val="ru-RU"/>
        </w:rPr>
        <w:tab/>
        <w:t>圣耶路撒冷的西里尔：“你要信：上帝的独生子为了我们的罪，从天降临人间，取了与我们相似的人性，由圣母和圣灵所生。 祂的道成肉身并非以形像或幻影的形式，而是真实地成就了；祂并非像通过管道那样经过童贞女，而是真实地由她成肉身；祂确实像我们一样吃，也确实像我们一样喝。因为如果道成肉身是幻影，那么救赎也将是梦境。</w:t>
      </w:r>
      <w:r>
        <w:rPr>
          <w:lang w:val="ru-RU"/>
        </w:rPr>
        <w:t>”</w:t>
      </w:r>
      <w:r w:rsidR="002C514F">
        <w:rPr>
          <w:rStyle w:val="FootnoteReference"/>
          <w:lang w:val="ru-RU"/>
        </w:rPr>
        <w:footnoteReference w:id="139"/>
      </w:r>
    </w:p>
    <w:p w14:paraId="1EA5CCBD" w14:textId="77777777" w:rsidR="00D85B34" w:rsidRPr="00794712" w:rsidRDefault="00D85B34" w:rsidP="00D85B34">
      <w:pPr>
        <w:rPr>
          <w:lang w:val="ru-RU"/>
        </w:rPr>
      </w:pPr>
      <w:r w:rsidRPr="00794712">
        <w:rPr>
          <w:lang w:val="ru-RU"/>
        </w:rPr>
        <w:tab/>
        <w:t>圣格里高利·神学家：“若有人说，基督如同穿过管道一般经过圣母，而非在圣母腹中同时形成了神性与人性——神性表现为无夫所生，人性表现为按孕育之律而生——那么此人便是无神论者…… 若有人说，肉身是从天上降下的，而非来自尘世，也非来自我们；愿他受咒诅</w:t>
      </w:r>
      <w:r>
        <w:rPr>
          <w:lang w:val="ru-RU"/>
        </w:rPr>
        <w:t>。”</w:t>
      </w:r>
      <w:r w:rsidR="003306F8">
        <w:rPr>
          <w:rStyle w:val="FootnoteReference"/>
          <w:lang w:val="ru-RU"/>
        </w:rPr>
        <w:footnoteReference w:id="140"/>
      </w:r>
    </w:p>
    <w:p w14:paraId="59AC2A14" w14:textId="77777777" w:rsidR="00D85B34" w:rsidRPr="00794712" w:rsidRDefault="00D85B34" w:rsidP="00D85B34">
      <w:pPr>
        <w:rPr>
          <w:lang w:val="ru-RU"/>
        </w:rPr>
      </w:pPr>
      <w:r w:rsidRPr="00794712">
        <w:rPr>
          <w:lang w:val="ru-RU"/>
        </w:rPr>
        <w:tab/>
        <w:t>圣约翰·金口：“（基督）确确实实是按肉体由童贞女所生，这一点福音书</w:t>
      </w:r>
      <w:r w:rsidRPr="00472EE7">
        <w:rPr>
          <w:i/>
          <w:iCs/>
          <w:lang w:val="ru-RU"/>
        </w:rPr>
        <w:t>作者用‘在她里面所生的’</w:t>
      </w:r>
      <w:r w:rsidR="000A57C3">
        <w:rPr>
          <w:lang w:val="ru-RU"/>
        </w:rPr>
        <w:t>（</w:t>
      </w:r>
      <w:r w:rsidRPr="00794712">
        <w:rPr>
          <w:lang w:val="ru-RU"/>
        </w:rPr>
        <w:t>玛1</w:t>
      </w:r>
      <w:r>
        <w:rPr>
          <w:lang w:val="ru-RU"/>
        </w:rPr>
        <w:t>:</w:t>
      </w:r>
      <w:r w:rsidRPr="00794712">
        <w:rPr>
          <w:lang w:val="ru-RU"/>
        </w:rPr>
        <w:t>20-21）这句话清楚地表明了，保罗也用</w:t>
      </w:r>
      <w:r w:rsidRPr="00472EE7">
        <w:rPr>
          <w:i/>
          <w:iCs/>
          <w:lang w:val="ru-RU"/>
        </w:rPr>
        <w:t>‘由女人所生’</w:t>
      </w:r>
      <w:r w:rsidRPr="00794712">
        <w:rPr>
          <w:lang w:val="ru-RU"/>
        </w:rPr>
        <w:t>（迦4</w:t>
      </w:r>
      <w:r w:rsidR="00885CFC">
        <w:rPr>
          <w:lang w:val="ru-RU"/>
        </w:rPr>
        <w:t>:</w:t>
      </w:r>
      <w:r w:rsidRPr="00794712">
        <w:rPr>
          <w:lang w:val="ru-RU"/>
        </w:rPr>
        <w:t>4）这句话表明了。 他说‘由女人而生’，以此堵住那些声称基督仿佛穿过某种管道般经过玛利亚之人的嘴。如果这种说法成立：那么处女的子宫还有什么必要呢？如果这种说法成立：那么基督就与我们毫无共同之处；相反，祂的肉身与我们的不同，其构成并非与我们相同。 那么，又该如何称呼祂是出于耶西的根？是枝条？是人子？是花朵？又该如何称呼马利亚为母亲？又该如何说基督出于大卫的后裔，取了仆人的形像，道成了肉身？ 那么，保罗为何对罗马人说：</w:t>
      </w:r>
      <w:r w:rsidRPr="00472EE7">
        <w:rPr>
          <w:i/>
          <w:iCs/>
          <w:lang w:val="ru-RU"/>
        </w:rPr>
        <w:t>“基督按肉体说，是从他们出来的，祂是超乎万有的神”</w:t>
      </w:r>
      <w:r w:rsidRPr="00794712">
        <w:rPr>
          <w:lang w:val="ru-RU"/>
        </w:rPr>
        <w:t>（罗9</w:t>
      </w:r>
      <w:r>
        <w:rPr>
          <w:lang w:val="ru-RU"/>
        </w:rPr>
        <w:t>:</w:t>
      </w:r>
      <w:r w:rsidRPr="00794712">
        <w:rPr>
          <w:lang w:val="ru-RU"/>
        </w:rPr>
        <w:t>5）？从这些话语以及圣经中的许多其他经文可以看出，基督源于我们，源于我们的本性，源于童贞女的子宫</w:t>
      </w:r>
      <w:r>
        <w:rPr>
          <w:lang w:val="ru-RU"/>
        </w:rPr>
        <w:t>。”</w:t>
      </w:r>
      <w:r w:rsidR="00885CFC">
        <w:rPr>
          <w:rStyle w:val="FootnoteReference"/>
          <w:lang w:val="ru-RU"/>
        </w:rPr>
        <w:footnoteReference w:id="141"/>
      </w:r>
    </w:p>
    <w:p w14:paraId="3CD71CAE" w14:textId="77777777" w:rsidR="00152DEF" w:rsidRDefault="00152DEF" w:rsidP="00152DEF">
      <w:pPr>
        <w:rPr>
          <w:lang w:val="ru-RU"/>
        </w:rPr>
      </w:pPr>
      <w:bookmarkStart w:id="133" w:name="_Toc133155565"/>
    </w:p>
    <w:p w14:paraId="237409C4" w14:textId="77777777" w:rsidR="00D85B34" w:rsidRPr="00794712" w:rsidRDefault="00D85B34" w:rsidP="007B240B">
      <w:pPr>
        <w:pStyle w:val="Heading5"/>
        <w:rPr>
          <w:lang w:val="ru-RU"/>
        </w:rPr>
      </w:pPr>
      <w:bookmarkStart w:id="134" w:name="_Toc180664578"/>
      <w:bookmarkStart w:id="135" w:name="_Toc180679199"/>
      <w:bookmarkStart w:id="136" w:name="_Toc180679256"/>
      <w:bookmarkStart w:id="137" w:name="_Toc180679779"/>
      <w:bookmarkStart w:id="138" w:name="_Toc238453662"/>
      <w:bookmarkStart w:id="139" w:name="_Toc238576478"/>
      <w:r w:rsidRPr="00794712">
        <w:rPr>
          <w:lang w:val="ru-RU"/>
        </w:rPr>
        <w:t>§135. 主耶稣按人性是以超自然的方式降生的，而祂至圣的母亲是永贞童女</w:t>
      </w:r>
      <w:bookmarkEnd w:id="133"/>
      <w:bookmarkEnd w:id="134"/>
      <w:bookmarkEnd w:id="135"/>
      <w:bookmarkEnd w:id="136"/>
      <w:bookmarkEnd w:id="137"/>
      <w:bookmarkEnd w:id="138"/>
      <w:bookmarkEnd w:id="139"/>
    </w:p>
    <w:p w14:paraId="35A773C7" w14:textId="77777777" w:rsidR="00D85B34" w:rsidRPr="00794712" w:rsidRDefault="00D85B34" w:rsidP="00D85B34">
      <w:pPr>
        <w:ind w:firstLine="708"/>
        <w:rPr>
          <w:lang w:val="ru-RU"/>
        </w:rPr>
      </w:pPr>
      <w:r w:rsidRPr="00794712">
        <w:rPr>
          <w:lang w:val="ru-RU"/>
        </w:rPr>
        <w:t>不过，虽然基督救主按肉体说源于我们，并领受了与我们同质的人性，但他并非像所有人类那样诞生，而是以超自然的方式降生： 祂</w:t>
      </w:r>
      <w:r>
        <w:rPr>
          <w:lang w:val="ru-RU"/>
        </w:rPr>
        <w:t>“</w:t>
      </w:r>
      <w:r w:rsidRPr="00794712">
        <w:rPr>
          <w:lang w:val="ru-RU"/>
        </w:rPr>
        <w:t>由圣灵和童贞女玛利亚</w:t>
      </w:r>
      <w:r>
        <w:rPr>
          <w:lang w:val="ru-RU"/>
        </w:rPr>
        <w:t>”</w:t>
      </w:r>
      <w:r w:rsidRPr="00794712">
        <w:rPr>
          <w:lang w:val="ru-RU"/>
        </w:rPr>
        <w:t>道成肉身</w:t>
      </w:r>
      <w:r>
        <w:rPr>
          <w:lang w:val="ru-RU"/>
        </w:rPr>
        <w:t>，</w:t>
      </w:r>
      <w:r w:rsidRPr="00794712">
        <w:rPr>
          <w:lang w:val="ru-RU"/>
        </w:rPr>
        <w:t>因此祂至圣的母亲在祂降生之前、降生之时，甚至在祂降生之后，都始终保持童贞，是永贞童女（《东正教信条》第1卷，对第39个问题的回答）。</w:t>
      </w:r>
    </w:p>
    <w:p w14:paraId="74116F62" w14:textId="77777777" w:rsidR="00D85B34" w:rsidRPr="00794712" w:rsidRDefault="00D85B34" w:rsidP="00D85B34">
      <w:pPr>
        <w:rPr>
          <w:lang w:val="ru-RU"/>
        </w:rPr>
      </w:pPr>
      <w:r w:rsidRPr="00794712">
        <w:rPr>
          <w:lang w:val="ru-RU"/>
        </w:rPr>
        <w:tab/>
      </w:r>
      <w:r w:rsidRPr="00AA0891">
        <w:t>一</w:t>
      </w:r>
      <w:r w:rsidRPr="00794712">
        <w:rPr>
          <w:lang w:val="ru-RU"/>
        </w:rPr>
        <w:t>、主耶稣由圣灵和童贞玛利亚道成肉身，祂至圣的母亲在祂降生之前、降生之时乃至降生之后，始终保持童贞。这一真理源于：</w:t>
      </w:r>
    </w:p>
    <w:p w14:paraId="5BEAF77D" w14:textId="77777777" w:rsidR="00D85B34" w:rsidRPr="00794712" w:rsidRDefault="00F45CFB" w:rsidP="00D85B34">
      <w:pPr>
        <w:ind w:firstLine="708"/>
        <w:rPr>
          <w:lang w:val="ru-RU"/>
        </w:rPr>
      </w:pPr>
      <w:r w:rsidRPr="00F45CFB">
        <w:rPr>
          <w:b/>
          <w:lang w:val="ru-RU"/>
        </w:rPr>
        <w:t>1)</w:t>
      </w:r>
      <w:r w:rsidR="00D85B34" w:rsidRPr="00794712">
        <w:rPr>
          <w:lang w:val="ru-RU"/>
        </w:rPr>
        <w:t xml:space="preserve"> 来自以赛亚关于弥赛亚降生的预言：</w:t>
      </w:r>
      <w:r w:rsidR="00D85B34" w:rsidRPr="00DA69F2">
        <w:rPr>
          <w:i/>
          <w:iCs/>
          <w:lang w:val="ru-RU"/>
        </w:rPr>
        <w:t>“看哪，处女将怀孕生子，人要称他的名为以马内利”</w:t>
      </w:r>
      <w:r w:rsidR="00D85B34" w:rsidRPr="00794712">
        <w:rPr>
          <w:lang w:val="ru-RU"/>
        </w:rPr>
        <w:t>（</w:t>
      </w:r>
      <w:r w:rsidR="00152DEF">
        <w:rPr>
          <w:lang w:val="ru-RU"/>
        </w:rPr>
        <w:t>赛</w:t>
      </w:r>
      <w:r w:rsidR="00D85B34" w:rsidRPr="00794712">
        <w:rPr>
          <w:lang w:val="ru-RU"/>
        </w:rPr>
        <w:t>7</w:t>
      </w:r>
      <w:r w:rsidR="00152DEF">
        <w:rPr>
          <w:lang w:val="ru-RU"/>
        </w:rPr>
        <w:t>:</w:t>
      </w:r>
      <w:r w:rsidR="00D85B34" w:rsidRPr="00794712">
        <w:rPr>
          <w:lang w:val="ru-RU"/>
        </w:rPr>
        <w:t>14）。 这预言的真实性及其与弥赛亚的关系，除了从预言的内容本身及其被宣告的背景中可见一斑外，还得到了福音书作者的明确见证</w:t>
      </w:r>
      <w:r w:rsidR="000A57C3">
        <w:rPr>
          <w:lang w:val="ru-RU"/>
        </w:rPr>
        <w:t>（太</w:t>
      </w:r>
      <w:r w:rsidR="00D85B34" w:rsidRPr="00794712">
        <w:rPr>
          <w:lang w:val="ru-RU"/>
        </w:rPr>
        <w:t>1</w:t>
      </w:r>
      <w:r w:rsidR="00D85B34">
        <w:rPr>
          <w:lang w:val="ru-RU"/>
        </w:rPr>
        <w:t>:</w:t>
      </w:r>
      <w:r w:rsidR="00D85B34" w:rsidRPr="00794712">
        <w:rPr>
          <w:lang w:val="ru-RU"/>
        </w:rPr>
        <w:t>23）。 与此同时，这里预言道，正是这位童女（阿尔玛）——纯洁无瑕的童女——将怀上并生下以马内利（</w:t>
      </w:r>
      <w:r w:rsidR="00A95A76" w:rsidRPr="004F07F1">
        <w:rPr>
          <w:lang w:val="ru-RU"/>
        </w:rPr>
        <w:t>神与我们同在）</w:t>
      </w:r>
      <w:r w:rsidR="00D85B34" w:rsidRPr="00794712">
        <w:rPr>
          <w:lang w:val="ru-RU"/>
        </w:rPr>
        <w:t>。</w:t>
      </w:r>
      <w:r w:rsidR="00152DEF">
        <w:rPr>
          <w:rStyle w:val="FootnoteReference"/>
          <w:lang w:val="ru-RU"/>
        </w:rPr>
        <w:footnoteReference w:id="142"/>
      </w:r>
    </w:p>
    <w:p w14:paraId="60255E09" w14:textId="77777777" w:rsidR="00D85B34" w:rsidRPr="00794712" w:rsidRDefault="00F45CFB" w:rsidP="00D85B34">
      <w:pPr>
        <w:ind w:firstLine="708"/>
        <w:rPr>
          <w:lang w:val="ru-RU"/>
        </w:rPr>
      </w:pPr>
      <w:r w:rsidRPr="00F45CFB">
        <w:rPr>
          <w:b/>
          <w:lang w:val="ru-RU"/>
        </w:rPr>
        <w:t>2）</w:t>
      </w:r>
      <w:r w:rsidR="00D85B34" w:rsidRPr="00794712">
        <w:rPr>
          <w:lang w:val="ru-RU"/>
        </w:rPr>
        <w:t>天使关于自古以来被应许并预言的弥赛亚降生的报喜</w:t>
      </w:r>
      <w:r w:rsidR="008A3626">
        <w:rPr>
          <w:lang w:val="ru-RU"/>
        </w:rPr>
        <w:t>（路加</w:t>
      </w:r>
      <w:r w:rsidR="00D85B34">
        <w:rPr>
          <w:lang w:val="ru-RU"/>
        </w:rPr>
        <w:t>福音1:26-38）</w:t>
      </w:r>
      <w:r w:rsidR="00D85B34" w:rsidRPr="00794712">
        <w:rPr>
          <w:lang w:val="ru-RU"/>
        </w:rPr>
        <w:t xml:space="preserve">。这位天上的使者奉上帝之命来到至圣童贞女玛利亚面前，向她报喜说，她将受孕并生下至高者的儿子： </w:t>
      </w:r>
      <w:r w:rsidR="00D85B34" w:rsidRPr="00DA69F2">
        <w:rPr>
          <w:i/>
          <w:iCs/>
          <w:lang w:val="ru-RU"/>
        </w:rPr>
        <w:lastRenderedPageBreak/>
        <w:t>“天使对她说：‘马利亚，不要怕，因为你在神面前已经蒙恩了；看哪，你将怀孕生子，要给他起名叫耶稣。</w:t>
      </w:r>
      <w:r w:rsidR="00D85B34" w:rsidRPr="00794712">
        <w:rPr>
          <w:lang w:val="ru-RU"/>
        </w:rPr>
        <w:t xml:space="preserve">’”当童贞女表示不解： </w:t>
      </w:r>
      <w:r w:rsidR="00D85B34" w:rsidRPr="00DA69F2">
        <w:rPr>
          <w:i/>
          <w:iCs/>
          <w:lang w:val="ru-RU"/>
        </w:rPr>
        <w:t>“我还没有出</w:t>
      </w:r>
      <w:r w:rsidR="00D85B34" w:rsidRPr="007C21A4">
        <w:rPr>
          <w:i/>
          <w:iCs/>
          <w:lang w:val="ru-RU"/>
        </w:rPr>
        <w:t>嫁，</w:t>
      </w:r>
      <w:r w:rsidR="00D85B34" w:rsidRPr="00DA69F2">
        <w:rPr>
          <w:i/>
          <w:iCs/>
          <w:lang w:val="ru-RU"/>
        </w:rPr>
        <w:t>怎么会有这事</w:t>
      </w:r>
      <w:r w:rsidR="00D85B34" w:rsidRPr="007C21A4">
        <w:rPr>
          <w:i/>
          <w:iCs/>
          <w:lang w:val="ru-RU"/>
        </w:rPr>
        <w:t>呢</w:t>
      </w:r>
      <w:r w:rsidR="00D85B34" w:rsidRPr="00DA69F2">
        <w:rPr>
          <w:i/>
          <w:iCs/>
          <w:lang w:val="ru-RU"/>
        </w:rPr>
        <w:t>？</w:t>
      </w:r>
      <w:r w:rsidR="00D85B34" w:rsidRPr="00794712">
        <w:rPr>
          <w:lang w:val="ru-RU"/>
        </w:rPr>
        <w:t>”天使</w:t>
      </w:r>
      <w:r w:rsidR="00D85B34" w:rsidRPr="00AA0891">
        <w:t>回答说</w:t>
      </w:r>
      <w:r w:rsidR="00D85B34" w:rsidRPr="0097554A">
        <w:rPr>
          <w:lang w:val="ru-RU"/>
        </w:rPr>
        <w:t>，</w:t>
      </w:r>
      <w:r w:rsidR="00D85B34" w:rsidRPr="00AA0891">
        <w:t>她的</w:t>
      </w:r>
      <w:r w:rsidR="00D85B34" w:rsidRPr="00794712">
        <w:rPr>
          <w:lang w:val="ru-RU"/>
        </w:rPr>
        <w:t>贞洁将得以保全，她将以超自然的方式在没有丈夫的情况下受孕并生子：</w:t>
      </w:r>
      <w:r w:rsidR="00D85B34" w:rsidRPr="00DA69F2">
        <w:rPr>
          <w:i/>
          <w:iCs/>
          <w:lang w:val="ru-RU"/>
        </w:rPr>
        <w:t>“圣灵要临到你身上，至高者的能力要荫庇你；因此，那要生的圣者将被称为神的儿子。”</w:t>
      </w:r>
      <w:r w:rsidR="00D85B34" w:rsidRPr="00794712">
        <w:rPr>
          <w:lang w:val="ru-RU"/>
        </w:rPr>
        <w:t xml:space="preserve"> 为了证明上帝能行此奇迹，</w:t>
      </w:r>
      <w:r w:rsidR="00D85B34" w:rsidRPr="00AA0891">
        <w:t>天使举了她</w:t>
      </w:r>
      <w:r w:rsidR="00D85B34" w:rsidRPr="00794712">
        <w:rPr>
          <w:lang w:val="ru-RU"/>
        </w:rPr>
        <w:t>亲戚以利沙伯为例——尽管年迈且不孕，但凭着上帝的旨意，她腹中仍怀了孕——并补充道：</w:t>
      </w:r>
      <w:r w:rsidR="00D85B34" w:rsidRPr="007C21A4">
        <w:rPr>
          <w:i/>
          <w:iCs/>
          <w:lang w:val="ru-RU"/>
        </w:rPr>
        <w:t>“在神凡事都能。”</w:t>
      </w:r>
      <w:r w:rsidR="00D85B34" w:rsidRPr="00794712">
        <w:rPr>
          <w:lang w:val="ru-RU"/>
        </w:rPr>
        <w:t xml:space="preserve"> 随后，至圣童贞女说道：</w:t>
      </w:r>
      <w:r w:rsidR="00D85B34" w:rsidRPr="007C21A4">
        <w:rPr>
          <w:i/>
          <w:iCs/>
          <w:lang w:val="ru-RU"/>
        </w:rPr>
        <w:t>“看哪，我是主的使女；愿照你的话成就在我身上。”</w:t>
      </w:r>
    </w:p>
    <w:p w14:paraId="14956121" w14:textId="77777777" w:rsidR="00D85B34" w:rsidRPr="007F2D53" w:rsidRDefault="00F45CFB" w:rsidP="00D85B34">
      <w:pPr>
        <w:ind w:firstLine="708"/>
        <w:rPr>
          <w:lang w:val="ru-RU"/>
        </w:rPr>
      </w:pPr>
      <w:r w:rsidRPr="00F45CFB">
        <w:rPr>
          <w:b/>
          <w:lang w:val="ru-RU"/>
        </w:rPr>
        <w:t>3）</w:t>
      </w:r>
      <w:r w:rsidR="00D85B34" w:rsidRPr="00794712">
        <w:rPr>
          <w:lang w:val="ru-RU"/>
        </w:rPr>
        <w:t>来自福音书作者关于弥赛亚真实受孕与诞生的叙述</w:t>
      </w:r>
      <w:r w:rsidR="000A57C3">
        <w:rPr>
          <w:lang w:val="ru-RU"/>
        </w:rPr>
        <w:t>（</w:t>
      </w:r>
      <w:r w:rsidR="00D85B34">
        <w:rPr>
          <w:lang w:val="ru-RU"/>
        </w:rPr>
        <w:t>马太福音1:18-25</w:t>
      </w:r>
      <w:r w:rsidR="00D85B34" w:rsidRPr="007C21A4">
        <w:rPr>
          <w:lang w:val="ru-RU"/>
        </w:rPr>
        <w:t>）</w:t>
      </w:r>
      <w:r w:rsidR="00D85B34" w:rsidRPr="00794712">
        <w:rPr>
          <w:lang w:val="ru-RU"/>
        </w:rPr>
        <w:t>。福音书作者如此开篇：</w:t>
      </w:r>
      <w:r w:rsidR="00D85B34" w:rsidRPr="007C21A4">
        <w:rPr>
          <w:i/>
          <w:iCs/>
          <w:lang w:val="ru-RU"/>
        </w:rPr>
        <w:t>“祂的母亲马利亚与约瑟订了婚，还未同居，就从圣灵怀了孕。”</w:t>
      </w:r>
      <w:r w:rsidR="00D85B34" w:rsidRPr="00794712">
        <w:rPr>
          <w:lang w:val="ru-RU"/>
        </w:rPr>
        <w:t xml:space="preserve"> 随后叙述道，当约瑟尚未明白这奥</w:t>
      </w:r>
      <w:r w:rsidR="00D85B34" w:rsidRPr="007C21A4">
        <w:rPr>
          <w:i/>
          <w:iCs/>
          <w:lang w:val="ru-RU"/>
        </w:rPr>
        <w:t>秘，打算暗中休了她</w:t>
      </w:r>
      <w:r w:rsidR="00D85B34" w:rsidRPr="00794712">
        <w:rPr>
          <w:lang w:val="ru-RU"/>
        </w:rPr>
        <w:t>时，有天使在梦中向他显现，说：</w:t>
      </w:r>
      <w:r w:rsidR="00D85B34" w:rsidRPr="007C21A4">
        <w:rPr>
          <w:i/>
          <w:iCs/>
          <w:lang w:val="ru-RU"/>
        </w:rPr>
        <w:t>“大卫的子孙约瑟啊！不要怕娶马利亚为妻，因为她腹中的孩子是出于圣灵； 她将生一个儿子，你要给他起名叫耶稣，因为他要将自己的百姓从罪恶中拯救出来</w:t>
      </w:r>
      <w:r w:rsidR="00D85B34" w:rsidRPr="00794712">
        <w:rPr>
          <w:lang w:val="ru-RU"/>
        </w:rPr>
        <w:t>。”随后 注意到</w:t>
      </w:r>
      <w:r w:rsidR="00D85B34" w:rsidRPr="007C21A4">
        <w:rPr>
          <w:i/>
          <w:iCs/>
          <w:lang w:val="ru-RU"/>
        </w:rPr>
        <w:t>这一切的发生，正是为了应验主借先知所说的话</w:t>
      </w:r>
      <w:r w:rsidR="00D85B34" w:rsidRPr="00794712">
        <w:rPr>
          <w:lang w:val="ru-RU"/>
        </w:rPr>
        <w:t xml:space="preserve">——即以马内利将由童女诞生——于是总结道： </w:t>
      </w:r>
      <w:r w:rsidR="00D85B34" w:rsidRPr="007F2D53">
        <w:rPr>
          <w:i/>
          <w:iCs/>
          <w:lang w:val="ru-RU"/>
        </w:rPr>
        <w:t>约瑟从睡梦中醒来，照着主天使的吩咐，接妻子回家，却没有与她同房。[后来]她生了长子，他给祂起名叫耶稣</w:t>
      </w:r>
      <w:r w:rsidR="00D85B34" w:rsidRPr="007F2D53">
        <w:rPr>
          <w:lang w:val="ru-RU"/>
        </w:rPr>
        <w:t>。</w:t>
      </w:r>
    </w:p>
    <w:p w14:paraId="41BBEB02" w14:textId="77777777" w:rsidR="00D85B34" w:rsidRPr="00794712" w:rsidRDefault="00F45CFB" w:rsidP="00D85B34">
      <w:pPr>
        <w:ind w:firstLine="708"/>
        <w:rPr>
          <w:lang w:val="ru-RU"/>
        </w:rPr>
      </w:pPr>
      <w:r w:rsidRPr="00F45CFB">
        <w:rPr>
          <w:b/>
          <w:lang w:val="ru-RU"/>
        </w:rPr>
        <w:t>4)</w:t>
      </w:r>
      <w:r w:rsidR="00D85B34" w:rsidRPr="00794712">
        <w:rPr>
          <w:lang w:val="ru-RU"/>
        </w:rPr>
        <w:t xml:space="preserve"> 源于整个基督教会一贯的信仰。教会首先在其自创立之初便沿用的古老信经中表达了这一信仰，这些信经明确宣告了主耶稣由圣灵感孕、由童贞女玛利亚所生；</w:t>
      </w:r>
      <w:r w:rsidR="00CF6421">
        <w:rPr>
          <w:rStyle w:val="FootnoteReference"/>
          <w:lang w:val="ru-RU"/>
        </w:rPr>
        <w:footnoteReference w:id="143"/>
      </w:r>
      <w:r w:rsidR="00D85B34" w:rsidRPr="00794712">
        <w:rPr>
          <w:lang w:val="ru-RU"/>
        </w:rPr>
        <w:t xml:space="preserve"> 随后又在普世大公会议上庄严地作出了见证。 例如，第二次大公会议在其信经中写道：“我信上帝之子，由圣灵及童贞女玛利亚成</w:t>
      </w:r>
      <w:r w:rsidR="00D85B34">
        <w:rPr>
          <w:lang w:val="ru-RU"/>
        </w:rPr>
        <w:t>肉身</w:t>
      </w:r>
      <w:r w:rsidR="00D85B34" w:rsidRPr="00794712">
        <w:rPr>
          <w:lang w:val="ru-RU"/>
        </w:rPr>
        <w:t>”——该信经自那时起便成为历代不变的信仰范本。 在第三次大公会议的闭幕式上，发表了一篇庄严的宣言，其中包含对圣母玛利亚的如下颂词：“你是贞洁的冠冕！你是母亲，又是童贞女！……世间有谁能配得上赞美这备受颂扬的玛利亚？ 啊，何等奇迹！她既是母亲，又是童贞女</w:t>
      </w:r>
      <w:r w:rsidR="00D85B34" w:rsidRPr="007F2D53">
        <w:rPr>
          <w:lang w:val="ru-RU"/>
        </w:rPr>
        <w:t>！</w:t>
      </w:r>
      <w:r w:rsidR="00D85B34" w:rsidRPr="00794712">
        <w:rPr>
          <w:lang w:val="ru-RU"/>
        </w:rPr>
        <w:t>”</w:t>
      </w:r>
      <w:r w:rsidR="00CF6421">
        <w:rPr>
          <w:rStyle w:val="FootnoteReference"/>
          <w:lang w:val="ru-RU"/>
        </w:rPr>
        <w:footnoteReference w:id="144"/>
      </w:r>
      <w:r w:rsidR="00D85B34" w:rsidRPr="00794712">
        <w:rPr>
          <w:lang w:val="ru-RU"/>
        </w:rPr>
        <w:t xml:space="preserve"> 第四次大公会议的教义要求信徒承认：上帝之子，按神性由圣父所生，为我们的缘故“按人性由童贞女圣母玛利亚所生</w:t>
      </w:r>
      <w:r w:rsidR="00D85B34">
        <w:rPr>
          <w:lang w:val="ru-RU"/>
        </w:rPr>
        <w:t>”，</w:t>
      </w:r>
      <w:r w:rsidR="00D85B34" w:rsidRPr="00794712">
        <w:rPr>
          <w:lang w:val="ru-RU"/>
        </w:rPr>
        <w:t>这一点我们已经见过了。</w:t>
      </w:r>
    </w:p>
    <w:p w14:paraId="61337228" w14:textId="77777777" w:rsidR="00D85B34" w:rsidRPr="00794712" w:rsidRDefault="00F45CFB" w:rsidP="00D85B34">
      <w:pPr>
        <w:ind w:firstLine="708"/>
        <w:rPr>
          <w:lang w:val="ru-RU"/>
        </w:rPr>
      </w:pPr>
      <w:r w:rsidRPr="00F45CFB">
        <w:rPr>
          <w:b/>
          <w:lang w:val="ru-RU"/>
        </w:rPr>
        <w:t>5)</w:t>
      </w:r>
      <w:r w:rsidR="00D85B34" w:rsidRPr="00794712">
        <w:rPr>
          <w:lang w:val="ru-RU"/>
        </w:rPr>
        <w:t xml:space="preserve"> 根据教会各地方牧者与教师的一致教导：</w:t>
      </w:r>
      <w:r w:rsidR="00A95A76" w:rsidRPr="00A95A76">
        <w:rPr>
          <w:b/>
          <w:lang w:val="ru-RU"/>
        </w:rPr>
        <w:t>a)</w:t>
      </w:r>
      <w:r w:rsidR="00D85B34" w:rsidRPr="00794712">
        <w:rPr>
          <w:lang w:val="ru-RU"/>
        </w:rPr>
        <w:t xml:space="preserve"> 圣伊格纳提乌斯·神载者：“玛利亚的童贞、</w:t>
      </w:r>
      <w:r w:rsidR="00D85B34" w:rsidRPr="00AA0891">
        <w:t>她的</w:t>
      </w:r>
      <w:r w:rsidR="00D85B34" w:rsidRPr="00794712">
        <w:rPr>
          <w:lang w:val="ru-RU"/>
        </w:rPr>
        <w:t>诞辰，以及主的受难，这三大震撼人心的奥迹，都在上帝的静默中成就</w:t>
      </w:r>
      <w:r w:rsidR="00D85B34" w:rsidRPr="007F2D53">
        <w:rPr>
          <w:lang w:val="ru-RU"/>
        </w:rPr>
        <w:t>，</w:t>
      </w:r>
      <w:r w:rsidR="00D85B34" w:rsidRPr="00794712">
        <w:rPr>
          <w:lang w:val="ru-RU"/>
        </w:rPr>
        <w:t>却被这世代的掌权者所隐藏</w:t>
      </w:r>
      <w:r w:rsidR="00D85B34" w:rsidRPr="007F2D53">
        <w:rPr>
          <w:lang w:val="ru-RU"/>
        </w:rPr>
        <w:t>；</w:t>
      </w:r>
      <w:r w:rsidR="00D85B34">
        <w:rPr>
          <w:lang w:val="ru-RU"/>
        </w:rPr>
        <w:t>”</w:t>
      </w:r>
      <w:r w:rsidR="00CF6421">
        <w:rPr>
          <w:rStyle w:val="FootnoteReference"/>
          <w:lang w:val="ru-RU"/>
        </w:rPr>
        <w:footnoteReference w:id="145"/>
      </w:r>
      <w:r w:rsidR="00A95A76" w:rsidRPr="00A95A76">
        <w:rPr>
          <w:b/>
          <w:lang w:val="ru-RU"/>
        </w:rPr>
        <w:t xml:space="preserve"> b)</w:t>
      </w:r>
      <w:r w:rsidR="00D85B34" w:rsidRPr="00794712">
        <w:rPr>
          <w:lang w:val="ru-RU"/>
        </w:rPr>
        <w:t xml:space="preserve"> 圣尤斯丁： </w:t>
      </w:r>
      <w:r w:rsidR="00D85B34">
        <w:rPr>
          <w:lang w:val="ru-RU"/>
        </w:rPr>
        <w:t>“</w:t>
      </w:r>
      <w:r w:rsidR="00D85B34" w:rsidRPr="00794712">
        <w:rPr>
          <w:lang w:val="ru-RU"/>
        </w:rPr>
        <w:t>上帝的大能降临在童贞女身上，使她蒙受恩宠，并使这位童贞女结出果实</w:t>
      </w:r>
      <w:r w:rsidR="00D85B34" w:rsidRPr="007F2D53">
        <w:rPr>
          <w:lang w:val="ru-RU"/>
        </w:rPr>
        <w:t>；</w:t>
      </w:r>
      <w:r w:rsidR="00D85B34">
        <w:rPr>
          <w:lang w:val="ru-RU"/>
        </w:rPr>
        <w:t>”</w:t>
      </w:r>
      <w:r w:rsidR="00CF6421">
        <w:rPr>
          <w:rStyle w:val="FootnoteReference"/>
          <w:lang w:val="ru-RU"/>
        </w:rPr>
        <w:footnoteReference w:id="146"/>
      </w:r>
      <w:r w:rsidR="00A95A76" w:rsidRPr="00A95A76">
        <w:rPr>
          <w:b/>
          <w:lang w:val="ru-RU"/>
        </w:rPr>
        <w:t xml:space="preserve"> c)</w:t>
      </w:r>
      <w:r w:rsidR="00D85B34" w:rsidRPr="00794712">
        <w:rPr>
          <w:lang w:val="ru-RU"/>
        </w:rPr>
        <w:t xml:space="preserve"> 圣爱任纽：“祂（上帝之子）由童贞女所生</w:t>
      </w:r>
      <w:r w:rsidR="00D85B34" w:rsidRPr="007F2D53">
        <w:rPr>
          <w:lang w:val="ru-RU"/>
        </w:rPr>
        <w:t>；”</w:t>
      </w:r>
      <w:r w:rsidR="00CF6421">
        <w:rPr>
          <w:rStyle w:val="FootnoteReference"/>
          <w:lang w:val="ru-RU"/>
        </w:rPr>
        <w:footnoteReference w:id="147"/>
      </w:r>
      <w:r w:rsidR="00D85B34" w:rsidRPr="00794712">
        <w:rPr>
          <w:lang w:val="ru-RU"/>
        </w:rPr>
        <w:t xml:space="preserve"> </w:t>
      </w:r>
      <w:r w:rsidR="00D85B34">
        <w:rPr>
          <w:lang w:val="ru-RU"/>
        </w:rPr>
        <w:t>“</w:t>
      </w:r>
      <w:r w:rsidR="00D85B34" w:rsidRPr="00794712">
        <w:rPr>
          <w:lang w:val="ru-RU"/>
        </w:rPr>
        <w:t>祂由大卫的童贞女所生</w:t>
      </w:r>
      <w:r w:rsidR="00D85B34" w:rsidRPr="007F2D53">
        <w:rPr>
          <w:lang w:val="ru-RU"/>
        </w:rPr>
        <w:t>；</w:t>
      </w:r>
      <w:r w:rsidR="00D85B34">
        <w:rPr>
          <w:lang w:val="ru-RU"/>
        </w:rPr>
        <w:t>”</w:t>
      </w:r>
      <w:r w:rsidR="00CF6421">
        <w:rPr>
          <w:rStyle w:val="FootnoteReference"/>
          <w:lang w:val="ru-RU"/>
        </w:rPr>
        <w:footnoteReference w:id="148"/>
      </w:r>
      <w:r w:rsidR="00A95A76" w:rsidRPr="00A95A76">
        <w:rPr>
          <w:b/>
          <w:lang w:val="ru-RU"/>
        </w:rPr>
        <w:t xml:space="preserve"> d)</w:t>
      </w:r>
      <w:r w:rsidR="00D85B34" w:rsidRPr="00794712">
        <w:rPr>
          <w:lang w:val="ru-RU"/>
        </w:rPr>
        <w:t xml:space="preserve"> </w:t>
      </w:r>
      <w:r w:rsidR="00D85B34" w:rsidRPr="00794712">
        <w:rPr>
          <w:lang w:val="ru-RU"/>
        </w:rPr>
        <w:lastRenderedPageBreak/>
        <w:t>圣格里高利·尼西的：“圣母与童贞女是同一位：童贞并未阻碍她生育，生育也未破坏她的童贞</w:t>
      </w:r>
      <w:r w:rsidR="00D85B34" w:rsidRPr="007F2D53">
        <w:rPr>
          <w:lang w:val="ru-RU"/>
        </w:rPr>
        <w:t>；</w:t>
      </w:r>
      <w:r w:rsidR="00D85B34">
        <w:rPr>
          <w:lang w:val="ru-RU"/>
        </w:rPr>
        <w:t>”</w:t>
      </w:r>
      <w:r w:rsidR="00CF6421">
        <w:rPr>
          <w:rStyle w:val="FootnoteReference"/>
          <w:lang w:val="ru-RU"/>
        </w:rPr>
        <w:footnoteReference w:id="149"/>
      </w:r>
      <w:r w:rsidR="00A95A76" w:rsidRPr="00A95A76">
        <w:rPr>
          <w:b/>
          <w:lang w:val="ru-RU"/>
        </w:rPr>
        <w:t xml:space="preserve"> e)</w:t>
      </w:r>
      <w:r w:rsidR="00D85B34" w:rsidRPr="00794712">
        <w:rPr>
          <w:lang w:val="ru-RU"/>
        </w:rPr>
        <w:t xml:space="preserve"> 圣安布罗斯： 她曾说：‘我是主的婢女，愿照你的话成就在我身上。’她在腹中受孕时仍是童贞女，分娩后仍是童贞女；因为先知（</w:t>
      </w:r>
      <w:r w:rsidRPr="004F07F1">
        <w:rPr>
          <w:lang w:val="ru-RU"/>
        </w:rPr>
        <w:t>赛7</w:t>
      </w:r>
      <w:r w:rsidR="00D85B34" w:rsidRPr="007F2D53">
        <w:rPr>
          <w:lang w:val="ru-RU"/>
        </w:rPr>
        <w:t>:</w:t>
      </w:r>
      <w:r w:rsidRPr="004F07F1">
        <w:rPr>
          <w:lang w:val="ru-RU"/>
        </w:rPr>
        <w:t>14）</w:t>
      </w:r>
      <w:r w:rsidR="00D85B34" w:rsidRPr="00794712">
        <w:rPr>
          <w:lang w:val="ru-RU"/>
        </w:rPr>
        <w:t>不仅预言童贞女将受孕，还预言 童贞女将分娩</w:t>
      </w:r>
      <w:r w:rsidR="00D85B34">
        <w:rPr>
          <w:lang w:val="ru-RU"/>
        </w:rPr>
        <w:t>。”</w:t>
      </w:r>
      <w:r w:rsidR="00CF6421">
        <w:rPr>
          <w:rStyle w:val="FootnoteReference"/>
          <w:lang w:val="ru-RU"/>
        </w:rPr>
        <w:footnoteReference w:id="150"/>
      </w:r>
      <w:r w:rsidR="00D85B34" w:rsidRPr="00794712">
        <w:rPr>
          <w:lang w:val="ru-RU"/>
        </w:rPr>
        <w:t xml:space="preserve"> 此外，以下圣人也曾如此教导：圣梅福迪乌斯，</w:t>
      </w:r>
      <w:r w:rsidR="00CF6421">
        <w:rPr>
          <w:rStyle w:val="FootnoteReference"/>
          <w:lang w:val="ru-RU"/>
        </w:rPr>
        <w:footnoteReference w:id="151"/>
      </w:r>
      <w:r w:rsidR="00D85B34" w:rsidRPr="00794712">
        <w:rPr>
          <w:lang w:val="ru-RU"/>
        </w:rPr>
        <w:t xml:space="preserve"> ；优西比乌，</w:t>
      </w:r>
      <w:r w:rsidR="00CF6421">
        <w:rPr>
          <w:rStyle w:val="FootnoteReference"/>
          <w:lang w:val="ru-RU"/>
        </w:rPr>
        <w:footnoteReference w:id="152"/>
      </w:r>
      <w:r w:rsidR="00D85B34" w:rsidRPr="00794712">
        <w:rPr>
          <w:lang w:val="ru-RU"/>
        </w:rPr>
        <w:t xml:space="preserve"> ；安菲洛基乌斯，</w:t>
      </w:r>
      <w:r w:rsidR="00CF6421">
        <w:rPr>
          <w:rStyle w:val="FootnoteReference"/>
          <w:lang w:val="ru-RU"/>
        </w:rPr>
        <w:footnoteReference w:id="153"/>
      </w:r>
      <w:r w:rsidR="00D85B34" w:rsidRPr="00794712">
        <w:rPr>
          <w:lang w:val="ru-RU"/>
        </w:rPr>
        <w:t xml:space="preserve"> ；格里高利·神学家，约翰·金口，</w:t>
      </w:r>
      <w:r w:rsidR="00332AD3">
        <w:rPr>
          <w:rStyle w:val="FootnoteReference"/>
          <w:lang w:val="ru-RU"/>
        </w:rPr>
        <w:footnoteReference w:id="154"/>
      </w:r>
      <w:r w:rsidR="00D85B34" w:rsidRPr="00794712">
        <w:rPr>
          <w:lang w:val="ru-RU"/>
        </w:rPr>
        <w:t xml:space="preserve"> ；叙利亚的以弗所，</w:t>
      </w:r>
      <w:r w:rsidR="00332AD3">
        <w:rPr>
          <w:rStyle w:val="FootnoteReference"/>
          <w:lang w:val="ru-RU"/>
        </w:rPr>
        <w:footnoteReference w:id="155"/>
      </w:r>
      <w:r w:rsidR="00D85B34" w:rsidRPr="00794712">
        <w:rPr>
          <w:lang w:val="ru-RU"/>
        </w:rPr>
        <w:t xml:space="preserve"> ；大利奥，</w:t>
      </w:r>
      <w:r w:rsidR="00332AD3">
        <w:rPr>
          <w:rStyle w:val="FootnoteReference"/>
          <w:lang w:val="ru-RU"/>
        </w:rPr>
        <w:footnoteReference w:id="156"/>
      </w:r>
      <w:r w:rsidR="00D85B34" w:rsidRPr="00794712">
        <w:rPr>
          <w:lang w:val="ru-RU"/>
        </w:rPr>
        <w:t xml:space="preserve"> ；奥古斯丁，</w:t>
      </w:r>
      <w:r w:rsidR="00332AD3">
        <w:rPr>
          <w:rStyle w:val="FootnoteReference"/>
          <w:lang w:val="ru-RU"/>
        </w:rPr>
        <w:footnoteReference w:id="157"/>
      </w:r>
      <w:r w:rsidR="00D85B34" w:rsidRPr="00794712">
        <w:rPr>
          <w:lang w:val="ru-RU"/>
        </w:rPr>
        <w:t xml:space="preserve"> ；亚历山大的西里尔，</w:t>
      </w:r>
      <w:r w:rsidR="00332AD3">
        <w:rPr>
          <w:rStyle w:val="FootnoteReference"/>
          <w:lang w:val="ru-RU"/>
        </w:rPr>
        <w:footnoteReference w:id="158"/>
      </w:r>
      <w:r w:rsidR="00D85B34" w:rsidRPr="00794712">
        <w:rPr>
          <w:lang w:val="ru-RU"/>
        </w:rPr>
        <w:t xml:space="preserve"> ；以及其他人。</w:t>
      </w:r>
      <w:r w:rsidR="00332AD3">
        <w:rPr>
          <w:rStyle w:val="FootnoteReference"/>
          <w:lang w:val="ru-RU"/>
        </w:rPr>
        <w:footnoteReference w:id="159"/>
      </w:r>
    </w:p>
    <w:p w14:paraId="0DAF5ED9" w14:textId="77777777" w:rsidR="00D85B34" w:rsidRPr="00794712" w:rsidRDefault="00D85B34" w:rsidP="00D85B34">
      <w:pPr>
        <w:rPr>
          <w:lang w:val="ru-RU"/>
        </w:rPr>
      </w:pPr>
      <w:r w:rsidRPr="00794712">
        <w:rPr>
          <w:lang w:val="ru-RU"/>
        </w:rPr>
        <w:tab/>
        <w:t>他们不仅如此教导，而且常常试图阐明，弥赛亚以这种奇妙的方式降生不仅可能，而且非常恰当： 作为证明或解释这种可能性的依据，他们指出了上帝的全能</w:t>
      </w:r>
      <w:r w:rsidR="006E3696">
        <w:rPr>
          <w:rStyle w:val="FootnoteReference"/>
          <w:lang w:val="ru-RU"/>
        </w:rPr>
        <w:footnoteReference w:id="160"/>
      </w:r>
      <w:r w:rsidRPr="00794712">
        <w:rPr>
          <w:lang w:val="ru-RU"/>
        </w:rPr>
        <w:t xml:space="preserve"> 以及其他一些类似的神迹，例如那燃烧却未被烧尽的荆棘丛</w:t>
      </w:r>
      <w:r w:rsidR="006E3696">
        <w:rPr>
          <w:rStyle w:val="FootnoteReference"/>
          <w:lang w:val="ru-RU"/>
        </w:rPr>
        <w:footnoteReference w:id="161"/>
      </w:r>
      <w:r w:rsidRPr="00794712">
        <w:rPr>
          <w:lang w:val="ru-RU"/>
        </w:rPr>
        <w:t xml:space="preserve"> </w:t>
      </w:r>
      <w:r w:rsidRPr="00794712">
        <w:rPr>
          <w:lang w:val="ru-RU"/>
        </w:rPr>
        <w:lastRenderedPageBreak/>
        <w:t>，还有救世主复活后能够穿过紧闭的门进入门徒中间这一事实</w:t>
      </w:r>
      <w:r w:rsidR="006E3696">
        <w:rPr>
          <w:rStyle w:val="FootnoteReference"/>
          <w:lang w:val="ru-RU"/>
        </w:rPr>
        <w:footnoteReference w:id="162"/>
      </w:r>
      <w:r w:rsidRPr="00794712">
        <w:rPr>
          <w:lang w:val="ru-RU"/>
        </w:rPr>
        <w:t xml:space="preserve"> 此外，在阐述这种弥赛亚降生方式的恰当性时，我们曾说：“正如最初的亚当，其肉体是由未经开垦的原始泥土所造（创世记 2</w:t>
      </w:r>
      <w:r w:rsidRPr="00E17A65">
        <w:rPr>
          <w:lang w:val="ru-RU"/>
        </w:rPr>
        <w:t>:</w:t>
      </w:r>
      <w:r w:rsidRPr="00794712">
        <w:rPr>
          <w:lang w:val="ru-RU"/>
        </w:rPr>
        <w:t>5），并由上帝之手——即‘道’——所创造，万物都是藉着祂造的</w:t>
      </w:r>
      <w:r w:rsidR="005864AB">
        <w:rPr>
          <w:lang w:val="ru-RU"/>
        </w:rPr>
        <w:t>（约翰福音</w:t>
      </w:r>
      <w:r w:rsidRPr="00794712">
        <w:rPr>
          <w:lang w:val="ru-RU"/>
        </w:rPr>
        <w:t xml:space="preserve"> 1</w:t>
      </w:r>
      <w:r w:rsidRPr="00E17A65">
        <w:rPr>
          <w:lang w:val="ru-RU"/>
        </w:rPr>
        <w:t>:</w:t>
      </w:r>
      <w:r w:rsidRPr="00794712">
        <w:rPr>
          <w:lang w:val="ru-RU"/>
        </w:rPr>
        <w:t>3）： 同样，为了在祂自己里面领导亚当，道成肉身的上帝亲自由童贞玛利亚所生。祂确实为自己选择了这种诞生方式，正是为了恢复亚当所必需的。</w:t>
      </w:r>
      <w:r>
        <w:rPr>
          <w:lang w:val="ru-RU"/>
        </w:rPr>
        <w:t>”</w:t>
      </w:r>
      <w:r w:rsidR="006E3696">
        <w:rPr>
          <w:rStyle w:val="FootnoteReference"/>
          <w:lang w:val="ru-RU"/>
        </w:rPr>
        <w:footnoteReference w:id="163"/>
      </w:r>
      <w:r w:rsidRPr="00794712">
        <w:rPr>
          <w:lang w:val="ru-RU"/>
        </w:rPr>
        <w:t xml:space="preserve"> 又如：“死亡是通过少女夏娃而来的；而生命也必须通过童贞女——或者更确切地说，从童贞女那里——显现出来，正如蛇曾引诱前者，加百列也向后者传报了福音。</w:t>
      </w:r>
      <w:r>
        <w:rPr>
          <w:lang w:val="ru-RU"/>
        </w:rPr>
        <w:t>”</w:t>
      </w:r>
      <w:r w:rsidR="006658FF">
        <w:rPr>
          <w:rStyle w:val="FootnoteReference"/>
          <w:lang w:val="ru-RU"/>
        </w:rPr>
        <w:footnoteReference w:id="164"/>
      </w:r>
      <w:r w:rsidRPr="00794712">
        <w:rPr>
          <w:lang w:val="ru-RU"/>
        </w:rPr>
        <w:t xml:space="preserve"> 又如：“那位为使众人归于无瑕而进入人间者，理应由那位促成祂降生的无瑕者所生；因为未婚女子通常也被称为无瑕者</w:t>
      </w:r>
      <w:r>
        <w:rPr>
          <w:lang w:val="ru-RU"/>
        </w:rPr>
        <w:t>。”</w:t>
      </w:r>
      <w:r w:rsidR="006658FF">
        <w:rPr>
          <w:rStyle w:val="FootnoteReference"/>
          <w:lang w:val="ru-RU"/>
        </w:rPr>
        <w:footnoteReference w:id="165"/>
      </w:r>
    </w:p>
    <w:p w14:paraId="1BD6570B" w14:textId="77777777" w:rsidR="00D85B34" w:rsidRPr="00794712" w:rsidRDefault="00D85B34" w:rsidP="00D85B34">
      <w:pPr>
        <w:rPr>
          <w:lang w:val="ru-RU"/>
        </w:rPr>
      </w:pPr>
      <w:r w:rsidRPr="00794712">
        <w:rPr>
          <w:lang w:val="ru-RU"/>
        </w:rPr>
        <w:tab/>
      </w:r>
      <w:r w:rsidRPr="004F07F1">
        <w:rPr>
          <w:b/>
          <w:bCs/>
        </w:rPr>
        <w:t>II</w:t>
      </w:r>
      <w:r w:rsidRPr="004F07F1">
        <w:rPr>
          <w:b/>
          <w:bCs/>
          <w:lang w:val="ru-RU"/>
        </w:rPr>
        <w:t>.</w:t>
      </w:r>
      <w:r w:rsidRPr="00794712">
        <w:rPr>
          <w:lang w:val="ru-RU"/>
        </w:rPr>
        <w:t xml:space="preserve"> 至圣的主耶稣之母，在祂降生之后也永远保持着童贞。圣父们和教会的导师们从以下经文中找到了这一真理的依据：</w:t>
      </w:r>
    </w:p>
    <w:p w14:paraId="08D5FAEB" w14:textId="77777777" w:rsidR="00D85B34" w:rsidRPr="00794712" w:rsidRDefault="00F45CFB" w:rsidP="00D85B34">
      <w:pPr>
        <w:ind w:firstLine="708"/>
        <w:rPr>
          <w:lang w:val="ru-RU"/>
        </w:rPr>
      </w:pPr>
      <w:r w:rsidRPr="00F45CFB">
        <w:rPr>
          <w:b/>
          <w:lang w:val="ru-RU"/>
        </w:rPr>
        <w:t xml:space="preserve">1) </w:t>
      </w:r>
      <w:r w:rsidR="00D85B34" w:rsidRPr="00794712">
        <w:rPr>
          <w:lang w:val="ru-RU"/>
        </w:rPr>
        <w:t>在先知以西结关于圣殿东门的言语中——这是上帝在异象中向他显明的：</w:t>
      </w:r>
      <w:r w:rsidR="00D85B34" w:rsidRPr="0080450B">
        <w:rPr>
          <w:i/>
          <w:iCs/>
          <w:lang w:val="ru-RU"/>
        </w:rPr>
        <w:t>“他便带我回到圣所的外门，那门朝东，门是关着的。 主对我说：‘这门必关闭，不得开启，无人可由此进入；因为以色列的上帝——主已经由此进入，这门必关闭。’”</w:t>
      </w:r>
      <w:r w:rsidR="00D85B34" w:rsidRPr="00794712">
        <w:rPr>
          <w:lang w:val="ru-RU"/>
        </w:rPr>
        <w:t>（《以西结书》44</w:t>
      </w:r>
      <w:r w:rsidR="00D85B34" w:rsidRPr="0080450B">
        <w:rPr>
          <w:lang w:val="ru-RU"/>
        </w:rPr>
        <w:t>:1-2</w:t>
      </w:r>
      <w:r w:rsidR="00D85B34" w:rsidRPr="00794712">
        <w:rPr>
          <w:lang w:val="ru-RU"/>
        </w:rPr>
        <w:t>）。 从奥秘的意义上说，根据教父们的见解，这扇门象征着无玷圣母玛利亚，她始终被封闭着，即永远保持着纯洁且未受玷污的童贞，不仅在救主降生之前和降生之时，而且在降生之后也是如此——唯有祂， 我们的主上帝，借着</w:t>
      </w:r>
      <w:r w:rsidR="00D85B34">
        <w:rPr>
          <w:lang w:val="ru-RU"/>
        </w:rPr>
        <w:t>她</w:t>
      </w:r>
      <w:r w:rsidR="00D85B34" w:rsidRPr="00794712">
        <w:rPr>
          <w:lang w:val="ru-RU"/>
        </w:rPr>
        <w:t>进入这</w:t>
      </w:r>
      <w:r w:rsidR="00D85B34">
        <w:rPr>
          <w:lang w:val="ru-RU"/>
        </w:rPr>
        <w:t>世界</w:t>
      </w:r>
      <w:r w:rsidR="00D85B34" w:rsidRPr="00794712">
        <w:rPr>
          <w:lang w:val="ru-RU"/>
        </w:rPr>
        <w:t>，此后再无人进入。</w:t>
      </w:r>
      <w:r w:rsidR="006658FF">
        <w:rPr>
          <w:rStyle w:val="FootnoteReference"/>
          <w:lang w:val="ru-RU"/>
        </w:rPr>
        <w:footnoteReference w:id="166"/>
      </w:r>
    </w:p>
    <w:p w14:paraId="1407CC83" w14:textId="77777777" w:rsidR="00D85B34" w:rsidRPr="00794712" w:rsidRDefault="00F45CFB" w:rsidP="00D85B34">
      <w:pPr>
        <w:ind w:firstLine="708"/>
        <w:rPr>
          <w:lang w:val="ru-RU"/>
        </w:rPr>
      </w:pPr>
      <w:r w:rsidRPr="00F45CFB">
        <w:rPr>
          <w:b/>
          <w:lang w:val="ru-RU"/>
        </w:rPr>
        <w:t>2)</w:t>
      </w:r>
      <w:r w:rsidR="00D85B34" w:rsidRPr="00794712">
        <w:rPr>
          <w:lang w:val="ru-RU"/>
        </w:rPr>
        <w:t xml:space="preserve"> 至圣童贞女对报喜天使所说的话更清楚地表明了这一点：</w:t>
      </w:r>
      <w:r w:rsidR="00D85B34" w:rsidRPr="0080450B">
        <w:rPr>
          <w:i/>
          <w:iCs/>
          <w:lang w:val="ru-RU"/>
        </w:rPr>
        <w:t>“我尚未出嫁，这事怎能成就呢？</w:t>
      </w:r>
      <w:r w:rsidR="008A3626">
        <w:rPr>
          <w:lang w:val="ru-RU"/>
        </w:rPr>
        <w:t>”（路加福音</w:t>
      </w:r>
      <w:r w:rsidR="00D85B34" w:rsidRPr="00794712">
        <w:rPr>
          <w:lang w:val="ru-RU"/>
        </w:rPr>
        <w:t>1</w:t>
      </w:r>
      <w:r w:rsidR="00D85B34" w:rsidRPr="009F21DC">
        <w:rPr>
          <w:lang w:val="ru-RU"/>
        </w:rPr>
        <w:t>:</w:t>
      </w:r>
      <w:r w:rsidR="00D85B34" w:rsidRPr="00794712">
        <w:rPr>
          <w:lang w:val="ru-RU"/>
        </w:rPr>
        <w:t>34）。 必须记住，至圣童贞女提出这一问题时，她已经与约瑟订了婚。倘若她在订婚之前尚未向天主许下永远保持童贞的誓言，倘若她与约瑟订婚的目的并非仅为了让他成为</w:t>
      </w:r>
      <w:r w:rsidR="00D85B34" w:rsidRPr="00AA0891">
        <w:t>她</w:t>
      </w:r>
      <w:r w:rsidR="00D85B34" w:rsidRPr="00794712">
        <w:rPr>
          <w:lang w:val="ru-RU"/>
        </w:rPr>
        <w:t>童贞的守护者，那么她</w:t>
      </w:r>
      <w:r w:rsidR="00D85B34" w:rsidRPr="00AA0891">
        <w:t>这</w:t>
      </w:r>
      <w:r w:rsidR="00D85B34" w:rsidRPr="00794712">
        <w:rPr>
          <w:lang w:val="ru-RU"/>
        </w:rPr>
        <w:t xml:space="preserve">番话又该作何解释呢？ </w:t>
      </w:r>
      <w:r w:rsidR="00D85B34" w:rsidRPr="00794712">
        <w:rPr>
          <w:lang w:val="ru-RU"/>
        </w:rPr>
        <w:lastRenderedPageBreak/>
        <w:t>否则，既然她已与约瑟订婚，视其为未来的丈夫，她就不可能说：“我不知道有谁是我的丈夫。” 而如果毫无疑问，至圣童贞女曾在上帝面前立下永远保持童贞的誓言：那么，她就不可能不永远遵守自己的誓言，尤其是在她蒙恩成为上帝之子的母亲之后。</w:t>
      </w:r>
      <w:r w:rsidR="00AC3C39">
        <w:rPr>
          <w:rStyle w:val="FootnoteReference"/>
          <w:lang w:val="ru-RU"/>
        </w:rPr>
        <w:footnoteReference w:id="167"/>
      </w:r>
    </w:p>
    <w:p w14:paraId="0A3D677A" w14:textId="77777777" w:rsidR="00D85B34" w:rsidRPr="00794712" w:rsidRDefault="00F45CFB" w:rsidP="00D85B34">
      <w:pPr>
        <w:ind w:firstLine="708"/>
        <w:rPr>
          <w:lang w:val="ru-RU"/>
        </w:rPr>
      </w:pPr>
      <w:r w:rsidRPr="00F45CFB">
        <w:rPr>
          <w:b/>
          <w:lang w:val="ru-RU"/>
        </w:rPr>
        <w:t>3)</w:t>
      </w:r>
      <w:r w:rsidR="00D85B34" w:rsidRPr="00794712">
        <w:rPr>
          <w:lang w:val="ru-RU"/>
        </w:rPr>
        <w:t xml:space="preserve"> 神圣的传统确实证实，无玷圣母一直坚守贞洁誓言直至终生。 基于这一传统，圣教会自使徒时代起，便一直在其信经中宣认她是童贞女；教会中的所有地方牧者及全体信徒也始终如此宣认，以至于据圣埃皮法尼乌斯所言，“童贞女”这一称谓几乎成了玛利亚的专有名词。</w:t>
      </w:r>
      <w:r w:rsidR="00AC3C39">
        <w:rPr>
          <w:rStyle w:val="FootnoteReference"/>
          <w:lang w:val="ru-RU"/>
        </w:rPr>
        <w:footnoteReference w:id="168"/>
      </w:r>
      <w:r w:rsidR="00D85B34" w:rsidRPr="00794712">
        <w:rPr>
          <w:lang w:val="ru-RU"/>
        </w:rPr>
        <w:t xml:space="preserve"> 基于这一传统，人们经常称她为“永贞女”（</w:t>
      </w:r>
      <w:r w:rsidR="00D85B34" w:rsidRPr="00AA0891">
        <w:t>άειπαρθένος</w:t>
      </w:r>
      <w:r w:rsidR="00D85B34" w:rsidRPr="00794712">
        <w:rPr>
          <w:lang w:val="ru-RU"/>
        </w:rPr>
        <w:t xml:space="preserve">, </w:t>
      </w:r>
      <w:r w:rsidR="00D85B34" w:rsidRPr="00AA0891">
        <w:t>semper</w:t>
      </w:r>
      <w:r w:rsidR="00D85B34" w:rsidRPr="0097554A">
        <w:rPr>
          <w:lang w:val="ru-RU"/>
        </w:rPr>
        <w:t xml:space="preserve"> </w:t>
      </w:r>
      <w:r w:rsidR="00D85B34" w:rsidRPr="00AA0891">
        <w:t>virgo</w:t>
      </w:r>
      <w:r w:rsidR="00D85B34" w:rsidRPr="00794712">
        <w:rPr>
          <w:lang w:val="ru-RU"/>
        </w:rPr>
        <w:t>）、“永童女”（</w:t>
      </w:r>
      <w:r w:rsidR="00D85B34" w:rsidRPr="00AA0891">
        <w:t>άείπαις</w:t>
      </w:r>
      <w:r w:rsidR="00D85B34" w:rsidRPr="00794712">
        <w:rPr>
          <w:lang w:val="ru-RU"/>
        </w:rPr>
        <w:t>），正如以下著作中所示：圣希波吕托斯、</w:t>
      </w:r>
      <w:r w:rsidR="00AC3C39">
        <w:rPr>
          <w:rStyle w:val="FootnoteReference"/>
          <w:lang w:val="ru-RU"/>
        </w:rPr>
        <w:footnoteReference w:id="169"/>
      </w:r>
      <w:r w:rsidR="00D85B34" w:rsidRPr="00794712">
        <w:rPr>
          <w:lang w:val="ru-RU"/>
        </w:rPr>
        <w:t xml:space="preserve"> 大阿法纳西乌斯、圣埃皮法尼乌斯、凯撒利亚等人的著作；</w:t>
      </w:r>
      <w:r w:rsidR="00AC3C39">
        <w:rPr>
          <w:rStyle w:val="FootnoteReference"/>
          <w:lang w:val="ru-RU"/>
        </w:rPr>
        <w:footnoteReference w:id="170"/>
      </w:r>
      <w:r w:rsidR="00D85B34" w:rsidRPr="00794712">
        <w:rPr>
          <w:lang w:val="ru-RU"/>
        </w:rPr>
        <w:t xml:space="preserve"> 正如普世大公会议本身的规则和决议所示。 正如第五次大公会议的第二项决议所载： “若有人不承认圣言上帝的两次降生——第一次是永恒的、超乎时间、无形体地由圣父所生；第二次是末世时同一位圣言上帝从天降下，由圣洁、荣耀的圣母玛利亚——永贞童女——成肉身降生：此人当受绝罚。</w:t>
      </w:r>
      <w:r w:rsidR="00D85B34">
        <w:rPr>
          <w:lang w:val="ru-RU"/>
        </w:rPr>
        <w:t>”</w:t>
      </w:r>
      <w:r w:rsidR="00AC3C39">
        <w:rPr>
          <w:rStyle w:val="FootnoteReference"/>
          <w:lang w:val="ru-RU"/>
        </w:rPr>
        <w:footnoteReference w:id="171"/>
      </w:r>
      <w:r w:rsidR="00D85B34" w:rsidRPr="00794712">
        <w:rPr>
          <w:lang w:val="ru-RU"/>
        </w:rPr>
        <w:t xml:space="preserve"> 而在第六次大公会议的第一条规则中，除其他内容外，还规定如下：“我们一致确认并铭刻（在以弗所</w:t>
      </w:r>
      <w:r w:rsidR="00A95A76" w:rsidRPr="004F07F1">
        <w:rPr>
          <w:lang w:val="ru-RU"/>
        </w:rPr>
        <w:t>大公会议上）</w:t>
      </w:r>
      <w:r w:rsidR="00D85B34" w:rsidRPr="00794712">
        <w:rPr>
          <w:lang w:val="ru-RU"/>
        </w:rPr>
        <w:t>由两百位敬神之父所阐述的教义，将其作为虔诚不可动摇的基石， 宣讲独一的基督——上帝之子及道成肉身者，并承认无瑕的永贞童女——她以无籽之身诞下基督——确切且真实地为圣母</w:t>
      </w:r>
      <w:r w:rsidR="00D85B34">
        <w:rPr>
          <w:lang w:val="ru-RU"/>
        </w:rPr>
        <w:t>。”</w:t>
      </w:r>
      <w:r w:rsidR="00091CD5">
        <w:rPr>
          <w:rStyle w:val="FootnoteReference"/>
          <w:lang w:val="ru-RU"/>
        </w:rPr>
        <w:footnoteReference w:id="172"/>
      </w:r>
    </w:p>
    <w:p w14:paraId="70B77B66" w14:textId="77777777" w:rsidR="00D85B34" w:rsidRPr="00794712" w:rsidRDefault="00F45CFB" w:rsidP="00D85B34">
      <w:pPr>
        <w:ind w:firstLine="708"/>
        <w:rPr>
          <w:lang w:val="ru-RU"/>
        </w:rPr>
      </w:pPr>
      <w:r w:rsidRPr="00F45CFB">
        <w:rPr>
          <w:b/>
          <w:lang w:val="ru-RU"/>
        </w:rPr>
        <w:t>4)</w:t>
      </w:r>
      <w:r w:rsidR="00D85B34" w:rsidRPr="00794712">
        <w:rPr>
          <w:lang w:val="ru-RU"/>
        </w:rPr>
        <w:t xml:space="preserve"> 此外，教会对圣母永贞之信，主要是在异端分子出现之际得以彰显。这些异端分子竟胆敢宣称，至圣童贞女在生下救主之后，还曾与约瑟夫生下 及其他子女。</w:t>
      </w:r>
      <w:r w:rsidR="00091CD5">
        <w:rPr>
          <w:rStyle w:val="FootnoteReference"/>
          <w:lang w:val="ru-RU"/>
        </w:rPr>
        <w:footnoteReference w:id="173"/>
      </w:r>
      <w:r w:rsidR="00D85B34" w:rsidRPr="00794712">
        <w:rPr>
          <w:lang w:val="ru-RU"/>
        </w:rPr>
        <w:t xml:space="preserve"> </w:t>
      </w:r>
      <w:r w:rsidR="00D85B34" w:rsidRPr="00794712">
        <w:rPr>
          <w:lang w:val="ru-RU"/>
        </w:rPr>
        <w:lastRenderedPageBreak/>
        <w:t>这种教义一经出现，教会的牧者们便将其斥为疯狂，</w:t>
      </w:r>
      <w:r w:rsidR="00091CD5">
        <w:rPr>
          <w:rStyle w:val="FootnoteReference"/>
          <w:lang w:val="ru-RU"/>
        </w:rPr>
        <w:footnoteReference w:id="174"/>
      </w:r>
      <w:r w:rsidR="00D85B34" w:rsidRPr="00794712">
        <w:rPr>
          <w:lang w:val="ru-RU"/>
        </w:rPr>
        <w:t xml:space="preserve"> 亵渎，</w:t>
      </w:r>
      <w:r w:rsidR="00091CD5">
        <w:rPr>
          <w:rStyle w:val="FootnoteReference"/>
          <w:lang w:val="ru-RU"/>
        </w:rPr>
        <w:footnoteReference w:id="175"/>
      </w:r>
      <w:r w:rsidR="00D85B34" w:rsidRPr="00794712">
        <w:rPr>
          <w:lang w:val="ru-RU"/>
        </w:rPr>
        <w:t xml:space="preserve"> 诽谤神明，</w:t>
      </w:r>
      <w:r w:rsidR="00091CD5">
        <w:rPr>
          <w:rStyle w:val="FootnoteReference"/>
          <w:lang w:val="ru-RU"/>
        </w:rPr>
        <w:footnoteReference w:id="176"/>
      </w:r>
      <w:r w:rsidR="00D85B34" w:rsidRPr="00794712">
        <w:rPr>
          <w:lang w:val="ru-RU"/>
        </w:rPr>
        <w:t xml:space="preserve"> 异端，</w:t>
      </w:r>
      <w:r w:rsidR="00091CD5">
        <w:rPr>
          <w:rStyle w:val="FootnoteReference"/>
          <w:lang w:val="ru-RU"/>
        </w:rPr>
        <w:footnoteReference w:id="177"/>
      </w:r>
      <w:r w:rsidR="00D85B34" w:rsidRPr="00794712">
        <w:rPr>
          <w:lang w:val="ru-RU"/>
        </w:rPr>
        <w:t xml:space="preserve"> 并多次在地方主教会议上予以庄严谴责。</w:t>
      </w:r>
      <w:r w:rsidR="00091CD5">
        <w:rPr>
          <w:rStyle w:val="FootnoteReference"/>
          <w:lang w:val="ru-RU"/>
        </w:rPr>
        <w:footnoteReference w:id="178"/>
      </w:r>
      <w:r w:rsidR="00D85B34" w:rsidRPr="00794712">
        <w:rPr>
          <w:lang w:val="ru-RU"/>
        </w:rPr>
        <w:t xml:space="preserve"> 为反驳他的观点，人们除其他外还指出：</w:t>
      </w:r>
      <w:r w:rsidR="00A95A76" w:rsidRPr="00A95A76">
        <w:rPr>
          <w:b/>
          <w:lang w:val="ru-RU"/>
        </w:rPr>
        <w:t>a)</w:t>
      </w:r>
      <w:r w:rsidR="00D85B34" w:rsidRPr="00794712">
        <w:rPr>
          <w:lang w:val="ru-RU"/>
        </w:rPr>
        <w:t xml:space="preserve"> 上帝之子绝不可能选择一位以超自然方式、未经婚配生下祂，随后却又企图破坏自己贞洁的女子作为自己的母亲</w:t>
      </w:r>
      <w:r w:rsidR="00A95A76" w:rsidRPr="00A95A76">
        <w:rPr>
          <w:b/>
          <w:lang w:val="ru-RU"/>
        </w:rPr>
        <w:t>；</w:t>
      </w:r>
      <w:r w:rsidR="00091CD5">
        <w:rPr>
          <w:rStyle w:val="FootnoteReference"/>
          <w:lang w:val="ru-RU"/>
        </w:rPr>
        <w:footnoteReference w:id="179"/>
      </w:r>
      <w:r w:rsidR="00A95A76" w:rsidRPr="00A95A76">
        <w:rPr>
          <w:b/>
          <w:lang w:val="ru-RU"/>
        </w:rPr>
        <w:t xml:space="preserve"> b) </w:t>
      </w:r>
      <w:r w:rsidR="00D85B34">
        <w:rPr>
          <w:lang w:val="ru-RU"/>
        </w:rPr>
        <w:t>“</w:t>
      </w:r>
      <w:r w:rsidR="00D85B34" w:rsidRPr="00794712">
        <w:rPr>
          <w:lang w:val="ru-RU"/>
        </w:rPr>
        <w:t>生下上帝并亲身经历过随后发生的奇迹的人，不可能决心与丈夫发生关系</w:t>
      </w:r>
      <w:r w:rsidR="00D85B34">
        <w:rPr>
          <w:lang w:val="ru-RU"/>
        </w:rPr>
        <w:t>”</w:t>
      </w:r>
      <w:r w:rsidR="00D85B34" w:rsidRPr="001F4F23">
        <w:rPr>
          <w:lang w:val="ru-RU"/>
        </w:rPr>
        <w:t>；</w:t>
      </w:r>
      <w:r w:rsidR="00091CD5">
        <w:rPr>
          <w:rStyle w:val="FootnoteReference"/>
          <w:lang w:val="ru-RU"/>
        </w:rPr>
        <w:footnoteReference w:id="180"/>
      </w:r>
      <w:r w:rsidR="00A95A76" w:rsidRPr="00A95A76">
        <w:rPr>
          <w:b/>
          <w:lang w:val="ru-RU"/>
        </w:rPr>
        <w:t xml:space="preserve"> c)</w:t>
      </w:r>
      <w:r w:rsidR="00D85B34" w:rsidRPr="00794712">
        <w:rPr>
          <w:lang w:val="ru-RU"/>
        </w:rPr>
        <w:t xml:space="preserve"> 对于义人约瑟</w:t>
      </w:r>
      <w:r w:rsidR="000A57C3">
        <w:rPr>
          <w:lang w:val="ru-RU"/>
        </w:rPr>
        <w:t>（</w:t>
      </w:r>
      <w:r w:rsidR="00D85B34" w:rsidRPr="00794712">
        <w:rPr>
          <w:lang w:val="ru-RU"/>
        </w:rPr>
        <w:t>太1</w:t>
      </w:r>
      <w:r w:rsidR="00D85B34" w:rsidRPr="001F4F23">
        <w:rPr>
          <w:lang w:val="ru-RU"/>
        </w:rPr>
        <w:t>:</w:t>
      </w:r>
      <w:r w:rsidR="00D85B34" w:rsidRPr="00794712">
        <w:rPr>
          <w:lang w:val="ru-RU"/>
        </w:rPr>
        <w:t>19）而言，这也是不可能的，尤其是在他有幸成为世界救主——由他所许配的无瑕圣母——以超自然方式诞生的奥秘守护者和见证人之后；</w:t>
      </w:r>
      <w:r w:rsidR="00091CD5">
        <w:rPr>
          <w:rStyle w:val="FootnoteReference"/>
          <w:lang w:val="ru-RU"/>
        </w:rPr>
        <w:footnoteReference w:id="181"/>
      </w:r>
      <w:r w:rsidR="00A95A76" w:rsidRPr="00A95A76">
        <w:rPr>
          <w:b/>
          <w:lang w:val="ru-RU"/>
        </w:rPr>
        <w:t xml:space="preserve"> d)</w:t>
      </w:r>
      <w:r w:rsidR="00D85B34" w:rsidRPr="00794712">
        <w:rPr>
          <w:lang w:val="ru-RU"/>
        </w:rPr>
        <w:t xml:space="preserve"> 正因如此，救主在十字架上临终时，才将她托付给其中一位门徒，对他说：</w:t>
      </w:r>
      <w:r w:rsidR="00D85B34" w:rsidRPr="001F4F23">
        <w:rPr>
          <w:i/>
          <w:iCs/>
          <w:lang w:val="ru-RU"/>
        </w:rPr>
        <w:t>“看哪</w:t>
      </w:r>
      <w:r w:rsidR="00D85B34" w:rsidRPr="00794712">
        <w:rPr>
          <w:lang w:val="ru-RU"/>
        </w:rPr>
        <w:t>，</w:t>
      </w:r>
      <w:r w:rsidR="00D85B34" w:rsidRPr="001F4F23">
        <w:rPr>
          <w:i/>
          <w:iCs/>
          <w:lang w:val="ru-RU"/>
        </w:rPr>
        <w:t>你的母亲</w:t>
      </w:r>
      <w:r w:rsidR="00D85B34" w:rsidRPr="00794712">
        <w:rPr>
          <w:lang w:val="ru-RU"/>
        </w:rPr>
        <w:t>”，又对她说：</w:t>
      </w:r>
      <w:r w:rsidR="00D85B34" w:rsidRPr="001F4F23">
        <w:rPr>
          <w:i/>
          <w:iCs/>
          <w:lang w:val="ru-RU"/>
        </w:rPr>
        <w:t>“看哪，你的儿子</w:t>
      </w:r>
      <w:r w:rsidR="005864AB">
        <w:rPr>
          <w:lang w:val="ru-RU"/>
        </w:rPr>
        <w:t>”（约</w:t>
      </w:r>
      <w:r w:rsidR="00D85B34" w:rsidRPr="00794712">
        <w:rPr>
          <w:lang w:val="ru-RU"/>
        </w:rPr>
        <w:t>19</w:t>
      </w:r>
      <w:r w:rsidR="00D85B34" w:rsidRPr="001F4F23">
        <w:rPr>
          <w:lang w:val="ru-RU"/>
        </w:rPr>
        <w:t>:</w:t>
      </w:r>
      <w:r w:rsidR="00D85B34" w:rsidRPr="00794712">
        <w:rPr>
          <w:lang w:val="ru-RU"/>
        </w:rPr>
        <w:t>26-27）；如果她当时已有丈夫或其他亲生子女，他当然不会这样做。</w:t>
      </w:r>
      <w:r w:rsidR="007B5BB6">
        <w:rPr>
          <w:rStyle w:val="FootnoteReference"/>
          <w:lang w:val="ru-RU"/>
        </w:rPr>
        <w:footnoteReference w:id="182"/>
      </w:r>
      <w:r w:rsidR="00D85B34" w:rsidRPr="00794712">
        <w:rPr>
          <w:lang w:val="ru-RU"/>
        </w:rPr>
        <w:t xml:space="preserve"> 针对异端分子自以为在神的话语中找到的伪教义根基，东正教教义的捍卫者们说道：</w:t>
      </w:r>
    </w:p>
    <w:p w14:paraId="4A05EE37"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从福音书作者的记载来看：</w:t>
      </w:r>
      <w:r w:rsidRPr="00706C0C">
        <w:rPr>
          <w:i/>
          <w:iCs/>
          <w:lang w:val="ru-RU"/>
        </w:rPr>
        <w:t>“</w:t>
      </w:r>
      <w:r w:rsidRPr="001F4F23">
        <w:rPr>
          <w:i/>
          <w:iCs/>
          <w:lang w:val="ru-RU"/>
        </w:rPr>
        <w:t>在他们同居</w:t>
      </w:r>
      <w:r w:rsidRPr="00706C0C">
        <w:rPr>
          <w:i/>
          <w:iCs/>
          <w:lang w:val="ru-RU"/>
        </w:rPr>
        <w:t>之前”</w:t>
      </w:r>
      <w:r w:rsidR="000A57C3">
        <w:rPr>
          <w:lang w:val="ru-RU"/>
        </w:rPr>
        <w:t>（太</w:t>
      </w:r>
      <w:r w:rsidRPr="00794712">
        <w:rPr>
          <w:lang w:val="ru-RU"/>
        </w:rPr>
        <w:t>1</w:t>
      </w:r>
      <w:r w:rsidRPr="001F4F23">
        <w:rPr>
          <w:lang w:val="ru-RU"/>
        </w:rPr>
        <w:t>:</w:t>
      </w:r>
      <w:r w:rsidRPr="00794712">
        <w:rPr>
          <w:lang w:val="ru-RU"/>
        </w:rPr>
        <w:t>18），以及随后：</w:t>
      </w:r>
      <w:r w:rsidRPr="001F4F23">
        <w:rPr>
          <w:i/>
          <w:iCs/>
          <w:lang w:val="ru-RU"/>
        </w:rPr>
        <w:t>“他并没有和她同房。 [直到]她终于生了她的儿子”</w:t>
      </w:r>
      <w:r w:rsidR="000A57C3">
        <w:rPr>
          <w:lang w:val="ru-RU"/>
        </w:rPr>
        <w:t>（玛</w:t>
      </w:r>
      <w:r w:rsidRPr="00794712">
        <w:rPr>
          <w:lang w:val="ru-RU"/>
        </w:rPr>
        <w:t>1</w:t>
      </w:r>
      <w:r w:rsidRPr="001F4F23">
        <w:rPr>
          <w:lang w:val="ru-RU"/>
        </w:rPr>
        <w:t>:25</w:t>
      </w:r>
      <w:r w:rsidRPr="00794712">
        <w:rPr>
          <w:lang w:val="ru-RU"/>
        </w:rPr>
        <w:t>）——绝不能由此推断约瑟在随后的岁月里不再</w:t>
      </w:r>
      <w:r w:rsidRPr="00AA0891">
        <w:t>是</w:t>
      </w:r>
      <w:r w:rsidRPr="00794712">
        <w:rPr>
          <w:lang w:val="ru-RU"/>
        </w:rPr>
        <w:t>她贞洁的守护者。福音作者仅叙述了救主由至圣童贞女诞生之前的情况，而非之后的事。 不应如此</w:t>
      </w:r>
      <w:r>
        <w:rPr>
          <w:lang w:val="ru-RU"/>
        </w:rPr>
        <w:t>推断</w:t>
      </w:r>
      <w:r w:rsidRPr="00794712">
        <w:rPr>
          <w:lang w:val="ru-RU"/>
        </w:rPr>
        <w:t>——正如从万军之耶和华对犹太人所说的话：</w:t>
      </w:r>
      <w:r w:rsidRPr="00706C0C">
        <w:rPr>
          <w:i/>
          <w:iCs/>
          <w:lang w:val="ru-RU"/>
        </w:rPr>
        <w:t>“直到你们年老，我仍与你们同在”</w:t>
      </w:r>
      <w:r w:rsidRPr="00794712">
        <w:rPr>
          <w:lang w:val="ru-RU"/>
        </w:rPr>
        <w:t xml:space="preserve"> （赛46</w:t>
      </w:r>
      <w:r w:rsidR="007B5BB6" w:rsidRPr="007B5BB6">
        <w:rPr>
          <w:lang w:val="ru-RU"/>
        </w:rPr>
        <w:t>:</w:t>
      </w:r>
      <w:r w:rsidRPr="00794712">
        <w:rPr>
          <w:lang w:val="ru-RU"/>
        </w:rPr>
        <w:t>4），也不应推断祂之后便不再存在；正如《创世记》作者关于约柜的记载：</w:t>
      </w:r>
      <w:r w:rsidR="007B5BB6">
        <w:rPr>
          <w:lang w:val="ru-RU"/>
        </w:rPr>
        <w:t>乌鸦</w:t>
      </w:r>
      <w:r w:rsidRPr="00706C0C">
        <w:rPr>
          <w:i/>
          <w:iCs/>
          <w:lang w:val="ru-RU"/>
        </w:rPr>
        <w:t>“飞去飞回，直到地上的水干了”</w:t>
      </w:r>
      <w:r w:rsidRPr="00794712">
        <w:rPr>
          <w:lang w:val="ru-RU"/>
        </w:rPr>
        <w:t>（创8</w:t>
      </w:r>
      <w:r>
        <w:rPr>
          <w:lang w:val="ru-RU"/>
        </w:rPr>
        <w:t>:</w:t>
      </w:r>
      <w:r w:rsidRPr="00794712">
        <w:rPr>
          <w:lang w:val="ru-RU"/>
        </w:rPr>
        <w:t>7），也不应推断乌鸦之后又回来了。</w:t>
      </w:r>
      <w:r w:rsidR="007B5BB6">
        <w:rPr>
          <w:rStyle w:val="FootnoteReference"/>
          <w:lang w:val="ru-RU"/>
        </w:rPr>
        <w:footnoteReference w:id="183"/>
      </w:r>
    </w:p>
    <w:p w14:paraId="60909F0D"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从耶稣基督被称为至圣童贞女的长子这一称谓</w:t>
      </w:r>
      <w:r w:rsidR="00895748" w:rsidRPr="00895748">
        <w:rPr>
          <w:lang w:val="ru-RU"/>
        </w:rPr>
        <w:t>[</w:t>
      </w:r>
      <w:r w:rsidR="000A57C3">
        <w:rPr>
          <w:lang w:val="ru-RU"/>
        </w:rPr>
        <w:t>（太</w:t>
      </w:r>
      <w:r w:rsidRPr="00794712">
        <w:rPr>
          <w:lang w:val="ru-RU"/>
        </w:rPr>
        <w:t>1</w:t>
      </w:r>
      <w:r>
        <w:rPr>
          <w:lang w:val="ru-RU"/>
        </w:rPr>
        <w:t>:</w:t>
      </w:r>
      <w:r w:rsidRPr="00794712">
        <w:rPr>
          <w:lang w:val="ru-RU"/>
        </w:rPr>
        <w:t>25</w:t>
      </w:r>
      <w:r w:rsidR="00895748" w:rsidRPr="00895748">
        <w:rPr>
          <w:lang w:val="ru-RU"/>
        </w:rPr>
        <w:t>）</w:t>
      </w:r>
      <w:r w:rsidRPr="00794712">
        <w:rPr>
          <w:lang w:val="ru-RU"/>
        </w:rPr>
        <w:t>；</w:t>
      </w:r>
      <w:r w:rsidR="00895748" w:rsidRPr="00895748">
        <w:rPr>
          <w:lang w:val="ru-RU"/>
        </w:rPr>
        <w:t>（</w:t>
      </w:r>
      <w:r w:rsidR="0087297C">
        <w:rPr>
          <w:lang w:val="ru-RU"/>
        </w:rPr>
        <w:t>路</w:t>
      </w:r>
      <w:r w:rsidRPr="00794712">
        <w:rPr>
          <w:lang w:val="ru-RU"/>
        </w:rPr>
        <w:t>2</w:t>
      </w:r>
      <w:r>
        <w:rPr>
          <w:lang w:val="ru-RU"/>
        </w:rPr>
        <w:t>:</w:t>
      </w:r>
      <w:r w:rsidRPr="00794712">
        <w:rPr>
          <w:lang w:val="ru-RU"/>
        </w:rPr>
        <w:t>7）</w:t>
      </w:r>
      <w:r w:rsidR="00895748" w:rsidRPr="00895748">
        <w:rPr>
          <w:lang w:val="ru-RU"/>
        </w:rPr>
        <w:t>]</w:t>
      </w:r>
      <w:r w:rsidRPr="00794712">
        <w:rPr>
          <w:lang w:val="ru-RU"/>
        </w:rPr>
        <w:t xml:space="preserve">，同样不能推断出在他之后还有其他孩子由她所生： 在圣经中，“长子”一词不仅指那些之后还有其他子女出生的人，也指那些在他之前无人出生的情况；而且律法规定，必须在长子出生后不久，将其奉献给上帝，那时父母还无法知道他之后是否会有其他子女 </w:t>
      </w:r>
      <w:r w:rsidR="005F1E71" w:rsidRPr="005F1E71">
        <w:rPr>
          <w:lang w:val="ru-RU"/>
        </w:rPr>
        <w:t>[</w:t>
      </w:r>
      <w:r w:rsidRPr="00794712">
        <w:rPr>
          <w:lang w:val="ru-RU"/>
        </w:rPr>
        <w:t>(出埃及记 13</w:t>
      </w:r>
      <w:r w:rsidR="00895748" w:rsidRPr="005F1E71">
        <w:rPr>
          <w:lang w:val="ru-RU"/>
        </w:rPr>
        <w:t>:</w:t>
      </w:r>
      <w:r w:rsidRPr="00794712">
        <w:rPr>
          <w:lang w:val="ru-RU"/>
        </w:rPr>
        <w:t>34</w:t>
      </w:r>
      <w:r w:rsidR="005F1E71" w:rsidRPr="005F1E71">
        <w:rPr>
          <w:lang w:val="ru-RU"/>
        </w:rPr>
        <w:t>)</w:t>
      </w:r>
      <w:r w:rsidRPr="00794712">
        <w:rPr>
          <w:lang w:val="ru-RU"/>
        </w:rPr>
        <w:t xml:space="preserve">； </w:t>
      </w:r>
      <w:r w:rsidR="005F1E71" w:rsidRPr="005F1E71">
        <w:rPr>
          <w:lang w:val="ru-RU"/>
        </w:rPr>
        <w:t>（</w:t>
      </w:r>
      <w:r w:rsidRPr="00794712">
        <w:rPr>
          <w:lang w:val="ru-RU"/>
        </w:rPr>
        <w:t>利未记 28；</w:t>
      </w:r>
      <w:r w:rsidR="007B5BB6">
        <w:rPr>
          <w:lang w:val="ru-RU"/>
        </w:rPr>
        <w:t>民数记</w:t>
      </w:r>
      <w:r w:rsidRPr="00794712">
        <w:rPr>
          <w:lang w:val="ru-RU"/>
        </w:rPr>
        <w:t xml:space="preserve"> 8）</w:t>
      </w:r>
      <w:r w:rsidR="005F1E71" w:rsidRPr="005F1E71">
        <w:rPr>
          <w:lang w:val="ru-RU"/>
        </w:rPr>
        <w:t>]</w:t>
      </w:r>
      <w:r w:rsidRPr="00794712">
        <w:rPr>
          <w:lang w:val="ru-RU"/>
        </w:rPr>
        <w:t>。</w:t>
      </w:r>
      <w:r w:rsidR="007B5BB6">
        <w:rPr>
          <w:rStyle w:val="FootnoteReference"/>
          <w:lang w:val="ru-RU"/>
        </w:rPr>
        <w:footnoteReference w:id="184"/>
      </w:r>
    </w:p>
    <w:p w14:paraId="2732A538" w14:textId="77777777" w:rsidR="00D85B34" w:rsidRDefault="00D85B34" w:rsidP="00D85B34">
      <w:pPr>
        <w:rPr>
          <w:lang w:val="ru-RU"/>
        </w:rPr>
      </w:pPr>
      <w:r w:rsidRPr="00794712">
        <w:rPr>
          <w:lang w:val="ru-RU"/>
        </w:rPr>
        <w:tab/>
      </w:r>
      <w:r w:rsidR="00A95A76" w:rsidRPr="00A95A76">
        <w:rPr>
          <w:b/>
          <w:lang w:val="ru-RU"/>
        </w:rPr>
        <w:t>c)</w:t>
      </w:r>
      <w:r w:rsidRPr="00794712">
        <w:rPr>
          <w:lang w:val="ru-RU"/>
        </w:rPr>
        <w:t xml:space="preserve"> 即使圣经中提到了耶稣基督的弟兄和姐妹 </w:t>
      </w:r>
      <w:r w:rsidR="005F1E71" w:rsidRPr="005F1E71">
        <w:rPr>
          <w:lang w:val="ru-RU"/>
        </w:rPr>
        <w:t>[</w:t>
      </w:r>
      <w:r w:rsidR="000A57C3">
        <w:rPr>
          <w:lang w:val="ru-RU"/>
        </w:rPr>
        <w:t>(马太福音</w:t>
      </w:r>
      <w:r w:rsidRPr="00794712">
        <w:rPr>
          <w:lang w:val="ru-RU"/>
        </w:rPr>
        <w:t xml:space="preserve"> 12</w:t>
      </w:r>
      <w:r>
        <w:rPr>
          <w:lang w:val="ru-RU"/>
        </w:rPr>
        <w:t>:</w:t>
      </w:r>
      <w:r w:rsidRPr="00794712">
        <w:rPr>
          <w:lang w:val="ru-RU"/>
        </w:rPr>
        <w:t>46-48</w:t>
      </w:r>
      <w:r w:rsidR="005F1E71" w:rsidRPr="005F1E71">
        <w:rPr>
          <w:lang w:val="ru-RU"/>
        </w:rPr>
        <w:t>)</w:t>
      </w:r>
      <w:r w:rsidRPr="00794712">
        <w:rPr>
          <w:lang w:val="ru-RU"/>
        </w:rPr>
        <w:t>；</w:t>
      </w:r>
      <w:r w:rsidR="005F1E71" w:rsidRPr="005F1E71">
        <w:rPr>
          <w:lang w:val="ru-RU"/>
        </w:rPr>
        <w:t>(</w:t>
      </w:r>
      <w:r w:rsidRPr="00794712">
        <w:rPr>
          <w:lang w:val="ru-RU"/>
        </w:rPr>
        <w:t>马可福音 6</w:t>
      </w:r>
      <w:r>
        <w:rPr>
          <w:lang w:val="ru-RU"/>
        </w:rPr>
        <w:t>:</w:t>
      </w:r>
      <w:r w:rsidRPr="00794712">
        <w:rPr>
          <w:lang w:val="ru-RU"/>
        </w:rPr>
        <w:t>3</w:t>
      </w:r>
      <w:r w:rsidR="005F1E71" w:rsidRPr="005F1E71">
        <w:rPr>
          <w:lang w:val="ru-RU"/>
        </w:rPr>
        <w:t>)</w:t>
      </w:r>
      <w:r w:rsidRPr="00794712">
        <w:rPr>
          <w:lang w:val="ru-RU"/>
        </w:rPr>
        <w:t>；</w:t>
      </w:r>
      <w:r w:rsidR="005F1E71" w:rsidRPr="005F1E71">
        <w:rPr>
          <w:lang w:val="ru-RU"/>
        </w:rPr>
        <w:t>(</w:t>
      </w:r>
      <w:r w:rsidR="0087297C">
        <w:rPr>
          <w:lang w:val="ru-RU"/>
        </w:rPr>
        <w:t>约翰福音 2</w:t>
      </w:r>
      <w:r>
        <w:rPr>
          <w:lang w:val="ru-RU"/>
        </w:rPr>
        <w:t>:</w:t>
      </w:r>
      <w:r w:rsidRPr="00794712">
        <w:rPr>
          <w:lang w:val="ru-RU"/>
        </w:rPr>
        <w:t>17</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约</w:t>
      </w:r>
      <w:r w:rsidRPr="00794712">
        <w:rPr>
          <w:lang w:val="ru-RU"/>
        </w:rPr>
        <w:t>7</w:t>
      </w:r>
      <w:r>
        <w:rPr>
          <w:lang w:val="ru-RU"/>
        </w:rPr>
        <w:t>:</w:t>
      </w:r>
      <w:r w:rsidR="00F45CFB" w:rsidRPr="004F07F1">
        <w:rPr>
          <w:bCs/>
          <w:lang w:val="ru-RU"/>
        </w:rPr>
        <w:t>3）</w:t>
      </w:r>
      <w:r w:rsidR="005F1E71" w:rsidRPr="005F1E71">
        <w:rPr>
          <w:lang w:val="ru-RU"/>
        </w:rPr>
        <w:t>等]</w:t>
      </w:r>
      <w:r w:rsidRPr="00794712">
        <w:rPr>
          <w:lang w:val="ru-RU"/>
        </w:rPr>
        <w:t>：但这并不意味着他们就是至圣童贞玛利亚的子女。 因为在圣经中，“兄弟”一词有时仅指亲属关系，例如，亚伯拉罕和罗得被称为兄弟（创世记 13</w:t>
      </w:r>
      <w:r>
        <w:rPr>
          <w:lang w:val="ru-RU"/>
        </w:rPr>
        <w:t>:</w:t>
      </w:r>
      <w:r w:rsidRPr="00794712">
        <w:rPr>
          <w:lang w:val="ru-RU"/>
        </w:rPr>
        <w:t xml:space="preserve">8），而罗得实际上是亚伯拉罕的兄弟亚兰的儿子 </w:t>
      </w:r>
      <w:r w:rsidR="005F1E71" w:rsidRPr="005F1E71">
        <w:rPr>
          <w:lang w:val="ru-RU"/>
        </w:rPr>
        <w:t>[</w:t>
      </w:r>
      <w:r w:rsidRPr="00794712">
        <w:rPr>
          <w:lang w:val="ru-RU"/>
        </w:rPr>
        <w:t>参见</w:t>
      </w:r>
      <w:r w:rsidR="005F1E71" w:rsidRPr="005F1E71">
        <w:rPr>
          <w:lang w:val="ru-RU"/>
        </w:rPr>
        <w:t>（</w:t>
      </w:r>
      <w:r w:rsidRPr="00794712">
        <w:rPr>
          <w:lang w:val="ru-RU"/>
        </w:rPr>
        <w:t>创世记 12</w:t>
      </w:r>
      <w:r>
        <w:rPr>
          <w:lang w:val="ru-RU"/>
        </w:rPr>
        <w:t>:</w:t>
      </w:r>
      <w:r w:rsidRPr="00794712">
        <w:rPr>
          <w:lang w:val="ru-RU"/>
        </w:rPr>
        <w:t>4-5</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创世记</w:t>
      </w:r>
      <w:r w:rsidRPr="00794712">
        <w:rPr>
          <w:lang w:val="ru-RU"/>
        </w:rPr>
        <w:t>14</w:t>
      </w:r>
      <w:r>
        <w:rPr>
          <w:lang w:val="ru-RU"/>
        </w:rPr>
        <w:t>:</w:t>
      </w:r>
      <w:r w:rsidRPr="00794712">
        <w:rPr>
          <w:lang w:val="ru-RU"/>
        </w:rPr>
        <w:t>14-16）</w:t>
      </w:r>
      <w:r w:rsidR="005F1E71" w:rsidRPr="005F1E71">
        <w:rPr>
          <w:lang w:val="ru-RU"/>
        </w:rPr>
        <w:t>]</w:t>
      </w:r>
      <w:r w:rsidRPr="00794712">
        <w:rPr>
          <w:lang w:val="ru-RU"/>
        </w:rPr>
        <w:t>—</w:t>
      </w:r>
      <w:r w:rsidRPr="00794712">
        <w:rPr>
          <w:lang w:val="ru-RU"/>
        </w:rPr>
        <w:lastRenderedPageBreak/>
        <w:t>—雅各和拉班也被称为兄弟，尽管雅各是拉班的妹妹、以撒之妻利百加的儿子</w:t>
      </w:r>
      <w:r w:rsidR="005F1E71" w:rsidRPr="005F1E71">
        <w:rPr>
          <w:lang w:val="ru-RU"/>
        </w:rPr>
        <w:t>[</w:t>
      </w:r>
      <w:r w:rsidRPr="00794712">
        <w:rPr>
          <w:lang w:val="ru-RU"/>
        </w:rPr>
        <w:t>参见</w:t>
      </w:r>
      <w:r w:rsidR="005F1E71" w:rsidRPr="005F1E71">
        <w:rPr>
          <w:lang w:val="ru-RU"/>
        </w:rPr>
        <w:t>（</w:t>
      </w:r>
      <w:r w:rsidR="001B763B" w:rsidRPr="004F07F1">
        <w:rPr>
          <w:lang w:val="ru-RU"/>
        </w:rPr>
        <w:t>创世记28）</w:t>
      </w:r>
      <w:r w:rsidRPr="00794712">
        <w:rPr>
          <w:lang w:val="ru-RU"/>
        </w:rPr>
        <w:t>和</w:t>
      </w:r>
      <w:r w:rsidR="005F1E71" w:rsidRPr="005F1E71">
        <w:rPr>
          <w:lang w:val="ru-RU"/>
        </w:rPr>
        <w:t>（</w:t>
      </w:r>
      <w:r w:rsidRPr="00794712">
        <w:rPr>
          <w:lang w:val="ru-RU"/>
        </w:rPr>
        <w:t>创世记29</w:t>
      </w:r>
      <w:r w:rsidR="005F1E71" w:rsidRPr="005F1E71">
        <w:rPr>
          <w:lang w:val="ru-RU"/>
        </w:rPr>
        <w:t>）</w:t>
      </w:r>
      <w:r w:rsidRPr="00794712">
        <w:rPr>
          <w:lang w:val="ru-RU"/>
        </w:rPr>
        <w:t>与</w:t>
      </w:r>
      <w:r w:rsidR="005F1E71" w:rsidRPr="005F1E71">
        <w:rPr>
          <w:lang w:val="ru-RU"/>
        </w:rPr>
        <w:t>（</w:t>
      </w:r>
      <w:r w:rsidRPr="00794712">
        <w:rPr>
          <w:lang w:val="ru-RU"/>
        </w:rPr>
        <w:t>创世记36-37）</w:t>
      </w:r>
      <w:r w:rsidR="005F1E71" w:rsidRPr="005F1E71">
        <w:rPr>
          <w:lang w:val="ru-RU"/>
        </w:rPr>
        <w:t>]</w:t>
      </w:r>
      <w:r w:rsidRPr="00794712">
        <w:rPr>
          <w:lang w:val="ru-RU"/>
        </w:rPr>
        <w:t>。 同样地，也应 将“主的弟兄们”这一称谓理解为仅指近亲，而非同母所生的兄弟：他们是至圣童贞女玛利亚的假丈夫约瑟与他的第一任妻子所生的子女。</w:t>
      </w:r>
      <w:r w:rsidR="007B5BB6">
        <w:rPr>
          <w:rStyle w:val="FootnoteReference"/>
          <w:lang w:val="ru-RU"/>
        </w:rPr>
        <w:footnoteReference w:id="185"/>
      </w:r>
    </w:p>
    <w:p w14:paraId="5CF9139C" w14:textId="77777777" w:rsidR="00D85B34" w:rsidRPr="00794712" w:rsidRDefault="00D85B34" w:rsidP="00D85B34">
      <w:pPr>
        <w:rPr>
          <w:lang w:val="ru-RU"/>
        </w:rPr>
      </w:pPr>
    </w:p>
    <w:p w14:paraId="5A721F56" w14:textId="77777777" w:rsidR="00D85B34" w:rsidRPr="00794712" w:rsidRDefault="00D85B34" w:rsidP="007B240B">
      <w:pPr>
        <w:pStyle w:val="Heading5"/>
        <w:rPr>
          <w:lang w:val="ru-RU"/>
        </w:rPr>
      </w:pPr>
      <w:bookmarkStart w:id="140" w:name="_Toc133155566"/>
      <w:bookmarkStart w:id="141" w:name="_Toc180664579"/>
      <w:bookmarkStart w:id="142" w:name="_Toc180679200"/>
      <w:bookmarkStart w:id="143" w:name="_Toc180679257"/>
      <w:bookmarkStart w:id="144" w:name="_Toc180679780"/>
      <w:bookmarkStart w:id="145" w:name="_Toc238453663"/>
      <w:bookmarkStart w:id="146" w:name="_Toc238576479"/>
      <w:r w:rsidRPr="00794712">
        <w:rPr>
          <w:lang w:val="ru-RU"/>
        </w:rPr>
        <w:t>§136. 主耶稣是无罪之人</w:t>
      </w:r>
      <w:bookmarkEnd w:id="140"/>
      <w:bookmarkEnd w:id="141"/>
      <w:bookmarkEnd w:id="142"/>
      <w:bookmarkEnd w:id="143"/>
      <w:bookmarkEnd w:id="144"/>
      <w:bookmarkEnd w:id="145"/>
      <w:bookmarkEnd w:id="146"/>
    </w:p>
    <w:p w14:paraId="67291403" w14:textId="77777777" w:rsidR="00D85B34" w:rsidRPr="00794712" w:rsidRDefault="00D85B34" w:rsidP="00D85B34">
      <w:pPr>
        <w:ind w:firstLine="708"/>
        <w:rPr>
          <w:lang w:val="ru-RU"/>
        </w:rPr>
      </w:pPr>
      <w:r w:rsidRPr="00794712">
        <w:rPr>
          <w:lang w:val="ru-RU"/>
        </w:rPr>
        <w:t>基督救主不仅在人性上因由童贞女诞生的超自然方式而与我们不同，而且在人性上还完全不沾染任何罪（《正统信条》第1卷，对第38个问题的回答）。</w:t>
      </w:r>
    </w:p>
    <w:p w14:paraId="2DF194E7" w14:textId="77777777" w:rsidR="00D85B34" w:rsidRPr="00794712" w:rsidRDefault="00F45CFB" w:rsidP="00D85B34">
      <w:pPr>
        <w:ind w:firstLine="708"/>
        <w:rPr>
          <w:lang w:val="ru-RU"/>
        </w:rPr>
      </w:pPr>
      <w:r w:rsidRPr="00F45CFB">
        <w:rPr>
          <w:b/>
          <w:lang w:val="ru-RU"/>
        </w:rPr>
        <w:t>1)</w:t>
      </w:r>
      <w:r w:rsidR="00D85B34" w:rsidRPr="00794712">
        <w:rPr>
          <w:lang w:val="ru-RU"/>
        </w:rPr>
        <w:t xml:space="preserve"> 上帝的话语首先教导我们，主与原罪毫无瓜葛：</w:t>
      </w:r>
    </w:p>
    <w:p w14:paraId="27EA2548"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当记载天使向圣母报喜时所说的话：</w:t>
      </w:r>
      <w:r w:rsidRPr="005E5396">
        <w:rPr>
          <w:i/>
          <w:iCs/>
          <w:lang w:val="ru-RU"/>
        </w:rPr>
        <w:t>“圣灵要临到你，至高者的能力要荫庇你；因此，那要生的圣者将被称为神的儿子”</w:t>
      </w:r>
      <w:r w:rsidR="008A3626">
        <w:rPr>
          <w:lang w:val="ru-RU"/>
        </w:rPr>
        <w:t>（路加</w:t>
      </w:r>
      <w:r w:rsidRPr="00794712">
        <w:rPr>
          <w:lang w:val="ru-RU"/>
        </w:rPr>
        <w:t>福音1</w:t>
      </w:r>
      <w:r w:rsidRPr="005E5396">
        <w:rPr>
          <w:lang w:val="ru-RU"/>
        </w:rPr>
        <w:t>:</w:t>
      </w:r>
      <w:r w:rsidRPr="00794712">
        <w:rPr>
          <w:lang w:val="ru-RU"/>
        </w:rPr>
        <w:t>35）。 由此可见，虽然主耶稣是由童贞女——即人子——所怀，但这位童贞女，正如教会圣咏所言，其灵魂与身体皆已被圣灵预先洁净；</w:t>
      </w:r>
      <w:r w:rsidR="005F7536">
        <w:rPr>
          <w:rStyle w:val="FootnoteReference"/>
          <w:lang w:val="ru-RU"/>
        </w:rPr>
        <w:footnoteReference w:id="186"/>
      </w:r>
      <w:r w:rsidRPr="00794712">
        <w:rPr>
          <w:lang w:val="ru-RU"/>
        </w:rPr>
        <w:t xml:space="preserve"> 是借着同一位圣灵的大能与作为由童贞女受孕的，因此祂降生时是全然纯洁且圣洁的：这一思想被教会圣父们明确宣讲，例如：</w:t>
      </w:r>
    </w:p>
    <w:p w14:paraId="5CA4F9F2" w14:textId="77777777" w:rsidR="00D85B34" w:rsidRPr="00794712" w:rsidRDefault="00D85B34" w:rsidP="00D85B34">
      <w:pPr>
        <w:rPr>
          <w:lang w:val="ru-RU"/>
        </w:rPr>
      </w:pPr>
      <w:r w:rsidRPr="00794712">
        <w:rPr>
          <w:lang w:val="ru-RU"/>
        </w:rPr>
        <w:tab/>
        <w:t>耶路撒冷的圣西里尔：“正是这位圣灵降临在圣母玛利亚身上。因为当独生子基督即将降生之时，至高者的能力笼罩了她，圣灵降临在她身上，使她成圣，好让她能够接纳那位使万物得以存在的救主。 我无需多言，便足以让你明白，这一诞生是无瑕而纯洁的。</w:t>
      </w:r>
      <w:r>
        <w:rPr>
          <w:lang w:val="ru-RU"/>
        </w:rPr>
        <w:t>”</w:t>
      </w:r>
      <w:r w:rsidR="005F7536">
        <w:rPr>
          <w:rStyle w:val="FootnoteReference"/>
          <w:lang w:val="ru-RU"/>
        </w:rPr>
        <w:footnoteReference w:id="187"/>
      </w:r>
    </w:p>
    <w:p w14:paraId="40159AFF" w14:textId="77777777" w:rsidR="00D85B34" w:rsidRPr="00794712" w:rsidRDefault="00D85B34" w:rsidP="00D85B34">
      <w:pPr>
        <w:rPr>
          <w:lang w:val="ru-RU"/>
        </w:rPr>
      </w:pPr>
      <w:r w:rsidRPr="00794712">
        <w:rPr>
          <w:lang w:val="ru-RU"/>
        </w:rPr>
        <w:tab/>
        <w:t>圣格里高利·神学家：“尽管圣母怀胎，她的灵魂与身体已由圣灵预先洁净（因为既要尊崇降生，又要优先维护童贞）； 然而，降生者乃是上帝，且与祂所领受的（人性）</w:t>
      </w:r>
      <w:r>
        <w:rPr>
          <w:lang w:val="ru-RU"/>
        </w:rPr>
        <w:t>—</w:t>
      </w:r>
      <w:r w:rsidRPr="00794712">
        <w:rPr>
          <w:lang w:val="ru-RU"/>
        </w:rPr>
        <w:t>—即肉身与圣灵这两对立面</w:t>
      </w:r>
      <w:r>
        <w:rPr>
          <w:lang w:val="ru-RU"/>
        </w:rPr>
        <w:t>之一——</w:t>
      </w:r>
      <w:r w:rsidRPr="00794712">
        <w:rPr>
          <w:lang w:val="ru-RU"/>
        </w:rPr>
        <w:t>合而为一；其中一方被赋予了生命，另一方则被神化……这就是我对基督重生之说的阐释！这里没有任何可耻之处；因为唯有罪才是可耻的。 而在基督里，耻辱无处容身；因为祂（</w:t>
      </w:r>
      <w:r w:rsidR="00A95A76" w:rsidRPr="00111B0E">
        <w:rPr>
          <w:lang w:val="ru-RU"/>
        </w:rPr>
        <w:t>耶稣基督的人性）</w:t>
      </w:r>
      <w:r w:rsidRPr="00794712">
        <w:rPr>
          <w:lang w:val="ru-RU"/>
        </w:rPr>
        <w:t>是由道所创造的，并非源于人类的种子而成为人。但那位自造的人，是从圣灵预先洁净过的、至洁未婚的圣母的肉身中降生的，祂为了我的缘故接受了洁净。</w:t>
      </w:r>
      <w:r>
        <w:rPr>
          <w:lang w:val="ru-RU"/>
        </w:rPr>
        <w:t>”</w:t>
      </w:r>
      <w:r w:rsidR="00877064">
        <w:rPr>
          <w:rStyle w:val="FootnoteReference"/>
          <w:lang w:val="ru-RU"/>
        </w:rPr>
        <w:footnoteReference w:id="188"/>
      </w:r>
    </w:p>
    <w:p w14:paraId="17E7F990" w14:textId="77777777" w:rsidR="00D85B34" w:rsidRPr="00794712" w:rsidRDefault="00D85B34" w:rsidP="00D85B34">
      <w:pPr>
        <w:rPr>
          <w:lang w:val="ru-RU"/>
        </w:rPr>
      </w:pPr>
      <w:r w:rsidRPr="00794712">
        <w:rPr>
          <w:lang w:val="ru-RU"/>
        </w:rPr>
        <w:tab/>
        <w:t>圣以弗所·西里尔。“基督诞生于一种受污秽侵染、亟需藉着神的临在而得洁净的本性之中。正如闪电穿透万物，神也是如此。正如闪电照亮隐秘之处，基督也洁净那隐秘的本性。 祂先洁净了童贞女，随后才降生，以此表明：基督所在之处，纯洁便以全部力量显现。祂藉圣灵预备，洁净了童贞女；随后，子宫既已洁净，便怀了祂。祂在童贞女无瑕的状态下</w:t>
      </w:r>
      <w:r w:rsidRPr="00AA0891">
        <w:t>洁净了她</w:t>
      </w:r>
      <w:r w:rsidRPr="00794712">
        <w:rPr>
          <w:lang w:val="ru-RU"/>
        </w:rPr>
        <w:t>；正因如此，祂降生后，她仍保持童贞</w:t>
      </w:r>
      <w:r>
        <w:rPr>
          <w:lang w:val="ru-RU"/>
        </w:rPr>
        <w:t>。”</w:t>
      </w:r>
      <w:r w:rsidR="00877064">
        <w:rPr>
          <w:rStyle w:val="FootnoteReference"/>
          <w:lang w:val="ru-RU"/>
        </w:rPr>
        <w:footnoteReference w:id="189"/>
      </w:r>
    </w:p>
    <w:p w14:paraId="395DC362" w14:textId="77777777" w:rsidR="00D85B34" w:rsidRPr="00794712" w:rsidRDefault="00D85B34" w:rsidP="00D85B34">
      <w:pPr>
        <w:rPr>
          <w:lang w:val="ru-RU"/>
        </w:rPr>
      </w:pPr>
      <w:r w:rsidRPr="00794712">
        <w:rPr>
          <w:lang w:val="ru-RU"/>
        </w:rPr>
        <w:tab/>
        <w:t xml:space="preserve">圣约翰·达马斯库斯：“经圣母同意，圣灵遵照天使向她宣告的主的话，降临在她身上，洁净了她，并赐予她既能接纳道成肉身的神性，又能分娩的能力。随后，圣灵如同神圣的种子一般， </w:t>
      </w:r>
      <w:r w:rsidRPr="00794712">
        <w:rPr>
          <w:lang w:val="ru-RU"/>
        </w:rPr>
        <w:lastRenderedPageBreak/>
        <w:t>即与父同质、具有位格的至高上帝的智慧与能力——如神圣的种子一般笼罩在她身上，并从她至洁的童贞之血中，为自己形成了我们身体的开端，即那被具有言语和理性的灵魂所赋予生命的肉体；但这并非源于种子，而是由圣灵以创造的方式形成的</w:t>
      </w:r>
      <w:r>
        <w:rPr>
          <w:lang w:val="ru-RU"/>
        </w:rPr>
        <w:t>。”</w:t>
      </w:r>
      <w:r w:rsidR="00877064">
        <w:rPr>
          <w:rStyle w:val="FootnoteReference"/>
          <w:lang w:val="ru-RU"/>
        </w:rPr>
        <w:footnoteReference w:id="190"/>
      </w:r>
    </w:p>
    <w:p w14:paraId="5D1D57AC" w14:textId="77777777" w:rsidR="00D85B34" w:rsidRPr="005E5396" w:rsidRDefault="00D85B34" w:rsidP="00D85B34">
      <w:pPr>
        <w:rPr>
          <w:lang w:val="ru-RU"/>
        </w:rPr>
      </w:pPr>
      <w:r w:rsidRPr="00794712">
        <w:rPr>
          <w:lang w:val="ru-RU"/>
        </w:rPr>
        <w:tab/>
      </w:r>
      <w:r w:rsidR="00A95A76" w:rsidRPr="00A95A76">
        <w:rPr>
          <w:b/>
          <w:lang w:val="ru-RU"/>
        </w:rPr>
        <w:t xml:space="preserve">b) </w:t>
      </w:r>
      <w:r w:rsidRPr="00794712">
        <w:rPr>
          <w:lang w:val="ru-RU"/>
        </w:rPr>
        <w:t>当他见证说，上帝差遣祂的儿子只是取了罪身的样式（罗8</w:t>
      </w:r>
      <w:r w:rsidRPr="005E5396">
        <w:rPr>
          <w:lang w:val="ru-RU"/>
        </w:rPr>
        <w:t>:</w:t>
      </w:r>
      <w:r w:rsidRPr="00794712">
        <w:rPr>
          <w:lang w:val="ru-RU"/>
        </w:rPr>
        <w:t>3）时， 随后表达的观点是：神的儿子虽然取了肉身，其本质与所有被罪所奴役的人所拥有的肉身相似（ ），但并非他们出生、生活和死亡所处的罪恶之躯——祂所取的人性，却是纯洁无罪、未受败坏的</w:t>
      </w:r>
      <w:r w:rsidRPr="005E5396">
        <w:rPr>
          <w:lang w:val="ru-RU"/>
        </w:rPr>
        <w:t>。</w:t>
      </w:r>
      <w:r w:rsidR="00877064">
        <w:rPr>
          <w:rStyle w:val="FootnoteReference"/>
          <w:lang w:val="ru-RU"/>
        </w:rPr>
        <w:footnoteReference w:id="191"/>
      </w:r>
    </w:p>
    <w:p w14:paraId="49B94FDA"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其次，上帝的话语教导我们，主耶稣完全无任何个人罪愆。祂曾亲自质问祂的仇敌：</w:t>
      </w:r>
      <w:r w:rsidR="00D85B34" w:rsidRPr="005E5396">
        <w:rPr>
          <w:i/>
          <w:iCs/>
          <w:lang w:val="ru-RU"/>
        </w:rPr>
        <w:t>“你们中间谁能指证我有罪</w:t>
      </w:r>
      <w:r w:rsidR="00D85B34" w:rsidRPr="00794712">
        <w:rPr>
          <w:lang w:val="ru-RU"/>
        </w:rPr>
        <w:t>呢？</w:t>
      </w:r>
      <w:r w:rsidR="00D85B34" w:rsidRPr="005E5396">
        <w:rPr>
          <w:i/>
          <w:iCs/>
          <w:lang w:val="ru-RU"/>
        </w:rPr>
        <w:t>”</w:t>
      </w:r>
      <w:r w:rsidR="005864AB">
        <w:rPr>
          <w:lang w:val="ru-RU"/>
        </w:rPr>
        <w:t>（</w:t>
      </w:r>
      <w:r w:rsidR="00D85B34" w:rsidRPr="00794712">
        <w:rPr>
          <w:lang w:val="ru-RU"/>
        </w:rPr>
        <w:t>约8</w:t>
      </w:r>
      <w:r w:rsidR="00D85B34" w:rsidRPr="005E5396">
        <w:rPr>
          <w:lang w:val="ru-RU"/>
        </w:rPr>
        <w:t>:</w:t>
      </w:r>
      <w:r w:rsidR="00D85B34" w:rsidRPr="00794712">
        <w:rPr>
          <w:lang w:val="ru-RU"/>
        </w:rPr>
        <w:t>46）；并在受难前对门徒说：</w:t>
      </w:r>
      <w:r w:rsidR="00D85B34" w:rsidRPr="005E5396">
        <w:rPr>
          <w:i/>
          <w:iCs/>
          <w:lang w:val="ru-RU"/>
        </w:rPr>
        <w:t>“这世界的王将要来了，他在我里面一无所有”</w:t>
      </w:r>
      <w:r w:rsidR="00D85B34" w:rsidRPr="005E5396">
        <w:rPr>
          <w:lang w:val="ru-RU"/>
        </w:rPr>
        <w:t xml:space="preserve"> </w:t>
      </w:r>
      <w:r w:rsidR="005864AB">
        <w:rPr>
          <w:lang w:val="ru-RU"/>
        </w:rPr>
        <w:t>（</w:t>
      </w:r>
      <w:r w:rsidR="00D85B34" w:rsidRPr="00794712">
        <w:rPr>
          <w:lang w:val="ru-RU"/>
        </w:rPr>
        <w:t>约14</w:t>
      </w:r>
      <w:r w:rsidR="00D85B34" w:rsidRPr="0035528F">
        <w:rPr>
          <w:lang w:val="ru-RU"/>
        </w:rPr>
        <w:t>:</w:t>
      </w:r>
      <w:r w:rsidR="00D85B34" w:rsidRPr="00794712">
        <w:rPr>
          <w:lang w:val="ru-RU"/>
        </w:rPr>
        <w:t>30）。圣使徒们也一致见证：</w:t>
      </w:r>
      <w:r w:rsidR="00D85B34" w:rsidRPr="0035528F">
        <w:rPr>
          <w:i/>
          <w:iCs/>
          <w:lang w:val="ru-RU"/>
        </w:rPr>
        <w:t>“祂显现出来，是要除掉我们的罪，在祂里面没有罪”</w:t>
      </w:r>
      <w:r w:rsidR="008A3626">
        <w:rPr>
          <w:lang w:val="ru-RU"/>
        </w:rPr>
        <w:t>（</w:t>
      </w:r>
      <w:r w:rsidR="00D85B34" w:rsidRPr="00794712">
        <w:rPr>
          <w:lang w:val="ru-RU"/>
        </w:rPr>
        <w:t>约壹3</w:t>
      </w:r>
      <w:r w:rsidR="00D85B34" w:rsidRPr="0035528F">
        <w:rPr>
          <w:lang w:val="ru-RU"/>
        </w:rPr>
        <w:t>:</w:t>
      </w:r>
      <w:r w:rsidR="00D85B34" w:rsidRPr="00794712">
        <w:rPr>
          <w:lang w:val="ru-RU"/>
        </w:rPr>
        <w:t>5）；</w:t>
      </w:r>
      <w:r w:rsidR="00D85B34" w:rsidRPr="0035528F">
        <w:rPr>
          <w:i/>
          <w:iCs/>
          <w:lang w:val="ru-RU"/>
        </w:rPr>
        <w:t>“祂并没有犯过任何罪，祂口中也没有诡诈”</w:t>
      </w:r>
      <w:r w:rsidR="00D85B34" w:rsidRPr="00794712">
        <w:rPr>
          <w:lang w:val="ru-RU"/>
        </w:rPr>
        <w:t>（彼前2</w:t>
      </w:r>
      <w:r w:rsidR="00D85B34" w:rsidRPr="0035528F">
        <w:rPr>
          <w:lang w:val="ru-RU"/>
        </w:rPr>
        <w:t>:</w:t>
      </w:r>
      <w:r w:rsidR="00D85B34" w:rsidRPr="00794712">
        <w:rPr>
          <w:lang w:val="ru-RU"/>
        </w:rPr>
        <w:t xml:space="preserve">22）； </w:t>
      </w:r>
      <w:r w:rsidR="00D85B34" w:rsidRPr="0035528F">
        <w:rPr>
          <w:i/>
          <w:iCs/>
          <w:lang w:val="ru-RU"/>
        </w:rPr>
        <w:t>“那未曾认识罪的</w:t>
      </w:r>
      <w:r w:rsidR="00D85B34">
        <w:rPr>
          <w:i/>
          <w:iCs/>
          <w:lang w:val="ru-RU"/>
        </w:rPr>
        <w:t>，神</w:t>
      </w:r>
      <w:r w:rsidR="00D85B34" w:rsidRPr="0035528F">
        <w:rPr>
          <w:i/>
          <w:iCs/>
          <w:lang w:val="ru-RU"/>
        </w:rPr>
        <w:t>使祂为我们的罪作了赎罪祭，好叫我们在祂里面成为神面前的义人”</w:t>
      </w:r>
      <w:r w:rsidR="00D85B34" w:rsidRPr="00794712">
        <w:rPr>
          <w:lang w:val="ru-RU"/>
        </w:rPr>
        <w:t>（林后5</w:t>
      </w:r>
      <w:r w:rsidR="00D85B34" w:rsidRPr="0035528F">
        <w:rPr>
          <w:lang w:val="ru-RU"/>
        </w:rPr>
        <w:t>:</w:t>
      </w:r>
      <w:r w:rsidR="00D85B34" w:rsidRPr="00794712">
        <w:rPr>
          <w:lang w:val="ru-RU"/>
        </w:rPr>
        <w:t>21）；我们</w:t>
      </w:r>
      <w:r w:rsidR="00D85B34" w:rsidRPr="0035528F">
        <w:rPr>
          <w:i/>
          <w:iCs/>
          <w:lang w:val="ru-RU"/>
        </w:rPr>
        <w:t>是“用基督宝血</w:t>
      </w:r>
      <w:r w:rsidR="00D85B34" w:rsidRPr="00794712">
        <w:rPr>
          <w:lang w:val="ru-RU"/>
        </w:rPr>
        <w:t>所赎</w:t>
      </w:r>
      <w:r w:rsidR="00D85B34" w:rsidRPr="0035528F">
        <w:rPr>
          <w:i/>
          <w:iCs/>
          <w:lang w:val="ru-RU"/>
        </w:rPr>
        <w:t>的，祂是无瑕疵、无玷污的羔羊”</w:t>
      </w:r>
      <w:r w:rsidR="00D85B34" w:rsidRPr="00794712">
        <w:rPr>
          <w:lang w:val="ru-RU"/>
        </w:rPr>
        <w:t xml:space="preserve"> （</w:t>
      </w:r>
      <w:r w:rsidR="0087297C">
        <w:rPr>
          <w:lang w:val="ru-RU"/>
        </w:rPr>
        <w:t>彼得前书</w:t>
      </w:r>
      <w:r w:rsidR="00D85B34" w:rsidRPr="00794712">
        <w:rPr>
          <w:lang w:val="ru-RU"/>
        </w:rPr>
        <w:t xml:space="preserve"> 1</w:t>
      </w:r>
      <w:r w:rsidR="00D85B34">
        <w:rPr>
          <w:lang w:val="ru-RU"/>
        </w:rPr>
        <w:t>:</w:t>
      </w:r>
      <w:r w:rsidR="00D85B34" w:rsidRPr="0035528F">
        <w:rPr>
          <w:lang w:val="ru-RU"/>
        </w:rPr>
        <w:t>18-19</w:t>
      </w:r>
      <w:r w:rsidR="00D85B34" w:rsidRPr="00794712">
        <w:rPr>
          <w:lang w:val="ru-RU"/>
        </w:rPr>
        <w:t>）；或者说：</w:t>
      </w:r>
      <w:r w:rsidR="00D85B34" w:rsidRPr="0035528F">
        <w:rPr>
          <w:i/>
          <w:iCs/>
          <w:lang w:val="ru-RU"/>
        </w:rPr>
        <w:t>“我们的大祭司并非不能体恤我们的软弱，祂在各方面都受过试探，只是没有犯罪”</w:t>
      </w:r>
      <w:r w:rsidR="00D85B34" w:rsidRPr="00794712">
        <w:rPr>
          <w:lang w:val="ru-RU"/>
        </w:rPr>
        <w:t>（希伯来书 4</w:t>
      </w:r>
      <w:r w:rsidR="00D85B34" w:rsidRPr="0035528F">
        <w:rPr>
          <w:lang w:val="ru-RU"/>
        </w:rPr>
        <w:t>:15</w:t>
      </w:r>
      <w:r w:rsidR="00D85B34" w:rsidRPr="00794712">
        <w:rPr>
          <w:lang w:val="ru-RU"/>
        </w:rPr>
        <w:t xml:space="preserve">）； </w:t>
      </w:r>
      <w:r w:rsidR="00D85B34" w:rsidRPr="00312197">
        <w:rPr>
          <w:i/>
          <w:iCs/>
          <w:lang w:val="ru-RU"/>
        </w:rPr>
        <w:t>“我们的大祭司也当如此：他是圣洁的，没有邪恶，没有玷污，与罪人分别出来，高举在诸天之上”</w:t>
      </w:r>
      <w:r w:rsidR="00D85B34" w:rsidRPr="00794712">
        <w:rPr>
          <w:lang w:val="ru-RU"/>
        </w:rPr>
        <w:t>（希伯来书 7</w:t>
      </w:r>
      <w:r w:rsidR="00D85B34" w:rsidRPr="00312197">
        <w:rPr>
          <w:lang w:val="ru-RU"/>
        </w:rPr>
        <w:t>:</w:t>
      </w:r>
      <w:r w:rsidR="00D85B34" w:rsidRPr="00794712">
        <w:rPr>
          <w:lang w:val="ru-RU"/>
        </w:rPr>
        <w:t>26）；</w:t>
      </w:r>
      <w:r w:rsidR="00D85B34" w:rsidRPr="00D9193B">
        <w:rPr>
          <w:i/>
          <w:iCs/>
          <w:lang w:val="ru-RU"/>
        </w:rPr>
        <w:t>“我们有一位在父面前的代求者，就是那义者耶稣基督”</w:t>
      </w:r>
      <w:r w:rsidR="008A3626">
        <w:rPr>
          <w:lang w:val="ru-RU"/>
        </w:rPr>
        <w:t>（约翰一书</w:t>
      </w:r>
      <w:r w:rsidR="00D85B34" w:rsidRPr="00794712">
        <w:rPr>
          <w:lang w:val="ru-RU"/>
        </w:rPr>
        <w:t xml:space="preserve"> 2</w:t>
      </w:r>
      <w:r w:rsidR="00D85B34" w:rsidRPr="00D9193B">
        <w:rPr>
          <w:lang w:val="ru-RU"/>
        </w:rPr>
        <w:t>:</w:t>
      </w:r>
      <w:r w:rsidR="00D85B34" w:rsidRPr="00794712">
        <w:rPr>
          <w:lang w:val="ru-RU"/>
        </w:rPr>
        <w:t>1）。</w:t>
      </w:r>
    </w:p>
    <w:p w14:paraId="65394D63" w14:textId="77777777" w:rsidR="00D85B34" w:rsidRDefault="00F45CFB" w:rsidP="00D85B34">
      <w:pPr>
        <w:ind w:firstLine="708"/>
        <w:rPr>
          <w:lang w:val="ru-RU"/>
        </w:rPr>
      </w:pPr>
      <w:r w:rsidRPr="00F45CFB">
        <w:rPr>
          <w:b/>
          <w:lang w:val="ru-RU"/>
        </w:rPr>
        <w:t xml:space="preserve">3) </w:t>
      </w:r>
      <w:r w:rsidR="00D85B34" w:rsidRPr="00794712">
        <w:rPr>
          <w:lang w:val="ru-RU"/>
        </w:rPr>
        <w:t>遵循上帝之道如此清晰的教导，圣教会始终坚信：主耶稣在人性上与我们同质，除罪之外，在一切方面都与我们相似——正如哈利基顿大公会议的教父们在其信条中所阐述的，也正如此前所有牧者与教师们</w:t>
      </w:r>
      <w:r w:rsidR="00D85B34" w:rsidRPr="00AA0891">
        <w:t>所</w:t>
      </w:r>
      <w:r w:rsidR="00D85B34" w:rsidRPr="00794712">
        <w:rPr>
          <w:lang w:val="ru-RU"/>
        </w:rPr>
        <w:t>一致宣认的那样： 尤斯丁（Iustin），</w:t>
      </w:r>
      <w:r w:rsidR="008131AC">
        <w:rPr>
          <w:rStyle w:val="FootnoteReference"/>
          <w:lang w:val="ru-RU"/>
        </w:rPr>
        <w:footnoteReference w:id="192"/>
      </w:r>
      <w:r w:rsidR="00D85B34" w:rsidRPr="00794712">
        <w:rPr>
          <w:lang w:val="ru-RU"/>
        </w:rPr>
        <w:t xml:space="preserve"> 伊雷奈（Irenaeus），</w:t>
      </w:r>
      <w:r w:rsidR="008131AC">
        <w:rPr>
          <w:rStyle w:val="FootnoteReference"/>
          <w:lang w:val="ru-RU"/>
        </w:rPr>
        <w:footnoteReference w:id="193"/>
      </w:r>
      <w:r w:rsidR="00D85B34" w:rsidRPr="00794712">
        <w:rPr>
          <w:lang w:val="ru-RU"/>
        </w:rPr>
        <w:t xml:space="preserve"> 亚历山大的克利门特（Clement of Alexandria），</w:t>
      </w:r>
      <w:r w:rsidR="008131AC">
        <w:rPr>
          <w:rStyle w:val="FootnoteReference"/>
          <w:lang w:val="ru-RU"/>
        </w:rPr>
        <w:footnoteReference w:id="194"/>
      </w:r>
      <w:r w:rsidR="00D85B34" w:rsidRPr="00794712">
        <w:rPr>
          <w:lang w:val="ru-RU"/>
        </w:rPr>
        <w:t xml:space="preserve"> 希波吕托斯（Hippolytus），</w:t>
      </w:r>
      <w:r w:rsidR="008131AC">
        <w:rPr>
          <w:rStyle w:val="FootnoteReference"/>
          <w:lang w:val="ru-RU"/>
        </w:rPr>
        <w:footnoteReference w:id="195"/>
      </w:r>
      <w:r w:rsidR="00D85B34" w:rsidRPr="00794712">
        <w:rPr>
          <w:lang w:val="ru-RU"/>
        </w:rPr>
        <w:t xml:space="preserve"> 亚历山大的狄奥尼修斯（Dionysius of Alexandria），优西比乌（Eusebius），大亚他那修（Athanasius the Great），尼西比的雅各（James of Nyssa），金口约翰（John Chrysostom），尼西亚的格里高利（Gregory of Nyssa），</w:t>
      </w:r>
      <w:r w:rsidR="008131AC">
        <w:rPr>
          <w:rStyle w:val="FootnoteReference"/>
          <w:lang w:val="ru-RU"/>
        </w:rPr>
        <w:footnoteReference w:id="196"/>
      </w:r>
      <w:r w:rsidR="00D85B34" w:rsidRPr="00794712">
        <w:rPr>
          <w:lang w:val="ru-RU"/>
        </w:rPr>
        <w:t xml:space="preserve"> 奥古斯丁（Augustine）</w:t>
      </w:r>
      <w:r w:rsidR="008131AC">
        <w:rPr>
          <w:rStyle w:val="FootnoteReference"/>
          <w:lang w:val="ru-RU"/>
        </w:rPr>
        <w:footnoteReference w:id="197"/>
      </w:r>
      <w:r w:rsidR="00D85B34" w:rsidRPr="00794712">
        <w:rPr>
          <w:lang w:val="ru-RU"/>
        </w:rPr>
        <w:t xml:space="preserve"> 以及其他人。</w:t>
      </w:r>
      <w:r w:rsidR="008131AC">
        <w:rPr>
          <w:rStyle w:val="FootnoteReference"/>
          <w:lang w:val="ru-RU"/>
        </w:rPr>
        <w:footnoteReference w:id="198"/>
      </w:r>
      <w:r w:rsidR="00D85B34" w:rsidRPr="00794712">
        <w:rPr>
          <w:lang w:val="ru-RU"/>
        </w:rPr>
        <w:t xml:space="preserve"> 而教会自古以来对救主基督的无罪性，不仅理解为祂完全脱离了原罪和一切自愿的罪，更理解为祂甚至</w:t>
      </w:r>
      <w:r w:rsidR="00D85B34" w:rsidRPr="00794712">
        <w:rPr>
          <w:lang w:val="ru-RU"/>
        </w:rPr>
        <w:lastRenderedPageBreak/>
        <w:t>无法犯罪，</w:t>
      </w:r>
      <w:r w:rsidR="007D4DB2">
        <w:rPr>
          <w:rStyle w:val="FootnoteReference"/>
          <w:lang w:val="ru-RU"/>
        </w:rPr>
        <w:footnoteReference w:id="199"/>
      </w:r>
      <w:r w:rsidR="00D85B34" w:rsidRPr="00794712">
        <w:rPr>
          <w:lang w:val="ru-RU"/>
        </w:rPr>
        <w:t xml:space="preserve"> 即祂不受任何感官欲望或犯罪倾向的束缚，也免于一切内心的诱惑。</w:t>
      </w:r>
      <w:r w:rsidR="007D4DB2">
        <w:rPr>
          <w:rStyle w:val="FootnoteReference"/>
          <w:lang w:val="ru-RU"/>
        </w:rPr>
        <w:footnoteReference w:id="200"/>
      </w:r>
      <w:r w:rsidR="00D85B34" w:rsidRPr="00794712">
        <w:rPr>
          <w:lang w:val="ru-RU"/>
        </w:rPr>
        <w:t xml:space="preserve"> 因此，当莫普修斯的西奥多竟敢在某些论述中声称，主耶稣并未免于内心的诱惑和情欲的斗争时，</w:t>
      </w:r>
      <w:r w:rsidR="007D4DB2">
        <w:rPr>
          <w:rStyle w:val="FootnoteReference"/>
          <w:lang w:val="ru-RU"/>
        </w:rPr>
        <w:footnoteReference w:id="201"/>
      </w:r>
      <w:r w:rsidR="00D85B34" w:rsidRPr="00794712">
        <w:rPr>
          <w:lang w:val="ru-RU"/>
        </w:rPr>
        <w:t xml:space="preserve"> 第五次大公会议（公元553年）将这一谬论作为最重要的异端之一予以谴责。</w:t>
      </w:r>
      <w:r w:rsidR="007D4DB2">
        <w:rPr>
          <w:rStyle w:val="FootnoteReference"/>
          <w:lang w:val="ru-RU"/>
        </w:rPr>
        <w:footnoteReference w:id="202"/>
      </w:r>
      <w:r w:rsidR="00D85B34" w:rsidRPr="00794712">
        <w:rPr>
          <w:lang w:val="ru-RU"/>
        </w:rPr>
        <w:t xml:space="preserve"> 为阐明救主基督这种完全、无条件的无罪性，教会教师们指出，祂的人性并非独立存在，而是以位格的方式与神性结合在一起。</w:t>
      </w:r>
      <w:r w:rsidR="007D4DB2">
        <w:rPr>
          <w:rStyle w:val="FootnoteReference"/>
          <w:lang w:val="ru-RU"/>
        </w:rPr>
        <w:footnoteReference w:id="203"/>
      </w:r>
    </w:p>
    <w:p w14:paraId="625ABE15" w14:textId="77777777" w:rsidR="00D85B34" w:rsidRPr="00794712" w:rsidRDefault="00D85B34" w:rsidP="00D85B34">
      <w:pPr>
        <w:ind w:firstLine="708"/>
        <w:rPr>
          <w:lang w:val="ru-RU"/>
        </w:rPr>
      </w:pPr>
    </w:p>
    <w:p w14:paraId="4E3B13C7" w14:textId="77777777" w:rsidR="00D85B34" w:rsidRPr="00794712" w:rsidRDefault="00D85B34" w:rsidP="007B240B">
      <w:pPr>
        <w:pStyle w:val="Heading4"/>
        <w:rPr>
          <w:lang w:val="ru-RU"/>
        </w:rPr>
      </w:pPr>
      <w:r w:rsidRPr="00794712">
        <w:rPr>
          <w:lang w:val="ru-RU"/>
        </w:rPr>
        <w:tab/>
      </w:r>
      <w:bookmarkStart w:id="147" w:name="_Toc133155567"/>
      <w:bookmarkStart w:id="148" w:name="_Toc180664580"/>
      <w:bookmarkStart w:id="149" w:name="_Toc180679201"/>
      <w:bookmarkStart w:id="150" w:name="_Toc180679258"/>
      <w:bookmarkStart w:id="151" w:name="_Toc180679781"/>
      <w:bookmarkStart w:id="152" w:name="_Toc238453410"/>
      <w:bookmarkStart w:id="153" w:name="_Toc238453664"/>
      <w:bookmarkStart w:id="154" w:name="_Toc238466396"/>
      <w:bookmarkStart w:id="155" w:name="_Toc238576480"/>
      <w:r w:rsidRPr="00AA0891">
        <w:t>II</w:t>
      </w:r>
      <w:r w:rsidRPr="00794712">
        <w:rPr>
          <w:lang w:val="ru-RU"/>
        </w:rPr>
        <w:t>.</w:t>
      </w:r>
      <w:r w:rsidRPr="0097554A">
        <w:rPr>
          <w:lang w:val="ru-RU"/>
        </w:rPr>
        <w:t xml:space="preserve"> </w:t>
      </w:r>
      <w:r w:rsidRPr="00AA0891">
        <w:t>关于</w:t>
      </w:r>
      <w:r w:rsidRPr="00794712">
        <w:rPr>
          <w:lang w:val="ru-RU"/>
        </w:rPr>
        <w:t>耶稣基督位格</w:t>
      </w:r>
      <w:r w:rsidRPr="00AA0891">
        <w:t>的</w:t>
      </w:r>
      <w:r w:rsidRPr="00794712">
        <w:rPr>
          <w:lang w:val="ru-RU"/>
        </w:rPr>
        <w:t>统一性</w:t>
      </w:r>
      <w:bookmarkEnd w:id="147"/>
      <w:bookmarkEnd w:id="148"/>
      <w:bookmarkEnd w:id="149"/>
      <w:bookmarkEnd w:id="150"/>
      <w:bookmarkEnd w:id="151"/>
      <w:bookmarkEnd w:id="152"/>
      <w:bookmarkEnd w:id="153"/>
      <w:bookmarkEnd w:id="154"/>
      <w:bookmarkEnd w:id="155"/>
    </w:p>
    <w:p w14:paraId="4B72A590" w14:textId="77777777" w:rsidR="00D85B34" w:rsidRDefault="00D85B34" w:rsidP="00D85B34">
      <w:pPr>
        <w:rPr>
          <w:lang w:val="ru-RU"/>
        </w:rPr>
      </w:pPr>
    </w:p>
    <w:p w14:paraId="08467137" w14:textId="77777777" w:rsidR="00D85B34" w:rsidRPr="00794712" w:rsidRDefault="00D85B34" w:rsidP="007B240B">
      <w:pPr>
        <w:pStyle w:val="Heading5"/>
        <w:rPr>
          <w:lang w:val="ru-RU"/>
        </w:rPr>
      </w:pPr>
      <w:bookmarkStart w:id="156" w:name="_Toc133155568"/>
      <w:bookmarkStart w:id="157" w:name="_Toc180664581"/>
      <w:bookmarkStart w:id="158" w:name="_Toc180679202"/>
      <w:bookmarkStart w:id="159" w:name="_Toc180679259"/>
      <w:bookmarkStart w:id="160" w:name="_Toc180679782"/>
      <w:bookmarkStart w:id="161" w:name="_Toc238453665"/>
      <w:bookmarkStart w:id="162" w:name="_Toc238576481"/>
      <w:r w:rsidRPr="00794712">
        <w:rPr>
          <w:lang w:val="ru-RU"/>
        </w:rPr>
        <w:t>§137. 基督内两种本性结合为一个位格的真实性</w:t>
      </w:r>
      <w:bookmarkEnd w:id="156"/>
      <w:bookmarkEnd w:id="157"/>
      <w:bookmarkEnd w:id="158"/>
      <w:bookmarkEnd w:id="159"/>
      <w:bookmarkEnd w:id="160"/>
      <w:bookmarkEnd w:id="161"/>
      <w:bookmarkEnd w:id="162"/>
    </w:p>
    <w:p w14:paraId="1171EDAD" w14:textId="77777777" w:rsidR="00D85B34" w:rsidRPr="00794712" w:rsidRDefault="00D85B34" w:rsidP="00D85B34">
      <w:pPr>
        <w:ind w:firstLine="708"/>
        <w:rPr>
          <w:lang w:val="ru-RU"/>
        </w:rPr>
      </w:pPr>
      <w:r w:rsidRPr="00794712">
        <w:rPr>
          <w:lang w:val="ru-RU"/>
        </w:rPr>
        <w:t>我们在基督耶稣——我们的主——身上承认神性与人性这两种本性，同时也承认祂只有一位位格，这两种本性在祂里面结合为圣言神的唯一位格：因为“我们相信，神的儿子…… 在祂自己的位格中取了由圣灵感孕、在童贞女玛利亚腹中成形的人性，并</w:t>
      </w:r>
      <w:r>
        <w:rPr>
          <w:lang w:val="ru-RU"/>
        </w:rPr>
        <w:t>道成肉身”</w:t>
      </w:r>
      <w:r w:rsidRPr="00794712">
        <w:rPr>
          <w:lang w:val="ru-RU"/>
        </w:rPr>
        <w:t>（参见东方宗主教关于正统信仰的书信 第7条），因此，祂的人性在祂里面并不具有独立的人格，也不构成一个特殊的位格，而是被祂的神性接纳，融入了祂神圣位格的统一之中。 或者用圣约翰·达马斯库斯的话来说：“道成肉身的圣子位格，从圣母那里接纳了我们本性的开端——那被言语和理性的灵魂所赋予生命的肉体</w:t>
      </w:r>
      <w:r>
        <w:rPr>
          <w:lang w:val="ru-RU"/>
        </w:rPr>
        <w:t>”</w:t>
      </w:r>
      <w:r w:rsidRPr="00794712">
        <w:rPr>
          <w:lang w:val="ru-RU"/>
        </w:rPr>
        <w:t>；因此，祂自己便成了肉体的位格…… 同一个道的神格，既已成为两种本性的神格，既不允许其中任何一种成为无位格的，也不允许它们彼此成为不同位格；祂既不会时而成为一种本性的神格，时而成为另一种本性的神格，而是始终不可分割、不可分离地作为两种本性的神格而存在…… 道成肉身的上帝之肉身并未获得独立的位格，也未成为与道成肉身之上帝位格不同的位格，而是在其中获得了位格，更确切地说，是被接纳进道成肉身之上帝的位格之中，而非成为独立的位格</w:t>
      </w:r>
      <w:r>
        <w:rPr>
          <w:lang w:val="ru-RU"/>
        </w:rPr>
        <w:t>。”</w:t>
      </w:r>
      <w:r w:rsidR="00810894">
        <w:rPr>
          <w:rStyle w:val="FootnoteReference"/>
          <w:lang w:val="ru-RU"/>
        </w:rPr>
        <w:footnoteReference w:id="204"/>
      </w:r>
      <w:r w:rsidRPr="00794712">
        <w:rPr>
          <w:lang w:val="ru-RU"/>
        </w:rPr>
        <w:t xml:space="preserve"> 这意味着，我们的主耶稣基督是唯一的神性位格，在祂的神性与人性这双重本性中以单一意识认识自己，是真正的以马内利，是神人。</w:t>
      </w:r>
    </w:p>
    <w:p w14:paraId="5AB7BD25" w14:textId="77777777" w:rsidR="00D85B34" w:rsidRPr="00794712" w:rsidRDefault="00D85B34" w:rsidP="00D85B34">
      <w:pPr>
        <w:rPr>
          <w:lang w:val="ru-RU"/>
        </w:rPr>
      </w:pPr>
      <w:r w:rsidRPr="00794712">
        <w:rPr>
          <w:lang w:val="ru-RU"/>
        </w:rPr>
        <w:tab/>
      </w:r>
      <w:r w:rsidRPr="004F07F1">
        <w:rPr>
          <w:b/>
          <w:bCs/>
        </w:rPr>
        <w:t>一</w:t>
      </w:r>
      <w:r w:rsidRPr="004F07F1">
        <w:rPr>
          <w:b/>
          <w:bCs/>
          <w:lang w:val="ru-RU"/>
        </w:rPr>
        <w:t>、</w:t>
      </w:r>
      <w:r w:rsidRPr="00794712">
        <w:rPr>
          <w:lang w:val="ru-RU"/>
        </w:rPr>
        <w:t>圣经为这一真理提供了最坚实的依据。它教导我们：</w:t>
      </w:r>
      <w:r w:rsidR="00F45CFB" w:rsidRPr="00F45CFB">
        <w:rPr>
          <w:b/>
          <w:lang w:val="ru-RU"/>
        </w:rPr>
        <w:t>1）</w:t>
      </w:r>
      <w:r w:rsidRPr="00794712">
        <w:rPr>
          <w:lang w:val="ru-RU"/>
        </w:rPr>
        <w:t>在基督耶稣里，尽管具有神性与人性两种本性， 即神性与人性，具有唯一位格、唯一位格；</w:t>
      </w:r>
      <w:r w:rsidR="00F45CFB" w:rsidRPr="00F45CFB">
        <w:rPr>
          <w:b/>
          <w:lang w:val="ru-RU"/>
        </w:rPr>
        <w:t>并且——2）</w:t>
      </w:r>
      <w:r w:rsidRPr="00794712">
        <w:rPr>
          <w:lang w:val="ru-RU"/>
        </w:rPr>
        <w:t>这一位格正是道或神的子的位格，祂既取了人性并将其与神性结合于自身，便作为这两种本性不可分割的唯一位格而存留。</w:t>
      </w:r>
    </w:p>
    <w:p w14:paraId="55E0103A" w14:textId="77777777" w:rsidR="00D85B34" w:rsidRPr="00794712" w:rsidRDefault="00F45CFB" w:rsidP="00D85B34">
      <w:pPr>
        <w:ind w:firstLine="708"/>
        <w:rPr>
          <w:lang w:val="ru-RU"/>
        </w:rPr>
      </w:pPr>
      <w:r w:rsidRPr="00F45CFB">
        <w:rPr>
          <w:b/>
          <w:lang w:val="ru-RU"/>
        </w:rPr>
        <w:t>1)</w:t>
      </w:r>
      <w:r w:rsidR="00D85B34" w:rsidRPr="00794712">
        <w:rPr>
          <w:lang w:val="ru-RU"/>
        </w:rPr>
        <w:t xml:space="preserve"> 圣经所宣讲的第一点思想是：</w:t>
      </w:r>
    </w:p>
    <w:p w14:paraId="0FDB6E78"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a) </w:t>
      </w:r>
      <w:r w:rsidRPr="00794712">
        <w:rPr>
          <w:lang w:val="ru-RU"/>
        </w:rPr>
        <w:t>当圣经将同一位耶稣基督——作为特定的位格——既称为神，又称为人；既称为神的儿子，又称为人的儿子；并将其呈现为兼具神性本质与人性本质的属性时：这一点我们已经见过了。</w:t>
      </w:r>
    </w:p>
    <w:p w14:paraId="7029AC8F"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更明显的是——有时将人的属性归于同一位耶稣基督，视其为神；有时又将神的属性归于他，视其为人，例如说，犹太人</w:t>
      </w:r>
      <w:r w:rsidRPr="00C9396E">
        <w:rPr>
          <w:i/>
          <w:iCs/>
          <w:lang w:val="ru-RU"/>
        </w:rPr>
        <w:t>“若真认识，就不会把荣耀的主钉在十字架上”</w:t>
      </w:r>
      <w:r w:rsidRPr="00794712">
        <w:rPr>
          <w:lang w:val="ru-RU"/>
        </w:rPr>
        <w:t xml:space="preserve"> </w:t>
      </w:r>
      <w:r w:rsidR="00621F17">
        <w:rPr>
          <w:lang w:val="ru-RU"/>
        </w:rPr>
        <w:t>（林</w:t>
      </w:r>
      <w:r w:rsidRPr="00794712">
        <w:rPr>
          <w:lang w:val="ru-RU"/>
        </w:rPr>
        <w:t>前2</w:t>
      </w:r>
      <w:r w:rsidRPr="00C9396E">
        <w:rPr>
          <w:lang w:val="ru-RU"/>
        </w:rPr>
        <w:t>:</w:t>
      </w:r>
      <w:r w:rsidRPr="00794712">
        <w:rPr>
          <w:lang w:val="ru-RU"/>
        </w:rPr>
        <w:t>8），——说他们杀了生命的元首（</w:t>
      </w:r>
      <w:r w:rsidR="00A95A76" w:rsidRPr="00A95A76">
        <w:rPr>
          <w:b/>
          <w:lang w:val="ru-RU"/>
        </w:rPr>
        <w:t>άρχηγόν，首要罪魁）</w:t>
      </w:r>
      <w:r w:rsidRPr="00794712">
        <w:rPr>
          <w:lang w:val="ru-RU"/>
        </w:rPr>
        <w:t>（徒3</w:t>
      </w:r>
      <w:r w:rsidRPr="00C9396E">
        <w:rPr>
          <w:lang w:val="ru-RU"/>
        </w:rPr>
        <w:t>:</w:t>
      </w:r>
      <w:r w:rsidRPr="00794712">
        <w:rPr>
          <w:lang w:val="ru-RU"/>
        </w:rPr>
        <w:t>15），——说主上帝是用自己的血赎买了</w:t>
      </w:r>
      <w:r w:rsidRPr="00AA0891">
        <w:t>教会</w:t>
      </w:r>
      <w:r w:rsidRPr="0097554A">
        <w:rPr>
          <w:lang w:val="ru-RU"/>
        </w:rPr>
        <w:t>——</w:t>
      </w:r>
      <w:r w:rsidRPr="00AA0891">
        <w:t>διά</w:t>
      </w:r>
      <w:r w:rsidRPr="0097554A">
        <w:rPr>
          <w:lang w:val="ru-RU"/>
        </w:rPr>
        <w:t xml:space="preserve"> </w:t>
      </w:r>
      <w:r w:rsidRPr="00AA0891">
        <w:t>τού</w:t>
      </w:r>
      <w:r w:rsidRPr="0097554A">
        <w:rPr>
          <w:lang w:val="ru-RU"/>
        </w:rPr>
        <w:t xml:space="preserve"> </w:t>
      </w:r>
      <w:r w:rsidRPr="00AA0891">
        <w:t>αίματος</w:t>
      </w:r>
      <w:r w:rsidRPr="0097554A">
        <w:rPr>
          <w:lang w:val="ru-RU"/>
        </w:rPr>
        <w:t xml:space="preserve"> </w:t>
      </w:r>
      <w:r w:rsidRPr="00AA0891">
        <w:t>τού</w:t>
      </w:r>
      <w:r w:rsidRPr="0097554A">
        <w:rPr>
          <w:lang w:val="ru-RU"/>
        </w:rPr>
        <w:t xml:space="preserve"> </w:t>
      </w:r>
      <w:r w:rsidRPr="00AA0891">
        <w:t>ΐδίον</w:t>
      </w:r>
      <w:r w:rsidRPr="0097554A">
        <w:rPr>
          <w:lang w:val="ru-RU"/>
        </w:rPr>
        <w:t xml:space="preserve"> </w:t>
      </w:r>
      <w:r w:rsidR="003350ED" w:rsidRPr="003350ED">
        <w:rPr>
          <w:lang w:val="ru-RU"/>
        </w:rPr>
        <w:t>[</w:t>
      </w:r>
      <w:r w:rsidRPr="00794712">
        <w:rPr>
          <w:lang w:val="ru-RU"/>
        </w:rPr>
        <w:t>(徒20</w:t>
      </w:r>
      <w:r w:rsidRPr="00C9396E">
        <w:rPr>
          <w:lang w:val="ru-RU"/>
        </w:rPr>
        <w:t>:</w:t>
      </w:r>
      <w:r w:rsidRPr="00794712">
        <w:rPr>
          <w:lang w:val="ru-RU"/>
        </w:rPr>
        <w:t>28</w:t>
      </w:r>
      <w:r w:rsidR="003350ED" w:rsidRPr="003350ED">
        <w:rPr>
          <w:lang w:val="ru-RU"/>
        </w:rPr>
        <w:t>)</w:t>
      </w:r>
      <w:r w:rsidRPr="00794712">
        <w:rPr>
          <w:lang w:val="ru-RU"/>
        </w:rPr>
        <w:t xml:space="preserve">；引自 </w:t>
      </w:r>
      <w:r w:rsidR="003350ED" w:rsidRPr="003350ED">
        <w:rPr>
          <w:lang w:val="ru-RU"/>
        </w:rPr>
        <w:t>（</w:t>
      </w:r>
      <w:r w:rsidRPr="00794712">
        <w:rPr>
          <w:lang w:val="ru-RU"/>
        </w:rPr>
        <w:t>罗5</w:t>
      </w:r>
      <w:r w:rsidRPr="00C9396E">
        <w:rPr>
          <w:lang w:val="ru-RU"/>
        </w:rPr>
        <w:t>:</w:t>
      </w:r>
      <w:r w:rsidRPr="00794712">
        <w:rPr>
          <w:lang w:val="ru-RU"/>
        </w:rPr>
        <w:t>10</w:t>
      </w:r>
      <w:r w:rsidR="003350ED" w:rsidRPr="003350ED">
        <w:rPr>
          <w:lang w:val="ru-RU"/>
        </w:rPr>
        <w:t>）</w:t>
      </w:r>
      <w:r w:rsidRPr="00794712">
        <w:rPr>
          <w:lang w:val="ru-RU"/>
        </w:rPr>
        <w:t>；</w:t>
      </w:r>
      <w:r w:rsidR="003350ED" w:rsidRPr="003350ED">
        <w:rPr>
          <w:lang w:val="ru-RU"/>
        </w:rPr>
        <w:t>（</w:t>
      </w:r>
      <w:r w:rsidRPr="00794712">
        <w:rPr>
          <w:lang w:val="ru-RU"/>
        </w:rPr>
        <w:t>来5</w:t>
      </w:r>
      <w:r w:rsidRPr="00C9396E">
        <w:rPr>
          <w:lang w:val="ru-RU"/>
        </w:rPr>
        <w:t>:</w:t>
      </w:r>
      <w:r w:rsidRPr="00794712">
        <w:rPr>
          <w:lang w:val="ru-RU"/>
        </w:rPr>
        <w:t>8）</w:t>
      </w:r>
      <w:r w:rsidR="003350ED" w:rsidRPr="003350ED">
        <w:rPr>
          <w:lang w:val="ru-RU"/>
        </w:rPr>
        <w:t>]</w:t>
      </w:r>
      <w:r w:rsidRPr="00794712">
        <w:rPr>
          <w:lang w:val="ru-RU"/>
        </w:rPr>
        <w:t>；或是见证说：</w:t>
      </w:r>
      <w:r w:rsidRPr="00C9396E">
        <w:rPr>
          <w:i/>
          <w:iCs/>
          <w:lang w:val="ru-RU"/>
        </w:rPr>
        <w:t>“除了从天上降下、仍在天上的人子以外，没有人升过天”</w:t>
      </w:r>
      <w:r w:rsidRPr="00794712">
        <w:rPr>
          <w:lang w:val="ru-RU"/>
        </w:rPr>
        <w:t xml:space="preserve"> </w:t>
      </w:r>
      <w:r w:rsidR="005864AB">
        <w:rPr>
          <w:lang w:val="ru-RU"/>
        </w:rPr>
        <w:t>（约</w:t>
      </w:r>
      <w:r w:rsidRPr="00794712">
        <w:rPr>
          <w:lang w:val="ru-RU"/>
        </w:rPr>
        <w:t>3</w:t>
      </w:r>
      <w:r w:rsidRPr="00C9396E">
        <w:rPr>
          <w:lang w:val="ru-RU"/>
        </w:rPr>
        <w:t>:</w:t>
      </w:r>
      <w:r w:rsidRPr="00794712">
        <w:rPr>
          <w:lang w:val="ru-RU"/>
        </w:rPr>
        <w:t>13）</w:t>
      </w:r>
      <w:r>
        <w:rPr>
          <w:lang w:val="ru-RU"/>
        </w:rPr>
        <w:t>——</w:t>
      </w:r>
      <w:r w:rsidRPr="00794712">
        <w:rPr>
          <w:lang w:val="ru-RU"/>
        </w:rPr>
        <w:t>这位在罗马皇帝奥古斯都统治时期出生的“人子”，其实</w:t>
      </w:r>
      <w:r w:rsidRPr="00C9396E">
        <w:rPr>
          <w:i/>
          <w:iCs/>
          <w:lang w:val="ru-RU"/>
        </w:rPr>
        <w:t>早在亚伯拉罕之前就已经</w:t>
      </w:r>
      <w:r w:rsidRPr="00794712">
        <w:rPr>
          <w:lang w:val="ru-RU"/>
        </w:rPr>
        <w:t>存在</w:t>
      </w:r>
      <w:r w:rsidRPr="00C9396E">
        <w:rPr>
          <w:i/>
          <w:iCs/>
          <w:lang w:val="ru-RU"/>
        </w:rPr>
        <w:t>了</w:t>
      </w:r>
      <w:r w:rsidR="005864AB">
        <w:rPr>
          <w:lang w:val="ru-RU"/>
        </w:rPr>
        <w:t>（</w:t>
      </w:r>
      <w:r w:rsidRPr="00794712">
        <w:rPr>
          <w:lang w:val="ru-RU"/>
        </w:rPr>
        <w:t>约8</w:t>
      </w:r>
      <w:r>
        <w:rPr>
          <w:lang w:val="ru-RU"/>
        </w:rPr>
        <w:t>:</w:t>
      </w:r>
      <w:r w:rsidRPr="00794712">
        <w:rPr>
          <w:lang w:val="ru-RU"/>
        </w:rPr>
        <w:t>58）。 此类经文必然意味着，耶稣基督的两个本性并非彼此分离，而是确实结合为一个位格： 否则，祂身上属于人类的部分就无法归于祂的神性；反之，祂作为人的血，也就无法被称为祂作为神的血；另一方面，祂的神性属性——无所不在、永恒——也无法归于祂作为人子的一面。</w:t>
      </w:r>
      <w:r w:rsidR="00810894">
        <w:rPr>
          <w:rStyle w:val="FootnoteReference"/>
          <w:lang w:val="ru-RU"/>
        </w:rPr>
        <w:footnoteReference w:id="205"/>
      </w:r>
    </w:p>
    <w:p w14:paraId="09CDE848"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最后——当他说耶稣基督，我们的主，是唯一的、唯一的人格、唯一的位格时，这一点就完全清楚了，正如圣三一中的圣父是唯一的、第一位格、第一位格一样： </w:t>
      </w:r>
      <w:r w:rsidRPr="00C9396E">
        <w:rPr>
          <w:i/>
          <w:iCs/>
          <w:lang w:val="ru-RU"/>
        </w:rPr>
        <w:t>“我们只有一位神，就是父，万物都本于祂，我们也为祂而活；只有一位主，就是耶稣基督，万物都是藉着祂，我们也是藉着祂”</w:t>
      </w:r>
      <w:r w:rsidR="00621F17">
        <w:rPr>
          <w:lang w:val="ru-RU"/>
        </w:rPr>
        <w:t>（林前</w:t>
      </w:r>
      <w:r w:rsidRPr="00794712">
        <w:rPr>
          <w:lang w:val="ru-RU"/>
        </w:rPr>
        <w:t>8</w:t>
      </w:r>
      <w:r w:rsidRPr="00B30E27">
        <w:rPr>
          <w:lang w:val="ru-RU"/>
        </w:rPr>
        <w:t>:</w:t>
      </w:r>
      <w:r w:rsidRPr="00794712">
        <w:rPr>
          <w:lang w:val="ru-RU"/>
        </w:rPr>
        <w:t xml:space="preserve">6）。 </w:t>
      </w:r>
      <w:r w:rsidRPr="00B30E27">
        <w:rPr>
          <w:i/>
          <w:iCs/>
          <w:lang w:val="ru-RU"/>
        </w:rPr>
        <w:t>“一位主，一种信仰，一个洗礼，一位上帝，也是众人的父，祂在万有之上，贯穿万有，并在我们众人之中”</w:t>
      </w:r>
      <w:r w:rsidRPr="00794712">
        <w:rPr>
          <w:lang w:val="ru-RU"/>
        </w:rPr>
        <w:t>（以弗所书 4</w:t>
      </w:r>
      <w:r w:rsidRPr="00B30E27">
        <w:rPr>
          <w:lang w:val="ru-RU"/>
        </w:rPr>
        <w:t>:</w:t>
      </w:r>
      <w:r w:rsidRPr="00794712">
        <w:rPr>
          <w:lang w:val="ru-RU"/>
        </w:rPr>
        <w:t>5-6）。</w:t>
      </w:r>
      <w:r>
        <w:rPr>
          <w:lang w:val="ru-RU"/>
        </w:rPr>
        <w:t>因此</w:t>
      </w:r>
      <w:r w:rsidRPr="00794712">
        <w:rPr>
          <w:lang w:val="ru-RU"/>
        </w:rPr>
        <w:t>——并非有两个基督，也并非在基督里有两个位格！</w:t>
      </w:r>
    </w:p>
    <w:p w14:paraId="3B54CF39" w14:textId="77777777" w:rsidR="00D85B34" w:rsidRPr="00794712" w:rsidRDefault="00F45CFB" w:rsidP="00D85B34">
      <w:pPr>
        <w:ind w:firstLine="708"/>
        <w:rPr>
          <w:lang w:val="ru-RU"/>
        </w:rPr>
      </w:pPr>
      <w:r w:rsidRPr="00F45CFB">
        <w:rPr>
          <w:b/>
          <w:lang w:val="ru-RU"/>
        </w:rPr>
        <w:t>2)</w:t>
      </w:r>
      <w:r w:rsidR="00D85B34" w:rsidRPr="00794712">
        <w:rPr>
          <w:lang w:val="ru-RU"/>
        </w:rPr>
        <w:t xml:space="preserve"> 第二个观点是：在耶稣基督里，道或神的子之位格，既取了人的本性，又将其与神的本性结合于自身，便作为两种本性不可分割的唯一位格而存留。这一观点在圣经中那些论及神之子道成肉身、 祂的诞生以及祂降临人间。例如：——</w:t>
      </w:r>
    </w:p>
    <w:p w14:paraId="3F9E98F8"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福音书作者圣约翰宣告：</w:t>
      </w:r>
      <w:r w:rsidRPr="00B30E27">
        <w:rPr>
          <w:i/>
          <w:iCs/>
          <w:lang w:val="ru-RU"/>
        </w:rPr>
        <w:t>“道就是神……道成了肉身，住在我们中间，充满恩典和真理；我们也见过他的荣光，正是父独生子的荣光……律法是藉着摩西颁布的；恩典和真理则是藉着耶稣基督而来的”</w:t>
      </w:r>
      <w:r w:rsidRPr="00794712">
        <w:rPr>
          <w:lang w:val="ru-RU"/>
        </w:rPr>
        <w:t xml:space="preserve"> </w:t>
      </w:r>
      <w:r w:rsidR="005864AB">
        <w:rPr>
          <w:lang w:val="ru-RU"/>
        </w:rPr>
        <w:t>（</w:t>
      </w:r>
      <w:r w:rsidRPr="00794712">
        <w:rPr>
          <w:lang w:val="ru-RU"/>
        </w:rPr>
        <w:t>约1</w:t>
      </w:r>
      <w:r w:rsidRPr="00B30E27">
        <w:rPr>
          <w:lang w:val="ru-RU"/>
        </w:rPr>
        <w:t>:</w:t>
      </w:r>
      <w:r w:rsidRPr="00794712">
        <w:rPr>
          <w:lang w:val="ru-RU"/>
        </w:rPr>
        <w:t>1-17）。这里显然描绘了神之道的人位，并指出正是这一位格成了肉身或道成肉身，</w:t>
      </w:r>
      <w:r w:rsidR="00810894">
        <w:rPr>
          <w:rStyle w:val="FootnoteReference"/>
          <w:lang w:val="ru-RU"/>
        </w:rPr>
        <w:footnoteReference w:id="206"/>
      </w:r>
      <w:r w:rsidRPr="00794712">
        <w:rPr>
          <w:lang w:val="ru-RU"/>
        </w:rPr>
        <w:t xml:space="preserve"> 祂以耶稣基督之名在肉身中住在世人中间，并且祂在道成肉身后，依然存于耶稣基督之中， 神人——即那位与父同源、独一无二且未曾改变的独生子的位格</w:t>
      </w:r>
      <w:r w:rsidR="003350ED" w:rsidRPr="00BD6C1B">
        <w:rPr>
          <w:lang w:val="ru-RU"/>
        </w:rPr>
        <w:t>。</w:t>
      </w:r>
      <w:r w:rsidRPr="00794712">
        <w:rPr>
          <w:lang w:val="ru-RU"/>
        </w:rPr>
        <w:t xml:space="preserve"> 参见类似观点：</w:t>
      </w:r>
      <w:r w:rsidR="003350ED" w:rsidRPr="00BD6C1B">
        <w:rPr>
          <w:lang w:val="ru-RU"/>
        </w:rPr>
        <w:t>[(</w:t>
      </w:r>
      <w:r w:rsidR="0087297C">
        <w:rPr>
          <w:lang w:val="ru-RU"/>
        </w:rPr>
        <w:t>约一 1</w:t>
      </w:r>
      <w:r w:rsidRPr="0002420A">
        <w:rPr>
          <w:lang w:val="ru-RU"/>
        </w:rPr>
        <w:t>:</w:t>
      </w:r>
      <w:r w:rsidRPr="00794712">
        <w:rPr>
          <w:lang w:val="ru-RU"/>
        </w:rPr>
        <w:t>1-9</w:t>
      </w:r>
      <w:r w:rsidR="003350ED" w:rsidRPr="00BD6C1B">
        <w:rPr>
          <w:lang w:val="ru-RU"/>
        </w:rPr>
        <w:t>)</w:t>
      </w:r>
      <w:r w:rsidRPr="00794712">
        <w:rPr>
          <w:lang w:val="ru-RU"/>
        </w:rPr>
        <w:t>；</w:t>
      </w:r>
      <w:r w:rsidR="003350ED" w:rsidRPr="00BD6C1B">
        <w:rPr>
          <w:rFonts w:cs="Cambria Math"/>
          <w:lang w:val="ru-RU"/>
        </w:rPr>
        <w:t>(</w:t>
      </w:r>
      <w:r w:rsidR="003350ED">
        <w:rPr>
          <w:lang w:val="ru-RU"/>
        </w:rPr>
        <w:t>约一</w:t>
      </w:r>
      <w:r w:rsidRPr="00794712">
        <w:rPr>
          <w:lang w:val="ru-RU"/>
        </w:rPr>
        <w:t xml:space="preserve"> 5</w:t>
      </w:r>
      <w:r w:rsidRPr="0002420A">
        <w:rPr>
          <w:lang w:val="ru-RU"/>
        </w:rPr>
        <w:t>:</w:t>
      </w:r>
      <w:r w:rsidRPr="00794712">
        <w:rPr>
          <w:lang w:val="ru-RU"/>
        </w:rPr>
        <w:t>20)</w:t>
      </w:r>
      <w:r w:rsidR="003350ED" w:rsidRPr="00BD6C1B">
        <w:rPr>
          <w:lang w:val="ru-RU"/>
        </w:rPr>
        <w:t>]</w:t>
      </w:r>
      <w:r w:rsidRPr="00794712">
        <w:rPr>
          <w:lang w:val="ru-RU"/>
        </w:rPr>
        <w:t>。“‘道成了肉身’这一表述，意味着道本体的位格在没有任何改变的情况下，成为了肉身的位格</w:t>
      </w:r>
      <w:r>
        <w:rPr>
          <w:lang w:val="ru-RU"/>
        </w:rPr>
        <w:t>，”</w:t>
      </w:r>
      <w:r w:rsidRPr="00794712">
        <w:rPr>
          <w:lang w:val="ru-RU"/>
        </w:rPr>
        <w:t>——圣约翰·达马斯库斯如此指出。</w:t>
      </w:r>
      <w:r w:rsidR="008D5E88">
        <w:rPr>
          <w:rStyle w:val="FootnoteReference"/>
          <w:lang w:val="ru-RU"/>
        </w:rPr>
        <w:footnoteReference w:id="207"/>
      </w:r>
    </w:p>
    <w:p w14:paraId="425F4513" w14:textId="77777777" w:rsidR="00D85B34" w:rsidRPr="00794712" w:rsidRDefault="00D85B34" w:rsidP="00D85B34">
      <w:pPr>
        <w:rPr>
          <w:lang w:val="ru-RU"/>
        </w:rPr>
      </w:pPr>
      <w:r w:rsidRPr="00794712">
        <w:rPr>
          <w:lang w:val="ru-RU"/>
        </w:rPr>
        <w:lastRenderedPageBreak/>
        <w:tab/>
      </w:r>
      <w:r w:rsidR="00A95A76" w:rsidRPr="00A95A76">
        <w:rPr>
          <w:b/>
          <w:lang w:val="ru-RU"/>
        </w:rPr>
        <w:t>b)</w:t>
      </w:r>
      <w:r w:rsidRPr="00794712">
        <w:rPr>
          <w:lang w:val="ru-RU"/>
        </w:rPr>
        <w:t xml:space="preserve"> 圣使徒保罗在论及耶稣基督时写道：</w:t>
      </w:r>
      <w:r w:rsidRPr="00B30E27">
        <w:rPr>
          <w:i/>
          <w:iCs/>
          <w:lang w:val="ru-RU"/>
        </w:rPr>
        <w:t>“祂本有神的形像，不以与神同等为强夺的；反倒虚己，取了奴仆的形像，成为人的样式，既有人的样子”</w:t>
      </w:r>
      <w:r w:rsidR="001973A6">
        <w:rPr>
          <w:lang w:val="ru-RU"/>
        </w:rPr>
        <w:t>（腓</w:t>
      </w:r>
      <w:r w:rsidRPr="00794712">
        <w:rPr>
          <w:lang w:val="ru-RU"/>
        </w:rPr>
        <w:t xml:space="preserve"> 2</w:t>
      </w:r>
      <w:r w:rsidRPr="00B30E27">
        <w:rPr>
          <w:lang w:val="ru-RU"/>
        </w:rPr>
        <w:t>:</w:t>
      </w:r>
      <w:r w:rsidRPr="00794712">
        <w:rPr>
          <w:lang w:val="ru-RU"/>
        </w:rPr>
        <w:t>6-7）。 这些话语非常明确地宣讲了两点：首先，是关于耶稣基督位格中完全合一的思想；因为，如果基督里面有两个独立的位格，使徒就不可能说，那位本有神的形像、或具有神性本质的同一位，竟取了奴仆的形像； 那位本不以与神同等为强夺的，反倒虚己，取了奴仆的形像，成为人的样式；并且他自卑，成为人。其次，这些话还宣讲：借着基督内这一位格兼具的两种本性，他的神性位格始终未变： 因为，正如使徒所言，正是这位本有神的形像，取了奴仆的形像，即在祂位格的合一中接纳了人性；祂自己卑微，成为人的样式，祂便以人的样式显现。</w:t>
      </w:r>
      <w:r w:rsidR="008D5E88">
        <w:rPr>
          <w:rStyle w:val="FootnoteReference"/>
          <w:lang w:val="ru-RU"/>
        </w:rPr>
        <w:footnoteReference w:id="208"/>
      </w:r>
    </w:p>
    <w:p w14:paraId="5BE9C1B8"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在另一封书信中，使徒保罗说：</w:t>
      </w:r>
      <w:r w:rsidRPr="00D95B39">
        <w:rPr>
          <w:i/>
          <w:iCs/>
          <w:lang w:val="ru-RU"/>
        </w:rPr>
        <w:t>“及至时候满足，神就差遣祂的[独生]子，由女人所生，且生在律法之下，要把律法之下的人赎出来”</w:t>
      </w:r>
      <w:r w:rsidRPr="00794712">
        <w:rPr>
          <w:lang w:val="ru-RU"/>
        </w:rPr>
        <w:t>（加拉太书4</w:t>
      </w:r>
      <w:r w:rsidRPr="00D95B39">
        <w:rPr>
          <w:lang w:val="ru-RU"/>
        </w:rPr>
        <w:t>:4-5</w:t>
      </w:r>
      <w:r w:rsidRPr="00794712">
        <w:rPr>
          <w:lang w:val="ru-RU"/>
        </w:rPr>
        <w:t>）。 “他没有说‘借着妻子</w:t>
      </w:r>
      <w:r>
        <w:rPr>
          <w:lang w:val="ru-RU"/>
        </w:rPr>
        <w:t>’</w:t>
      </w:r>
      <w:r w:rsidRPr="00794712">
        <w:rPr>
          <w:lang w:val="ru-RU"/>
        </w:rPr>
        <w:t>——让我们跟随亚历山大的圣西里尔和圣约翰·达马斯库斯重复——而是说‘由妻子所生’。 这位神圣的使徒由此表明，这位由童贞女所生的那人，正是上帝的独生子，也是上帝；而这位上帝的独生子，也是上帝，正是那位由童贞女所生的——祂按肉体而言是出生的，正因如此才成为人； 祂并非像先知那样进入预先被造的人之中</w:t>
      </w:r>
      <w:r>
        <w:rPr>
          <w:lang w:val="ru-RU"/>
        </w:rPr>
        <w:t>，</w:t>
      </w:r>
      <w:r w:rsidRPr="00794712">
        <w:rPr>
          <w:lang w:val="ru-RU"/>
        </w:rPr>
        <w:t>而是本质上、真实地成为了人：即在祂的位格中赋予了肉身以位格，这肉身由具有言语和理性的灵魂所赋予生命，祂自己也成为了这肉身的位格。</w:t>
      </w:r>
      <w:r>
        <w:rPr>
          <w:lang w:val="ru-RU"/>
        </w:rPr>
        <w:t>”</w:t>
      </w:r>
      <w:r w:rsidR="008D5E88">
        <w:rPr>
          <w:rStyle w:val="FootnoteReference"/>
          <w:lang w:val="ru-RU"/>
        </w:rPr>
        <w:footnoteReference w:id="209"/>
      </w:r>
    </w:p>
    <w:p w14:paraId="31B98530"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在第三封书信中，同一位使徒在列举犹太人的优势时，除其他内容外，还这样说道：</w:t>
      </w:r>
      <w:r w:rsidRPr="00D95B39">
        <w:rPr>
          <w:i/>
          <w:iCs/>
          <w:lang w:val="ru-RU"/>
        </w:rPr>
        <w:t>“他们的祖先，以及按肉体说从他们而来的基督——那超乎万有的神，受称颂直到永远，阿们”</w:t>
      </w:r>
      <w:r w:rsidRPr="00794712">
        <w:rPr>
          <w:lang w:val="ru-RU"/>
        </w:rPr>
        <w:t xml:space="preserve"> （罗9</w:t>
      </w:r>
      <w:r w:rsidRPr="00D95B39">
        <w:rPr>
          <w:lang w:val="ru-RU"/>
        </w:rPr>
        <w:t>:</w:t>
      </w:r>
      <w:r w:rsidRPr="00794712">
        <w:rPr>
          <w:lang w:val="ru-RU"/>
        </w:rPr>
        <w:t>5），</w:t>
      </w:r>
      <w:r w:rsidR="008D5E88">
        <w:rPr>
          <w:rStyle w:val="FootnoteReference"/>
          <w:lang w:val="ru-RU"/>
        </w:rPr>
        <w:footnoteReference w:id="210"/>
      </w:r>
      <w:r w:rsidRPr="00794712">
        <w:rPr>
          <w:lang w:val="ru-RU"/>
        </w:rPr>
        <w:t xml:space="preserve"> ；在此之前，他还称同一位耶稣基督为“从大卫的后裔 按肉体说”的上帝之子（</w:t>
      </w:r>
      <w:r>
        <w:rPr>
          <w:lang w:val="ru-RU"/>
        </w:rPr>
        <w:t>罗</w:t>
      </w:r>
      <w:r w:rsidRPr="00794712">
        <w:rPr>
          <w:lang w:val="ru-RU"/>
        </w:rPr>
        <w:t>1</w:t>
      </w:r>
      <w:r>
        <w:rPr>
          <w:lang w:val="ru-RU"/>
        </w:rPr>
        <w:t>:</w:t>
      </w:r>
      <w:r w:rsidRPr="00794712">
        <w:rPr>
          <w:lang w:val="ru-RU"/>
        </w:rPr>
        <w:t>3）。 其要义很明确：耶稣基督里的人性并未获得特殊的位格，也不构成独立的位格，而是被神性接纳进祂神圣位格的合一之中，因此，即使在道成肉身后，祂依然是那位与道成肉身前完全相同的上帝之子，是圣三一的第二位格</w:t>
      </w:r>
      <w:r w:rsidR="003350ED" w:rsidRPr="003350ED">
        <w:rPr>
          <w:lang w:val="ru-RU"/>
        </w:rPr>
        <w:t>。</w:t>
      </w:r>
      <w:r w:rsidRPr="00794712">
        <w:rPr>
          <w:lang w:val="ru-RU"/>
        </w:rPr>
        <w:t xml:space="preserve"> 参见类似经文 </w:t>
      </w:r>
      <w:r w:rsidR="003350ED" w:rsidRPr="003350ED">
        <w:rPr>
          <w:lang w:val="ru-RU"/>
        </w:rPr>
        <w:t>[(</w:t>
      </w:r>
      <w:r w:rsidRPr="00794712">
        <w:rPr>
          <w:lang w:val="ru-RU"/>
        </w:rPr>
        <w:t>提摩太前书 3</w:t>
      </w:r>
      <w:r>
        <w:rPr>
          <w:lang w:val="ru-RU"/>
        </w:rPr>
        <w:t>:</w:t>
      </w:r>
      <w:r w:rsidRPr="00794712">
        <w:rPr>
          <w:lang w:val="ru-RU"/>
        </w:rPr>
        <w:t>16</w:t>
      </w:r>
      <w:r w:rsidR="003350ED" w:rsidRPr="003350ED">
        <w:rPr>
          <w:lang w:val="ru-RU"/>
        </w:rPr>
        <w:t>)</w:t>
      </w:r>
      <w:r w:rsidRPr="00794712">
        <w:rPr>
          <w:lang w:val="ru-RU"/>
        </w:rPr>
        <w:t>；</w:t>
      </w:r>
      <w:r w:rsidR="003350ED" w:rsidRPr="003350ED">
        <w:rPr>
          <w:lang w:val="ru-RU"/>
        </w:rPr>
        <w:t>(</w:t>
      </w:r>
      <w:r w:rsidRPr="00794712">
        <w:rPr>
          <w:lang w:val="ru-RU"/>
        </w:rPr>
        <w:t>歌罗西书 2</w:t>
      </w:r>
      <w:r>
        <w:rPr>
          <w:lang w:val="ru-RU"/>
        </w:rPr>
        <w:t>:</w:t>
      </w:r>
      <w:r w:rsidRPr="00794712">
        <w:rPr>
          <w:lang w:val="ru-RU"/>
        </w:rPr>
        <w:t>9</w:t>
      </w:r>
      <w:r w:rsidR="003350ED" w:rsidRPr="003350ED">
        <w:rPr>
          <w:lang w:val="ru-RU"/>
        </w:rPr>
        <w:t xml:space="preserve">)] </w:t>
      </w:r>
      <w:r w:rsidRPr="00794712">
        <w:rPr>
          <w:lang w:val="ru-RU"/>
        </w:rPr>
        <w:t>等。</w:t>
      </w:r>
    </w:p>
    <w:p w14:paraId="35375802" w14:textId="77777777" w:rsidR="00D85B34" w:rsidRPr="00794712" w:rsidRDefault="00D85B34" w:rsidP="00D85B34">
      <w:pPr>
        <w:rPr>
          <w:lang w:val="ru-RU"/>
        </w:rPr>
      </w:pPr>
      <w:r w:rsidRPr="00794712">
        <w:rPr>
          <w:lang w:val="ru-RU"/>
        </w:rPr>
        <w:lastRenderedPageBreak/>
        <w:tab/>
      </w:r>
      <w:r w:rsidRPr="004F07F1">
        <w:rPr>
          <w:b/>
          <w:bCs/>
        </w:rPr>
        <w:t>II</w:t>
      </w:r>
      <w:r w:rsidRPr="004F07F1">
        <w:rPr>
          <w:b/>
          <w:bCs/>
          <w:lang w:val="ru-RU"/>
        </w:rPr>
        <w:t>.</w:t>
      </w:r>
      <w:r w:rsidRPr="00794712">
        <w:rPr>
          <w:lang w:val="ru-RU"/>
        </w:rPr>
        <w:t xml:space="preserve"> 整个教会关于基督救主具有双重本性、唯一位格（其中神性位格居首）的信仰，首先可从所有古代信经中看出，从所谓的《使徒信经》开始： 在此，我们的同一位主耶稣基督被宣认是独生子，由神而出的神，为了我们从天降下，由圣灵和童贞女玛利亚成肉身，被钉十字架、埋葬、复活、升天，并坐在父的右边。</w:t>
      </w:r>
      <w:r w:rsidR="008D5E88">
        <w:rPr>
          <w:rStyle w:val="FootnoteReference"/>
          <w:lang w:val="ru-RU"/>
        </w:rPr>
        <w:footnoteReference w:id="211"/>
      </w:r>
      <w:r w:rsidRPr="00794712">
        <w:rPr>
          <w:lang w:val="ru-RU"/>
        </w:rPr>
        <w:t xml:space="preserve"> 随后，教会借着以弗所大公会议和迦克墩大公会议，针对涅斯托里乌斯派和优提克斯派的异端，以特别清晰的方式阐明了这一信仰。 此外，以弗所大公会议还批准并采纳了亚历山大的圣西里尔致涅斯托里乌斯的书信作为其关于基督位格教义的基础，其中一封书信如此阐述道： “我们教导说，道与被理性之灵所赋予生命的肉身在位格上结合，以不可言喻、不可测度的方式成了人，被称为人子……； 我们说，尽管结合成真实联合的两种本性各不相同，但基督是唯一的，是源自这两种本性的独一圣子，并非因这种联合而使本性的差异消失； 相反，我们断言，神性与人性构成了主耶稣基督的唯一位格，这是通过这两种不同本性以不可言喻、不可解释的方式结合为一而实现的。</w:t>
      </w:r>
      <w:r>
        <w:rPr>
          <w:lang w:val="ru-RU"/>
        </w:rPr>
        <w:t>”</w:t>
      </w:r>
      <w:r w:rsidR="005928C9">
        <w:rPr>
          <w:rStyle w:val="FootnoteReference"/>
          <w:lang w:val="ru-RU"/>
        </w:rPr>
        <w:footnoteReference w:id="212"/>
      </w:r>
      <w:r w:rsidRPr="00794712">
        <w:rPr>
          <w:lang w:val="ru-RU"/>
        </w:rPr>
        <w:t xml:space="preserve"> 特别是，以弗所大公会议采纳并批准了同一位亚历山大圣父针对异端分子涅斯托里乌斯所撰写的十二条教义条款或绝罚令。 在第二章中我们读到：“凡不承认道——即由天父所生的——在位格上与肉身联合，并与肉身合而为一，即神与人合而为一者，此人当受绝罚。</w:t>
      </w:r>
      <w:r>
        <w:rPr>
          <w:lang w:val="ru-RU"/>
        </w:rPr>
        <w:t>”</w:t>
      </w:r>
      <w:r w:rsidRPr="00794712">
        <w:rPr>
          <w:lang w:val="ru-RU"/>
        </w:rPr>
        <w:t xml:space="preserve"> 第三章中写道：“凡在唯一基督内，将位格在联合中分割开来，仅以‘联合’（</w:t>
      </w:r>
      <w:r w:rsidRPr="00AA0891">
        <w:t>συναφεία</w:t>
      </w:r>
      <w:r w:rsidRPr="00794712">
        <w:rPr>
          <w:lang w:val="ru-RU"/>
        </w:rPr>
        <w:t>）将尊荣、重要性与权柄结合，而非以‘自然联合’（</w:t>
      </w:r>
      <w:r w:rsidRPr="00AA0891">
        <w:t>κατ</w:t>
      </w:r>
      <w:r w:rsidRPr="0097554A">
        <w:rPr>
          <w:lang w:val="ru-RU"/>
        </w:rPr>
        <w:t xml:space="preserve"> </w:t>
      </w:r>
      <w:r w:rsidRPr="00AA0891">
        <w:t>ένωσιν</w:t>
      </w:r>
      <w:r w:rsidRPr="0097554A">
        <w:rPr>
          <w:lang w:val="ru-RU"/>
        </w:rPr>
        <w:t xml:space="preserve"> </w:t>
      </w:r>
      <w:r w:rsidRPr="00AA0891">
        <w:t>φυσικήν</w:t>
      </w:r>
      <w:r w:rsidRPr="00794712">
        <w:rPr>
          <w:lang w:val="ru-RU"/>
        </w:rPr>
        <w:t>）更紧密地结合者，当受绝罚</w:t>
      </w:r>
      <w:r>
        <w:rPr>
          <w:lang w:val="ru-RU"/>
        </w:rPr>
        <w:t>。</w:t>
      </w:r>
      <w:r w:rsidRPr="00794712">
        <w:rPr>
          <w:lang w:val="ru-RU"/>
        </w:rPr>
        <w:t>”第四章中写道： “凡将福音书和使徒书信中关于基督的表述——无论是圣经作者所言，还是基督自己所言——加以区分，将其中一部分归于人（将其与作为‘道’的基督区分开来），而将另一部分作为‘神性’仅归于从父神而出的‘道’者：此人当受绝罚</w:t>
      </w:r>
      <w:r>
        <w:rPr>
          <w:lang w:val="ru-RU"/>
        </w:rPr>
        <w:t>。”</w:t>
      </w:r>
      <w:r w:rsidRPr="00794712">
        <w:rPr>
          <w:lang w:val="ru-RU"/>
        </w:rPr>
        <w:t xml:space="preserve"> 第五条：“凡胆敢称基督为‘神性的人’，而不称祂为‘真神’——即独一且本源的圣子——的人；因为道成了肉身，并像我们一样拥有血肉之躯：此人当受绝罚。”</w:t>
      </w:r>
      <w:r w:rsidR="005928C9">
        <w:rPr>
          <w:rStyle w:val="FootnoteReference"/>
          <w:lang w:val="ru-RU"/>
        </w:rPr>
        <w:footnoteReference w:id="213"/>
      </w:r>
      <w:r w:rsidRPr="00794712">
        <w:rPr>
          <w:lang w:val="ru-RU"/>
        </w:rPr>
        <w:t xml:space="preserve"> 正如我们所见，迦克墩大公会议在其信</w:t>
      </w:r>
      <w:r>
        <w:rPr>
          <w:lang w:val="ru-RU"/>
        </w:rPr>
        <w:t>条</w:t>
      </w:r>
      <w:r w:rsidRPr="00794712">
        <w:rPr>
          <w:lang w:val="ru-RU"/>
        </w:rPr>
        <w:t>中教导人们信奉“同一位基督，即独生子、主，在两个本性中……可被认识……并非被分割或分为两个位格，而是同一位独生子，也是独生神之道。</w:t>
      </w:r>
      <w:r>
        <w:rPr>
          <w:lang w:val="ru-RU"/>
        </w:rPr>
        <w:t>”</w:t>
      </w:r>
    </w:p>
    <w:p w14:paraId="273808D7" w14:textId="77777777" w:rsidR="00D85B34" w:rsidRPr="00794712" w:rsidRDefault="00D85B34" w:rsidP="00D85B34">
      <w:pPr>
        <w:rPr>
          <w:lang w:val="ru-RU"/>
        </w:rPr>
      </w:pPr>
      <w:r w:rsidRPr="00794712">
        <w:rPr>
          <w:lang w:val="ru-RU"/>
        </w:rPr>
        <w:tab/>
      </w:r>
      <w:r w:rsidRPr="00AA0891">
        <w:t>III</w:t>
      </w:r>
      <w:r w:rsidRPr="00794712">
        <w:rPr>
          <w:lang w:val="ru-RU"/>
        </w:rPr>
        <w:t>. 在私人教师中，只需列举那些生活在以弗所和哈尔基顿大公会议之前并曾就该教义进行教导之人的见证即可。 这些见证包括：</w:t>
      </w:r>
      <w:r w:rsidRPr="00AA0891">
        <w:t>a</w:t>
      </w:r>
      <w:r w:rsidRPr="00794712">
        <w:rPr>
          <w:lang w:val="ru-RU"/>
        </w:rPr>
        <w:t>) 圣伊格纳提乌斯·神载者：“一位兼具肉体与灵性的医治者，受生与未受生，在肉身中显现的神，在死亡中是真正的生命，既源于玛利亚，也源于神。起初经历苦难，随后不再经历苦难，耶稣基督，我们的主</w:t>
      </w:r>
      <w:r w:rsidRPr="00D95B39">
        <w:rPr>
          <w:lang w:val="ru-RU"/>
        </w:rPr>
        <w:t>；</w:t>
      </w:r>
      <w:r>
        <w:rPr>
          <w:lang w:val="ru-RU"/>
        </w:rPr>
        <w:t>”</w:t>
      </w:r>
      <w:r w:rsidR="005928C9">
        <w:rPr>
          <w:rStyle w:val="FootnoteReference"/>
          <w:lang w:val="ru-RU"/>
        </w:rPr>
        <w:footnoteReference w:id="214"/>
      </w:r>
      <w:r w:rsidR="00A95A76" w:rsidRPr="00A95A76">
        <w:rPr>
          <w:b/>
          <w:lang w:val="ru-RU"/>
        </w:rPr>
        <w:t xml:space="preserve"> b) </w:t>
      </w:r>
      <w:r w:rsidRPr="00794712">
        <w:rPr>
          <w:lang w:val="ru-RU"/>
        </w:rPr>
        <w:t>特土良：“我们看见两种本性，既非混合，却在神与人耶稣的唯一位格中结合</w:t>
      </w:r>
      <w:r w:rsidRPr="00D95B39">
        <w:rPr>
          <w:lang w:val="ru-RU"/>
        </w:rPr>
        <w:t>；</w:t>
      </w:r>
      <w:r>
        <w:rPr>
          <w:lang w:val="ru-RU"/>
        </w:rPr>
        <w:t>”</w:t>
      </w:r>
      <w:r w:rsidR="005928C9">
        <w:rPr>
          <w:rStyle w:val="FootnoteReference"/>
          <w:lang w:val="ru-RU"/>
        </w:rPr>
        <w:footnoteReference w:id="215"/>
      </w:r>
      <w:r w:rsidR="00A95A76" w:rsidRPr="00A95A76">
        <w:rPr>
          <w:b/>
          <w:lang w:val="ru-RU"/>
        </w:rPr>
        <w:t xml:space="preserve"> c)</w:t>
      </w:r>
      <w:r w:rsidRPr="00794712">
        <w:rPr>
          <w:lang w:val="ru-RU"/>
        </w:rPr>
        <w:t xml:space="preserve"> 圣大亚他那修：</w:t>
      </w:r>
      <w:r>
        <w:rPr>
          <w:lang w:val="ru-RU"/>
        </w:rPr>
        <w:t>“</w:t>
      </w:r>
      <w:r w:rsidRPr="00794712">
        <w:rPr>
          <w:lang w:val="ru-RU"/>
        </w:rPr>
        <w:t>（基督）是完全的神，也是完全的人，在唯一位格中合而为一，源于两种本性，又存于两种本性之中</w:t>
      </w:r>
      <w:r w:rsidRPr="00D95B39">
        <w:rPr>
          <w:lang w:val="ru-RU"/>
        </w:rPr>
        <w:t>；</w:t>
      </w:r>
      <w:r w:rsidR="00A95A76" w:rsidRPr="00A95A76">
        <w:rPr>
          <w:b/>
          <w:lang w:val="ru-RU"/>
        </w:rPr>
        <w:t xml:space="preserve"> </w:t>
      </w:r>
      <w:r>
        <w:rPr>
          <w:lang w:val="ru-RU"/>
        </w:rPr>
        <w:t>”</w:t>
      </w:r>
      <w:r w:rsidR="005928C9">
        <w:rPr>
          <w:rStyle w:val="FootnoteReference"/>
          <w:lang w:val="ru-RU"/>
        </w:rPr>
        <w:footnoteReference w:id="216"/>
      </w:r>
      <w:r w:rsidR="00A95A76" w:rsidRPr="00A95A76">
        <w:rPr>
          <w:b/>
          <w:lang w:val="ru-RU"/>
        </w:rPr>
        <w:t xml:space="preserve"> d)</w:t>
      </w:r>
      <w:r w:rsidRPr="00794712">
        <w:rPr>
          <w:lang w:val="ru-RU"/>
        </w:rPr>
        <w:t xml:space="preserve"> 圣以弗所·西里尔： “我承认同一位是完全的神，也是完全的人，具有两种本性，这两种本性在位格上或人格上结合，不可分割、不混杂且不变，祂披戴了肉身，这肉身被具有言语和理性的灵魂所赋予生命，并在除罪以外的一</w:t>
      </w:r>
      <w:r w:rsidRPr="00794712">
        <w:rPr>
          <w:lang w:val="ru-RU"/>
        </w:rPr>
        <w:lastRenderedPageBreak/>
        <w:t>切事上都顺服了我们； 同一位……既是神又是人，在二者中皆为完全，一位具有两种本性，在两种</w:t>
      </w:r>
      <w:r>
        <w:rPr>
          <w:lang w:val="ru-RU"/>
        </w:rPr>
        <w:t>本性中仍为一位”</w:t>
      </w:r>
      <w:r w:rsidR="005928C9">
        <w:rPr>
          <w:rStyle w:val="FootnoteReference"/>
          <w:lang w:val="ru-RU"/>
        </w:rPr>
        <w:footnoteReference w:id="217"/>
      </w:r>
      <w:r w:rsidR="00A95A76" w:rsidRPr="00A95A76">
        <w:rPr>
          <w:b/>
          <w:lang w:val="ru-RU"/>
        </w:rPr>
        <w:t xml:space="preserve"> d)</w:t>
      </w:r>
      <w:r w:rsidRPr="00794712">
        <w:rPr>
          <w:lang w:val="ru-RU"/>
        </w:rPr>
        <w:t xml:space="preserve"> 圣格里高利·神学家：“我们并不将祂（</w:t>
      </w:r>
      <w:r w:rsidR="00A95A76" w:rsidRPr="00A95A76">
        <w:rPr>
          <w:b/>
          <w:lang w:val="ru-RU"/>
        </w:rPr>
        <w:t>基督）</w:t>
      </w:r>
      <w:r w:rsidRPr="00794712">
        <w:rPr>
          <w:lang w:val="ru-RU"/>
        </w:rPr>
        <w:t>中的人性与神性分离，而是教导说，同一位在成为人之前， 而是神，是独生子，永恒的，既无肉体，亦无任何属世之物；最终，祂又成为人，为我们的救赎而取了肉身，在肉体上受苦，在神性上无情无欲，在肉体上受限，在灵性上无边无际； 同一位——既是地上的，也是天上的；既是可见的，也是可思议的；既是可容纳的，也是不可容纳的，为要借着完全的人和神，使因罪堕落的完全的人得以重造</w:t>
      </w:r>
      <w:r w:rsidRPr="00B33C64">
        <w:rPr>
          <w:lang w:val="ru-RU"/>
        </w:rPr>
        <w:t>；</w:t>
      </w:r>
      <w:r>
        <w:rPr>
          <w:lang w:val="ru-RU"/>
        </w:rPr>
        <w:t>”</w:t>
      </w:r>
      <w:r w:rsidR="00F9164C">
        <w:rPr>
          <w:rStyle w:val="FootnoteReference"/>
          <w:lang w:val="ru-RU"/>
        </w:rPr>
        <w:footnoteReference w:id="218"/>
      </w:r>
      <w:r w:rsidR="00A95A76" w:rsidRPr="00A95A76">
        <w:rPr>
          <w:b/>
          <w:lang w:val="ru-RU"/>
        </w:rPr>
        <w:t xml:space="preserve"> e)</w:t>
      </w:r>
      <w:r w:rsidRPr="00794712">
        <w:rPr>
          <w:lang w:val="ru-RU"/>
        </w:rPr>
        <w:t xml:space="preserve"> 圣奥古斯丁：“耶稣基督是神的儿子，既是神，也是人； 是神：因为祂是神的道，而</w:t>
      </w:r>
      <w:r w:rsidRPr="00B33C64">
        <w:rPr>
          <w:i/>
          <w:iCs/>
          <w:lang w:val="ru-RU"/>
        </w:rPr>
        <w:t>道就是神</w:t>
      </w:r>
      <w:r w:rsidR="005864AB">
        <w:rPr>
          <w:lang w:val="ru-RU"/>
        </w:rPr>
        <w:t>（约</w:t>
      </w:r>
      <w:r w:rsidRPr="00794712">
        <w:rPr>
          <w:lang w:val="ru-RU"/>
        </w:rPr>
        <w:t>1</w:t>
      </w:r>
      <w:r w:rsidRPr="005B235D">
        <w:rPr>
          <w:lang w:val="ru-RU"/>
        </w:rPr>
        <w:t>:</w:t>
      </w:r>
      <w:r w:rsidRPr="00794712">
        <w:rPr>
          <w:lang w:val="ru-RU"/>
        </w:rPr>
        <w:t>1）；是人：因为理性的灵魂和肉体被道接纳于位格的合一之中</w:t>
      </w:r>
      <w:r>
        <w:rPr>
          <w:lang w:val="ru-RU"/>
        </w:rPr>
        <w:t>，”</w:t>
      </w:r>
      <w:r w:rsidRPr="00794712">
        <w:rPr>
          <w:lang w:val="ru-RU"/>
        </w:rPr>
        <w:t>接着说：“唯一的神的儿子，也是同一位人子； 同一位人子，也是同一位神的儿子；并非两位神的儿子——一位是神，一位是人，而是同一位神的儿子；神无始，人则有可知的起始，即我们的主耶稣基督。</w:t>
      </w:r>
      <w:r>
        <w:rPr>
          <w:lang w:val="ru-RU"/>
        </w:rPr>
        <w:t>”</w:t>
      </w:r>
      <w:r w:rsidR="00F9164C">
        <w:rPr>
          <w:rStyle w:val="FootnoteReference"/>
          <w:lang w:val="ru-RU"/>
        </w:rPr>
        <w:footnoteReference w:id="219"/>
      </w:r>
    </w:p>
    <w:p w14:paraId="2BB7D7DB" w14:textId="77777777" w:rsidR="00D85B34" w:rsidRPr="00794712" w:rsidRDefault="00D85B34" w:rsidP="00D85B34">
      <w:pPr>
        <w:rPr>
          <w:lang w:val="ru-RU"/>
        </w:rPr>
      </w:pPr>
      <w:r w:rsidRPr="00794712">
        <w:rPr>
          <w:lang w:val="ru-RU"/>
        </w:rPr>
        <w:tab/>
      </w:r>
      <w:r w:rsidRPr="00AA0891">
        <w:t>IV</w:t>
      </w:r>
      <w:r w:rsidRPr="00794712">
        <w:rPr>
          <w:lang w:val="ru-RU"/>
        </w:rPr>
        <w:t>. 而且，基于神学原则，任何理智的人都不得不注意到，将耶稣基督分为两个位格的聂斯托里乌斯异端，完全推翻了道成肉身之奥秘和救赎之奥秘。 倘若基督里的神性与人性并非结合为一个位格，而是构成两个独立的位格；倘若神的儿子仅在道德上而非肉体上与人子基督联合，并如从前在摩西和先知们身上那样居住在他里面：那么道成肉身便根本不存在，也就无法说： “道成了肉身”；或说：“神差遣了祂由妇人所生的儿子”。因为这意味着，神的儿子并非由妇人所生，也没有取了人的肉身，而仅仅是从外部与那位由妇人所生的基督——人——结合在一起。 另一方面，倘若在十字架上为我们受苦并死去的，并非以肉身——即祂已将其纳入自身位格合一之中的肉身——显现的上帝之子，而仅仅是一个与上帝之子仅存道德联合的普通人基督：那么我们的救赎也就无法实现，</w:t>
      </w:r>
      <w:r>
        <w:rPr>
          <w:lang w:val="ru-RU"/>
        </w:rPr>
        <w:t xml:space="preserve"> </w:t>
      </w:r>
      <w:r w:rsidRPr="00794712">
        <w:rPr>
          <w:lang w:val="ru-RU"/>
        </w:rPr>
        <w:t>——因为人无论多么圣洁，仅凭其自身的局限性，都无法为全人类的罪孽向上帝无限的公义作出充分的赎罪。而通过动摇道成肉身之奥秘和赎罪之奥秘，聂斯托里乌斯的异端也随之动摇了整个基督教信仰的根基。</w:t>
      </w:r>
    </w:p>
    <w:p w14:paraId="46E0A56E" w14:textId="77777777" w:rsidR="005D7717" w:rsidRDefault="005D7717" w:rsidP="005D7717">
      <w:pPr>
        <w:rPr>
          <w:lang w:val="ru-RU"/>
        </w:rPr>
      </w:pPr>
      <w:bookmarkStart w:id="163" w:name="_Toc133155569"/>
    </w:p>
    <w:p w14:paraId="333741A2" w14:textId="77777777" w:rsidR="00D85B34" w:rsidRPr="00794712" w:rsidRDefault="00D85B34" w:rsidP="007B240B">
      <w:pPr>
        <w:pStyle w:val="Heading5"/>
        <w:rPr>
          <w:lang w:val="ru-RU"/>
        </w:rPr>
      </w:pPr>
      <w:bookmarkStart w:id="164" w:name="_Toc180664582"/>
      <w:bookmarkStart w:id="165" w:name="_Toc180679203"/>
      <w:bookmarkStart w:id="166" w:name="_Toc180679260"/>
      <w:bookmarkStart w:id="167" w:name="_Toc180679783"/>
      <w:bookmarkStart w:id="168" w:name="_Toc238453666"/>
      <w:bookmarkStart w:id="169" w:name="_Toc238576482"/>
      <w:r w:rsidRPr="00794712">
        <w:rPr>
          <w:lang w:val="ru-RU"/>
        </w:rPr>
        <w:t>§138. 基督内两种本性位格联合的模式</w:t>
      </w:r>
      <w:bookmarkEnd w:id="163"/>
      <w:bookmarkEnd w:id="164"/>
      <w:bookmarkEnd w:id="165"/>
      <w:bookmarkEnd w:id="166"/>
      <w:bookmarkEnd w:id="167"/>
      <w:bookmarkEnd w:id="168"/>
      <w:bookmarkEnd w:id="169"/>
    </w:p>
    <w:p w14:paraId="69DDA111" w14:textId="77777777" w:rsidR="00D85B34" w:rsidRPr="00794712" w:rsidRDefault="00D85B34" w:rsidP="00D85B34">
      <w:pPr>
        <w:ind w:firstLine="708"/>
        <w:rPr>
          <w:lang w:val="ru-RU"/>
        </w:rPr>
      </w:pPr>
      <w:r w:rsidRPr="00794712">
        <w:rPr>
          <w:lang w:val="ru-RU"/>
        </w:rPr>
        <w:t>耶稣基督内的两种本性——神性与人性——尽管存在种种差异，是如何结合为一个位格的； 祂既是完全的神又是完全的人，却仅为一位位格：这，正如神的话</w:t>
      </w:r>
      <w:r>
        <w:rPr>
          <w:lang w:val="ru-RU"/>
        </w:rPr>
        <w:t>所言</w:t>
      </w:r>
      <w:r w:rsidRPr="00A65D28">
        <w:rPr>
          <w:i/>
          <w:iCs/>
          <w:lang w:val="ru-RU"/>
        </w:rPr>
        <w:t>，是“至大的虔敬奥秘”</w:t>
      </w:r>
      <w:r w:rsidR="00621F17">
        <w:rPr>
          <w:lang w:val="ru-RU"/>
        </w:rPr>
        <w:t>（</w:t>
      </w:r>
      <w:r w:rsidRPr="00794712">
        <w:rPr>
          <w:lang w:val="ru-RU"/>
        </w:rPr>
        <w:t>提摩太前书3</w:t>
      </w:r>
      <w:r>
        <w:rPr>
          <w:lang w:val="ru-RU"/>
        </w:rPr>
        <w:t>:</w:t>
      </w:r>
      <w:r w:rsidRPr="00794712">
        <w:rPr>
          <w:lang w:val="ru-RU"/>
        </w:rPr>
        <w:t>16），因此超乎我们的理智所能理解。 但根据同一句神的话语，这一奥秘在我们的信仰中是何等可及，圣教会教导我们：我们救主内的两种本性是结合在一起的：</w:t>
      </w:r>
      <w:r>
        <w:rPr>
          <w:lang w:val="ru-RU"/>
        </w:rPr>
        <w:t xml:space="preserve"> </w:t>
      </w:r>
      <w:r>
        <w:t>I</w:t>
      </w:r>
      <w:r w:rsidRPr="00794712">
        <w:rPr>
          <w:lang w:val="ru-RU"/>
        </w:rPr>
        <w:t>) 一方面——</w:t>
      </w:r>
      <w:r w:rsidRPr="00794712">
        <w:rPr>
          <w:lang w:val="ru-RU"/>
        </w:rPr>
        <w:lastRenderedPageBreak/>
        <w:t>不混杂（</w:t>
      </w:r>
      <w:r w:rsidRPr="00AA0891">
        <w:t>άσυγχύτως</w:t>
      </w:r>
      <w:r w:rsidRPr="00794712">
        <w:rPr>
          <w:lang w:val="ru-RU"/>
        </w:rPr>
        <w:t>）且不变，或不可动摇（</w:t>
      </w:r>
      <w:r w:rsidRPr="00AA0891">
        <w:t>άτρεπτως</w:t>
      </w:r>
      <w:r w:rsidRPr="00794712">
        <w:rPr>
          <w:lang w:val="ru-RU"/>
        </w:rPr>
        <w:t xml:space="preserve">），这与一性论者的谬论相反；他们将基督的两种本性混为一谈，或认为神性在祂里面被转化为肉身； </w:t>
      </w:r>
      <w:r w:rsidRPr="00AA0891">
        <w:t>II</w:t>
      </w:r>
      <w:r w:rsidRPr="00794712">
        <w:rPr>
          <w:lang w:val="ru-RU"/>
        </w:rPr>
        <w:t>) 另一方面——不可分割（</w:t>
      </w:r>
      <w:r w:rsidRPr="00AA0891">
        <w:t>αδιαιρετως</w:t>
      </w:r>
      <w:r w:rsidRPr="00794712">
        <w:rPr>
          <w:lang w:val="ru-RU"/>
        </w:rPr>
        <w:t>）且不可分离（</w:t>
      </w:r>
      <w:r w:rsidRPr="00AA0891">
        <w:t>άχωρίστως</w:t>
      </w:r>
      <w:r w:rsidRPr="00794712">
        <w:rPr>
          <w:lang w:val="ru-RU"/>
        </w:rPr>
        <w:t>），这与聂斯托里派的谬误相反，他们将基督的两个本性分开；也与其他异端分子相反，这些人否认这两个本性是恒常且不间断地结合在一起的（参见《迦克墩大公会议信经》）。</w:t>
      </w:r>
    </w:p>
    <w:p w14:paraId="7678F25F" w14:textId="77777777" w:rsidR="00D85B34" w:rsidRPr="00794712" w:rsidRDefault="00D85B34" w:rsidP="00D85B34">
      <w:pPr>
        <w:rPr>
          <w:lang w:val="ru-RU"/>
        </w:rPr>
      </w:pPr>
      <w:r w:rsidRPr="00794712">
        <w:rPr>
          <w:lang w:val="ru-RU"/>
        </w:rPr>
        <w:tab/>
      </w:r>
      <w:r w:rsidRPr="004F07F1">
        <w:rPr>
          <w:b/>
          <w:bCs/>
        </w:rPr>
        <w:t>I</w:t>
      </w:r>
      <w:r w:rsidRPr="004F07F1">
        <w:rPr>
          <w:b/>
          <w:bCs/>
          <w:lang w:val="ru-RU"/>
        </w:rPr>
        <w:t>.</w:t>
      </w:r>
      <w:r w:rsidRPr="00794712">
        <w:rPr>
          <w:lang w:val="ru-RU"/>
        </w:rPr>
        <w:t xml:space="preserve"> 基督内的两种本性结合</w:t>
      </w:r>
      <w:r w:rsidR="00A95A76" w:rsidRPr="00A95A76">
        <w:rPr>
          <w:b/>
          <w:lang w:val="ru-RU"/>
        </w:rPr>
        <w:t>在一起——a)</w:t>
      </w:r>
      <w:r w:rsidRPr="00794712">
        <w:rPr>
          <w:lang w:val="ru-RU"/>
        </w:rPr>
        <w:t xml:space="preserve"> 非融合的，即它们并未融合或混杂，以致形成某种新的</w:t>
      </w:r>
      <w:r>
        <w:rPr>
          <w:lang w:val="ru-RU"/>
        </w:rPr>
        <w:t>、</w:t>
      </w:r>
      <w:r w:rsidRPr="00794712">
        <w:rPr>
          <w:lang w:val="ru-RU"/>
        </w:rPr>
        <w:t>第三种本性，而是作为两种不同的本性，都存于救主之内；</w:t>
      </w:r>
      <w:r w:rsidR="00A95A76" w:rsidRPr="00A95A76">
        <w:rPr>
          <w:b/>
          <w:lang w:val="ru-RU"/>
        </w:rPr>
        <w:t xml:space="preserve"> b) </w:t>
      </w:r>
      <w:r w:rsidRPr="00794712">
        <w:rPr>
          <w:lang w:val="ru-RU"/>
        </w:rPr>
        <w:t>不变或不可改变，即神性既未转变为人性，人性也未转变为神性，二者都在救主位格中保持完整（《东正教信条》第1卷，对第38个问题的回答）。 关于耶稣基督内两种本性在位格联合中既完全完整又相互区别的这一真理，可从以下方面看出：</w:t>
      </w:r>
    </w:p>
    <w:p w14:paraId="18F7279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从我们已经探讨过的所有圣经经文中，这些经文一方面将神性、神的属性、神的作为归于耶稣基督，并称祂为完全的神；另一方面，又将人性、人的属性、人的作为归于祂，并将祂呈现为完全的人。 但如果基督里的神性与人性相互融合或混杂：那么祂既不是完全的神，也不是完全的人，就无法将神性或人性归于祂；而应当归于祂一种由二者融合或混杂而成的全新本性，并具有新的属性与特征。</w:t>
      </w:r>
      <w:r w:rsidR="005D7717">
        <w:rPr>
          <w:rStyle w:val="FootnoteReference"/>
          <w:lang w:val="ru-RU"/>
        </w:rPr>
        <w:footnoteReference w:id="220"/>
      </w:r>
      <w:r w:rsidR="00D85B34" w:rsidRPr="00794712">
        <w:rPr>
          <w:lang w:val="ru-RU"/>
        </w:rPr>
        <w:t xml:space="preserve"> 同样地，倘若在基督的位格中，神性转变为人性，或者人性转变为神性并被后者所吞没：那么，就只能将这两性中仍保持完整的某一种归于耶稣基督，而绝不能归于另一种——那种已被废除并丧失其特性的本性。</w:t>
      </w:r>
    </w:p>
    <w:p w14:paraId="5CB78AAD" w14:textId="77777777" w:rsidR="00D85B34" w:rsidRPr="00794712" w:rsidRDefault="00F45CFB" w:rsidP="00D85B34">
      <w:pPr>
        <w:ind w:firstLine="708"/>
        <w:rPr>
          <w:lang w:val="ru-RU"/>
        </w:rPr>
      </w:pPr>
      <w:r w:rsidRPr="00F45CFB">
        <w:rPr>
          <w:b/>
          <w:lang w:val="ru-RU"/>
        </w:rPr>
        <w:t>2)</w:t>
      </w:r>
      <w:r w:rsidR="00D85B34" w:rsidRPr="00794712">
        <w:rPr>
          <w:lang w:val="ru-RU"/>
        </w:rPr>
        <w:t xml:space="preserve"> 根据以下定义和见证</w:t>
      </w:r>
      <w:r w:rsidR="00A95A76" w:rsidRPr="00A95A76">
        <w:rPr>
          <w:b/>
          <w:lang w:val="ru-RU"/>
        </w:rPr>
        <w:t>——a)</w:t>
      </w:r>
      <w:r w:rsidR="00D85B34" w:rsidRPr="00794712">
        <w:rPr>
          <w:lang w:val="ru-RU"/>
        </w:rPr>
        <w:t xml:space="preserve"> 所有那些大公会议和地方会议，以及教会教师，他们曾对抗众多异端分子，捍卫并论证了耶稣基督真正的神性；</w:t>
      </w:r>
      <w:r w:rsidR="005D7717">
        <w:rPr>
          <w:rStyle w:val="FootnoteReference"/>
          <w:lang w:val="ru-RU"/>
        </w:rPr>
        <w:footnoteReference w:id="221"/>
      </w:r>
      <w:r w:rsidR="00A95A76" w:rsidRPr="00A95A76">
        <w:rPr>
          <w:b/>
          <w:lang w:val="ru-RU"/>
        </w:rPr>
        <w:t xml:space="preserve"> b)</w:t>
      </w:r>
      <w:r w:rsidR="00D85B34" w:rsidRPr="00794712">
        <w:rPr>
          <w:lang w:val="ru-RU"/>
        </w:rPr>
        <w:t xml:space="preserve"> 所有那些大公会议和教会教师，他们曾对抗异端分子，捍卫并论证了耶稣基督真正的人性；</w:t>
      </w:r>
      <w:r w:rsidR="005D7717">
        <w:rPr>
          <w:rStyle w:val="FootnoteReference"/>
          <w:lang w:val="ru-RU"/>
        </w:rPr>
        <w:footnoteReference w:id="222"/>
      </w:r>
      <w:r w:rsidR="00A95A76" w:rsidRPr="00A95A76">
        <w:rPr>
          <w:b/>
          <w:lang w:val="ru-RU"/>
        </w:rPr>
        <w:t xml:space="preserve"> c)</w:t>
      </w:r>
      <w:r w:rsidR="00D85B34" w:rsidRPr="00794712">
        <w:rPr>
          <w:lang w:val="ru-RU"/>
        </w:rPr>
        <w:t xml:space="preserve"> 最后，从迦克墩大公会议针对一性论者所作的明确信条中，关于耶稣基督内两种本性不可混杂且不可改变的结合；以及所有在迦克墩大公会议期间或之后就这一教义著述的教会教师们的见证中。</w:t>
      </w:r>
      <w:r w:rsidR="005D7717">
        <w:rPr>
          <w:rStyle w:val="FootnoteReference"/>
          <w:lang w:val="ru-RU"/>
        </w:rPr>
        <w:footnoteReference w:id="223"/>
      </w:r>
      <w:r w:rsidR="00D85B34" w:rsidRPr="00794712">
        <w:rPr>
          <w:lang w:val="ru-RU"/>
        </w:rPr>
        <w:t xml:space="preserve"> 不过，早在迦克墩大公会议之前，圣父们和教会教师们就已经同样明确地宣认，基督具有两个完整且不同的本性，没有任何混杂或改变。例如：</w:t>
      </w:r>
    </w:p>
    <w:p w14:paraId="084FE41F" w14:textId="77777777" w:rsidR="00D85B34" w:rsidRPr="00794712" w:rsidRDefault="00D85B34" w:rsidP="00D85B34">
      <w:pPr>
        <w:rPr>
          <w:lang w:val="ru-RU"/>
        </w:rPr>
      </w:pPr>
      <w:r w:rsidRPr="00794712">
        <w:rPr>
          <w:lang w:val="ru-RU"/>
        </w:rPr>
        <w:tab/>
        <w:t xml:space="preserve">圣希波吕托斯：“上帝之道为了我们，成为真正的人，只是没有罪……为了我们，祂承担了自然肉身的局限性，但并未因此发生转变。 虽然祂与圣父同属一种本性，却并未因取肉身而与肉身同化；而是依然如在取肉身之前那样完全无所限制，并通过肉身成就了神性所固有的作为。 </w:t>
      </w:r>
      <w:r w:rsidRPr="00794712">
        <w:rPr>
          <w:lang w:val="ru-RU"/>
        </w:rPr>
        <w:lastRenderedPageBreak/>
        <w:t>通过神性与人性这双重作用，祂向双方显明了自己：既是无限的神，又是有限的人，在祂自己里面完全保留了这两种本性，并以属于每种本性的作用——或者说，以属于每种本性的本质属性——行事</w:t>
      </w:r>
      <w:r>
        <w:rPr>
          <w:lang w:val="ru-RU"/>
        </w:rPr>
        <w:t>。”</w:t>
      </w:r>
      <w:r w:rsidR="005D7717">
        <w:rPr>
          <w:rStyle w:val="FootnoteReference"/>
          <w:lang w:val="ru-RU"/>
        </w:rPr>
        <w:footnoteReference w:id="224"/>
      </w:r>
    </w:p>
    <w:p w14:paraId="7BEF217F" w14:textId="77777777" w:rsidR="00D85B34" w:rsidRPr="00794712" w:rsidRDefault="00D85B34" w:rsidP="00D85B34">
      <w:pPr>
        <w:rPr>
          <w:lang w:val="ru-RU"/>
        </w:rPr>
      </w:pPr>
      <w:r w:rsidRPr="00794712">
        <w:rPr>
          <w:lang w:val="ru-RU"/>
        </w:rPr>
        <w:tab/>
        <w:t>大圣亚他那修：“应当承认基督是完全的神，也是完全的人，但这并非意味着神的完全（或完全的本性）转变为人的完全——那是不敬虔的； 也不应将这两种完美（</w:t>
      </w:r>
      <w:r w:rsidR="00A95A76" w:rsidRPr="00A95A76">
        <w:rPr>
          <w:b/>
          <w:lang w:val="ru-RU"/>
        </w:rPr>
        <w:t>完美的本性）</w:t>
      </w:r>
      <w:r w:rsidRPr="00794712">
        <w:rPr>
          <w:lang w:val="ru-RU"/>
        </w:rPr>
        <w:t xml:space="preserve"> 视为分离而信奉，这与虔诚背道而驰……；而应理解为一种完整的存在，使同一位基督——既是神又是人，在各方面都臻于完美</w:t>
      </w:r>
      <w:r>
        <w:rPr>
          <w:lang w:val="ru-RU"/>
        </w:rPr>
        <w:t>。”</w:t>
      </w:r>
      <w:r w:rsidR="005D7717">
        <w:rPr>
          <w:rStyle w:val="FootnoteReference"/>
          <w:lang w:val="ru-RU"/>
        </w:rPr>
        <w:footnoteReference w:id="225"/>
      </w:r>
    </w:p>
    <w:p w14:paraId="1FE4F3BC" w14:textId="77777777" w:rsidR="00D85B34" w:rsidRPr="00794712" w:rsidRDefault="00D85B34" w:rsidP="00D85B34">
      <w:pPr>
        <w:rPr>
          <w:lang w:val="ru-RU"/>
        </w:rPr>
      </w:pPr>
      <w:r w:rsidRPr="00794712">
        <w:rPr>
          <w:lang w:val="ru-RU"/>
        </w:rPr>
        <w:tab/>
        <w:t>圣以弗所·西里尔：“神性与肉身同存于一个位格和一个位相之中，不可分割，亦不混杂……凡在祂里面将两种本性分开者，必与祂的国度隔绝；凡将二者混为一谈者，必被剥夺祂的生命。</w:t>
      </w:r>
      <w:r>
        <w:rPr>
          <w:lang w:val="ru-RU"/>
        </w:rPr>
        <w:t>”</w:t>
      </w:r>
      <w:r w:rsidR="005D7717">
        <w:rPr>
          <w:rStyle w:val="FootnoteReference"/>
          <w:lang w:val="ru-RU"/>
        </w:rPr>
        <w:footnoteReference w:id="226"/>
      </w:r>
    </w:p>
    <w:p w14:paraId="2D672AAC" w14:textId="77777777" w:rsidR="00D85B34" w:rsidRPr="00794712" w:rsidRDefault="00D85B34" w:rsidP="00D85B34">
      <w:pPr>
        <w:rPr>
          <w:lang w:val="ru-RU"/>
        </w:rPr>
      </w:pPr>
      <w:r w:rsidRPr="00794712">
        <w:rPr>
          <w:lang w:val="ru-RU"/>
        </w:rPr>
        <w:tab/>
        <w:t>圣大巴西勒：“我恳求……摒弃那种荒谬的观点……即仿佛上帝自己化作了肉身，并非通过圣母玛利亚从亚当那里接受了血肉之躯，而是以祂自己的神性转变成了物质本性。这种荒谬的教义极易被驳斥。 但既然这种亵渎本身已显而易见，我认为，对于敬畏主的人来说，仅此一提便已足够。因为若祂转变了，就意味着祂改变了。但我们绝不敢如此说，也不敢如此想；因为上帝说：</w:t>
      </w:r>
      <w:r w:rsidRPr="00A65D28">
        <w:rPr>
          <w:i/>
          <w:iCs/>
          <w:lang w:val="ru-RU"/>
        </w:rPr>
        <w:t>‘我是耶和华，我不改变’</w:t>
      </w:r>
      <w:r w:rsidRPr="00794712">
        <w:rPr>
          <w:lang w:val="ru-RU"/>
        </w:rPr>
        <w:t>（玛拉基书 3</w:t>
      </w:r>
      <w:r w:rsidRPr="0002420A">
        <w:rPr>
          <w:lang w:val="ru-RU"/>
        </w:rPr>
        <w:t>:</w:t>
      </w:r>
      <w:r w:rsidRPr="00794712">
        <w:rPr>
          <w:lang w:val="ru-RU"/>
        </w:rPr>
        <w:t>6）。 况且，如果不是我们的身体与神性结合，战胜了死亡的权势，道成肉身对我们又有何益处呢？祂并非通过改变自身来构成自己的身体，而是这身体仿佛源于神性的浓缩，在祂里面形成。 况且，倘若仅仅是独生子的整个本性发生了转变，那浩瀚无垠的神性又如何能容纳于这微小的身体之中呢？</w:t>
      </w:r>
      <w:r>
        <w:rPr>
          <w:lang w:val="ru-RU"/>
        </w:rPr>
        <w:t>”</w:t>
      </w:r>
      <w:r w:rsidR="005D7717">
        <w:rPr>
          <w:rStyle w:val="FootnoteReference"/>
          <w:lang w:val="ru-RU"/>
        </w:rPr>
        <w:footnoteReference w:id="227"/>
      </w:r>
    </w:p>
    <w:p w14:paraId="69DCC4E0" w14:textId="77777777" w:rsidR="00D85B34" w:rsidRPr="00794712" w:rsidRDefault="00D85B34" w:rsidP="00D85B34">
      <w:pPr>
        <w:rPr>
          <w:lang w:val="ru-RU"/>
        </w:rPr>
      </w:pPr>
      <w:r w:rsidRPr="00794712">
        <w:rPr>
          <w:lang w:val="ru-RU"/>
        </w:rPr>
        <w:tab/>
        <w:t>圣伊西多尔·佩卢西奥特：“当心，不要让任何人引诱你们，而要像坚不可摧的基石一样站立。因为道成肉身的上帝既没有改变，也没有融合，也没有分裂，而是那位独一无二、无始无终、永恒的圣子，无论在道成肉身之前还是之后，我们都同样敬拜祂</w:t>
      </w:r>
      <w:r>
        <w:rPr>
          <w:lang w:val="ru-RU"/>
        </w:rPr>
        <w:t>。”</w:t>
      </w:r>
      <w:r w:rsidR="005D7717">
        <w:rPr>
          <w:rStyle w:val="FootnoteReference"/>
          <w:lang w:val="ru-RU"/>
        </w:rPr>
        <w:footnoteReference w:id="228"/>
      </w:r>
    </w:p>
    <w:p w14:paraId="5579AEA6" w14:textId="77777777" w:rsidR="00D85B34" w:rsidRPr="00794712" w:rsidRDefault="00F45CFB" w:rsidP="00D85B34">
      <w:pPr>
        <w:ind w:firstLine="708"/>
        <w:rPr>
          <w:lang w:val="ru-RU"/>
        </w:rPr>
      </w:pPr>
      <w:r w:rsidRPr="00F45CFB">
        <w:rPr>
          <w:b/>
          <w:lang w:val="ru-RU"/>
        </w:rPr>
        <w:t>3)</w:t>
      </w:r>
      <w:r w:rsidR="00D85B34" w:rsidRPr="00794712">
        <w:rPr>
          <w:lang w:val="ru-RU"/>
        </w:rPr>
        <w:t xml:space="preserve"> 最后，从健全理性的角度来看。基于其自然法则，他绝不能容许：</w:t>
      </w:r>
      <w:r w:rsidR="00A95A76" w:rsidRPr="00A95A76">
        <w:rPr>
          <w:b/>
          <w:lang w:val="ru-RU"/>
        </w:rPr>
        <w:t>a)</w:t>
      </w:r>
      <w:r w:rsidR="00D85B34" w:rsidRPr="00794712">
        <w:rPr>
          <w:lang w:val="ru-RU"/>
        </w:rPr>
        <w:t xml:space="preserve"> 神性与人性在基督内融合或混杂，从而构成一种新的、第三种本性，并丧失各自的属性： 因为神性是不变的，而两个完全单纯的存在——人的灵魂与神性——的融合或混杂是不可能的，更不用说粗糙的人类肉体与最单纯的神性在物理层面上根本不可能融合</w:t>
      </w:r>
      <w:r w:rsidR="00A95A76" w:rsidRPr="00A95A76">
        <w:rPr>
          <w:b/>
          <w:lang w:val="ru-RU"/>
        </w:rPr>
        <w:t>；</w:t>
      </w:r>
      <w:r w:rsidR="005D7717">
        <w:rPr>
          <w:rStyle w:val="FootnoteReference"/>
          <w:lang w:val="ru-RU"/>
        </w:rPr>
        <w:footnoteReference w:id="229"/>
      </w:r>
      <w:r w:rsidR="00A95A76" w:rsidRPr="00A95A76">
        <w:rPr>
          <w:b/>
          <w:lang w:val="ru-RU"/>
        </w:rPr>
        <w:t xml:space="preserve"> b)</w:t>
      </w:r>
      <w:r w:rsidR="00D85B34" w:rsidRPr="00794712">
        <w:rPr>
          <w:lang w:val="ru-RU"/>
        </w:rPr>
        <w:t xml:space="preserve"> 既非神性转变为人性，亦非人性转变为神性：前者违背了上帝的不变性与无限性，后者则违背了人类的</w:t>
      </w:r>
      <w:r w:rsidR="00D85B34" w:rsidRPr="00794712">
        <w:rPr>
          <w:lang w:val="ru-RU"/>
        </w:rPr>
        <w:lastRenderedPageBreak/>
        <w:t>有限性。</w:t>
      </w:r>
      <w:r w:rsidR="00C339E5">
        <w:rPr>
          <w:rStyle w:val="FootnoteReference"/>
          <w:lang w:val="ru-RU"/>
        </w:rPr>
        <w:footnoteReference w:id="230"/>
      </w:r>
      <w:r w:rsidR="00D85B34" w:rsidRPr="00794712">
        <w:rPr>
          <w:lang w:val="ru-RU"/>
        </w:rPr>
        <w:t xml:space="preserve"> 而根据启示神学或基督教神学的原则，理性必须指出：唯有当两种本性在耶稣基督里以非混合且不可改变的方式结合，且二者保持完全的完整性时，我们救赎的伟大事业才得以成就： 因为救主唯有凭着祂的人性才能在十字架上为我们受苦，而唯有祂的神性才能赋予祂的受苦以无穷的价值。因此，若承认基督内两种本性融合或转化为一，就等于推翻了我们救赎的奥秘。</w:t>
      </w:r>
      <w:r w:rsidR="00C339E5">
        <w:rPr>
          <w:rStyle w:val="FootnoteReference"/>
          <w:lang w:val="ru-RU"/>
        </w:rPr>
        <w:footnoteReference w:id="231"/>
      </w:r>
    </w:p>
    <w:p w14:paraId="382DF803" w14:textId="77777777" w:rsidR="00D85B34" w:rsidRPr="00794712" w:rsidRDefault="00D85B34" w:rsidP="00D85B34">
      <w:pPr>
        <w:rPr>
          <w:lang w:val="ru-RU"/>
        </w:rPr>
      </w:pPr>
      <w:r w:rsidRPr="00794712">
        <w:rPr>
          <w:lang w:val="ru-RU"/>
        </w:rPr>
        <w:tab/>
      </w:r>
      <w:r>
        <w:t>II</w:t>
      </w:r>
      <w:r w:rsidRPr="00794712">
        <w:rPr>
          <w:lang w:val="ru-RU"/>
        </w:rPr>
        <w:t>. 两种本性在基督里不可分割、不可分离地结合在一起。 所谓不可分割，是指虽然这两种本性在基督内完全完整且各不相同，并保有各自的所有属性，但它们并不独立存在，也不构成两个仅在道德上结合的独立位格——正如聂斯托里所教导的那样——而是结合为一个神人位格：这一真理我们已经阐明了。 所谓“不可分离”，是指这两种本性自救主在至圣童贞女腹中受孕的那一刻起，便结合为救主唯一的位格，此后从未分离，也永远不会分离：它们的结合是持续不断的。 正如古代教会的教师们为驳斥当时出现的异端观点而特别阐明的——</w:t>
      </w:r>
    </w:p>
    <w:p w14:paraId="56905F88" w14:textId="77777777" w:rsidR="00D85B34" w:rsidRPr="00794712" w:rsidRDefault="00F45CFB" w:rsidP="0099729A">
      <w:pPr>
        <w:ind w:firstLine="708"/>
        <w:rPr>
          <w:lang w:val="ru-RU"/>
        </w:rPr>
      </w:pPr>
      <w:r w:rsidRPr="00F45CFB">
        <w:rPr>
          <w:b/>
          <w:lang w:val="ru-RU"/>
        </w:rPr>
        <w:t>1)</w:t>
      </w:r>
      <w:r w:rsidR="00D85B34" w:rsidRPr="00794712">
        <w:rPr>
          <w:lang w:val="ru-RU"/>
        </w:rPr>
        <w:t xml:space="preserve"> 这一切始于救主在至圣童贞女腹中受孕的瞬间（《正统信条》第一卷，对第38个问题的回答）。因为先知曾预言，童贞女将受孕并生下以马内利，即神人（赛7</w:t>
      </w:r>
      <w:r w:rsidR="00D85B34" w:rsidRPr="00A35C84">
        <w:rPr>
          <w:lang w:val="ru-RU"/>
        </w:rPr>
        <w:t>:</w:t>
      </w:r>
      <w:r w:rsidR="00D85B34" w:rsidRPr="00794712">
        <w:rPr>
          <w:lang w:val="ru-RU"/>
        </w:rPr>
        <w:t>14）； 而天使向她报喜，说她将在腹中受孕并生下那位将被称为“神的儿子”的</w:t>
      </w:r>
      <w:r w:rsidR="008A3626">
        <w:rPr>
          <w:lang w:val="ru-RU"/>
        </w:rPr>
        <w:t>（路加福音</w:t>
      </w:r>
      <w:r w:rsidR="00D85B34" w:rsidRPr="00794712">
        <w:rPr>
          <w:lang w:val="ru-RU"/>
        </w:rPr>
        <w:t xml:space="preserve"> 1</w:t>
      </w:r>
      <w:r w:rsidR="00D85B34" w:rsidRPr="00A35C84">
        <w:rPr>
          <w:lang w:val="ru-RU"/>
        </w:rPr>
        <w:t>:</w:t>
      </w:r>
      <w:r w:rsidR="00D85B34" w:rsidRPr="00794712">
        <w:rPr>
          <w:lang w:val="ru-RU"/>
        </w:rPr>
        <w:t>31-35）。同样，以下圣人亦如此教导：</w:t>
      </w:r>
      <w:r w:rsidR="00A95A76" w:rsidRPr="00A95A76">
        <w:rPr>
          <w:b/>
          <w:lang w:val="ru-RU"/>
        </w:rPr>
        <w:t>a)</w:t>
      </w:r>
      <w:r w:rsidR="00D85B34" w:rsidRPr="00794712">
        <w:rPr>
          <w:lang w:val="ru-RU"/>
        </w:rPr>
        <w:t xml:space="preserve"> 圣格里高利·神学家：“若有人说，在童贞女体内先形成人，然后神才与之结合，当受谴责； 因为这意味着不承认神的诞生，而是回避诞生</w:t>
      </w:r>
      <w:r w:rsidR="00D85B34" w:rsidRPr="00A35C84">
        <w:rPr>
          <w:lang w:val="ru-RU"/>
        </w:rPr>
        <w:t>；</w:t>
      </w:r>
      <w:r w:rsidR="00D85B34">
        <w:rPr>
          <w:lang w:val="ru-RU"/>
        </w:rPr>
        <w:t>”</w:t>
      </w:r>
      <w:r w:rsidR="0099729A">
        <w:rPr>
          <w:rStyle w:val="FootnoteReference"/>
          <w:lang w:val="ru-RU"/>
        </w:rPr>
        <w:footnoteReference w:id="232"/>
      </w:r>
      <w:r w:rsidR="00A95A76" w:rsidRPr="00A95A76">
        <w:rPr>
          <w:b/>
          <w:lang w:val="ru-RU"/>
        </w:rPr>
        <w:t xml:space="preserve"> b)</w:t>
      </w:r>
      <w:r w:rsidR="00D85B34" w:rsidRPr="00794712">
        <w:rPr>
          <w:lang w:val="ru-RU"/>
        </w:rPr>
        <w:t xml:space="preserve"> 亚历山大的圣西里尔：“不应认为，起初从圣母腹中诞生的是一个普通人，随后道才降临在他身上； 而是说，道在母腹中便与人性结合</w:t>
      </w:r>
      <w:r w:rsidR="00D85B34" w:rsidRPr="00A35C84">
        <w:rPr>
          <w:lang w:val="ru-RU"/>
        </w:rPr>
        <w:t>，</w:t>
      </w:r>
      <w:r w:rsidR="00D85B34" w:rsidRPr="00794712">
        <w:rPr>
          <w:lang w:val="ru-RU"/>
        </w:rPr>
        <w:t>并以肉身降生</w:t>
      </w:r>
      <w:r w:rsidR="00D85B34" w:rsidRPr="00A35C84">
        <w:rPr>
          <w:lang w:val="ru-RU"/>
        </w:rPr>
        <w:t>；</w:t>
      </w:r>
      <w:r w:rsidR="00D85B34">
        <w:rPr>
          <w:lang w:val="ru-RU"/>
        </w:rPr>
        <w:t>”</w:t>
      </w:r>
      <w:r w:rsidR="0099729A">
        <w:rPr>
          <w:rStyle w:val="FootnoteReference"/>
          <w:lang w:val="ru-RU"/>
        </w:rPr>
        <w:footnoteReference w:id="233"/>
      </w:r>
      <w:r w:rsidR="00A95A76" w:rsidRPr="00A95A76">
        <w:rPr>
          <w:b/>
          <w:lang w:val="ru-RU"/>
        </w:rPr>
        <w:t xml:space="preserve"> c)</w:t>
      </w:r>
      <w:r w:rsidR="00D85B34" w:rsidRPr="00794712">
        <w:rPr>
          <w:lang w:val="ru-RU"/>
        </w:rPr>
        <w:t xml:space="preserve"> 福者狄奥多里特：“耶稣基督内两种本性的结合发生在受孕之时，”并进一步指出： </w:t>
      </w:r>
      <w:r w:rsidR="00D85B34">
        <w:rPr>
          <w:lang w:val="ru-RU"/>
        </w:rPr>
        <w:t>“</w:t>
      </w:r>
      <w:r w:rsidR="00D85B34" w:rsidRPr="00794712">
        <w:rPr>
          <w:lang w:val="ru-RU"/>
        </w:rPr>
        <w:t>如果联合是在受孕之时完成的，那么显然，人性在联合之后并未丧失其本性</w:t>
      </w:r>
      <w:r w:rsidR="00D85B34" w:rsidRPr="00A35C84">
        <w:rPr>
          <w:lang w:val="ru-RU"/>
        </w:rPr>
        <w:t>；</w:t>
      </w:r>
      <w:r w:rsidR="00D85B34">
        <w:rPr>
          <w:lang w:val="ru-RU"/>
        </w:rPr>
        <w:t>”</w:t>
      </w:r>
      <w:r w:rsidR="0099729A">
        <w:rPr>
          <w:rStyle w:val="FootnoteReference"/>
          <w:lang w:val="ru-RU"/>
        </w:rPr>
        <w:footnoteReference w:id="234"/>
      </w:r>
      <w:r w:rsidR="00A95A76" w:rsidRPr="00A95A76">
        <w:rPr>
          <w:b/>
          <w:lang w:val="ru-RU"/>
        </w:rPr>
        <w:t xml:space="preserve"> d)</w:t>
      </w:r>
      <w:r w:rsidR="00D85B34" w:rsidRPr="00794712">
        <w:rPr>
          <w:lang w:val="ru-RU"/>
        </w:rPr>
        <w:t xml:space="preserve"> 圣普罗克尔：“福音书作者并未说道成肉身是进入了一个已经完全成形的人，而是说祂成了肉身，降临到了本性受孕的最初时刻，降临到了诞生的最初时刻： 因为正如自然出生的人并非一出生就完全准备好行动，而是先以本性的胚胎形式成为血肉之躯，随后随着时间的推移，逐渐获得形成感官和行动器官的力量： 同样，道成肉身的上帝降临到人类诞生的最起初与根源，起初化身为肉身，却并未转变为肉身——绝无此事；——因为神性超乎一切转变</w:t>
      </w:r>
      <w:r w:rsidR="00D85B34" w:rsidRPr="00A35C84">
        <w:rPr>
          <w:lang w:val="ru-RU"/>
        </w:rPr>
        <w:t>；</w:t>
      </w:r>
      <w:r w:rsidR="00D85B34">
        <w:rPr>
          <w:lang w:val="ru-RU"/>
        </w:rPr>
        <w:t>”</w:t>
      </w:r>
      <w:r w:rsidR="0099729A">
        <w:rPr>
          <w:rStyle w:val="FootnoteReference"/>
          <w:lang w:val="ru-RU"/>
        </w:rPr>
        <w:footnoteReference w:id="235"/>
      </w:r>
      <w:r w:rsidR="00A95A76" w:rsidRPr="00A95A76">
        <w:rPr>
          <w:b/>
          <w:lang w:val="ru-RU"/>
        </w:rPr>
        <w:t xml:space="preserve"> d)</w:t>
      </w:r>
      <w:r w:rsidR="00D85B34" w:rsidRPr="00794712">
        <w:rPr>
          <w:lang w:val="ru-RU"/>
        </w:rPr>
        <w:t xml:space="preserve"> 圣约翰·达马斯库斯： </w:t>
      </w:r>
      <w:r w:rsidR="00D85B34" w:rsidRPr="00794712">
        <w:rPr>
          <w:lang w:val="ru-RU"/>
        </w:rPr>
        <w:lastRenderedPageBreak/>
        <w:t>“上帝的道并非与那种原本就已独立存在的肉身结合；而是进入圣母的子宫，在不限制自身位格的前提下，从永贞童女纯洁的血中形成了肉身， 这肉体被具有言语和理性的灵魂所赋予生命，并接受了人类构成的要素，道本身便成为了肉身的位格，以致它既成为肉体，又成为上帝之道的肉体，同时也是被赋予生命、具有言语和理性的肉体</w:t>
      </w:r>
      <w:r w:rsidR="00D85B34" w:rsidRPr="00A35C84">
        <w:rPr>
          <w:lang w:val="ru-RU"/>
        </w:rPr>
        <w:t>；</w:t>
      </w:r>
      <w:r w:rsidR="00D85B34">
        <w:rPr>
          <w:lang w:val="ru-RU"/>
        </w:rPr>
        <w:t>”</w:t>
      </w:r>
      <w:r w:rsidR="0099729A">
        <w:rPr>
          <w:rStyle w:val="FootnoteReference"/>
          <w:lang w:val="ru-RU"/>
        </w:rPr>
        <w:footnoteReference w:id="236"/>
      </w:r>
    </w:p>
    <w:p w14:paraId="7BADD971"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即使在救主被钉十字架受苦的时刻，这种结合也没有被打破（《东正教信条》第一卷，对第46个问题的回答）。 因为倘若祂的神性——正如某些异端所宣称的那样——在那些时刻与祂的人性分离并离弃了祂：那么就不可能与使徒一同说，犹太人将荣耀的主钉在十字架上</w:t>
      </w:r>
      <w:r w:rsidR="00621F17">
        <w:rPr>
          <w:lang w:val="ru-RU"/>
        </w:rPr>
        <w:t>（林</w:t>
      </w:r>
      <w:r w:rsidR="00D85B34" w:rsidRPr="00794712">
        <w:rPr>
          <w:lang w:val="ru-RU"/>
        </w:rPr>
        <w:t>前2</w:t>
      </w:r>
      <w:r w:rsidR="00D85B34" w:rsidRPr="00A35C84">
        <w:rPr>
          <w:lang w:val="ru-RU"/>
        </w:rPr>
        <w:t>:</w:t>
      </w:r>
      <w:r w:rsidR="00D85B34" w:rsidRPr="00794712">
        <w:rPr>
          <w:lang w:val="ru-RU"/>
        </w:rPr>
        <w:t>8）；说</w:t>
      </w:r>
      <w:r w:rsidR="00D85B34" w:rsidRPr="00463002">
        <w:rPr>
          <w:i/>
          <w:iCs/>
          <w:lang w:val="ru-RU"/>
        </w:rPr>
        <w:t>“我们作仇敌的时候，因祂儿子的死与神和好”</w:t>
      </w:r>
      <w:r w:rsidR="00D85B34" w:rsidRPr="00794712">
        <w:rPr>
          <w:lang w:val="ru-RU"/>
        </w:rPr>
        <w:t xml:space="preserve"> （《罗马书》5</w:t>
      </w:r>
      <w:r w:rsidR="00D85B34" w:rsidRPr="00A35C84">
        <w:rPr>
          <w:lang w:val="ru-RU"/>
        </w:rPr>
        <w:t>:</w:t>
      </w:r>
      <w:r w:rsidR="00D85B34" w:rsidRPr="00794712">
        <w:rPr>
          <w:lang w:val="ru-RU"/>
        </w:rPr>
        <w:t>10）；</w:t>
      </w:r>
      <w:r w:rsidR="00D85B34" w:rsidRPr="00463002">
        <w:rPr>
          <w:i/>
          <w:iCs/>
          <w:lang w:val="ru-RU"/>
        </w:rPr>
        <w:t>又不能说主上帝“用祂的血赎买了我们”</w:t>
      </w:r>
      <w:r w:rsidR="00D85B34" w:rsidRPr="00794712">
        <w:rPr>
          <w:lang w:val="ru-RU"/>
        </w:rPr>
        <w:t>（《使徒行传》20</w:t>
      </w:r>
      <w:r w:rsidR="00D85B34" w:rsidRPr="00463002">
        <w:rPr>
          <w:lang w:val="ru-RU"/>
        </w:rPr>
        <w:t>:</w:t>
      </w:r>
      <w:r w:rsidR="00D85B34" w:rsidRPr="00794712">
        <w:rPr>
          <w:lang w:val="ru-RU"/>
        </w:rPr>
        <w:t>28）。教会圣父们一致驳斥了这种异端思想，例如，大亚他那修、</w:t>
      </w:r>
      <w:r w:rsidR="00011518">
        <w:rPr>
          <w:rStyle w:val="FootnoteReference"/>
          <w:lang w:val="ru-RU"/>
        </w:rPr>
        <w:footnoteReference w:id="237"/>
      </w:r>
      <w:r w:rsidR="00D85B34" w:rsidRPr="00794712">
        <w:rPr>
          <w:lang w:val="ru-RU"/>
        </w:rPr>
        <w:t xml:space="preserve"> 尼西亚的格里高利、蒙福的 狄奥多里特，</w:t>
      </w:r>
      <w:r w:rsidR="00011518">
        <w:rPr>
          <w:rStyle w:val="FootnoteReference"/>
          <w:lang w:val="ru-RU"/>
        </w:rPr>
        <w:footnoteReference w:id="238"/>
      </w:r>
      <w:r w:rsidR="00D85B34" w:rsidRPr="00794712">
        <w:rPr>
          <w:lang w:val="ru-RU"/>
        </w:rPr>
        <w:t xml:space="preserve"> 约翰·达马斯库斯。后者特别指出：“虽然基督作为人而死，祂的圣灵与至洁的身体分离了；然而神性始终与二者——即灵魂与身体——不可分割地结合在一起。 因此，这一位格并未分裂为两个位格：因为灵魂与身体从起初就在道之位格中同等地存在。尽管在死亡之时，它们在 之间分离了，但二者均未停止拥有道之唯一位格；因此，道之唯一位格既是道之位格，也是灵魂与身体的位格。 因为无论是灵魂还是身体，除了道的神性之外，从未拥有过自己的神性；而道的神性始终是唯一的，而非两个。因此，基督的神性始终是唯一的。虽然灵魂在空间上与身体分离了，但通过道，它们在神性上仍然结合在一起</w:t>
      </w:r>
      <w:r w:rsidR="00D85B34">
        <w:rPr>
          <w:lang w:val="ru-RU"/>
        </w:rPr>
        <w:t>。”</w:t>
      </w:r>
      <w:r w:rsidR="00011518">
        <w:rPr>
          <w:rStyle w:val="FootnoteReference"/>
          <w:lang w:val="ru-RU"/>
        </w:rPr>
        <w:footnoteReference w:id="239"/>
      </w:r>
    </w:p>
    <w:p w14:paraId="577BB99D" w14:textId="77777777" w:rsidR="00D85B34" w:rsidRDefault="00F45CFB" w:rsidP="00D85B34">
      <w:pPr>
        <w:ind w:firstLine="708"/>
        <w:rPr>
          <w:lang w:val="ru-RU"/>
        </w:rPr>
      </w:pPr>
      <w:r w:rsidRPr="00F45CFB">
        <w:rPr>
          <w:b/>
          <w:lang w:val="ru-RU"/>
        </w:rPr>
        <w:t>3)</w:t>
      </w:r>
      <w:r w:rsidR="00D85B34" w:rsidRPr="00794712">
        <w:rPr>
          <w:lang w:val="ru-RU"/>
        </w:rPr>
        <w:t xml:space="preserve"> 这一关系在救主复活和升天之后并未中断，也永远不会中断（《东正教信条》第一卷，对第56个问题的回答）。 因为上帝的道证实：祂以肉身复活，并以此肉身向门徒显现</w:t>
      </w:r>
      <w:r w:rsidR="005864AB">
        <w:rPr>
          <w:lang w:val="ru-RU"/>
        </w:rPr>
        <w:t>（</w:t>
      </w:r>
      <w:r w:rsidR="00D85B34" w:rsidRPr="00794712">
        <w:rPr>
          <w:lang w:val="ru-RU"/>
        </w:rPr>
        <w:t>约20</w:t>
      </w:r>
      <w:r w:rsidR="00D85B34" w:rsidRPr="00A35C84">
        <w:rPr>
          <w:lang w:val="ru-RU"/>
        </w:rPr>
        <w:t>:</w:t>
      </w:r>
      <w:r w:rsidR="00D85B34" w:rsidRPr="00794712">
        <w:rPr>
          <w:lang w:val="ru-RU"/>
        </w:rPr>
        <w:t xml:space="preserve">26-27）；祂以肉身升天，作为人子 </w:t>
      </w:r>
      <w:r w:rsidR="00297BB8" w:rsidRPr="00297BB8">
        <w:rPr>
          <w:lang w:val="ru-RU"/>
        </w:rPr>
        <w:t>[</w:t>
      </w:r>
      <w:r w:rsidR="005864AB">
        <w:rPr>
          <w:lang w:val="ru-RU"/>
        </w:rPr>
        <w:t>(</w:t>
      </w:r>
      <w:r w:rsidR="00D85B34" w:rsidRPr="00794712">
        <w:rPr>
          <w:lang w:val="ru-RU"/>
        </w:rPr>
        <w:t>约6</w:t>
      </w:r>
      <w:r w:rsidR="00D85B34" w:rsidRPr="00A35C84">
        <w:rPr>
          <w:lang w:val="ru-RU"/>
        </w:rPr>
        <w:t>:</w:t>
      </w:r>
      <w:r w:rsidR="00D85B34" w:rsidRPr="00794712">
        <w:rPr>
          <w:lang w:val="ru-RU"/>
        </w:rPr>
        <w:t>62</w:t>
      </w:r>
      <w:r w:rsidR="00297BB8" w:rsidRPr="00297BB8">
        <w:rPr>
          <w:lang w:val="ru-RU"/>
        </w:rPr>
        <w:t>)</w:t>
      </w:r>
      <w:r w:rsidR="00D85B34" w:rsidRPr="00794712">
        <w:rPr>
          <w:lang w:val="ru-RU"/>
        </w:rPr>
        <w:t>；</w:t>
      </w:r>
      <w:r w:rsidR="0087297C">
        <w:rPr>
          <w:lang w:val="ru-RU"/>
        </w:rPr>
        <w:t xml:space="preserve"> </w:t>
      </w:r>
      <w:r w:rsidR="00297BB8" w:rsidRPr="00297BB8">
        <w:rPr>
          <w:lang w:val="ru-RU"/>
        </w:rPr>
        <w:t>（</w:t>
      </w:r>
      <w:r w:rsidR="0087297C">
        <w:rPr>
          <w:lang w:val="ru-RU"/>
        </w:rPr>
        <w:t>路加福音</w:t>
      </w:r>
      <w:r w:rsidR="00D85B34" w:rsidRPr="00794712">
        <w:rPr>
          <w:lang w:val="ru-RU"/>
        </w:rPr>
        <w:t xml:space="preserve"> 24</w:t>
      </w:r>
      <w:r w:rsidR="00D85B34" w:rsidRPr="00A35C84">
        <w:rPr>
          <w:lang w:val="ru-RU"/>
        </w:rPr>
        <w:t>:</w:t>
      </w:r>
      <w:r w:rsidR="00D85B34" w:rsidRPr="00794712">
        <w:rPr>
          <w:lang w:val="ru-RU"/>
        </w:rPr>
        <w:t>50-51）</w:t>
      </w:r>
      <w:r w:rsidR="00297BB8" w:rsidRPr="00297BB8">
        <w:rPr>
          <w:lang w:val="ru-RU"/>
        </w:rPr>
        <w:t>]</w:t>
      </w:r>
      <w:r w:rsidR="00D85B34" w:rsidRPr="00794712">
        <w:rPr>
          <w:lang w:val="ru-RU"/>
        </w:rPr>
        <w:t>；祂将以人子之身再次显现，审判活人死人</w:t>
      </w:r>
      <w:r w:rsidR="00224D5E">
        <w:rPr>
          <w:lang w:val="ru-RU"/>
        </w:rPr>
        <w:t>（马太福音</w:t>
      </w:r>
      <w:r w:rsidR="00D85B34" w:rsidRPr="00794712">
        <w:rPr>
          <w:lang w:val="ru-RU"/>
        </w:rPr>
        <w:t xml:space="preserve"> 25:31）。 “如果有人说——正如圣格里高利·神学家所言——祂（救主）如今已舍弃了肉身，神性脱离肉身而显露，却不承认祂如今仍与所取的人性同在，并将要再来；那么，这样的人就不要看见祂再来时的荣耀！ 因为，若非与领受了这肉身的主同在，这肉身如今又在何处呢？它并非如摩尼教徒所妄言的那样，被置于太阳之中，以无荣之荣而得荣耀；它也没有像声音的本质、香气的弥漫，以及永不停歇的闪电的飞驰那样，在空气中消散或腐朽。 </w:t>
      </w:r>
      <w:r w:rsidR="00D85B34" w:rsidRPr="00794712">
        <w:rPr>
          <w:lang w:val="ru-RU"/>
        </w:rPr>
        <w:lastRenderedPageBreak/>
        <w:t>否则，如何解释祂复活后是可触摸的</w:t>
      </w:r>
      <w:r w:rsidR="005864AB">
        <w:rPr>
          <w:lang w:val="ru-RU"/>
        </w:rPr>
        <w:t>（</w:t>
      </w:r>
      <w:r w:rsidR="00D85B34" w:rsidRPr="00794712">
        <w:rPr>
          <w:lang w:val="ru-RU"/>
        </w:rPr>
        <w:t>约20</w:t>
      </w:r>
      <w:r w:rsidR="00D85B34" w:rsidRPr="00A35C84">
        <w:rPr>
          <w:lang w:val="ru-RU"/>
        </w:rPr>
        <w:t>:</w:t>
      </w:r>
      <w:r w:rsidR="00D85B34" w:rsidRPr="00794712">
        <w:rPr>
          <w:lang w:val="ru-RU"/>
        </w:rPr>
        <w:t>27），以及将来会向那些曾刺穿祂的人显现</w:t>
      </w:r>
      <w:r w:rsidR="005864AB">
        <w:rPr>
          <w:lang w:val="ru-RU"/>
        </w:rPr>
        <w:t>（</w:t>
      </w:r>
      <w:r w:rsidR="00D85B34" w:rsidRPr="00794712">
        <w:rPr>
          <w:lang w:val="ru-RU"/>
        </w:rPr>
        <w:t>约19</w:t>
      </w:r>
      <w:r w:rsidR="00D85B34" w:rsidRPr="00A35C84">
        <w:rPr>
          <w:lang w:val="ru-RU"/>
        </w:rPr>
        <w:t>:</w:t>
      </w:r>
      <w:r w:rsidR="00D85B34" w:rsidRPr="00794712">
        <w:rPr>
          <w:lang w:val="ru-RU"/>
        </w:rPr>
        <w:t>37）？神性本身是不可见的</w:t>
      </w:r>
      <w:r w:rsidR="00D85B34">
        <w:rPr>
          <w:lang w:val="ru-RU"/>
        </w:rPr>
        <w:t>。”</w:t>
      </w:r>
      <w:r w:rsidR="00011518">
        <w:rPr>
          <w:rStyle w:val="FootnoteReference"/>
          <w:lang w:val="ru-RU"/>
        </w:rPr>
        <w:footnoteReference w:id="240"/>
      </w:r>
    </w:p>
    <w:p w14:paraId="408C95BA" w14:textId="77777777" w:rsidR="00D85B34" w:rsidRPr="00794712" w:rsidRDefault="00D85B34" w:rsidP="00D85B34">
      <w:pPr>
        <w:rPr>
          <w:lang w:val="ru-RU"/>
        </w:rPr>
      </w:pPr>
    </w:p>
    <w:p w14:paraId="6C58C44E" w14:textId="77777777" w:rsidR="00D85B34" w:rsidRPr="00794712" w:rsidRDefault="00D85B34" w:rsidP="007B240B">
      <w:pPr>
        <w:pStyle w:val="Heading5"/>
        <w:rPr>
          <w:lang w:val="ru-RU"/>
        </w:rPr>
      </w:pPr>
      <w:bookmarkStart w:id="170" w:name="_Toc133155570"/>
      <w:bookmarkStart w:id="171" w:name="_Toc180664583"/>
      <w:bookmarkStart w:id="172" w:name="_Toc180679204"/>
      <w:bookmarkStart w:id="173" w:name="_Toc180679261"/>
      <w:bookmarkStart w:id="174" w:name="_Toc180679784"/>
      <w:bookmarkStart w:id="175" w:name="_Toc238453667"/>
      <w:bookmarkStart w:id="176" w:name="_Toc238576483"/>
      <w:r w:rsidRPr="00794712">
        <w:rPr>
          <w:lang w:val="ru-RU"/>
        </w:rPr>
        <w:t>§139. 耶稣基督中两种本性位格联合的后果：</w:t>
      </w:r>
      <w:r w:rsidR="00A95A76" w:rsidRPr="00A95A76">
        <w:rPr>
          <w:lang w:val="ru-RU"/>
        </w:rPr>
        <w:t>a)</w:t>
      </w:r>
      <w:r w:rsidRPr="00794712">
        <w:rPr>
          <w:lang w:val="ru-RU"/>
        </w:rPr>
        <w:t xml:space="preserve"> 关于祂自身</w:t>
      </w:r>
      <w:bookmarkEnd w:id="170"/>
      <w:bookmarkEnd w:id="171"/>
      <w:bookmarkEnd w:id="172"/>
      <w:bookmarkEnd w:id="173"/>
      <w:bookmarkEnd w:id="174"/>
      <w:bookmarkEnd w:id="175"/>
      <w:bookmarkEnd w:id="176"/>
    </w:p>
    <w:p w14:paraId="246FC5F8" w14:textId="77777777" w:rsidR="00D85B34" w:rsidRPr="00794712" w:rsidRDefault="00D85B34" w:rsidP="00D85B34">
      <w:pPr>
        <w:ind w:firstLine="708"/>
        <w:rPr>
          <w:lang w:val="ru-RU"/>
        </w:rPr>
      </w:pPr>
      <w:r w:rsidRPr="00794712">
        <w:rPr>
          <w:lang w:val="ru-RU"/>
        </w:rPr>
        <w:t>耶稣基督中两种本性的位格联合衍生出以下后果：</w:t>
      </w:r>
      <w:r w:rsidR="00A95A76" w:rsidRPr="00A95A76">
        <w:rPr>
          <w:b/>
          <w:lang w:val="ru-RU"/>
        </w:rPr>
        <w:t>a)</w:t>
      </w:r>
      <w:r w:rsidRPr="00794712">
        <w:rPr>
          <w:lang w:val="ru-RU"/>
        </w:rPr>
        <w:t xml:space="preserve"> 关于祂自身；</w:t>
      </w:r>
      <w:r w:rsidR="00A95A76" w:rsidRPr="00A95A76">
        <w:rPr>
          <w:b/>
          <w:lang w:val="ru-RU"/>
        </w:rPr>
        <w:t>b)</w:t>
      </w:r>
      <w:r w:rsidRPr="00794712">
        <w:rPr>
          <w:lang w:val="ru-RU"/>
        </w:rPr>
        <w:t xml:space="preserve"> 关于至圣童贞女——祂的母亲；以及 </w:t>
      </w:r>
      <w:r w:rsidR="00A95A76" w:rsidRPr="00A95A76">
        <w:rPr>
          <w:b/>
          <w:lang w:val="ru-RU"/>
        </w:rPr>
        <w:t>c)</w:t>
      </w:r>
      <w:r w:rsidRPr="00794712">
        <w:rPr>
          <w:lang w:val="ru-RU"/>
        </w:rPr>
        <w:t xml:space="preserve"> 关于至圣三位一体。</w:t>
      </w:r>
    </w:p>
    <w:p w14:paraId="6F0A88A4" w14:textId="77777777" w:rsidR="00D85B34" w:rsidRPr="00794712" w:rsidRDefault="00D85B34" w:rsidP="00D85B34">
      <w:pPr>
        <w:rPr>
          <w:lang w:val="ru-RU"/>
        </w:rPr>
      </w:pPr>
      <w:r w:rsidRPr="00794712">
        <w:rPr>
          <w:lang w:val="ru-RU"/>
        </w:rPr>
        <w:tab/>
        <w:t>第一类后果如下：</w:t>
      </w:r>
    </w:p>
    <w:p w14:paraId="0228FBB6" w14:textId="77777777" w:rsidR="00D85B34" w:rsidRPr="00794712" w:rsidRDefault="00D85B34" w:rsidP="00D85B34">
      <w:pPr>
        <w:rPr>
          <w:lang w:val="ru-RU"/>
        </w:rPr>
      </w:pPr>
      <w:r w:rsidRPr="00794712">
        <w:rPr>
          <w:lang w:val="ru-RU"/>
        </w:rPr>
        <w:tab/>
      </w:r>
      <w:r w:rsidRPr="00841AEC">
        <w:rPr>
          <w:b/>
          <w:bCs/>
        </w:rPr>
        <w:t>I</w:t>
      </w:r>
      <w:r w:rsidRPr="00841AEC">
        <w:rPr>
          <w:b/>
          <w:bCs/>
          <w:lang w:val="ru-RU"/>
        </w:rPr>
        <w:t>.</w:t>
      </w:r>
      <w:r w:rsidRPr="00794712">
        <w:rPr>
          <w:lang w:val="ru-RU"/>
        </w:rPr>
        <w:t xml:space="preserve"> 耶稣基督中祂两种本性的属性相互交融。</w:t>
      </w:r>
      <w:r w:rsidR="00230C5F">
        <w:rPr>
          <w:rStyle w:val="FootnoteReference"/>
          <w:lang w:val="ru-RU"/>
        </w:rPr>
        <w:footnoteReference w:id="241"/>
      </w:r>
      <w:r w:rsidRPr="00794712">
        <w:rPr>
          <w:lang w:val="ru-RU"/>
        </w:rPr>
        <w:t xml:space="preserve"> 其要义在于：在耶稣基督的位格中，祂的每种本性都将自身的属性传递给另一种本性，具体而言——祂作为人所固有的属性，被祂作为神所接纳；而祂作为神所固有的属性，则被祂作为人所接纳。 例如，圣经中说，主上帝</w:t>
      </w:r>
      <w:r w:rsidRPr="0050581C">
        <w:rPr>
          <w:i/>
          <w:iCs/>
          <w:lang w:val="ru-RU"/>
        </w:rPr>
        <w:t>“用自己的血赎回了你们”</w:t>
      </w:r>
      <w:r w:rsidRPr="00794712">
        <w:rPr>
          <w:lang w:val="ru-RU"/>
        </w:rPr>
        <w:t>（徒20</w:t>
      </w:r>
      <w:r>
        <w:rPr>
          <w:lang w:val="ru-RU"/>
        </w:rPr>
        <w:t>:</w:t>
      </w:r>
      <w:r w:rsidRPr="00794712">
        <w:rPr>
          <w:lang w:val="ru-RU"/>
        </w:rPr>
        <w:t>28），说</w:t>
      </w:r>
      <w:r w:rsidRPr="0050581C">
        <w:rPr>
          <w:i/>
          <w:iCs/>
          <w:lang w:val="ru-RU"/>
        </w:rPr>
        <w:t>“祂虽是儿子，却因所受的苦难学会了顺从”</w:t>
      </w:r>
      <w:r w:rsidRPr="00794712">
        <w:rPr>
          <w:lang w:val="ru-RU"/>
        </w:rPr>
        <w:t>（来5</w:t>
      </w:r>
      <w:r w:rsidRPr="0050581C">
        <w:rPr>
          <w:lang w:val="ru-RU"/>
        </w:rPr>
        <w:t>:</w:t>
      </w:r>
      <w:r w:rsidRPr="00794712">
        <w:rPr>
          <w:lang w:val="ru-RU"/>
        </w:rPr>
        <w:t>8），</w:t>
      </w:r>
      <w:r w:rsidRPr="0050581C">
        <w:rPr>
          <w:i/>
          <w:iCs/>
          <w:lang w:val="ru-RU"/>
        </w:rPr>
        <w:t>说“我们借着祂儿子的死与上帝和好”</w:t>
      </w:r>
      <w:r w:rsidRPr="00794712">
        <w:rPr>
          <w:lang w:val="ru-RU"/>
        </w:rPr>
        <w:t xml:space="preserve"> </w:t>
      </w:r>
      <w:r w:rsidR="00297BB8" w:rsidRPr="00297BB8">
        <w:rPr>
          <w:lang w:val="ru-RU"/>
        </w:rPr>
        <w:t>[</w:t>
      </w:r>
      <w:r w:rsidRPr="00794712">
        <w:rPr>
          <w:lang w:val="ru-RU"/>
        </w:rPr>
        <w:t>(罗 5</w:t>
      </w:r>
      <w:r w:rsidRPr="0050581C">
        <w:rPr>
          <w:lang w:val="ru-RU"/>
        </w:rPr>
        <w:t>:</w:t>
      </w:r>
      <w:r w:rsidRPr="00794712">
        <w:rPr>
          <w:lang w:val="ru-RU"/>
        </w:rPr>
        <w:t>10</w:t>
      </w:r>
      <w:r w:rsidR="00297BB8" w:rsidRPr="00297BB8">
        <w:rPr>
          <w:lang w:val="ru-RU"/>
        </w:rPr>
        <w:t>)</w:t>
      </w:r>
      <w:r w:rsidRPr="00794712">
        <w:rPr>
          <w:lang w:val="ru-RU"/>
        </w:rPr>
        <w:t>；</w:t>
      </w:r>
      <w:r w:rsidR="00297BB8" w:rsidRPr="00297BB8">
        <w:rPr>
          <w:lang w:val="ru-RU"/>
        </w:rPr>
        <w:t>(</w:t>
      </w:r>
      <w:r w:rsidR="00297BB8">
        <w:rPr>
          <w:lang w:val="ru-RU"/>
        </w:rPr>
        <w:t>罗</w:t>
      </w:r>
      <w:r w:rsidRPr="00794712">
        <w:rPr>
          <w:lang w:val="ru-RU"/>
        </w:rPr>
        <w:t xml:space="preserve"> 8</w:t>
      </w:r>
      <w:r w:rsidRPr="0050581C">
        <w:rPr>
          <w:lang w:val="ru-RU"/>
        </w:rPr>
        <w:t>:</w:t>
      </w:r>
      <w:r w:rsidRPr="00794712">
        <w:rPr>
          <w:lang w:val="ru-RU"/>
        </w:rPr>
        <w:t>32</w:t>
      </w:r>
      <w:r w:rsidR="00297BB8">
        <w:rPr>
          <w:lang w:val="ru-RU"/>
        </w:rPr>
        <w:t>)</w:t>
      </w:r>
      <w:r w:rsidRPr="00794712">
        <w:rPr>
          <w:lang w:val="ru-RU"/>
        </w:rPr>
        <w:t>；</w:t>
      </w:r>
      <w:r w:rsidR="00297BB8">
        <w:rPr>
          <w:lang w:val="ru-RU"/>
        </w:rPr>
        <w:t>(</w:t>
      </w:r>
      <w:r w:rsidR="0087297C">
        <w:rPr>
          <w:lang w:val="ru-RU"/>
        </w:rPr>
        <w:t>彼前</w:t>
      </w:r>
      <w:r w:rsidRPr="00794712">
        <w:rPr>
          <w:lang w:val="ru-RU"/>
        </w:rPr>
        <w:t xml:space="preserve"> 3</w:t>
      </w:r>
      <w:r w:rsidRPr="0050581C">
        <w:rPr>
          <w:lang w:val="ru-RU"/>
        </w:rPr>
        <w:t>:</w:t>
      </w:r>
      <w:r w:rsidRPr="00794712">
        <w:rPr>
          <w:lang w:val="ru-RU"/>
        </w:rPr>
        <w:t>18</w:t>
      </w:r>
      <w:r w:rsidR="00297BB8">
        <w:rPr>
          <w:lang w:val="ru-RU"/>
        </w:rPr>
        <w:t>)</w:t>
      </w:r>
      <w:r w:rsidRPr="00794712">
        <w:rPr>
          <w:lang w:val="ru-RU"/>
        </w:rPr>
        <w:t>；</w:t>
      </w:r>
      <w:r w:rsidR="00297BB8">
        <w:rPr>
          <w:lang w:val="ru-RU"/>
        </w:rPr>
        <w:t>(</w:t>
      </w:r>
      <w:r w:rsidR="00E070F3">
        <w:rPr>
          <w:lang w:val="ru-RU"/>
        </w:rPr>
        <w:t>林前</w:t>
      </w:r>
      <w:r w:rsidRPr="00794712">
        <w:rPr>
          <w:lang w:val="ru-RU"/>
        </w:rPr>
        <w:t xml:space="preserve"> 2</w:t>
      </w:r>
      <w:r w:rsidRPr="0050581C">
        <w:rPr>
          <w:lang w:val="ru-RU"/>
        </w:rPr>
        <w:t>:</w:t>
      </w:r>
      <w:r w:rsidRPr="00794712">
        <w:rPr>
          <w:lang w:val="ru-RU"/>
        </w:rPr>
        <w:t>8</w:t>
      </w:r>
      <w:r w:rsidR="00297BB8">
        <w:rPr>
          <w:lang w:val="ru-RU"/>
        </w:rPr>
        <w:t>)</w:t>
      </w:r>
      <w:r w:rsidRPr="00794712">
        <w:rPr>
          <w:lang w:val="ru-RU"/>
        </w:rPr>
        <w:t>；</w:t>
      </w:r>
      <w:r w:rsidR="00297BB8">
        <w:rPr>
          <w:lang w:val="ru-RU"/>
        </w:rPr>
        <w:t>(</w:t>
      </w:r>
      <w:r w:rsidRPr="00794712">
        <w:rPr>
          <w:lang w:val="ru-RU"/>
        </w:rPr>
        <w:t>加 2</w:t>
      </w:r>
      <w:r w:rsidRPr="0050581C">
        <w:rPr>
          <w:lang w:val="ru-RU"/>
        </w:rPr>
        <w:t>:</w:t>
      </w:r>
      <w:r w:rsidRPr="00794712">
        <w:rPr>
          <w:lang w:val="ru-RU"/>
        </w:rPr>
        <w:t>20)</w:t>
      </w:r>
      <w:r w:rsidR="00297BB8" w:rsidRPr="00297BB8">
        <w:rPr>
          <w:lang w:val="ru-RU"/>
        </w:rPr>
        <w:t>]</w:t>
      </w:r>
      <w:r w:rsidRPr="00794712">
        <w:rPr>
          <w:lang w:val="ru-RU"/>
        </w:rPr>
        <w:t>，或者说：</w:t>
      </w:r>
      <w:r w:rsidRPr="0050581C">
        <w:rPr>
          <w:i/>
          <w:iCs/>
          <w:lang w:val="ru-RU"/>
        </w:rPr>
        <w:t>“第二个人——从天上来的主”</w:t>
      </w:r>
      <w:r w:rsidR="00621F17">
        <w:rPr>
          <w:lang w:val="ru-RU"/>
        </w:rPr>
        <w:t>（林前</w:t>
      </w:r>
      <w:r w:rsidRPr="00794712">
        <w:rPr>
          <w:lang w:val="ru-RU"/>
        </w:rPr>
        <w:t xml:space="preserve"> 15</w:t>
      </w:r>
      <w:r w:rsidRPr="0050581C">
        <w:rPr>
          <w:lang w:val="ru-RU"/>
        </w:rPr>
        <w:t>:</w:t>
      </w:r>
      <w:r w:rsidRPr="00794712">
        <w:rPr>
          <w:lang w:val="ru-RU"/>
        </w:rPr>
        <w:t xml:space="preserve">47）； </w:t>
      </w:r>
      <w:r w:rsidRPr="0050581C">
        <w:rPr>
          <w:i/>
          <w:iCs/>
          <w:lang w:val="ru-RU"/>
        </w:rPr>
        <w:t>“除了从天上降下、仍在天上的人子，没有人升过天”</w:t>
      </w:r>
      <w:r w:rsidR="005864AB">
        <w:rPr>
          <w:lang w:val="ru-RU"/>
        </w:rPr>
        <w:t>（约</w:t>
      </w:r>
      <w:r w:rsidRPr="00794712">
        <w:rPr>
          <w:lang w:val="ru-RU"/>
        </w:rPr>
        <w:t>3</w:t>
      </w:r>
      <w:r w:rsidRPr="0050581C">
        <w:rPr>
          <w:lang w:val="ru-RU"/>
        </w:rPr>
        <w:t>:</w:t>
      </w:r>
      <w:r w:rsidR="00F45CFB" w:rsidRPr="004F07F1">
        <w:rPr>
          <w:lang w:val="ru-RU"/>
        </w:rPr>
        <w:t>13）</w:t>
      </w:r>
      <w:r w:rsidRPr="00794712">
        <w:rPr>
          <w:lang w:val="ru-RU"/>
        </w:rPr>
        <w:t>等。 同样，在教父著作和教会圣诗中，也经常出现关于基督的表述：“神受苦了，万世之造物主和君王尝了死亡</w:t>
      </w:r>
      <w:r>
        <w:rPr>
          <w:lang w:val="ru-RU"/>
        </w:rPr>
        <w:t>”，</w:t>
      </w:r>
      <w:r w:rsidRPr="00794712">
        <w:rPr>
          <w:lang w:val="ru-RU"/>
        </w:rPr>
        <w:t>或者：“永恒的婴孩”等。</w:t>
      </w:r>
      <w:r w:rsidR="00230C5F">
        <w:rPr>
          <w:rStyle w:val="FootnoteReference"/>
          <w:lang w:val="ru-RU"/>
        </w:rPr>
        <w:footnoteReference w:id="242"/>
      </w:r>
      <w:r w:rsidRPr="00794712">
        <w:rPr>
          <w:lang w:val="ru-RU"/>
        </w:rPr>
        <w:t xml:space="preserve"> 这是因为，在基督里，神性与人性并非构成两个独立的位格，而是不可分割、不可分离地结合为一个位格；因为同一个圣言神的位格，在基督里完全且不可分割地兼具祂的神性位格与神性本质，以及人性位格与人性本质。 “由于所取的肉身与所取的神性之间紧密结合，”圣格里高利·尼撒说，“在基督里，名称相互转换，以致人的被称为神的，神的被称为人的。”</w:t>
      </w:r>
      <w:r w:rsidR="00230C5F">
        <w:rPr>
          <w:rStyle w:val="FootnoteReference"/>
          <w:lang w:val="ru-RU"/>
        </w:rPr>
        <w:footnoteReference w:id="243"/>
      </w:r>
      <w:r w:rsidRPr="00794712">
        <w:rPr>
          <w:lang w:val="ru-RU"/>
        </w:rPr>
        <w:t xml:space="preserve"> 至于位格（耶稣基督），圣约翰·达马斯库斯也指出，当我们赋予其名称时，无论是借用自两种本性，还是仅借用自其中一种本性； 在这两种情况下，我们都将其归属于两种本性的属性 因为基督——既然这个名称表达了两种本性——既被称为神，也被称为人；既被称为受造者，也被称为非受造者；既被视为会受苦的，也被视为不会受苦的。 同样，当祂仅就其中一种本性而言被称为“神的儿子”和“神”时：祂便接受与神性结合的本性——即肉身——的属性，并被称为“受苦的神”和“被钉十字架的荣耀之主”（使徒行传 26</w:t>
      </w:r>
      <w:r w:rsidRPr="007C26A2">
        <w:rPr>
          <w:lang w:val="ru-RU"/>
        </w:rPr>
        <w:t>:</w:t>
      </w:r>
      <w:r w:rsidRPr="00794712">
        <w:rPr>
          <w:lang w:val="ru-RU"/>
        </w:rPr>
        <w:t xml:space="preserve">23），这并非因为祂是神，而是因为祂既是神又是人。 同样，当祂被称为人及人子时，祂便承接了神性本性的属性与荣耀，并被称为“永恒的婴孩”、“无始的人”；这并非因为祂是婴孩或人，而是因为祂作为永恒的神，最终成为了婴孩。 这就是属性的相互传递，即每个本性因位格的同一性及本性间的相互渗透，将属性传递给另一个本性。 </w:t>
      </w:r>
      <w:r w:rsidRPr="00794712">
        <w:rPr>
          <w:lang w:val="ru-RU"/>
        </w:rPr>
        <w:lastRenderedPageBreak/>
        <w:t>因此，我们可以这样论及基督：</w:t>
      </w:r>
      <w:r w:rsidRPr="00C210C7">
        <w:rPr>
          <w:i/>
          <w:iCs/>
          <w:lang w:val="ru-RU"/>
        </w:rPr>
        <w:t>“祂就是我们的上帝，无人能与祂相比……祂降临人间，在世人中间行走”</w:t>
      </w:r>
      <w:r w:rsidRPr="00794712">
        <w:rPr>
          <w:lang w:val="ru-RU"/>
        </w:rPr>
        <w:t>（巴鲁克书 3</w:t>
      </w:r>
      <w:r w:rsidRPr="00C210C7">
        <w:rPr>
          <w:lang w:val="ru-RU"/>
        </w:rPr>
        <w:t>:</w:t>
      </w:r>
      <w:r w:rsidRPr="00794712">
        <w:rPr>
          <w:lang w:val="ru-RU"/>
        </w:rPr>
        <w:t>36-38）；同样：“此人并非受造，不受苦难，是无限的。</w:t>
      </w:r>
      <w:r>
        <w:rPr>
          <w:lang w:val="ru-RU"/>
        </w:rPr>
        <w:t>”</w:t>
      </w:r>
      <w:r w:rsidR="00230C5F">
        <w:rPr>
          <w:rStyle w:val="FootnoteReference"/>
          <w:lang w:val="ru-RU"/>
        </w:rPr>
        <w:footnoteReference w:id="244"/>
      </w:r>
    </w:p>
    <w:p w14:paraId="794D199B" w14:textId="77777777" w:rsidR="00D85B34" w:rsidRPr="00794712" w:rsidRDefault="00D85B34" w:rsidP="00D85B34">
      <w:pPr>
        <w:rPr>
          <w:lang w:val="ru-RU"/>
        </w:rPr>
      </w:pPr>
      <w:r w:rsidRPr="00794712">
        <w:rPr>
          <w:lang w:val="ru-RU"/>
        </w:rPr>
        <w:tab/>
        <w:t>然而，必须记住，基督身上神性与人性二性之间的这种相互交融，只有在将这两种本性视为在基督的唯一位格中不可分割地结合在一起时才成立。 但如果将这两种本性分别视为独立于位格统一性之外的实体，这种相互交融便不复存在，也不应被允许。也就是说，绝不能将救主人性本性的属性归于其神性</w:t>
      </w:r>
      <w:r>
        <w:rPr>
          <w:lang w:val="ru-RU"/>
        </w:rPr>
        <w:t>，</w:t>
      </w:r>
      <w:r w:rsidRPr="00794712">
        <w:rPr>
          <w:lang w:val="ru-RU"/>
        </w:rPr>
        <w:t>也不能</w:t>
      </w:r>
      <w:r>
        <w:rPr>
          <w:lang w:val="ru-RU"/>
        </w:rPr>
        <w:t>将</w:t>
      </w:r>
      <w:r w:rsidRPr="00794712">
        <w:rPr>
          <w:lang w:val="ru-RU"/>
        </w:rPr>
        <w:t>神性本性的属性</w:t>
      </w:r>
      <w:r>
        <w:rPr>
          <w:lang w:val="ru-RU"/>
        </w:rPr>
        <w:t>归于其人性</w:t>
      </w:r>
      <w:r w:rsidRPr="00794712">
        <w:rPr>
          <w:lang w:val="ru-RU"/>
        </w:rPr>
        <w:t>： 因为这两种本性在基督里仍然完全完整且各不相同，正如普世大公会议所言，它们在祂里面以“不可分割且不可混同”的方式结合在一起；因此，神性既没有转变为人性，也没有获得人性的属性，而是保留了自己的属性； 人性也没有转变为神性，也没有获得神性的属性，而是保留了自身的属性。“因此，在论及祂（主耶稣）的神性时，我们不将人性的属性归于祂；因为我们并不说神性会遭受苦难，或是被造的。同样，对于肉身或人性，我们也不将神性的属性归于它们； 因为我们并不说肉身或人性是未被创造的……我们断言，这两种本性在结合之后，仍保存在一个复合的位格中，即在一位基督里；它们确实是同一的，并各自保留其本性的属性；而且，正如它们在不融合的情况下结合在一起，它们彼此有别，却在无分离的情况下被视为一体</w:t>
      </w:r>
      <w:r>
        <w:rPr>
          <w:lang w:val="ru-RU"/>
        </w:rPr>
        <w:t>。”</w:t>
      </w:r>
      <w:r w:rsidR="00E73F0B">
        <w:rPr>
          <w:rStyle w:val="FootnoteReference"/>
          <w:lang w:val="ru-RU"/>
        </w:rPr>
        <w:footnoteReference w:id="245"/>
      </w:r>
      <w:r w:rsidRPr="00794712">
        <w:rPr>
          <w:lang w:val="ru-RU"/>
        </w:rPr>
        <w:t xml:space="preserve"> 简而言之，必须记住：一方面，在基督耶稣内，一个位格与两种本性不可分割、不可分离地结合在一起——从这个意义上说，应承认祂内本性属性的相互交流； 另一方面，必须认识到祂内有两种本性，以不融合且不可动摇的方式结合在一起——从这个意义上说，不应允许两种本性之间存在属性的共融。</w:t>
      </w:r>
      <w:r w:rsidR="00E73F0B">
        <w:rPr>
          <w:rStyle w:val="FootnoteReference"/>
          <w:lang w:val="ru-RU"/>
        </w:rPr>
        <w:footnoteReference w:id="246"/>
      </w:r>
    </w:p>
    <w:p w14:paraId="1DDC3AC3" w14:textId="77777777" w:rsidR="00D85B34" w:rsidRPr="00794712" w:rsidRDefault="00D85B34" w:rsidP="00D85B34">
      <w:pPr>
        <w:rPr>
          <w:lang w:val="ru-RU"/>
        </w:rPr>
      </w:pPr>
      <w:r w:rsidRPr="00794712">
        <w:rPr>
          <w:lang w:val="ru-RU"/>
        </w:rPr>
        <w:tab/>
      </w:r>
      <w:r w:rsidRPr="00841AEC">
        <w:rPr>
          <w:b/>
          <w:bCs/>
        </w:rPr>
        <w:t>II</w:t>
      </w:r>
      <w:r w:rsidRPr="00841AEC">
        <w:rPr>
          <w:b/>
          <w:bCs/>
          <w:lang w:val="ru-RU"/>
        </w:rPr>
        <w:t>.</w:t>
      </w:r>
      <w:r w:rsidRPr="00794712">
        <w:rPr>
          <w:lang w:val="ru-RU"/>
        </w:rPr>
        <w:t xml:space="preserve"> 耶稣基督中人性之神化。所谓神化，并非指基督里的人性转变为神性，丧失了其有限性，并以神性属性取代了人性属性； 而是指：当人性被神的儿子接纳进入祂位格的合一之中时，便与祂的神性联合，与神之道合而为一；并借着这种与神性的联合，其完美程度被提升至人类所能达到的最高境界，却仍不失其人性。 或者，我们不妨在此援引教会那位博学睿智的导师的话，他以最清晰的方式阐述了关于我们救主位格的全部教义：“必须知道：关于主的肉身，所说的是它被神化了，与神合而为一，并且成为</w:t>
      </w:r>
      <w:r>
        <w:rPr>
          <w:lang w:val="ru-RU"/>
        </w:rPr>
        <w:t>神</w:t>
      </w:r>
      <w:r w:rsidRPr="00794712">
        <w:rPr>
          <w:lang w:val="ru-RU"/>
        </w:rPr>
        <w:t>——并非通过本性的转换、转变、改变或融合。 格里高利·神学家说：‘其中一种本性被神化，另一种本性被神化，我敢说，它与神合而为一；施膏者成了人，被膏者成了神。 这并非本性发生改变，而是出于为救赎而设计的、即位格性的结合，借此，肉身与道成肉身的神不可分割地结合在一起，并因本性之间的相互渗透而结合——我们可以在铁被火烧红时看到类似的现象。 因为正如我们承认道成肉身没有改变和转化一样；我们也同样断言，肉体是以同样的方式被神化了。正如道因成为肉体而没有放弃自己的神性，也没有丧失属于 祂的神圣完美；同样，肉体被神化后，其本性或自然属性也没有改变。 因为在联合之后，两者的本性既未混合，其属性也未受影响。主的肉身因与道有着最紧密的、即位格性的联合，而获得了神性的能力，却并未丧失其任何自然属性； 因为肉体并非凭自身之力行神迹，而是凭与之结合的道之大能；因为道正是通过肉体显明其自身的作为</w:t>
      </w:r>
      <w:r w:rsidRPr="00794712">
        <w:rPr>
          <w:lang w:val="ru-RU"/>
        </w:rPr>
        <w:lastRenderedPageBreak/>
        <w:t>。正如炽热的铁之所以能灼烧，并非因其本性具有灼烧之力，而是因与火结合而获得了这种性质。 因此，同一具肉身，就其本身而言是会死的，但因与道位格性的结合而具有生命力。同样，我们说意志也得以神化，并非因为其自然的运动发生了改变，而是因为它与祂那神圣且全能的意志结合，从而成为了道成肉身之神的意志</w:t>
      </w:r>
      <w:r>
        <w:rPr>
          <w:lang w:val="ru-RU"/>
        </w:rPr>
        <w:t>。”</w:t>
      </w:r>
      <w:r w:rsidR="00E73F0B">
        <w:rPr>
          <w:rStyle w:val="FootnoteReference"/>
          <w:lang w:val="ru-RU"/>
        </w:rPr>
        <w:footnoteReference w:id="247"/>
      </w:r>
      <w:r w:rsidRPr="00794712">
        <w:rPr>
          <w:lang w:val="ru-RU"/>
        </w:rPr>
        <w:t xml:space="preserve"> 因此，不应将基督里人性之神化理解为：人性似乎丧失了自身的局限性，并确实获得了某种无限的神性完美，例如变得全能、无限智慧、无所不在</w:t>
      </w:r>
      <w:r w:rsidR="00E73F0B">
        <w:rPr>
          <w:rStyle w:val="FootnoteReference"/>
          <w:lang w:val="ru-RU"/>
        </w:rPr>
        <w:footnoteReference w:id="248"/>
      </w:r>
      <w:r w:rsidRPr="00794712">
        <w:rPr>
          <w:lang w:val="ru-RU"/>
        </w:rPr>
        <w:t xml:space="preserve"> 且具有独立存在性： 这将意味着，基督里的人性在其本质及其自然属性上发生了改变；这意味着它要么与神性融合，要么转变为神性，而不仅仅是被神化。 倘若人的理智在基督里也变得无限睿智且全知：那么它便与祂的神性理智毫无二致，在基督里并非存在神性与人性两种理智，而只有一种。 倘若基督里的人类意志是全能的，并具备了神之意志的一切属性：那么前者与后者毫无区别，基督里并非存在两个意志，而只有一个。 如果，总的来说，基督里的人性无处不在，并拥有上帝的所有其他完美属性：那么它与神性毫无二致，基督里并非有两种本性，而只有一种。 另一回事是说，基督作为唯一位格、作为神人，既全知、全能、无所不在，又具备一切神的属性：这完全属实，因位格的合一。</w:t>
      </w:r>
      <w:r w:rsidR="00E73F0B">
        <w:rPr>
          <w:rStyle w:val="FootnoteReference"/>
          <w:lang w:val="ru-RU"/>
        </w:rPr>
        <w:footnoteReference w:id="249"/>
      </w:r>
      <w:r w:rsidRPr="00794712">
        <w:rPr>
          <w:lang w:val="ru-RU"/>
        </w:rPr>
        <w:t xml:space="preserve"> 还有另一回事，即说耶稣基督的人性在所有完美方面都升华到了其所能达到的最高程度，从神性那里接</w:t>
      </w:r>
      <w:r w:rsidRPr="00794712">
        <w:rPr>
          <w:lang w:val="ru-RU"/>
        </w:rPr>
        <w:lastRenderedPageBreak/>
        <w:t>受了它所能接受的一切，同时并未停止 作为人，并获得了各种智慧、恩典、</w:t>
      </w:r>
      <w:r w:rsidR="00E73F0B">
        <w:rPr>
          <w:rStyle w:val="FootnoteReference"/>
          <w:lang w:val="ru-RU"/>
        </w:rPr>
        <w:footnoteReference w:id="250"/>
      </w:r>
      <w:r w:rsidRPr="00794712">
        <w:rPr>
          <w:lang w:val="ru-RU"/>
        </w:rPr>
        <w:t xml:space="preserve"> 圣洁</w:t>
      </w:r>
      <w:r w:rsidR="00E73F0B">
        <w:rPr>
          <w:rStyle w:val="FootnoteReference"/>
          <w:lang w:val="ru-RU"/>
        </w:rPr>
        <w:footnoteReference w:id="251"/>
      </w:r>
      <w:r w:rsidRPr="00794712">
        <w:rPr>
          <w:lang w:val="ru-RU"/>
        </w:rPr>
        <w:t xml:space="preserve"> 以及赐生命的力量：</w:t>
      </w:r>
      <w:r w:rsidR="00E73F0B">
        <w:rPr>
          <w:rStyle w:val="FootnoteReference"/>
          <w:lang w:val="ru-RU"/>
        </w:rPr>
        <w:footnoteReference w:id="252"/>
      </w:r>
      <w:r w:rsidRPr="00794712">
        <w:rPr>
          <w:lang w:val="ru-RU"/>
        </w:rPr>
        <w:t xml:space="preserve"> 这一点完全真实，既源于本性之间最紧密的位格联合，也源于人性在一定程度上从神性中领受上述属性的能力。 但若断言，将耶稣基督的人性脱离其位格的统一性来考察时，其本身确实得到了丰富并拥有了神性特质，这便是另一回事</w:t>
      </w:r>
      <w:r>
        <w:rPr>
          <w:lang w:val="ru-RU"/>
        </w:rPr>
        <w:t>了</w:t>
      </w:r>
      <w:r w:rsidRPr="00794712">
        <w:rPr>
          <w:lang w:val="ru-RU"/>
        </w:rPr>
        <w:t>：这违背了关于基督内两种本性不混合且不可改变的教义，也违背了人性本性的有限性。 “作为肉身，”圣殉道者尤斯丁问道，“在与神性结合后，是如何被神化的？”他回答道：“毫无疑问，它虽然被接纳进了神性位格之中，却依然保持着人的肉身，并因与道结合而变得不朽且永生。 因此，肉身依然是肉身，绝非上帝，但因圣言本身的恩准，得以分享神的尊荣（而非神的本性）。</w:t>
      </w:r>
      <w:r>
        <w:rPr>
          <w:lang w:val="ru-RU"/>
        </w:rPr>
        <w:t>”</w:t>
      </w:r>
      <w:r w:rsidR="00E73F0B">
        <w:rPr>
          <w:rStyle w:val="FootnoteReference"/>
          <w:lang w:val="ru-RU"/>
        </w:rPr>
        <w:footnoteReference w:id="253"/>
      </w:r>
      <w:r w:rsidRPr="00794712">
        <w:rPr>
          <w:lang w:val="ru-RU"/>
        </w:rPr>
        <w:t xml:space="preserve"> 第六次大公会议的教父们在阐述这一信条时，除其他内容外，还指出： “正如祂（</w:t>
      </w:r>
      <w:r w:rsidR="00A95A76" w:rsidRPr="004F07F1">
        <w:rPr>
          <w:bCs/>
          <w:lang w:val="ru-RU"/>
        </w:rPr>
        <w:t>耶稣基督）</w:t>
      </w:r>
      <w:r w:rsidRPr="00794712">
        <w:rPr>
          <w:lang w:val="ru-RU"/>
        </w:rPr>
        <w:t>至圣无瑕的肉身，在神化过程中并未消亡，而是保留在其自身的范畴之内，并保持其本然的本质；同样，祂的人性意志在神化过程中也未曾消亡，而是保持完整</w:t>
      </w:r>
      <w:r>
        <w:rPr>
          <w:lang w:val="ru-RU"/>
        </w:rPr>
        <w:t>。”</w:t>
      </w:r>
      <w:r w:rsidR="00E73F0B">
        <w:rPr>
          <w:rStyle w:val="FootnoteReference"/>
          <w:lang w:val="ru-RU"/>
        </w:rPr>
        <w:footnoteReference w:id="254"/>
      </w:r>
    </w:p>
    <w:p w14:paraId="24C7012A" w14:textId="77777777" w:rsidR="00D85B34" w:rsidRPr="00794712" w:rsidRDefault="00D85B34" w:rsidP="00D85B34">
      <w:pPr>
        <w:rPr>
          <w:lang w:val="ru-RU"/>
        </w:rPr>
      </w:pPr>
      <w:r w:rsidRPr="00794712">
        <w:rPr>
          <w:lang w:val="ru-RU"/>
        </w:rPr>
        <w:tab/>
      </w:r>
      <w:r w:rsidRPr="00841AEC">
        <w:rPr>
          <w:b/>
          <w:bCs/>
        </w:rPr>
        <w:t>III</w:t>
      </w:r>
      <w:r w:rsidRPr="00841AEC">
        <w:rPr>
          <w:b/>
          <w:bCs/>
          <w:lang w:val="ru-RU"/>
        </w:rPr>
        <w:t>.</w:t>
      </w:r>
      <w:r w:rsidRPr="00794712">
        <w:rPr>
          <w:lang w:val="ru-RU"/>
        </w:rPr>
        <w:t xml:space="preserve"> 耶稣基督作为唯一位格、作为神人，理应因其神性与人性而获得唯一、不可分割的神性敬拜——正是因为神性与人性在他里面不可分割地结合在一起； 因为祂的人性，虽然仍保持为人，却已被祂接纳进祂神圣位格的合一之中，正是道成肉身之神的独特人性。这种对耶稣基督——神人——不可分割的神性敬拜——</w:t>
      </w:r>
    </w:p>
    <w:p w14:paraId="01847630"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圣经对此有明确的教导。其中包括：</w:t>
      </w:r>
      <w:r w:rsidR="00A95A76" w:rsidRPr="00A95A76">
        <w:rPr>
          <w:b/>
          <w:lang w:val="ru-RU"/>
        </w:rPr>
        <w:t>a)</w:t>
      </w:r>
      <w:r w:rsidR="00D85B34" w:rsidRPr="00794712">
        <w:rPr>
          <w:lang w:val="ru-RU"/>
        </w:rPr>
        <w:t xml:space="preserve"> 救主本人的话语：</w:t>
      </w:r>
      <w:r w:rsidR="00D85B34" w:rsidRPr="00C210C7">
        <w:rPr>
          <w:i/>
          <w:iCs/>
          <w:lang w:val="ru-RU"/>
        </w:rPr>
        <w:t>“因为父不审判任何人，乃将审判全交给了子，叫众人尊敬子，如同尊敬父一样。” “不尊崇子的，就是不尊崇差遣祂的父</w:t>
      </w:r>
      <w:r w:rsidR="005864AB">
        <w:rPr>
          <w:lang w:val="ru-RU"/>
        </w:rPr>
        <w:t>”（</w:t>
      </w:r>
      <w:r w:rsidR="00D85B34" w:rsidRPr="00794712">
        <w:rPr>
          <w:lang w:val="ru-RU"/>
        </w:rPr>
        <w:t>约5</w:t>
      </w:r>
      <w:r w:rsidR="00D85B34" w:rsidRPr="00C210C7">
        <w:rPr>
          <w:lang w:val="ru-RU"/>
        </w:rPr>
        <w:t>:</w:t>
      </w:r>
      <w:r w:rsidR="00D85B34" w:rsidRPr="00794712">
        <w:rPr>
          <w:lang w:val="ru-RU"/>
        </w:rPr>
        <w:t>22-23）；</w:t>
      </w:r>
      <w:r w:rsidR="00A95A76" w:rsidRPr="00A95A76">
        <w:rPr>
          <w:b/>
          <w:lang w:val="ru-RU"/>
        </w:rPr>
        <w:t>b)</w:t>
      </w:r>
      <w:r w:rsidR="00D85B34" w:rsidRPr="00794712">
        <w:rPr>
          <w:lang w:val="ru-RU"/>
        </w:rPr>
        <w:t xml:space="preserve"> 圣使徒保罗关于救主的教导： </w:t>
      </w:r>
      <w:r w:rsidR="00D85B34" w:rsidRPr="00C210C7">
        <w:rPr>
          <w:i/>
          <w:iCs/>
          <w:lang w:val="ru-RU"/>
        </w:rPr>
        <w:t>“因此，神将他升为至高，又赐给他那超乎万名之上的名，叫一切在天上的、地上的和地底下的，因耶稣的名无不屈膝”</w:t>
      </w:r>
      <w:r w:rsidR="001973A6">
        <w:rPr>
          <w:lang w:val="ru-RU"/>
        </w:rPr>
        <w:t>（腓立比书</w:t>
      </w:r>
      <w:r w:rsidR="00D85B34" w:rsidRPr="00C210C7">
        <w:rPr>
          <w:lang w:val="ru-RU"/>
        </w:rPr>
        <w:t xml:space="preserve"> </w:t>
      </w:r>
      <w:r w:rsidR="00D85B34" w:rsidRPr="00794712">
        <w:rPr>
          <w:lang w:val="ru-RU"/>
        </w:rPr>
        <w:t>2</w:t>
      </w:r>
      <w:r w:rsidR="00D85B34" w:rsidRPr="00C210C7">
        <w:rPr>
          <w:lang w:val="ru-RU"/>
        </w:rPr>
        <w:t>:</w:t>
      </w:r>
      <w:r w:rsidR="00D85B34" w:rsidRPr="00794712">
        <w:rPr>
          <w:lang w:val="ru-RU"/>
        </w:rPr>
        <w:t>9-10）；</w:t>
      </w:r>
      <w:r w:rsidR="00A95A76" w:rsidRPr="00A95A76">
        <w:rPr>
          <w:b/>
          <w:lang w:val="ru-RU"/>
        </w:rPr>
        <w:t>c)</w:t>
      </w:r>
      <w:r w:rsidR="00D85B34" w:rsidRPr="00794712">
        <w:rPr>
          <w:lang w:val="ru-RU"/>
        </w:rPr>
        <w:t xml:space="preserve"> 圣神学家约翰的见证： </w:t>
      </w:r>
      <w:r w:rsidR="00D85B34" w:rsidRPr="001B1D5C">
        <w:rPr>
          <w:i/>
          <w:iCs/>
          <w:lang w:val="ru-RU"/>
        </w:rPr>
        <w:t>“我又看见、又听见宝座周围有许多天使、活物和长老的声音，他们的数目多如云沙，数以千千计，他们用洪亮的声音说：‘那被杀的羔羊是配得权柄、财富、智慧、能力、尊贵、荣耀和颂赞的。’ 我又听见在天上、地上、地底下、海里，和其中一切受造之物，都说：‘愿颂赞、尊贵、荣耀、权柄，归给坐在宝座上的和羔羊，直到永永远远！</w:t>
      </w:r>
      <w:r w:rsidR="00D85B34" w:rsidRPr="00794712">
        <w:rPr>
          <w:lang w:val="ru-RU"/>
        </w:rPr>
        <w:t>’”（《启示录》5</w:t>
      </w:r>
      <w:r w:rsidR="00D85B34" w:rsidRPr="001B1D5C">
        <w:rPr>
          <w:lang w:val="ru-RU"/>
        </w:rPr>
        <w:t>:</w:t>
      </w:r>
      <w:r w:rsidR="00D85B34" w:rsidRPr="00794712">
        <w:rPr>
          <w:lang w:val="ru-RU"/>
        </w:rPr>
        <w:t>11-13）。 另见</w:t>
      </w:r>
      <w:r w:rsidR="00224D5E">
        <w:rPr>
          <w:lang w:val="ru-RU"/>
        </w:rPr>
        <w:t>（太</w:t>
      </w:r>
      <w:r w:rsidR="00D85B34" w:rsidRPr="00794712">
        <w:rPr>
          <w:lang w:val="ru-RU"/>
        </w:rPr>
        <w:t>28</w:t>
      </w:r>
      <w:r w:rsidR="00D85B34" w:rsidRPr="001B1D5C">
        <w:rPr>
          <w:lang w:val="ru-RU"/>
        </w:rPr>
        <w:t>:</w:t>
      </w:r>
      <w:r w:rsidR="00D85B34" w:rsidRPr="00794712">
        <w:rPr>
          <w:lang w:val="ru-RU"/>
        </w:rPr>
        <w:t>17</w:t>
      </w:r>
      <w:r w:rsidR="00D85B34" w:rsidRPr="001B1D5C">
        <w:rPr>
          <w:lang w:val="ru-RU"/>
        </w:rPr>
        <w:t>）</w:t>
      </w:r>
      <w:r w:rsidR="00D85B34" w:rsidRPr="00794712">
        <w:rPr>
          <w:lang w:val="ru-RU"/>
        </w:rPr>
        <w:t>；</w:t>
      </w:r>
      <w:r w:rsidR="00D85B34" w:rsidRPr="001B1D5C">
        <w:rPr>
          <w:lang w:val="ru-RU"/>
        </w:rPr>
        <w:t>（</w:t>
      </w:r>
      <w:r w:rsidR="00D85B34" w:rsidRPr="00794712">
        <w:rPr>
          <w:lang w:val="ru-RU"/>
        </w:rPr>
        <w:t>徒7</w:t>
      </w:r>
      <w:r w:rsidR="00D85B34" w:rsidRPr="001B1D5C">
        <w:rPr>
          <w:lang w:val="ru-RU"/>
        </w:rPr>
        <w:t>:</w:t>
      </w:r>
      <w:r w:rsidR="00D85B34" w:rsidRPr="00794712">
        <w:rPr>
          <w:lang w:val="ru-RU"/>
        </w:rPr>
        <w:t>13-14</w:t>
      </w:r>
      <w:r w:rsidR="00D85B34" w:rsidRPr="001B1D5C">
        <w:rPr>
          <w:lang w:val="ru-RU"/>
        </w:rPr>
        <w:t>）</w:t>
      </w:r>
      <w:r w:rsidR="00D85B34" w:rsidRPr="00794712">
        <w:rPr>
          <w:lang w:val="ru-RU"/>
        </w:rPr>
        <w:t>；</w:t>
      </w:r>
      <w:r w:rsidR="00D85B34" w:rsidRPr="001B1D5C">
        <w:rPr>
          <w:lang w:val="ru-RU"/>
        </w:rPr>
        <w:t>（</w:t>
      </w:r>
      <w:r w:rsidR="00D85B34" w:rsidRPr="00794712">
        <w:rPr>
          <w:lang w:val="ru-RU"/>
        </w:rPr>
        <w:t>来1</w:t>
      </w:r>
      <w:r w:rsidR="00D85B34" w:rsidRPr="001B1D5C">
        <w:rPr>
          <w:lang w:val="ru-RU"/>
        </w:rPr>
        <w:t>:</w:t>
      </w:r>
      <w:r w:rsidR="00D85B34" w:rsidRPr="00794712">
        <w:rPr>
          <w:lang w:val="ru-RU"/>
        </w:rPr>
        <w:t>6；2</w:t>
      </w:r>
      <w:r w:rsidR="00D85B34" w:rsidRPr="001B1D5C">
        <w:rPr>
          <w:lang w:val="ru-RU"/>
        </w:rPr>
        <w:t>:</w:t>
      </w:r>
      <w:r w:rsidR="00D85B34" w:rsidRPr="00794712">
        <w:rPr>
          <w:lang w:val="ru-RU"/>
        </w:rPr>
        <w:t>6-9</w:t>
      </w:r>
      <w:r w:rsidR="00D85B34" w:rsidRPr="001B1D5C">
        <w:rPr>
          <w:lang w:val="ru-RU"/>
        </w:rPr>
        <w:t>）</w:t>
      </w:r>
      <w:r w:rsidR="00D85B34" w:rsidRPr="00794712">
        <w:rPr>
          <w:lang w:val="ru-RU"/>
        </w:rPr>
        <w:t>；</w:t>
      </w:r>
      <w:r w:rsidR="00621F17">
        <w:rPr>
          <w:lang w:val="ru-RU"/>
        </w:rPr>
        <w:t>（</w:t>
      </w:r>
      <w:r w:rsidR="00D85B34" w:rsidRPr="00794712">
        <w:rPr>
          <w:lang w:val="ru-RU"/>
        </w:rPr>
        <w:t>林前15</w:t>
      </w:r>
      <w:r w:rsidR="00D85B34" w:rsidRPr="001B1D5C">
        <w:rPr>
          <w:lang w:val="ru-RU"/>
        </w:rPr>
        <w:t>:</w:t>
      </w:r>
      <w:r w:rsidR="00D85B34" w:rsidRPr="00794712">
        <w:rPr>
          <w:lang w:val="ru-RU"/>
        </w:rPr>
        <w:t>27</w:t>
      </w:r>
      <w:r w:rsidR="00D85B34" w:rsidRPr="001B1D5C">
        <w:rPr>
          <w:lang w:val="ru-RU"/>
        </w:rPr>
        <w:t>）</w:t>
      </w:r>
      <w:r w:rsidR="00D85B34" w:rsidRPr="00794712">
        <w:rPr>
          <w:lang w:val="ru-RU"/>
        </w:rPr>
        <w:t>；</w:t>
      </w:r>
      <w:r w:rsidR="00D85B34" w:rsidRPr="001B1D5C">
        <w:rPr>
          <w:lang w:val="ru-RU"/>
        </w:rPr>
        <w:t>（</w:t>
      </w:r>
      <w:r w:rsidR="00D85B34" w:rsidRPr="00794712">
        <w:rPr>
          <w:lang w:val="ru-RU"/>
        </w:rPr>
        <w:t>弗2</w:t>
      </w:r>
      <w:r w:rsidR="00D85B34" w:rsidRPr="001B1D5C">
        <w:rPr>
          <w:lang w:val="ru-RU"/>
        </w:rPr>
        <w:t>:</w:t>
      </w:r>
      <w:r w:rsidR="00D85B34" w:rsidRPr="00794712">
        <w:rPr>
          <w:lang w:val="ru-RU"/>
        </w:rPr>
        <w:t>6</w:t>
      </w:r>
      <w:r w:rsidR="00D85B34" w:rsidRPr="001B1D5C">
        <w:rPr>
          <w:lang w:val="ru-RU"/>
        </w:rPr>
        <w:t>）</w:t>
      </w:r>
      <w:r w:rsidR="00841AEC" w:rsidRPr="00BD6C1B">
        <w:rPr>
          <w:lang w:val="ru-RU"/>
        </w:rPr>
        <w:t>]</w:t>
      </w:r>
      <w:r w:rsidR="00D85B34" w:rsidRPr="00794712">
        <w:rPr>
          <w:lang w:val="ru-RU"/>
        </w:rPr>
        <w:t>。</w:t>
      </w:r>
    </w:p>
    <w:p w14:paraId="51B6BF51" w14:textId="77777777" w:rsidR="00D85B34" w:rsidRPr="00794712" w:rsidRDefault="00F45CFB" w:rsidP="00D85B34">
      <w:pPr>
        <w:ind w:firstLine="708"/>
        <w:rPr>
          <w:lang w:val="ru-RU"/>
        </w:rPr>
      </w:pPr>
      <w:r w:rsidRPr="00F45CFB">
        <w:rPr>
          <w:b/>
          <w:bCs/>
          <w:lang w:val="ru-RU"/>
        </w:rPr>
        <w:lastRenderedPageBreak/>
        <w:t>2)</w:t>
      </w:r>
      <w:r w:rsidR="00D85B34" w:rsidRPr="00794712">
        <w:rPr>
          <w:lang w:val="ru-RU"/>
        </w:rPr>
        <w:t xml:space="preserve"> 圣父们和教会导师们对此曾一致宣讲。 例如：</w:t>
      </w:r>
      <w:r w:rsidR="00A95A76" w:rsidRPr="00A95A76">
        <w:rPr>
          <w:b/>
          <w:lang w:val="ru-RU"/>
        </w:rPr>
        <w:t>a)</w:t>
      </w:r>
      <w:r w:rsidR="00D85B34" w:rsidRPr="00794712">
        <w:rPr>
          <w:lang w:val="ru-RU"/>
        </w:rPr>
        <w:t xml:space="preserve"> 圣亚他那修：“虽然肉体本身属于受造之物；但它已成为上帝的肉体，当我们敬拜这肉体时，并不将其与道分离，正如我们在敬拜道时，也不将其与肉体分离</w:t>
      </w:r>
      <w:r w:rsidR="00D85B34" w:rsidRPr="001B1D5C">
        <w:rPr>
          <w:lang w:val="ru-RU"/>
        </w:rPr>
        <w:t>；</w:t>
      </w:r>
      <w:r w:rsidR="00D85B34">
        <w:rPr>
          <w:lang w:val="ru-RU"/>
        </w:rPr>
        <w:t>”</w:t>
      </w:r>
      <w:r w:rsidR="00E73F0B">
        <w:rPr>
          <w:rStyle w:val="FootnoteReference"/>
          <w:lang w:val="ru-RU"/>
        </w:rPr>
        <w:footnoteReference w:id="255"/>
      </w:r>
      <w:r w:rsidR="00A95A76" w:rsidRPr="00A95A76">
        <w:rPr>
          <w:b/>
          <w:lang w:val="ru-RU"/>
        </w:rPr>
        <w:t xml:space="preserve"> b)</w:t>
      </w:r>
      <w:r w:rsidR="00D85B34" w:rsidRPr="00794712">
        <w:rPr>
          <w:lang w:val="ru-RU"/>
        </w:rPr>
        <w:t xml:space="preserve"> 圣埃皮法尼乌斯：“因此， 切勿对独生子说：‘请舍弃肉身，好让我敬拜祢’，而应当与祂的肉身一同敬拜独生子，敬拜那位未被造者，以及祂降临</w:t>
      </w:r>
      <w:r w:rsidR="00D85B34">
        <w:rPr>
          <w:lang w:val="ru-RU"/>
        </w:rPr>
        <w:t>世间</w:t>
      </w:r>
      <w:r w:rsidR="00D85B34" w:rsidRPr="00794712">
        <w:rPr>
          <w:lang w:val="ru-RU"/>
        </w:rPr>
        <w:t>时所承接的圣殿</w:t>
      </w:r>
      <w:r w:rsidR="00D85B34" w:rsidRPr="001B1D5C">
        <w:rPr>
          <w:lang w:val="ru-RU"/>
        </w:rPr>
        <w:t>；</w:t>
      </w:r>
      <w:r w:rsidR="00D85B34">
        <w:rPr>
          <w:lang w:val="ru-RU"/>
        </w:rPr>
        <w:t>”</w:t>
      </w:r>
      <w:r w:rsidR="001973A6">
        <w:rPr>
          <w:rStyle w:val="FootnoteReference"/>
          <w:lang w:val="ru-RU"/>
        </w:rPr>
        <w:footnoteReference w:id="256"/>
      </w:r>
      <w:r w:rsidR="00A95A76" w:rsidRPr="00A95A76">
        <w:rPr>
          <w:b/>
          <w:lang w:val="ru-RU"/>
        </w:rPr>
        <w:t xml:space="preserve"> c)</w:t>
      </w:r>
      <w:r w:rsidR="00D85B34" w:rsidRPr="00794712">
        <w:rPr>
          <w:lang w:val="ru-RU"/>
        </w:rPr>
        <w:t xml:space="preserve"> 圣约翰·金口： “诚然，这何等伟大、奇妙且令人惊叹 ，我们的肉身竟坐在天上，并接受天使、大天使、炽天使和智天使的敬拜</w:t>
      </w:r>
      <w:r w:rsidR="00D85B34" w:rsidRPr="001B1D5C">
        <w:rPr>
          <w:lang w:val="ru-RU"/>
        </w:rPr>
        <w:t>；</w:t>
      </w:r>
      <w:r w:rsidR="00D85B34">
        <w:rPr>
          <w:lang w:val="ru-RU"/>
        </w:rPr>
        <w:t>”</w:t>
      </w:r>
      <w:r w:rsidR="001973A6">
        <w:rPr>
          <w:rStyle w:val="FootnoteReference"/>
          <w:lang w:val="ru-RU"/>
        </w:rPr>
        <w:footnoteReference w:id="257"/>
      </w:r>
      <w:r w:rsidR="00A95A76" w:rsidRPr="00A95A76">
        <w:rPr>
          <w:b/>
          <w:lang w:val="ru-RU"/>
        </w:rPr>
        <w:t xml:space="preserve"> d)</w:t>
      </w:r>
      <w:r w:rsidR="00D85B34" w:rsidRPr="00794712">
        <w:rPr>
          <w:lang w:val="ru-RU"/>
        </w:rPr>
        <w:t xml:space="preserve"> 福者 狄奥多里特：“我们承认两个本性，却敬拜唯一的基督，并向祂献上唯一的敬拜</w:t>
      </w:r>
      <w:r w:rsidR="00D85B34">
        <w:rPr>
          <w:lang w:val="ru-RU"/>
        </w:rPr>
        <w:t>，”</w:t>
      </w:r>
      <w:r w:rsidR="001973A6">
        <w:rPr>
          <w:rStyle w:val="FootnoteReference"/>
          <w:lang w:val="ru-RU"/>
        </w:rPr>
        <w:footnoteReference w:id="258"/>
      </w:r>
      <w:r w:rsidR="00D85B34" w:rsidRPr="00794712">
        <w:rPr>
          <w:lang w:val="ru-RU"/>
        </w:rPr>
        <w:t xml:space="preserve"> 并在另一处说： “我们在道成肉身后，仍敬拜独一的上帝之子、我们的主耶稣基督，并将那些持不同见解者视为不虔敬者</w:t>
      </w:r>
      <w:r w:rsidR="00D85B34" w:rsidRPr="001B1D5C">
        <w:rPr>
          <w:lang w:val="ru-RU"/>
        </w:rPr>
        <w:t>；</w:t>
      </w:r>
      <w:r w:rsidR="00D85B34">
        <w:rPr>
          <w:lang w:val="ru-RU"/>
        </w:rPr>
        <w:t>”</w:t>
      </w:r>
      <w:r w:rsidR="001973A6">
        <w:rPr>
          <w:rStyle w:val="FootnoteReference"/>
          <w:lang w:val="ru-RU"/>
        </w:rPr>
        <w:footnoteReference w:id="259"/>
      </w:r>
      <w:r w:rsidR="00A95A76" w:rsidRPr="00A95A76">
        <w:rPr>
          <w:b/>
          <w:lang w:val="ru-RU"/>
        </w:rPr>
        <w:t xml:space="preserve"> e)</w:t>
      </w:r>
      <w:r w:rsidR="00D85B34" w:rsidRPr="00794712">
        <w:rPr>
          <w:lang w:val="ru-RU"/>
        </w:rPr>
        <w:t xml:space="preserve"> 亚历山大的圣西里尔，以及所有赞同他针对涅斯托里乌斯诅咒的以弗所大公会议教父们： “凡胆敢宣称应当敬拜那被接纳的人（即基督面容中的人性），并与道成肉身的上帝一同， 与祂一同荣耀祂，并一同称祂为神，将二者视为彼此不同（因为附加的</w:t>
      </w:r>
      <w:r w:rsidR="00D85B34" w:rsidRPr="00AA0891">
        <w:t>介词σύν</w:t>
      </w:r>
      <w:r w:rsidR="00D85B34" w:rsidRPr="00794712">
        <w:rPr>
          <w:lang w:val="ru-RU"/>
        </w:rPr>
        <w:t>——与——总是让人产生这种想法，即区分二者），而非以唯一的敬拜来尊崇以马内利，并向祂献上唯一的赞美； 因为道成了肉身：那人当受咒诅</w:t>
      </w:r>
      <w:r w:rsidR="00D85B34" w:rsidRPr="001B1D5C">
        <w:rPr>
          <w:lang w:val="ru-RU"/>
        </w:rPr>
        <w:t>；</w:t>
      </w:r>
      <w:r w:rsidR="00D85B34">
        <w:rPr>
          <w:lang w:val="ru-RU"/>
        </w:rPr>
        <w:t>”</w:t>
      </w:r>
      <w:r w:rsidR="001973A6">
        <w:rPr>
          <w:rStyle w:val="FootnoteReference"/>
          <w:lang w:val="ru-RU"/>
        </w:rPr>
        <w:footnoteReference w:id="260"/>
      </w:r>
      <w:r w:rsidR="00A95A76" w:rsidRPr="00A95A76">
        <w:rPr>
          <w:b/>
          <w:lang w:val="ru-RU"/>
        </w:rPr>
        <w:t xml:space="preserve"> e)</w:t>
      </w:r>
      <w:r w:rsidR="00D85B34" w:rsidRPr="00794712">
        <w:rPr>
          <w:lang w:val="ru-RU"/>
        </w:rPr>
        <w:t xml:space="preserve"> 圣约翰·达马斯库斯：“只有一位基督，是完全的神，也是完全的人。我们敬拜祂，正如敬拜圣父和圣灵一样，以单一的敬拜敬拜祂及其至洁的肉身。 我们不拒绝敬拜肉身；因为对肉身的敬拜是归于道的一位位格，祂为肉身成了位格；但我们不侍奉受造之物——因为我们敬拜肉身，并非将其视为单纯的肉身，而是视为与神性联合的肉身；因为两种本性联合成了神之道的一位位格和一位位格。 我不敢触碰燃烧的炭火：因为火与木结合在一起。我一同敬拜基督的两种本性：因为神性与肉身结合在一起。</w:t>
      </w:r>
      <w:r w:rsidR="00D85B34">
        <w:rPr>
          <w:lang w:val="ru-RU"/>
        </w:rPr>
        <w:t>”</w:t>
      </w:r>
      <w:r w:rsidR="001973A6">
        <w:rPr>
          <w:rStyle w:val="FootnoteReference"/>
          <w:lang w:val="ru-RU"/>
        </w:rPr>
        <w:footnoteReference w:id="261"/>
      </w:r>
    </w:p>
    <w:p w14:paraId="6AD662E3" w14:textId="77777777" w:rsidR="00D85B34" w:rsidRPr="00794712" w:rsidRDefault="00D85B34" w:rsidP="00D85B34">
      <w:pPr>
        <w:rPr>
          <w:lang w:val="ru-RU"/>
        </w:rPr>
      </w:pPr>
      <w:r w:rsidRPr="00794712">
        <w:rPr>
          <w:lang w:val="ru-RU"/>
        </w:rPr>
        <w:tab/>
      </w:r>
      <w:r w:rsidRPr="00841AEC">
        <w:rPr>
          <w:b/>
          <w:bCs/>
        </w:rPr>
        <w:t>IV</w:t>
      </w:r>
      <w:r w:rsidRPr="00841AEC">
        <w:rPr>
          <w:b/>
          <w:bCs/>
          <w:lang w:val="ru-RU"/>
        </w:rPr>
        <w:t xml:space="preserve">. </w:t>
      </w:r>
      <w:r w:rsidRPr="00794712">
        <w:rPr>
          <w:lang w:val="ru-RU"/>
        </w:rPr>
        <w:t>在耶稣</w:t>
      </w:r>
      <w:r>
        <w:rPr>
          <w:lang w:val="ru-RU"/>
        </w:rPr>
        <w:t>基督里</w:t>
      </w:r>
      <w:r w:rsidRPr="00794712">
        <w:rPr>
          <w:lang w:val="ru-RU"/>
        </w:rPr>
        <w:t>——有两个意志和两种作为：这一教义自然源于关于耶稣基督内两种本性不混合且不可改变地结合的教义，但在第六次大公会议上，为应对单意论异端，对此进行了专门探讨，并以以下措辞庄严地表述出来： “祂有两个本性的意志或意愿，以及两个本性的作为，不可分离、不变、不可分割、不混合——正如我们圣父们的教导，我们也同样宣讲： 这两种本性的意愿并非相互对立——绝非如此，正如那些不虔的异端分子所言——而是祂的人性意愿，既顺从又不对立，更不与祂的神性且全能的意愿相抗衡，反而服从于祂的神性且全能的意愿。</w:t>
      </w:r>
      <w:r>
        <w:rPr>
          <w:lang w:val="ru-RU"/>
        </w:rPr>
        <w:t>”</w:t>
      </w:r>
      <w:r w:rsidR="001973A6">
        <w:rPr>
          <w:rStyle w:val="FootnoteReference"/>
          <w:lang w:val="ru-RU"/>
        </w:rPr>
        <w:footnoteReference w:id="262"/>
      </w:r>
      <w:r w:rsidRPr="00794712">
        <w:rPr>
          <w:lang w:val="ru-RU"/>
        </w:rPr>
        <w:t xml:space="preserve"> 此</w:t>
      </w:r>
      <w:r>
        <w:rPr>
          <w:lang w:val="ru-RU"/>
        </w:rPr>
        <w:t>处</w:t>
      </w:r>
      <w:r w:rsidR="00F45CFB" w:rsidRPr="00F45CFB">
        <w:rPr>
          <w:b/>
          <w:lang w:val="ru-RU"/>
        </w:rPr>
        <w:t>——1）</w:t>
      </w:r>
      <w:r w:rsidRPr="00794712">
        <w:rPr>
          <w:lang w:val="ru-RU"/>
        </w:rPr>
        <w:t>证实了耶稣基督内两种意志和两种作为的真实性；</w:t>
      </w:r>
      <w:r w:rsidR="00F45CFB" w:rsidRPr="00F45CFB">
        <w:rPr>
          <w:b/>
          <w:lang w:val="ru-RU"/>
        </w:rPr>
        <w:t>2）</w:t>
      </w:r>
      <w:r w:rsidRPr="00794712">
        <w:rPr>
          <w:lang w:val="ru-RU"/>
        </w:rPr>
        <w:t>阐明了它们之间的相互关系。</w:t>
      </w:r>
    </w:p>
    <w:p w14:paraId="3D9C8950"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基督内两种意志和两种作为的真实存在，即与一意论者的谬误教义相反，祂不仅拥有神的意志，而且人的意志也完整地保留着：</w:t>
      </w:r>
    </w:p>
    <w:p w14:paraId="394C9CCD"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a) </w:t>
      </w:r>
      <w:r w:rsidRPr="00794712">
        <w:rPr>
          <w:lang w:val="ru-RU"/>
        </w:rPr>
        <w:t>可从圣经中看出。例如，救主曾这样谈论自己：</w:t>
      </w:r>
      <w:r w:rsidRPr="0002420A">
        <w:rPr>
          <w:i/>
          <w:iCs/>
          <w:lang w:val="ru-RU"/>
        </w:rPr>
        <w:t>“我从天上降下来，不是要按自己的意思行，乃是要按那差我来的</w:t>
      </w:r>
      <w:r w:rsidRPr="00794712">
        <w:rPr>
          <w:lang w:val="ru-RU"/>
        </w:rPr>
        <w:t>父</w:t>
      </w:r>
      <w:r w:rsidRPr="0002420A">
        <w:rPr>
          <w:i/>
          <w:iCs/>
          <w:lang w:val="ru-RU"/>
        </w:rPr>
        <w:t>的意思行”</w:t>
      </w:r>
      <w:r w:rsidR="005864AB">
        <w:rPr>
          <w:lang w:val="ru-RU"/>
        </w:rPr>
        <w:t>（</w:t>
      </w:r>
      <w:r w:rsidRPr="00794712">
        <w:rPr>
          <w:lang w:val="ru-RU"/>
        </w:rPr>
        <w:t>约6</w:t>
      </w:r>
      <w:r w:rsidRPr="0002420A">
        <w:rPr>
          <w:lang w:val="ru-RU"/>
        </w:rPr>
        <w:t>:</w:t>
      </w:r>
      <w:r w:rsidRPr="00794712">
        <w:rPr>
          <w:lang w:val="ru-RU"/>
        </w:rPr>
        <w:t>38），并在客西马尼园向父祷告说：</w:t>
      </w:r>
      <w:r w:rsidRPr="0002420A">
        <w:rPr>
          <w:i/>
          <w:iCs/>
          <w:lang w:val="ru-RU"/>
        </w:rPr>
        <w:t>“我的父啊！ 倘若可行，求祢叫这杯离开我；不过，不要照我的意思，只要照祢的意思”</w:t>
      </w:r>
      <w:r w:rsidR="000A57C3">
        <w:rPr>
          <w:lang w:val="ru-RU"/>
        </w:rPr>
        <w:t>（太</w:t>
      </w:r>
      <w:r w:rsidRPr="00794712">
        <w:rPr>
          <w:lang w:val="ru-RU"/>
        </w:rPr>
        <w:t>26</w:t>
      </w:r>
      <w:r w:rsidRPr="0002420A">
        <w:rPr>
          <w:lang w:val="ru-RU"/>
        </w:rPr>
        <w:t>:</w:t>
      </w:r>
      <w:r w:rsidRPr="00794712">
        <w:rPr>
          <w:lang w:val="ru-RU"/>
        </w:rPr>
        <w:t>39）</w:t>
      </w:r>
      <w:r w:rsidRPr="0002420A">
        <w:rPr>
          <w:i/>
          <w:iCs/>
          <w:lang w:val="ru-RU"/>
        </w:rPr>
        <w:t>，“不要照我的意思，只要照祢的意思”</w:t>
      </w:r>
      <w:r w:rsidR="008A3626">
        <w:rPr>
          <w:lang w:val="ru-RU"/>
        </w:rPr>
        <w:t>（路</w:t>
      </w:r>
      <w:r w:rsidRPr="00794712">
        <w:rPr>
          <w:lang w:val="ru-RU"/>
        </w:rPr>
        <w:t>22</w:t>
      </w:r>
      <w:r w:rsidRPr="0002420A">
        <w:rPr>
          <w:lang w:val="ru-RU"/>
        </w:rPr>
        <w:t>:</w:t>
      </w:r>
      <w:r w:rsidRPr="00794712">
        <w:rPr>
          <w:lang w:val="ru-RU"/>
        </w:rPr>
        <w:t>42）。 在这两种情况下，主耶稣都将自己的旨意与天父的旨意区分开来，并使前者服从后者，这无疑表明了祂的人性旨意：因为祂的神性旨意与天父的旨意并无二致，二者本为一体。</w:t>
      </w:r>
      <w:r w:rsidR="001973A6">
        <w:rPr>
          <w:rStyle w:val="FootnoteReference"/>
          <w:lang w:val="ru-RU"/>
        </w:rPr>
        <w:footnoteReference w:id="263"/>
      </w:r>
      <w:r w:rsidRPr="00794712">
        <w:rPr>
          <w:lang w:val="ru-RU"/>
        </w:rPr>
        <w:t xml:space="preserve"> 使徒保罗为救主作见证说，</w:t>
      </w:r>
      <w:r w:rsidRPr="0002420A">
        <w:rPr>
          <w:i/>
          <w:iCs/>
          <w:lang w:val="ru-RU"/>
        </w:rPr>
        <w:t>祂“谦卑自己，顺服至死，且死在十字架上”</w:t>
      </w:r>
      <w:r w:rsidR="002A49EC" w:rsidRPr="002A49EC">
        <w:rPr>
          <w:lang w:val="ru-RU"/>
        </w:rPr>
        <w:t>[</w:t>
      </w:r>
      <w:r w:rsidR="001973A6">
        <w:rPr>
          <w:lang w:val="ru-RU"/>
        </w:rPr>
        <w:t>(腓</w:t>
      </w:r>
      <w:r w:rsidRPr="00794712">
        <w:rPr>
          <w:lang w:val="ru-RU"/>
        </w:rPr>
        <w:t xml:space="preserve"> 2</w:t>
      </w:r>
      <w:r w:rsidRPr="0002420A">
        <w:rPr>
          <w:lang w:val="ru-RU"/>
        </w:rPr>
        <w:t>:</w:t>
      </w:r>
      <w:r w:rsidRPr="00794712">
        <w:rPr>
          <w:lang w:val="ru-RU"/>
        </w:rPr>
        <w:t>8</w:t>
      </w:r>
      <w:r w:rsidR="002A49EC" w:rsidRPr="002A49EC">
        <w:rPr>
          <w:lang w:val="ru-RU"/>
        </w:rPr>
        <w:t>)</w:t>
      </w:r>
      <w:r w:rsidRPr="00794712">
        <w:rPr>
          <w:lang w:val="ru-RU"/>
        </w:rPr>
        <w:t>；</w:t>
      </w:r>
      <w:r w:rsidR="002A49EC" w:rsidRPr="002A49EC">
        <w:rPr>
          <w:lang w:val="ru-RU"/>
        </w:rPr>
        <w:t>(</w:t>
      </w:r>
      <w:r w:rsidRPr="00794712">
        <w:rPr>
          <w:lang w:val="ru-RU"/>
        </w:rPr>
        <w:t>来 5</w:t>
      </w:r>
      <w:r w:rsidRPr="0002420A">
        <w:rPr>
          <w:lang w:val="ru-RU"/>
        </w:rPr>
        <w:t>:</w:t>
      </w:r>
      <w:r w:rsidRPr="00794712">
        <w:rPr>
          <w:lang w:val="ru-RU"/>
        </w:rPr>
        <w:t>8)</w:t>
      </w:r>
      <w:r w:rsidR="002A49EC" w:rsidRPr="002A49EC">
        <w:rPr>
          <w:lang w:val="ru-RU"/>
        </w:rPr>
        <w:t>]</w:t>
      </w:r>
      <w:r w:rsidRPr="00794712">
        <w:rPr>
          <w:lang w:val="ru-RU"/>
        </w:rPr>
        <w:t>——这种谦卑与顺服同样可归因于祂的人性意志。</w:t>
      </w:r>
      <w:r w:rsidR="001973A6">
        <w:rPr>
          <w:rStyle w:val="FootnoteReference"/>
          <w:lang w:val="ru-RU"/>
        </w:rPr>
        <w:footnoteReference w:id="264"/>
      </w:r>
      <w:r w:rsidRPr="00794712">
        <w:rPr>
          <w:lang w:val="ru-RU"/>
        </w:rPr>
        <w:t xml:space="preserve">  福音书作者多次提到祂作为人的意志的流露，例如：</w:t>
      </w:r>
      <w:r w:rsidRPr="0068273F">
        <w:rPr>
          <w:i/>
          <w:iCs/>
          <w:lang w:val="ru-RU"/>
        </w:rPr>
        <w:t xml:space="preserve">“他们给祂喝掺了胆汁的醋；祂尝了一口，就不愿喝了” </w:t>
      </w:r>
      <w:r w:rsidR="002A49EC" w:rsidRPr="002A49EC">
        <w:rPr>
          <w:lang w:val="ru-RU"/>
        </w:rPr>
        <w:t>[</w:t>
      </w:r>
      <w:r w:rsidR="00224D5E">
        <w:rPr>
          <w:lang w:val="ru-RU"/>
        </w:rPr>
        <w:t>(太</w:t>
      </w:r>
      <w:r w:rsidRPr="00794712">
        <w:rPr>
          <w:lang w:val="ru-RU"/>
        </w:rPr>
        <w:t xml:space="preserve"> 27</w:t>
      </w:r>
      <w:r w:rsidRPr="0068273F">
        <w:rPr>
          <w:lang w:val="ru-RU"/>
        </w:rPr>
        <w:t>:</w:t>
      </w:r>
      <w:r w:rsidRPr="00794712">
        <w:rPr>
          <w:lang w:val="ru-RU"/>
        </w:rPr>
        <w:t>34</w:t>
      </w:r>
      <w:r w:rsidR="002A49EC" w:rsidRPr="002A49EC">
        <w:rPr>
          <w:lang w:val="ru-RU"/>
        </w:rPr>
        <w:t>)</w:t>
      </w:r>
      <w:r w:rsidRPr="00794712">
        <w:rPr>
          <w:lang w:val="ru-RU"/>
        </w:rPr>
        <w:t>；</w:t>
      </w:r>
      <w:r w:rsidR="002A49EC">
        <w:rPr>
          <w:rFonts w:cs="Cambria Math"/>
          <w:lang w:val="ru-RU"/>
        </w:rPr>
        <w:t>(太</w:t>
      </w:r>
      <w:r w:rsidRPr="00794712">
        <w:rPr>
          <w:lang w:val="ru-RU"/>
        </w:rPr>
        <w:t xml:space="preserve"> 26</w:t>
      </w:r>
      <w:r w:rsidRPr="0068273F">
        <w:rPr>
          <w:lang w:val="ru-RU"/>
        </w:rPr>
        <w:t>:</w:t>
      </w:r>
      <w:r w:rsidRPr="00794712">
        <w:rPr>
          <w:lang w:val="ru-RU"/>
        </w:rPr>
        <w:t>17</w:t>
      </w:r>
      <w:r w:rsidR="002A49EC">
        <w:rPr>
          <w:lang w:val="ru-RU"/>
        </w:rPr>
        <w:t>)</w:t>
      </w:r>
      <w:r w:rsidRPr="00794712">
        <w:rPr>
          <w:lang w:val="ru-RU"/>
        </w:rPr>
        <w:t xml:space="preserve">； </w:t>
      </w:r>
      <w:r w:rsidR="002A49EC">
        <w:rPr>
          <w:lang w:val="ru-RU"/>
        </w:rPr>
        <w:t>（</w:t>
      </w:r>
      <w:r w:rsidRPr="00794712">
        <w:rPr>
          <w:lang w:val="ru-RU"/>
        </w:rPr>
        <w:t>可6</w:t>
      </w:r>
      <w:r w:rsidRPr="0068273F">
        <w:rPr>
          <w:lang w:val="ru-RU"/>
        </w:rPr>
        <w:t>:</w:t>
      </w:r>
      <w:r w:rsidRPr="00794712">
        <w:rPr>
          <w:lang w:val="ru-RU"/>
        </w:rPr>
        <w:t>48</w:t>
      </w:r>
      <w:r w:rsidR="002A49EC">
        <w:rPr>
          <w:lang w:val="ru-RU"/>
        </w:rPr>
        <w:t>）</w:t>
      </w:r>
      <w:r w:rsidRPr="00794712">
        <w:rPr>
          <w:lang w:val="ru-RU"/>
        </w:rPr>
        <w:t>；</w:t>
      </w:r>
      <w:r w:rsidR="002A49EC">
        <w:rPr>
          <w:rFonts w:cs="Cambria Math"/>
          <w:lang w:val="ru-RU"/>
        </w:rPr>
        <w:t>（</w:t>
      </w:r>
      <w:r w:rsidRPr="00794712">
        <w:rPr>
          <w:lang w:val="ru-RU"/>
        </w:rPr>
        <w:t>可7</w:t>
      </w:r>
      <w:r w:rsidRPr="0068273F">
        <w:rPr>
          <w:lang w:val="ru-RU"/>
        </w:rPr>
        <w:t>:</w:t>
      </w:r>
      <w:r w:rsidRPr="00794712">
        <w:rPr>
          <w:lang w:val="ru-RU"/>
        </w:rPr>
        <w:t>24</w:t>
      </w:r>
      <w:r w:rsidR="002A49EC">
        <w:rPr>
          <w:lang w:val="ru-RU"/>
        </w:rPr>
        <w:t>）</w:t>
      </w:r>
      <w:r w:rsidRPr="00794712">
        <w:rPr>
          <w:lang w:val="ru-RU"/>
        </w:rPr>
        <w:t>；</w:t>
      </w:r>
      <w:r w:rsidR="002A49EC">
        <w:rPr>
          <w:rFonts w:cs="Cambria Math"/>
          <w:lang w:val="ru-RU"/>
        </w:rPr>
        <w:t>（</w:t>
      </w:r>
      <w:r w:rsidRPr="00794712">
        <w:rPr>
          <w:lang w:val="ru-RU"/>
        </w:rPr>
        <w:t>可9</w:t>
      </w:r>
      <w:r w:rsidRPr="00035095">
        <w:rPr>
          <w:lang w:val="ru-RU"/>
        </w:rPr>
        <w:t>:</w:t>
      </w:r>
      <w:r w:rsidRPr="00794712">
        <w:rPr>
          <w:lang w:val="ru-RU"/>
        </w:rPr>
        <w:t>30</w:t>
      </w:r>
      <w:r w:rsidR="002A49EC">
        <w:rPr>
          <w:lang w:val="ru-RU"/>
        </w:rPr>
        <w:t>）</w:t>
      </w:r>
      <w:r w:rsidRPr="00794712">
        <w:rPr>
          <w:lang w:val="ru-RU"/>
        </w:rPr>
        <w:t>；</w:t>
      </w:r>
      <w:r w:rsidR="002A49EC">
        <w:rPr>
          <w:lang w:val="ru-RU"/>
        </w:rPr>
        <w:t>（</w:t>
      </w:r>
      <w:r w:rsidR="0087297C">
        <w:rPr>
          <w:lang w:val="ru-RU"/>
        </w:rPr>
        <w:t>约1</w:t>
      </w:r>
      <w:r>
        <w:rPr>
          <w:lang w:val="ru-RU"/>
        </w:rPr>
        <w:t>:</w:t>
      </w:r>
      <w:r w:rsidRPr="00794712">
        <w:rPr>
          <w:lang w:val="ru-RU"/>
        </w:rPr>
        <w:t>43；7</w:t>
      </w:r>
      <w:r>
        <w:rPr>
          <w:lang w:val="ru-RU"/>
        </w:rPr>
        <w:t>:</w:t>
      </w:r>
      <w:r w:rsidRPr="00794712">
        <w:rPr>
          <w:lang w:val="ru-RU"/>
        </w:rPr>
        <w:t>1）</w:t>
      </w:r>
      <w:r w:rsidR="002A49EC" w:rsidRPr="002A49EC">
        <w:rPr>
          <w:lang w:val="ru-RU"/>
        </w:rPr>
        <w:t>]</w:t>
      </w:r>
      <w:r w:rsidRPr="00794712">
        <w:rPr>
          <w:lang w:val="ru-RU"/>
        </w:rPr>
        <w:t>。</w:t>
      </w:r>
      <w:r w:rsidR="00E21AED">
        <w:rPr>
          <w:rStyle w:val="FootnoteReference"/>
          <w:lang w:val="ru-RU"/>
        </w:rPr>
        <w:footnoteReference w:id="265"/>
      </w:r>
    </w:p>
    <w:p w14:paraId="4B283D0A"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这一真理早在第六次大公会议之前，就一直被教会所宣认并持守。以下人士曾宣讲这一真理：</w:t>
      </w:r>
    </w:p>
    <w:p w14:paraId="61BA76EE"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圣希波吕托斯：“通过神性与人性这双重作用，祂（主耶稣）向两者显明了自己，既是无限的神，又是有限的人，在自身中完全保留了这两种本性，并各具本性所固有的作用</w:t>
      </w:r>
      <w:r w:rsidRPr="00035095">
        <w:rPr>
          <w:lang w:val="ru-RU"/>
        </w:rPr>
        <w:t>；</w:t>
      </w:r>
      <w:r>
        <w:rPr>
          <w:lang w:val="ru-RU"/>
        </w:rPr>
        <w:t>”</w:t>
      </w:r>
      <w:r w:rsidR="00E21AED">
        <w:rPr>
          <w:rStyle w:val="FootnoteReference"/>
          <w:lang w:val="ru-RU"/>
        </w:rPr>
        <w:footnoteReference w:id="266"/>
      </w:r>
      <w:r w:rsidR="00A95A76" w:rsidRPr="00A95A76">
        <w:rPr>
          <w:b/>
          <w:lang w:val="ru-RU"/>
        </w:rPr>
        <w:t xml:space="preserve"> b) </w:t>
      </w:r>
      <w:r w:rsidRPr="00794712">
        <w:rPr>
          <w:lang w:val="ru-RU"/>
        </w:rPr>
        <w:t>圣亚法纳西在阐释救主的话</w:t>
      </w:r>
      <w:r>
        <w:rPr>
          <w:lang w:val="ru-RU"/>
        </w:rPr>
        <w:t>语时——</w:t>
      </w:r>
      <w:r w:rsidR="000C73C6">
        <w:rPr>
          <w:lang w:val="ru-RU"/>
        </w:rPr>
        <w:t>（</w:t>
      </w:r>
      <w:r w:rsidR="0087297C">
        <w:rPr>
          <w:lang w:val="ru-RU"/>
        </w:rPr>
        <w:t>马太</w:t>
      </w:r>
      <w:r w:rsidRPr="00794712">
        <w:rPr>
          <w:lang w:val="ru-RU"/>
        </w:rPr>
        <w:t>福音26</w:t>
      </w:r>
      <w:r>
        <w:rPr>
          <w:lang w:val="ru-RU"/>
        </w:rPr>
        <w:t>:</w:t>
      </w:r>
      <w:r w:rsidRPr="00794712">
        <w:rPr>
          <w:lang w:val="ru-RU"/>
        </w:rPr>
        <w:t>39</w:t>
      </w:r>
      <w:r w:rsidR="000C73C6">
        <w:rPr>
          <w:lang w:val="ru-RU"/>
        </w:rPr>
        <w:t>）</w:t>
      </w:r>
      <w:r w:rsidRPr="00794712">
        <w:rPr>
          <w:lang w:val="ru-RU"/>
        </w:rPr>
        <w:t>：“主在此显明了两种意志：一种是属于肉身的人性意志，另一种是属于上帝的神性意志； 人性意志因肉体的软弱，祈求免去苦难；而神性意志则渴望受苦</w:t>
      </w:r>
      <w:r w:rsidRPr="00BF2EA0">
        <w:rPr>
          <w:lang w:val="ru-RU"/>
        </w:rPr>
        <w:t>；</w:t>
      </w:r>
      <w:r>
        <w:rPr>
          <w:lang w:val="ru-RU"/>
        </w:rPr>
        <w:t>”</w:t>
      </w:r>
      <w:r w:rsidR="00E21AED">
        <w:rPr>
          <w:rStyle w:val="FootnoteReference"/>
          <w:lang w:val="ru-RU"/>
        </w:rPr>
        <w:footnoteReference w:id="267"/>
      </w:r>
      <w:r w:rsidR="00A95A76" w:rsidRPr="00A95A76">
        <w:rPr>
          <w:b/>
          <w:lang w:val="ru-RU"/>
        </w:rPr>
        <w:t xml:space="preserve"> c)</w:t>
      </w:r>
      <w:r w:rsidRPr="00794712">
        <w:rPr>
          <w:lang w:val="ru-RU"/>
        </w:rPr>
        <w:t xml:space="preserve"> 圣格里高利·尼撒在阐释同一段话时说：“因此，祂里面的人性意志与神性意志是不同的</w:t>
      </w:r>
      <w:r w:rsidRPr="00BF2EA0">
        <w:rPr>
          <w:lang w:val="ru-RU"/>
        </w:rPr>
        <w:t>；</w:t>
      </w:r>
      <w:r>
        <w:rPr>
          <w:lang w:val="ru-RU"/>
        </w:rPr>
        <w:t>”</w:t>
      </w:r>
      <w:r w:rsidR="00E21AED">
        <w:rPr>
          <w:rStyle w:val="FootnoteReference"/>
          <w:lang w:val="ru-RU"/>
        </w:rPr>
        <w:footnoteReference w:id="268"/>
      </w:r>
      <w:r w:rsidR="00A95A76" w:rsidRPr="00A95A76">
        <w:rPr>
          <w:b/>
          <w:lang w:val="ru-RU"/>
        </w:rPr>
        <w:t xml:space="preserve"> d) </w:t>
      </w:r>
      <w:r w:rsidRPr="00794712">
        <w:rPr>
          <w:lang w:val="ru-RU"/>
        </w:rPr>
        <w:t>塞维里安在阐释同一句时说：“这表明了两种意志，一种是神的，另一种是人的</w:t>
      </w:r>
      <w:r>
        <w:rPr>
          <w:lang w:val="ru-RU"/>
        </w:rPr>
        <w:t>。”</w:t>
      </w:r>
      <w:r w:rsidR="00D755B5">
        <w:rPr>
          <w:rStyle w:val="FootnoteReference"/>
          <w:lang w:val="ru-RU"/>
        </w:rPr>
        <w:footnoteReference w:id="269"/>
      </w:r>
      <w:r w:rsidRPr="00794712">
        <w:rPr>
          <w:lang w:val="ru-RU"/>
        </w:rPr>
        <w:t xml:space="preserve"> 在阐释上述经文时，圣安布罗斯</w:t>
      </w:r>
      <w:r w:rsidR="00D755B5">
        <w:rPr>
          <w:rStyle w:val="FootnoteReference"/>
          <w:lang w:val="ru-RU"/>
        </w:rPr>
        <w:footnoteReference w:id="270"/>
      </w:r>
      <w:r w:rsidRPr="00794712">
        <w:rPr>
          <w:lang w:val="ru-RU"/>
        </w:rPr>
        <w:t xml:space="preserve"> 和圣约翰·金口也提出了类似的见解。</w:t>
      </w:r>
      <w:r w:rsidR="00D755B5">
        <w:rPr>
          <w:rStyle w:val="FootnoteReference"/>
          <w:lang w:val="ru-RU"/>
        </w:rPr>
        <w:footnoteReference w:id="271"/>
      </w:r>
    </w:p>
    <w:p w14:paraId="4971818B"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基于以下由捍卫东正教教义、反对单意论者的圣徒们提出的论点，这一观点也必然被理性所认可：</w:t>
      </w:r>
    </w:p>
    <w:p w14:paraId="22839FB8" w14:textId="77777777" w:rsidR="00D85B34" w:rsidRPr="00794712" w:rsidRDefault="00D85B34" w:rsidP="00D85B34">
      <w:pPr>
        <w:rPr>
          <w:lang w:val="ru-RU"/>
        </w:rPr>
      </w:pPr>
      <w:r w:rsidRPr="00794712">
        <w:rPr>
          <w:lang w:val="ru-RU"/>
        </w:rPr>
        <w:lastRenderedPageBreak/>
        <w:tab/>
        <w:t>“既然基督具有两种本性——因其具有理性而能够</w:t>
      </w:r>
      <w:r>
        <w:rPr>
          <w:lang w:val="ru-RU"/>
        </w:rPr>
        <w:t>意愿</w:t>
      </w:r>
      <w:r w:rsidRPr="00794712">
        <w:rPr>
          <w:lang w:val="ru-RU"/>
        </w:rPr>
        <w:t>，因为一切被赋予理性的存在都能够意愿且自由；因此我们说，基督具有两种意愿，或两种本性意志……既然基督具有两种本性，那么就必须承认祂也有两种作为。 因为，在那些本性不同的存在中，其行为也不同；而在那些行为不同的存在中，其本性也不同。反之，根据神圣教父们的教导，在那些本性唯一的存在中，其行为也是唯一的；而在那些行为唯一的存在中，其本质也是唯一的。 因此，必然是二者之一：要么在基督里承认一种作为，便也必须承认祂具有一种本体；要么秉持真理，按照福音和教父们的教导，在祂里面承认两种本体，那么根据同样的教导，也必须承认两种作为。 基督既然在神性上与神和圣父同质，就必须在作为上也与祂平等；同样，既然在人性上与我们同质，就必须在作为上也与我们平等</w:t>
      </w:r>
      <w:r>
        <w:rPr>
          <w:lang w:val="ru-RU"/>
        </w:rPr>
        <w:t>。”</w:t>
      </w:r>
      <w:r w:rsidR="00D755B5">
        <w:rPr>
          <w:rStyle w:val="FootnoteReference"/>
          <w:lang w:val="ru-RU"/>
        </w:rPr>
        <w:footnoteReference w:id="272"/>
      </w:r>
    </w:p>
    <w:p w14:paraId="2E9310BD" w14:textId="77777777" w:rsidR="00D85B34" w:rsidRPr="00794712" w:rsidRDefault="00D85B34" w:rsidP="00D85B34">
      <w:pPr>
        <w:rPr>
          <w:lang w:val="ru-RU"/>
        </w:rPr>
      </w:pPr>
      <w:r w:rsidRPr="00794712">
        <w:rPr>
          <w:lang w:val="ru-RU"/>
        </w:rPr>
        <w:tab/>
        <w:t>“倘若我们说，在主里面只有一种作为：那么它要么是神的，要么是人的，要么既非神亦非人。 若是神性的，我们就不得不承认祂仅仅是神，不具备我们的人性；若是人性的，我们就不得不承认祂仅仅是人，这便是亵渎神明。倘若祂的作为既非神性也非人性，那么祂既非神，也非人，既非与圣父同质，也非与我们同质。</w:t>
      </w:r>
      <w:r>
        <w:rPr>
          <w:lang w:val="ru-RU"/>
        </w:rPr>
        <w:t>”</w:t>
      </w:r>
      <w:r w:rsidR="00D755B5">
        <w:rPr>
          <w:rStyle w:val="FootnoteReference"/>
          <w:lang w:val="ru-RU"/>
        </w:rPr>
        <w:footnoteReference w:id="273"/>
      </w:r>
    </w:p>
    <w:p w14:paraId="5AF5F3A8" w14:textId="77777777" w:rsidR="00D85B34" w:rsidRPr="00794712" w:rsidRDefault="00D85B34" w:rsidP="00D85B34">
      <w:pPr>
        <w:rPr>
          <w:lang w:val="ru-RU"/>
        </w:rPr>
      </w:pPr>
      <w:r w:rsidRPr="00794712">
        <w:rPr>
          <w:lang w:val="ru-RU"/>
        </w:rPr>
        <w:tab/>
        <w:t>“如果主基督的作为是唯一的：那么它要么是受造的，要么是未受造的。二者之间不存在中间的作为，因为也不存在中间的本性。如果它是受造的：那么这将表明基督只有一种受造的本性。如果它是未受造的：那么这将表明只有一种未受造的本体。 因为一切本性之物，在各方面都必须与其本性相符。与本性相符的作为，并非来自外部的附加物；而且显然， ，若无与其相符的作为，本性既不能存在，也不能被认知。每一个存在物，正是通过其作为来表达其本性；这是不可违背的法则</w:t>
      </w:r>
      <w:r>
        <w:rPr>
          <w:lang w:val="ru-RU"/>
        </w:rPr>
        <w:t>。”</w:t>
      </w:r>
      <w:r w:rsidR="00D755B5">
        <w:rPr>
          <w:rStyle w:val="FootnoteReference"/>
          <w:lang w:val="ru-RU"/>
        </w:rPr>
        <w:footnoteReference w:id="274"/>
      </w:r>
    </w:p>
    <w:p w14:paraId="28915B6F" w14:textId="77777777" w:rsidR="00D85B34" w:rsidRPr="00794712" w:rsidRDefault="00D85B34" w:rsidP="00D85B34">
      <w:pPr>
        <w:rPr>
          <w:lang w:val="ru-RU"/>
        </w:rPr>
      </w:pPr>
      <w:r w:rsidRPr="00794712">
        <w:rPr>
          <w:lang w:val="ru-RU"/>
        </w:rPr>
        <w:tab/>
        <w:t>“若在基督里只有一种作为，那么神圣之事与人性之事都将由同一种作为所产生。 但任何处于自然状态中的存在，都无法产生相互矛盾的行动。例如，火不能同时使人温暖和冷却；水</w:t>
      </w:r>
      <w:r>
        <w:rPr>
          <w:lang w:val="ru-RU"/>
        </w:rPr>
        <w:t>不能</w:t>
      </w:r>
      <w:r w:rsidRPr="00794712">
        <w:rPr>
          <w:lang w:val="ru-RU"/>
        </w:rPr>
        <w:t>同时使人湿润和干燥。那么，那位本性是神、又按本性成为人的基督，如何能通过同一行动既行神迹又承受苦难呢？</w:t>
      </w:r>
      <w:r>
        <w:rPr>
          <w:lang w:val="ru-RU"/>
        </w:rPr>
        <w:t>”</w:t>
      </w:r>
      <w:r w:rsidR="00D755B5">
        <w:rPr>
          <w:rStyle w:val="FootnoteReference"/>
          <w:lang w:val="ru-RU"/>
        </w:rPr>
        <w:footnoteReference w:id="275"/>
      </w:r>
    </w:p>
    <w:p w14:paraId="6B6D7E46" w14:textId="77777777" w:rsidR="00D85B34" w:rsidRPr="00794712" w:rsidRDefault="00D85B34" w:rsidP="00D85B34">
      <w:pPr>
        <w:rPr>
          <w:lang w:val="ru-RU"/>
        </w:rPr>
      </w:pPr>
      <w:r w:rsidRPr="00794712">
        <w:rPr>
          <w:lang w:val="ru-RU"/>
        </w:rPr>
        <w:tab/>
        <w:t>必须补充的是，若没有人的意志，基督就不可能为了我们而顺服上帝</w:t>
      </w:r>
      <w:r w:rsidRPr="00BF2EA0">
        <w:rPr>
          <w:i/>
          <w:iCs/>
          <w:lang w:val="ru-RU"/>
        </w:rPr>
        <w:t>，“甚至死在十字架上”</w:t>
      </w:r>
      <w:r w:rsidRPr="00794712">
        <w:rPr>
          <w:lang w:val="ru-RU"/>
        </w:rPr>
        <w:t xml:space="preserve"> </w:t>
      </w:r>
      <w:r w:rsidR="001973A6">
        <w:rPr>
          <w:lang w:val="ru-RU"/>
        </w:rPr>
        <w:t>（腓</w:t>
      </w:r>
      <w:r w:rsidRPr="00794712">
        <w:rPr>
          <w:lang w:val="ru-RU"/>
        </w:rPr>
        <w:t xml:space="preserve"> 2</w:t>
      </w:r>
      <w:r w:rsidRPr="00BF2EA0">
        <w:rPr>
          <w:lang w:val="ru-RU"/>
        </w:rPr>
        <w:t>:</w:t>
      </w:r>
      <w:r w:rsidRPr="00794712">
        <w:rPr>
          <w:lang w:val="ru-RU"/>
        </w:rPr>
        <w:t>8），也就无法自愿以祂的人性为我们承受苦难，进而无法为我们满足神的公义，也无法为我们赢得救恩。</w:t>
      </w:r>
      <w:r w:rsidR="00D755B5">
        <w:rPr>
          <w:rStyle w:val="FootnoteReference"/>
          <w:lang w:val="ru-RU"/>
        </w:rPr>
        <w:footnoteReference w:id="276"/>
      </w:r>
      <w:r w:rsidRPr="00794712">
        <w:rPr>
          <w:lang w:val="ru-RU"/>
        </w:rPr>
        <w:t xml:space="preserve"> 因此，单性论异端从根本上动摇了我们得救赎的可能性。</w:t>
      </w:r>
    </w:p>
    <w:p w14:paraId="6292322C" w14:textId="77777777" w:rsidR="00D85B34" w:rsidRPr="00794712" w:rsidRDefault="00F45CFB" w:rsidP="00D85B34">
      <w:pPr>
        <w:ind w:firstLine="708"/>
        <w:rPr>
          <w:lang w:val="ru-RU"/>
        </w:rPr>
      </w:pPr>
      <w:r w:rsidRPr="00F45CFB">
        <w:rPr>
          <w:b/>
          <w:bCs/>
          <w:lang w:val="ru-RU"/>
        </w:rPr>
        <w:t>2)</w:t>
      </w:r>
      <w:r w:rsidR="00D85B34" w:rsidRPr="00794712">
        <w:rPr>
          <w:lang w:val="ru-RU"/>
        </w:rPr>
        <w:t xml:space="preserve"> 至于耶稣基督内两个意志与两个行为的关系，可从东正教会关于祂二性合而为一位格的普遍教义中得到解释：一方面，这种结合是不可混同且不可改变的；另一方面，又是不可分割且不可分离的。 为了更清晰、更准确地阐明这一真理：以下是教会圣父们就该真理所阐述的若干主要观点，这些观点由圣约翰·达马斯库斯在其《神学》中进行了阐述：</w:t>
      </w:r>
    </w:p>
    <w:p w14:paraId="1D9BADCF" w14:textId="77777777" w:rsidR="00D85B34" w:rsidRPr="00794712" w:rsidRDefault="00D85B34" w:rsidP="00D85B34">
      <w:pPr>
        <w:rPr>
          <w:lang w:val="ru-RU"/>
        </w:rPr>
      </w:pPr>
      <w:r w:rsidRPr="00794712">
        <w:rPr>
          <w:lang w:val="ru-RU"/>
        </w:rPr>
        <w:lastRenderedPageBreak/>
        <w:tab/>
        <w:t>第一：“关于祂（</w:t>
      </w:r>
      <w:r w:rsidR="00A95A76" w:rsidRPr="004F07F1">
        <w:rPr>
          <w:lang w:val="ru-RU"/>
        </w:rPr>
        <w:t>耶稣基督）</w:t>
      </w:r>
      <w:r w:rsidRPr="00794712">
        <w:rPr>
          <w:lang w:val="ru-RU"/>
        </w:rPr>
        <w:t>的两种本性如何构成一个位格：我们说，同一位基督既按本性意愿行事，又按本性行事——这两种本性皆源于祂、存在于祂之中，且祂就是我们的基督上帝。</w:t>
      </w:r>
      <w:r>
        <w:rPr>
          <w:lang w:val="ru-RU"/>
        </w:rPr>
        <w:t>”</w:t>
      </w:r>
      <w:r w:rsidR="00D755B5">
        <w:rPr>
          <w:rStyle w:val="FootnoteReference"/>
          <w:lang w:val="ru-RU"/>
        </w:rPr>
        <w:footnoteReference w:id="277"/>
      </w:r>
    </w:p>
    <w:p w14:paraId="7867A048" w14:textId="77777777" w:rsidR="00D85B34" w:rsidRPr="00794712" w:rsidRDefault="00D85B34" w:rsidP="00D85B34">
      <w:pPr>
        <w:rPr>
          <w:lang w:val="ru-RU"/>
        </w:rPr>
      </w:pPr>
      <w:r w:rsidRPr="00794712">
        <w:rPr>
          <w:lang w:val="ru-RU"/>
        </w:rPr>
        <w:tab/>
        <w:t>第二点：“既然基督只有一位，且在两种本性中都具有同一意志，那么我们必须说，祂意志的对象（</w:t>
      </w:r>
      <w:r w:rsidRPr="00AA0891">
        <w:t>θελητον</w:t>
      </w:r>
      <w:r w:rsidRPr="00794712">
        <w:rPr>
          <w:lang w:val="ru-RU"/>
        </w:rPr>
        <w:t>）也是唯一的，并非因为祂仅按本性——作为上帝——所愿而行（因为神性并不具有‘想要’的属性——例如‘吃’、‘喝’等）； 而是因为祂也愿意那些本质上属于人性之事，这既不违背祂的自由意志，也符合两种本性的特性。</w:t>
      </w:r>
      <w:r>
        <w:rPr>
          <w:lang w:val="ru-RU"/>
        </w:rPr>
        <w:t>”</w:t>
      </w:r>
      <w:r w:rsidR="00D755B5">
        <w:rPr>
          <w:rStyle w:val="FootnoteReference"/>
          <w:lang w:val="ru-RU"/>
        </w:rPr>
        <w:footnoteReference w:id="278"/>
      </w:r>
    </w:p>
    <w:p w14:paraId="3A7CF24D" w14:textId="77777777" w:rsidR="00D85B34" w:rsidRPr="00794712" w:rsidRDefault="00D85B34" w:rsidP="00D85B34">
      <w:pPr>
        <w:rPr>
          <w:lang w:val="ru-RU"/>
        </w:rPr>
      </w:pPr>
      <w:r w:rsidRPr="00794712">
        <w:rPr>
          <w:lang w:val="ru-RU"/>
        </w:rPr>
        <w:tab/>
        <w:t>第三点：“正如我们承认祂内有两种本性相互结合、彼此渗透，同时既不否认它们的差异，也加以区分，并承认它们不可分割；同样，我们也承认意志与行为的结合与差异，加以区分，却不引入分裂。 正如肉身既已神化，其本性却未发生改变；同样，意志与行为既已神化，也未超出其界限…… 在基督里——祂的神性具有神圣且全能的作为；而祂的人性则具有人性的作为。例如，祂牵起少女的手并将她扶起，这是人性的作为</w:t>
      </w:r>
      <w:r>
        <w:rPr>
          <w:lang w:val="ru-RU"/>
        </w:rPr>
        <w:t>；</w:t>
      </w:r>
      <w:r w:rsidRPr="00794712">
        <w:rPr>
          <w:lang w:val="ru-RU"/>
        </w:rPr>
        <w:t>而使她复活，则是神性的作为</w:t>
      </w:r>
      <w:r>
        <w:rPr>
          <w:lang w:val="ru-RU"/>
        </w:rPr>
        <w:t>。”</w:t>
      </w:r>
      <w:r w:rsidR="00D755B5">
        <w:rPr>
          <w:rStyle w:val="FootnoteReference"/>
          <w:lang w:val="ru-RU"/>
        </w:rPr>
        <w:footnoteReference w:id="279"/>
      </w:r>
    </w:p>
    <w:p w14:paraId="66684F75" w14:textId="77777777" w:rsidR="00D85B34" w:rsidRPr="00794712" w:rsidRDefault="00D85B34" w:rsidP="00D85B34">
      <w:pPr>
        <w:rPr>
          <w:lang w:val="ru-RU"/>
        </w:rPr>
      </w:pPr>
      <w:r w:rsidRPr="00794712">
        <w:rPr>
          <w:lang w:val="ru-RU"/>
        </w:rPr>
        <w:tab/>
        <w:t>第四点：“我们并不说在基督里，两种作为是分离的，两种本性各自独立地运作；而是断言，二者相互结合，在彼此参与下，各自成就其固有的作为。 因为耶稣基督既非仅以人的身份行人的事——因为祂不单是人；也非仅以神的身份行神的事——因为祂不单是神，而是同时是神又是人……神迹是由神性所成就的，但并非脱离肉身；而卑微之事则由肉身所成就，但并非与神性分离。 因为神性与受苦的肉身联合在一起， 神性本身并未受苦，却使这些苦难成为救赎的：而与道的神性一同行事的，是圣洁的理智，它明白并知道所成就</w:t>
      </w:r>
      <w:r>
        <w:rPr>
          <w:lang w:val="ru-RU"/>
        </w:rPr>
        <w:t>的一切”</w:t>
      </w:r>
      <w:r w:rsidR="00D755B5">
        <w:rPr>
          <w:rStyle w:val="FootnoteReference"/>
          <w:lang w:val="ru-RU"/>
        </w:rPr>
        <w:footnoteReference w:id="280"/>
      </w:r>
    </w:p>
    <w:p w14:paraId="4ABD3364" w14:textId="77777777" w:rsidR="00D85B34" w:rsidRPr="00794712" w:rsidRDefault="00D85B34" w:rsidP="00D85B34">
      <w:pPr>
        <w:rPr>
          <w:lang w:val="ru-RU"/>
        </w:rPr>
      </w:pPr>
      <w:r w:rsidRPr="00794712">
        <w:rPr>
          <w:lang w:val="ru-RU"/>
        </w:rPr>
        <w:tab/>
        <w:t>第五点：“祂既作为神，又作为人，自然地拥有意志；然而，人的意志顺从并服从于祂（神圣的）意志，不按自己的意愿行事，而只愿祂神圣意志所愿的。 当神性意志允许时，人性意志便自然地顺应其本性。例如，当人性意志抗拒死亡，而祂的神性意志却对此表示同意并予以允许时，人性意志便自然地抗拒死亡，并处于挣扎与恐惧之中。 而当祂的神性意志希望祂的人性意志选择死亡时，祂的受难便成了自愿的：因为祂不仅作为神，而且作为人，自愿将自己交于死亡</w:t>
      </w:r>
      <w:r>
        <w:rPr>
          <w:lang w:val="ru-RU"/>
        </w:rPr>
        <w:t>。”</w:t>
      </w:r>
      <w:r w:rsidR="0050344D">
        <w:rPr>
          <w:rStyle w:val="FootnoteReference"/>
          <w:lang w:val="ru-RU"/>
        </w:rPr>
        <w:footnoteReference w:id="281"/>
      </w:r>
    </w:p>
    <w:p w14:paraId="57694EC8" w14:textId="77777777" w:rsidR="00D85B34" w:rsidRPr="00794712" w:rsidRDefault="00D85B34" w:rsidP="00D85B34">
      <w:pPr>
        <w:rPr>
          <w:lang w:val="ru-RU"/>
        </w:rPr>
      </w:pPr>
      <w:r w:rsidRPr="00794712">
        <w:rPr>
          <w:lang w:val="ru-RU"/>
        </w:rPr>
        <w:tab/>
        <w:t>第六点：“祂既是神又是人，同一位格，既以神性意志，也以人性意志行事。因此，主的两种意志之间的区别，并非源于任意的安排，而是源于自然的力量。因为祂的神性意志是无始的、全能的，始终伴随着大能，且无私无欲。 而祂的人性意志则始于时间之中，并具有自然且无可指责的软弱。</w:t>
      </w:r>
      <w:r>
        <w:rPr>
          <w:lang w:val="ru-RU"/>
        </w:rPr>
        <w:t>”</w:t>
      </w:r>
      <w:r w:rsidR="0050344D">
        <w:rPr>
          <w:rStyle w:val="FootnoteReference"/>
          <w:lang w:val="ru-RU"/>
        </w:rPr>
        <w:footnoteReference w:id="282"/>
      </w:r>
    </w:p>
    <w:p w14:paraId="7E00251F" w14:textId="77777777" w:rsidR="00D85B34" w:rsidRPr="00794712" w:rsidRDefault="00D85B34" w:rsidP="00D85B34">
      <w:pPr>
        <w:rPr>
          <w:lang w:val="ru-RU"/>
        </w:rPr>
      </w:pPr>
      <w:r w:rsidRPr="00794712">
        <w:rPr>
          <w:lang w:val="ru-RU"/>
        </w:rPr>
        <w:tab/>
        <w:t xml:space="preserve">第七点：“无论是说：基督按其每一种本性行事，还是说：基督内的每一种本性在另一本性的参与下行事，两者并无区别。 因此，神性参与了肉身的作为，因为根据神性旨意的美意，祂允许肉身按其本性受苦并行事；而且，肉身的作为无疑是救赎性的，而这并非源于人的作为，而是源于神性。 </w:t>
      </w:r>
      <w:r w:rsidRPr="00794712">
        <w:rPr>
          <w:lang w:val="ru-RU"/>
        </w:rPr>
        <w:lastRenderedPageBreak/>
        <w:t>至于肉体，则参与道之神性的作为：因为神的作为是通过身体——作为工具——来实现的；而且，以神性方式行事的同时又以人性方式行事的，是同一位神</w:t>
      </w:r>
      <w:r>
        <w:rPr>
          <w:lang w:val="ru-RU"/>
        </w:rPr>
        <w:t>。”</w:t>
      </w:r>
      <w:r w:rsidR="0050344D">
        <w:rPr>
          <w:rStyle w:val="FootnoteReference"/>
          <w:lang w:val="ru-RU"/>
        </w:rPr>
        <w:footnoteReference w:id="283"/>
      </w:r>
    </w:p>
    <w:p w14:paraId="669D07A0" w14:textId="77777777" w:rsidR="00D85B34" w:rsidRPr="00794712" w:rsidRDefault="00D85B34" w:rsidP="00D85B34">
      <w:pPr>
        <w:rPr>
          <w:lang w:val="ru-RU"/>
        </w:rPr>
      </w:pPr>
      <w:r w:rsidRPr="00794712">
        <w:rPr>
          <w:lang w:val="ru-RU"/>
        </w:rPr>
        <w:tab/>
      </w:r>
      <w:r w:rsidR="0050344D">
        <w:rPr>
          <w:lang w:val="ru-RU"/>
        </w:rPr>
        <w:t>第八点</w:t>
      </w:r>
      <w:r w:rsidRPr="00794712">
        <w:rPr>
          <w:lang w:val="ru-RU"/>
        </w:rPr>
        <w:t>：</w:t>
      </w:r>
      <w:r>
        <w:rPr>
          <w:lang w:val="ru-RU"/>
        </w:rPr>
        <w:t>“</w:t>
      </w:r>
      <w:r w:rsidRPr="00794712">
        <w:rPr>
          <w:lang w:val="ru-RU"/>
        </w:rPr>
        <w:t>神人（</w:t>
      </w:r>
      <w:r w:rsidRPr="00AA0891">
        <w:t>或称神性与人性结合</w:t>
      </w:r>
      <w:r w:rsidRPr="0097554A">
        <w:rPr>
          <w:lang w:val="ru-RU"/>
        </w:rPr>
        <w:t>——</w:t>
      </w:r>
      <w:r w:rsidRPr="00AA0891">
        <w:t>θεανδρική</w:t>
      </w:r>
      <w:r w:rsidRPr="00794712">
        <w:rPr>
          <w:lang w:val="ru-RU"/>
        </w:rPr>
        <w:t>）的作为意味着：在神道成肉身后，祂的人性作为也是神性的，即被神化且与祂的神性作为密不可分；而祂的神性作为也与祂的人性作为密不可分，二者各自的作为都包含着对方的参与。</w:t>
      </w:r>
      <w:r>
        <w:rPr>
          <w:lang w:val="ru-RU"/>
        </w:rPr>
        <w:t>”</w:t>
      </w:r>
      <w:r w:rsidR="0050344D">
        <w:rPr>
          <w:rStyle w:val="FootnoteReference"/>
          <w:lang w:val="ru-RU"/>
        </w:rPr>
        <w:footnoteReference w:id="284"/>
      </w:r>
    </w:p>
    <w:p w14:paraId="313A7E96" w14:textId="77777777" w:rsidR="00D85B34" w:rsidRDefault="00D85B34" w:rsidP="00D85B34">
      <w:pPr>
        <w:rPr>
          <w:lang w:val="ru-RU"/>
        </w:rPr>
      </w:pPr>
    </w:p>
    <w:p w14:paraId="2C1704D4" w14:textId="77777777" w:rsidR="00D85B34" w:rsidRPr="00794712" w:rsidRDefault="00D85B34" w:rsidP="007B240B">
      <w:pPr>
        <w:pStyle w:val="Heading5"/>
        <w:rPr>
          <w:lang w:val="ru-RU"/>
        </w:rPr>
      </w:pPr>
      <w:bookmarkStart w:id="177" w:name="_Toc133155571"/>
      <w:bookmarkStart w:id="178" w:name="_Toc180664584"/>
      <w:bookmarkStart w:id="179" w:name="_Toc180679205"/>
      <w:bookmarkStart w:id="180" w:name="_Toc180679262"/>
      <w:bookmarkStart w:id="181" w:name="_Toc180679785"/>
      <w:bookmarkStart w:id="182" w:name="_Toc238453668"/>
      <w:bookmarkStart w:id="183" w:name="_Toc238576484"/>
      <w:r w:rsidRPr="00794712">
        <w:rPr>
          <w:lang w:val="ru-RU"/>
        </w:rPr>
        <w:t xml:space="preserve">§140. </w:t>
      </w:r>
      <w:r w:rsidR="00A95A76" w:rsidRPr="00A95A76">
        <w:rPr>
          <w:lang w:val="ru-RU"/>
        </w:rPr>
        <w:t>b)</w:t>
      </w:r>
      <w:r w:rsidRPr="00794712">
        <w:rPr>
          <w:lang w:val="ru-RU"/>
        </w:rPr>
        <w:t xml:space="preserve"> 关于至圣童贞女、主耶稣之母</w:t>
      </w:r>
      <w:bookmarkEnd w:id="177"/>
      <w:bookmarkEnd w:id="178"/>
      <w:bookmarkEnd w:id="179"/>
      <w:bookmarkEnd w:id="180"/>
      <w:bookmarkEnd w:id="181"/>
      <w:bookmarkEnd w:id="182"/>
      <w:bookmarkEnd w:id="183"/>
    </w:p>
    <w:p w14:paraId="0A2105AC" w14:textId="77777777" w:rsidR="00D85B34" w:rsidRPr="00794712" w:rsidRDefault="00D85B34" w:rsidP="00D85B34">
      <w:pPr>
        <w:rPr>
          <w:lang w:val="ru-RU"/>
        </w:rPr>
      </w:pPr>
      <w:r>
        <w:rPr>
          <w:lang w:val="ru-RU"/>
        </w:rPr>
        <w:tab/>
      </w:r>
      <w:r w:rsidRPr="00794712">
        <w:rPr>
          <w:lang w:val="ru-RU"/>
        </w:rPr>
        <w:t>耶稣基督内两种本性在位格上的结合，就其与至圣童贞女——祂的母亲——的关系而言，其结果在于：她确确实实是圣母（《东正教信条》第一卷，对第40个问题的回答；《基督教教理问答》</w:t>
      </w:r>
      <w:r w:rsidRPr="00AA0891">
        <w:t>第三章</w:t>
      </w:r>
      <w:r w:rsidRPr="00794712">
        <w:rPr>
          <w:lang w:val="ru-RU"/>
        </w:rPr>
        <w:t>）。 因为她生下了那位——祂虽是真神，却在受孕的瞬间，</w:t>
      </w:r>
      <w:r w:rsidRPr="00AA0891">
        <w:t>在她的</w:t>
      </w:r>
      <w:r w:rsidRPr="00794712">
        <w:rPr>
          <w:lang w:val="ru-RU"/>
        </w:rPr>
        <w:t>子宫中将人性接纳进祂位格的合一之中，以致祂在道成肉身时源于她，且在道成肉身后，始终如一地保持着与道成肉身前自亘古以来所存在的同一神圣位格。 换言之：她所诞生的主耶稣，并非因其神性，而是因其人性；然而，这人性自祂道成肉身的瞬间起， 便与祂的神性在祂里面不可分割且位格性地结合在一起，从祂道成肉身的瞬间起，便被祂神化，</w:t>
      </w:r>
      <w:r w:rsidR="0050344D">
        <w:rPr>
          <w:rStyle w:val="FootnoteReference"/>
          <w:lang w:val="ru-RU"/>
        </w:rPr>
        <w:footnoteReference w:id="285"/>
      </w:r>
      <w:r w:rsidRPr="00794712">
        <w:rPr>
          <w:lang w:val="ru-RU"/>
        </w:rPr>
        <w:t xml:space="preserve"> ，并成为祂神圣位格的一部分，因此，受孕、在圣母腹中度过一定时间的孕期，以及由她所生</w:t>
      </w:r>
      <w:r>
        <w:rPr>
          <w:lang w:val="ru-RU"/>
        </w:rPr>
        <w:t>——</w:t>
      </w:r>
      <w:r w:rsidRPr="00794712">
        <w:rPr>
          <w:lang w:val="ru-RU"/>
        </w:rPr>
        <w:t>这些都归属于祂的神圣位格本身。 换言之：她“所生的并非普通人，而是真神；不仅是一位神，更是道成肉身的神——祂并非从天上带来身体，也并非像通过管道一样经过她，而是从她那里领受了与我们同质的肉身，这肉身在祂 自身中获得了位格</w:t>
      </w:r>
      <w:r>
        <w:rPr>
          <w:lang w:val="ru-RU"/>
        </w:rPr>
        <w:t>。</w:t>
      </w:r>
      <w:r w:rsidRPr="00794712">
        <w:rPr>
          <w:lang w:val="ru-RU"/>
        </w:rPr>
        <w:t>”</w:t>
      </w:r>
      <w:r w:rsidR="0050344D">
        <w:rPr>
          <w:rStyle w:val="FootnoteReference"/>
          <w:lang w:val="ru-RU"/>
        </w:rPr>
        <w:footnoteReference w:id="286"/>
      </w:r>
      <w:r w:rsidRPr="00794712">
        <w:rPr>
          <w:lang w:val="ru-RU"/>
        </w:rPr>
        <w:t xml:space="preserve"> 因此，圣经教导我们称她为“圣母”，而圣教会也一直称她为“圣母”并信奉她。</w:t>
      </w:r>
    </w:p>
    <w:p w14:paraId="2FE343FE" w14:textId="77777777" w:rsidR="00D85B34" w:rsidRPr="00794712" w:rsidRDefault="00F45CFB" w:rsidP="00D85B34">
      <w:pPr>
        <w:ind w:firstLine="708"/>
        <w:rPr>
          <w:lang w:val="ru-RU"/>
        </w:rPr>
      </w:pPr>
      <w:r w:rsidRPr="00F45CFB">
        <w:rPr>
          <w:b/>
          <w:lang w:val="ru-RU"/>
        </w:rPr>
        <w:t>1)</w:t>
      </w:r>
      <w:r w:rsidR="00D85B34" w:rsidRPr="00794712">
        <w:rPr>
          <w:lang w:val="ru-RU"/>
        </w:rPr>
        <w:t xml:space="preserve"> 先知还预言说，童贞女将在腹中怀胎并生下与我们同在的上帝——以马内利，即那位将我们的本性接纳到祂位格统一中的上帝 </w:t>
      </w:r>
      <w:r w:rsidR="000C73C6" w:rsidRPr="000C73C6">
        <w:rPr>
          <w:lang w:val="ru-RU"/>
        </w:rPr>
        <w:t>[</w:t>
      </w:r>
      <w:r w:rsidR="00D85B34" w:rsidRPr="00794712">
        <w:rPr>
          <w:lang w:val="ru-RU"/>
        </w:rPr>
        <w:t>(赛 7</w:t>
      </w:r>
      <w:r w:rsidR="00D85B34" w:rsidRPr="00925F62">
        <w:rPr>
          <w:lang w:val="ru-RU"/>
        </w:rPr>
        <w:t>:</w:t>
      </w:r>
      <w:r w:rsidR="00D85B34" w:rsidRPr="00794712">
        <w:rPr>
          <w:lang w:val="ru-RU"/>
        </w:rPr>
        <w:t>14</w:t>
      </w:r>
      <w:r w:rsidR="000C73C6">
        <w:rPr>
          <w:lang w:val="ru-RU"/>
        </w:rPr>
        <w:t>)</w:t>
      </w:r>
      <w:r w:rsidR="00D85B34" w:rsidRPr="00794712">
        <w:rPr>
          <w:lang w:val="ru-RU"/>
        </w:rPr>
        <w:t>；</w:t>
      </w:r>
      <w:r w:rsidR="000C73C6">
        <w:rPr>
          <w:lang w:val="ru-RU"/>
        </w:rPr>
        <w:t>(</w:t>
      </w:r>
      <w:r w:rsidR="0087297C">
        <w:rPr>
          <w:lang w:val="ru-RU"/>
        </w:rPr>
        <w:t>太</w:t>
      </w:r>
      <w:r w:rsidR="00D85B34" w:rsidRPr="00794712">
        <w:rPr>
          <w:lang w:val="ru-RU"/>
        </w:rPr>
        <w:t xml:space="preserve"> 1</w:t>
      </w:r>
      <w:r w:rsidR="00D85B34" w:rsidRPr="00925F62">
        <w:rPr>
          <w:lang w:val="ru-RU"/>
        </w:rPr>
        <w:t>:</w:t>
      </w:r>
      <w:r w:rsidR="00D85B34" w:rsidRPr="00794712">
        <w:rPr>
          <w:lang w:val="ru-RU"/>
        </w:rPr>
        <w:t>23)</w:t>
      </w:r>
      <w:r w:rsidR="000C73C6" w:rsidRPr="000C73C6">
        <w:rPr>
          <w:lang w:val="ru-RU"/>
        </w:rPr>
        <w:t>]</w:t>
      </w:r>
      <w:r w:rsidR="00D85B34" w:rsidRPr="00794712">
        <w:rPr>
          <w:lang w:val="ru-RU"/>
        </w:rPr>
        <w:t>。 大天使向她报喜，说她将在腹中受孕并生下一个儿子，这儿子将被称为神的儿子</w:t>
      </w:r>
      <w:r w:rsidR="008A3626">
        <w:rPr>
          <w:lang w:val="ru-RU"/>
        </w:rPr>
        <w:t>（路加福音</w:t>
      </w:r>
      <w:r w:rsidR="00D85B34" w:rsidRPr="00794712">
        <w:rPr>
          <w:lang w:val="ru-RU"/>
        </w:rPr>
        <w:t xml:space="preserve"> 31</w:t>
      </w:r>
      <w:r w:rsidR="00D85B34" w:rsidRPr="00925F62">
        <w:rPr>
          <w:lang w:val="ru-RU"/>
        </w:rPr>
        <w:t>:</w:t>
      </w:r>
      <w:r w:rsidR="00D85B34" w:rsidRPr="00794712">
        <w:rPr>
          <w:lang w:val="ru-RU"/>
        </w:rPr>
        <w:t>35）。 倘若至圣童贞女，正如这些报喜者所言，确实怀了孕并生下道成肉身的上帝，即上帝之子：那么她理应被称为“上帝之母”。</w:t>
      </w:r>
    </w:p>
    <w:p w14:paraId="3CB43D1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确实，刚</w:t>
      </w:r>
      <w:r w:rsidR="00D85B34" w:rsidRPr="000D4F82">
        <w:rPr>
          <w:i/>
          <w:iCs/>
          <w:lang w:val="ru-RU"/>
        </w:rPr>
        <w:t>一“发现她因圣灵怀了孕”</w:t>
      </w:r>
      <w:r w:rsidR="00224D5E">
        <w:rPr>
          <w:lang w:val="ru-RU"/>
        </w:rPr>
        <w:t>（马太</w:t>
      </w:r>
      <w:r w:rsidR="00D85B34" w:rsidRPr="00794712">
        <w:rPr>
          <w:lang w:val="ru-RU"/>
        </w:rPr>
        <w:t>福音1</w:t>
      </w:r>
      <w:r w:rsidR="00D85B34" w:rsidRPr="000D4F82">
        <w:rPr>
          <w:lang w:val="ru-RU"/>
        </w:rPr>
        <w:t>:</w:t>
      </w:r>
      <w:r w:rsidR="00D85B34" w:rsidRPr="00794712">
        <w:rPr>
          <w:lang w:val="ru-RU"/>
        </w:rPr>
        <w:t xml:space="preserve">18），当她还在腹中怀着那永恒的婴孩时，虔诚的伊丽莎白在与她会面时，便庄严地承认她是主的母亲，也就是圣母。 </w:t>
      </w:r>
      <w:r w:rsidR="00D85B34" w:rsidRPr="000D4F82">
        <w:rPr>
          <w:i/>
          <w:iCs/>
          <w:lang w:val="ru-RU"/>
        </w:rPr>
        <w:t>“以利沙伯一听见马利亚的问候，腹中的胎儿就在她腹中欢跃；以利沙伯就被圣灵充满，高声喊着说：‘你在妇女中是有福的，你腹中的胎儿也是有福的！ 我怎能有这恩典，使我主的母亲来到我这里呢？”</w:t>
      </w:r>
      <w:r w:rsidR="008A3626">
        <w:rPr>
          <w:lang w:val="ru-RU"/>
        </w:rPr>
        <w:t>（路加福音1</w:t>
      </w:r>
      <w:r w:rsidR="00D85B34" w:rsidRPr="000D4F82">
        <w:rPr>
          <w:lang w:val="ru-RU"/>
        </w:rPr>
        <w:t>:</w:t>
      </w:r>
      <w:r w:rsidR="00D85B34" w:rsidRPr="00794712">
        <w:rPr>
          <w:lang w:val="ru-RU"/>
        </w:rPr>
        <w:t>41-43）。 这里特别重要的是，义人以利沙伯称这位蒙大福的童贞女为“主的母亲”，并非出于她自己的意愿，而是因被圣灵充满，并顺从圣灵的启</w:t>
      </w:r>
      <w:r w:rsidR="00D85B34">
        <w:rPr>
          <w:lang w:val="ru-RU"/>
        </w:rPr>
        <w:t>示</w:t>
      </w:r>
      <w:r w:rsidR="00D85B34" w:rsidRPr="00794712">
        <w:rPr>
          <w:lang w:val="ru-RU"/>
        </w:rPr>
        <w:t>——在神婴从她腹中诞生之前，便已如此称呼（《东正教教义问答》第1卷，对第41个问题的回答）。</w:t>
      </w:r>
    </w:p>
    <w:p w14:paraId="69978E30" w14:textId="77777777" w:rsidR="00D85B34" w:rsidRPr="00794712" w:rsidRDefault="00F45CFB" w:rsidP="00D85B34">
      <w:pPr>
        <w:ind w:firstLine="708"/>
        <w:rPr>
          <w:lang w:val="ru-RU"/>
        </w:rPr>
      </w:pPr>
      <w:r w:rsidRPr="00F45CFB">
        <w:rPr>
          <w:b/>
          <w:lang w:val="ru-RU"/>
        </w:rPr>
        <w:lastRenderedPageBreak/>
        <w:t>3)</w:t>
      </w:r>
      <w:r w:rsidR="00D85B34" w:rsidRPr="00794712">
        <w:rPr>
          <w:lang w:val="ru-RU"/>
        </w:rPr>
        <w:t xml:space="preserve"> 圣使徒保罗写道：</w:t>
      </w:r>
      <w:r w:rsidR="00D85B34" w:rsidRPr="009E681A">
        <w:rPr>
          <w:i/>
          <w:iCs/>
          <w:lang w:val="ru-RU"/>
        </w:rPr>
        <w:t>“及至时候满足，神就差遣祂的[独生]子，由女人所生”</w:t>
      </w:r>
      <w:r w:rsidR="00D85B34" w:rsidRPr="00794712">
        <w:rPr>
          <w:lang w:val="ru-RU"/>
        </w:rPr>
        <w:t>（加拉太书 4</w:t>
      </w:r>
      <w:r w:rsidR="00D85B34">
        <w:rPr>
          <w:lang w:val="ru-RU"/>
        </w:rPr>
        <w:t>:</w:t>
      </w:r>
      <w:r w:rsidR="00D85B34" w:rsidRPr="00794712">
        <w:rPr>
          <w:lang w:val="ru-RU"/>
        </w:rPr>
        <w:t xml:space="preserve">4）；在另一处经文中： </w:t>
      </w:r>
      <w:r w:rsidR="00D85B34" w:rsidRPr="009E681A">
        <w:rPr>
          <w:i/>
          <w:iCs/>
          <w:lang w:val="ru-RU"/>
        </w:rPr>
        <w:t>“毫无疑问，这是至大的奥秘：神在肉身显现”</w:t>
      </w:r>
      <w:r w:rsidR="00621F17">
        <w:rPr>
          <w:lang w:val="ru-RU"/>
        </w:rPr>
        <w:t>（提摩太</w:t>
      </w:r>
      <w:r w:rsidR="00D85B34" w:rsidRPr="00794712">
        <w:rPr>
          <w:lang w:val="ru-RU"/>
        </w:rPr>
        <w:t>前书3</w:t>
      </w:r>
      <w:r w:rsidR="00D85B34" w:rsidRPr="009E681A">
        <w:rPr>
          <w:lang w:val="ru-RU"/>
        </w:rPr>
        <w:t>:</w:t>
      </w:r>
      <w:r w:rsidR="00D85B34" w:rsidRPr="00794712">
        <w:rPr>
          <w:lang w:val="ru-RU"/>
        </w:rPr>
        <w:t>16）。由此直接表明，从至圣童贞女玛利亚所生的正是神的独生子，即道成肉身的神；因此，她确实是圣母。</w:t>
      </w:r>
    </w:p>
    <w:p w14:paraId="7636BF8B" w14:textId="77777777" w:rsidR="00D85B34" w:rsidRPr="00794712" w:rsidRDefault="00D85B34" w:rsidP="00D85B34">
      <w:pPr>
        <w:ind w:firstLine="708"/>
        <w:rPr>
          <w:lang w:val="ru-RU"/>
        </w:rPr>
      </w:pPr>
      <w:r w:rsidRPr="00794712">
        <w:rPr>
          <w:lang w:val="ru-RU"/>
        </w:rPr>
        <w:t>）继圣使徒之后，使徒时代的门徒以及二、三世纪的教会教师们也都宣认了这一真理，他们常常直呼至圣童贞女为“圣母”。 例如：</w:t>
      </w:r>
      <w:r w:rsidR="00A95A76" w:rsidRPr="00A95A76">
        <w:rPr>
          <w:b/>
          <w:lang w:val="ru-RU"/>
        </w:rPr>
        <w:t>a)</w:t>
      </w:r>
      <w:r w:rsidRPr="00794712">
        <w:rPr>
          <w:lang w:val="ru-RU"/>
        </w:rPr>
        <w:t xml:space="preserve"> 圣伊格纳提乌斯·神载者：“我们的上帝耶稣基督，按上帝的安排，在马利亚的胎中，既出于大卫的后裔，又出于圣灵； 祂降生并受洗，正是为了藉此使水成圣</w:t>
      </w:r>
      <w:r w:rsidR="0050344D" w:rsidRPr="0050344D">
        <w:rPr>
          <w:lang w:val="ru-RU"/>
        </w:rPr>
        <w:t>；</w:t>
      </w:r>
      <w:r>
        <w:rPr>
          <w:lang w:val="ru-RU"/>
        </w:rPr>
        <w:t>”</w:t>
      </w:r>
      <w:r w:rsidR="0050344D">
        <w:rPr>
          <w:rStyle w:val="FootnoteReference"/>
          <w:lang w:val="ru-RU"/>
        </w:rPr>
        <w:footnoteReference w:id="287"/>
      </w:r>
      <w:r w:rsidR="00A95A76" w:rsidRPr="00A95A76">
        <w:rPr>
          <w:b/>
          <w:lang w:val="ru-RU"/>
        </w:rPr>
        <w:t xml:space="preserve"> b)</w:t>
      </w:r>
      <w:r w:rsidRPr="00794712">
        <w:rPr>
          <w:lang w:val="ru-RU"/>
        </w:rPr>
        <w:t xml:space="preserve"> 圣爱任纽：“为了在祂自己里面领导亚当，道成肉身的上帝亲自由童贞玛利亚所生，并真实地承担了这种降生，这正是为了恢复亚当所必需的</w:t>
      </w:r>
      <w:r w:rsidRPr="009E681A">
        <w:rPr>
          <w:lang w:val="ru-RU"/>
        </w:rPr>
        <w:t>；</w:t>
      </w:r>
      <w:r>
        <w:rPr>
          <w:lang w:val="ru-RU"/>
        </w:rPr>
        <w:t>”</w:t>
      </w:r>
      <w:r w:rsidR="0050344D">
        <w:rPr>
          <w:rStyle w:val="FootnoteReference"/>
          <w:lang w:val="ru-RU"/>
        </w:rPr>
        <w:footnoteReference w:id="288"/>
      </w:r>
      <w:r w:rsidR="00A95A76" w:rsidRPr="00A95A76">
        <w:rPr>
          <w:b/>
          <w:lang w:val="ru-RU"/>
        </w:rPr>
        <w:t xml:space="preserve"> c) </w:t>
      </w:r>
      <w:r w:rsidRPr="00794712">
        <w:rPr>
          <w:lang w:val="ru-RU"/>
        </w:rPr>
        <w:t>奥利金，历史学家苏格拉底（5世纪）曾指出：“奥利金在《使徒保罗致罗马人书注释》第一卷中，阐述了为何圣母被称为‘上帝之母’（</w:t>
      </w:r>
      <w:r w:rsidRPr="00AA0891">
        <w:t>Θεοτόκος</w:t>
      </w:r>
      <w:r w:rsidRPr="00794712">
        <w:rPr>
          <w:lang w:val="ru-RU"/>
        </w:rPr>
        <w:t>），并就此写了一篇详尽的注释</w:t>
      </w:r>
      <w:r w:rsidRPr="009E681A">
        <w:rPr>
          <w:lang w:val="ru-RU"/>
        </w:rPr>
        <w:t>；</w:t>
      </w:r>
      <w:r>
        <w:rPr>
          <w:lang w:val="ru-RU"/>
        </w:rPr>
        <w:t>”</w:t>
      </w:r>
      <w:r w:rsidR="0050344D">
        <w:rPr>
          <w:rStyle w:val="FootnoteReference"/>
          <w:lang w:val="ru-RU"/>
        </w:rPr>
        <w:footnoteReference w:id="289"/>
      </w:r>
      <w:r w:rsidR="00A95A76" w:rsidRPr="00A95A76">
        <w:rPr>
          <w:b/>
          <w:lang w:val="ru-RU"/>
        </w:rPr>
        <w:t xml:space="preserve"> d)</w:t>
      </w:r>
      <w:r w:rsidRPr="00794712">
        <w:rPr>
          <w:lang w:val="ru-RU"/>
        </w:rPr>
        <w:t xml:space="preserve"> 圣狄奥尼修斯曾与亚历山大其他牧者共同致信给萨莫萨的保罗： </w:t>
      </w:r>
      <w:r>
        <w:rPr>
          <w:lang w:val="ru-RU"/>
        </w:rPr>
        <w:t>“</w:t>
      </w:r>
      <w:r w:rsidRPr="00794712">
        <w:rPr>
          <w:lang w:val="ru-RU"/>
        </w:rPr>
        <w:t>请说明，你为何称基督为非凡之人，而非真神——那位与圣父及圣灵同等、受万物敬拜、由圣母玛利亚道成肉身降世者？</w:t>
      </w:r>
      <w:r>
        <w:rPr>
          <w:lang w:val="ru-RU"/>
        </w:rPr>
        <w:t>”</w:t>
      </w:r>
      <w:r w:rsidR="00EF7C79">
        <w:rPr>
          <w:rStyle w:val="FootnoteReference"/>
          <w:lang w:val="ru-RU"/>
        </w:rPr>
        <w:footnoteReference w:id="290"/>
      </w:r>
      <w:r w:rsidR="00A95A76" w:rsidRPr="00A95A76">
        <w:rPr>
          <w:b/>
          <w:lang w:val="ru-RU"/>
        </w:rPr>
        <w:t xml:space="preserve"> (e)</w:t>
      </w:r>
      <w:r w:rsidRPr="00794712">
        <w:rPr>
          <w:lang w:val="ru-RU"/>
        </w:rPr>
        <w:t xml:space="preserve"> 亚历山大圣人，亚历山大主教，生活于三世纪末至四世纪初： “我们知道从死里复活，这是我们的主耶稣基督首先在自己身上显明的，祂从圣母玛利亚那里真实地——而非虚幻地——领受了肉身，并在时代圆满之时降临人间，为要除灭罪恶</w:t>
      </w:r>
      <w:r>
        <w:rPr>
          <w:lang w:val="ru-RU"/>
        </w:rPr>
        <w:t>。”</w:t>
      </w:r>
      <w:r w:rsidR="00EF7C79">
        <w:rPr>
          <w:rStyle w:val="FootnoteReference"/>
          <w:lang w:val="ru-RU"/>
        </w:rPr>
        <w:footnoteReference w:id="291"/>
      </w:r>
    </w:p>
    <w:p w14:paraId="2D5F3E38" w14:textId="77777777" w:rsidR="00D85B34" w:rsidRPr="00794712" w:rsidRDefault="00F45CFB" w:rsidP="00D85B34">
      <w:pPr>
        <w:ind w:firstLine="708"/>
        <w:rPr>
          <w:lang w:val="ru-RU"/>
        </w:rPr>
      </w:pPr>
      <w:r w:rsidRPr="00F45CFB">
        <w:rPr>
          <w:b/>
          <w:lang w:val="ru-RU"/>
        </w:rPr>
        <w:t>5)</w:t>
      </w:r>
      <w:r w:rsidR="00D85B34" w:rsidRPr="00794712">
        <w:rPr>
          <w:lang w:val="ru-RU"/>
        </w:rPr>
        <w:t xml:space="preserve"> 四世纪的教会圣父和教师们一致且多次宣认至圣童贞玛利亚为天主之母。例如：</w:t>
      </w:r>
      <w:r w:rsidR="00A95A76" w:rsidRPr="00A95A76">
        <w:rPr>
          <w:b/>
          <w:lang w:val="ru-RU"/>
        </w:rPr>
        <w:t>a)</w:t>
      </w:r>
      <w:r w:rsidR="00D85B34" w:rsidRPr="00794712">
        <w:rPr>
          <w:lang w:val="ru-RU"/>
        </w:rPr>
        <w:t xml:space="preserve"> 圣亚法纳西大教父：“圣经的目的和特质在于教导我们关于救主的两项真理： 祂自亘古以来就是，并且仍是上帝之子，作为圣父的儿子、光辉与智慧；</w:t>
      </w:r>
      <w:r w:rsidR="00D85B34" w:rsidRPr="0096795B">
        <w:rPr>
          <w:i/>
          <w:iCs/>
          <w:lang w:val="ru-RU"/>
        </w:rPr>
        <w:t>祂在末世</w:t>
      </w:r>
      <w:r w:rsidR="00D85B34" w:rsidRPr="00794712">
        <w:rPr>
          <w:lang w:val="ru-RU"/>
        </w:rPr>
        <w:t>（希伯来书 1</w:t>
      </w:r>
      <w:r w:rsidR="00D85B34" w:rsidRPr="0096795B">
        <w:rPr>
          <w:lang w:val="ru-RU"/>
        </w:rPr>
        <w:t>:</w:t>
      </w:r>
      <w:r w:rsidR="00D85B34" w:rsidRPr="00794712">
        <w:rPr>
          <w:lang w:val="ru-RU"/>
        </w:rPr>
        <w:t>1），为了我们，从童贞女 圣母玛利亚那里取了肉身，成为人</w:t>
      </w:r>
      <w:r w:rsidR="00D85B34" w:rsidRPr="0096795B">
        <w:rPr>
          <w:lang w:val="ru-RU"/>
        </w:rPr>
        <w:t>；</w:t>
      </w:r>
      <w:r w:rsidR="00D85B34">
        <w:rPr>
          <w:lang w:val="ru-RU"/>
        </w:rPr>
        <w:t>”</w:t>
      </w:r>
      <w:r w:rsidR="00EF7C79">
        <w:rPr>
          <w:rStyle w:val="FootnoteReference"/>
          <w:lang w:val="ru-RU"/>
        </w:rPr>
        <w:footnoteReference w:id="292"/>
      </w:r>
      <w:r w:rsidR="00A95A76" w:rsidRPr="00A95A76">
        <w:rPr>
          <w:b/>
          <w:lang w:val="ru-RU"/>
        </w:rPr>
        <w:t xml:space="preserve"> b)</w:t>
      </w:r>
      <w:r w:rsidR="00D85B34" w:rsidRPr="00794712">
        <w:rPr>
          <w:lang w:val="ru-RU"/>
        </w:rPr>
        <w:t xml:space="preserve"> 圣以弗所·西里尔： “凡否认玛利亚生下上帝者，将无法看见祂神性的荣耀</w:t>
      </w:r>
      <w:r w:rsidR="00D85B34" w:rsidRPr="0096795B">
        <w:rPr>
          <w:lang w:val="ru-RU"/>
        </w:rPr>
        <w:t>；</w:t>
      </w:r>
      <w:r w:rsidR="00D85B34">
        <w:rPr>
          <w:lang w:val="ru-RU"/>
        </w:rPr>
        <w:t>”</w:t>
      </w:r>
      <w:r w:rsidR="00EF7C79">
        <w:rPr>
          <w:rStyle w:val="FootnoteReference"/>
          <w:lang w:val="ru-RU"/>
        </w:rPr>
        <w:footnoteReference w:id="293"/>
      </w:r>
      <w:r w:rsidR="00A95A76" w:rsidRPr="00A95A76">
        <w:rPr>
          <w:b/>
          <w:lang w:val="ru-RU"/>
        </w:rPr>
        <w:t xml:space="preserve"> c)</w:t>
      </w:r>
      <w:r w:rsidR="00D85B34" w:rsidRPr="00794712">
        <w:rPr>
          <w:lang w:val="ru-RU"/>
        </w:rPr>
        <w:t xml:space="preserve"> 圣基里尔·耶路撒冷在《主显节讲道》中说：“如今，天上的新郎与圣母——祂的新房——一同来到圣殿</w:t>
      </w:r>
      <w:r w:rsidR="00D85B34" w:rsidRPr="0096795B">
        <w:rPr>
          <w:lang w:val="ru-RU"/>
        </w:rPr>
        <w:t>；</w:t>
      </w:r>
      <w:r w:rsidR="00D85B34">
        <w:rPr>
          <w:lang w:val="ru-RU"/>
        </w:rPr>
        <w:t>”</w:t>
      </w:r>
      <w:r w:rsidR="00EF7C79">
        <w:rPr>
          <w:rStyle w:val="FootnoteReference"/>
          <w:lang w:val="ru-RU"/>
        </w:rPr>
        <w:footnoteReference w:id="294"/>
      </w:r>
      <w:r w:rsidR="00A95A76" w:rsidRPr="00A95A76">
        <w:rPr>
          <w:b/>
          <w:lang w:val="ru-RU"/>
        </w:rPr>
        <w:t xml:space="preserve"> d)</w:t>
      </w:r>
      <w:r w:rsidR="00D85B34" w:rsidRPr="00794712">
        <w:rPr>
          <w:lang w:val="ru-RU"/>
        </w:rPr>
        <w:t xml:space="preserve"> 圣格里高利·神学家： “若有人不承认玛利亚是圣母，他便与神性隔绝</w:t>
      </w:r>
      <w:r w:rsidR="00D85B34" w:rsidRPr="0096795B">
        <w:rPr>
          <w:lang w:val="ru-RU"/>
        </w:rPr>
        <w:t>；</w:t>
      </w:r>
      <w:r w:rsidR="00D85B34">
        <w:rPr>
          <w:lang w:val="ru-RU"/>
        </w:rPr>
        <w:t>”</w:t>
      </w:r>
      <w:r w:rsidR="00677D19">
        <w:rPr>
          <w:rStyle w:val="FootnoteReference"/>
          <w:lang w:val="ru-RU"/>
        </w:rPr>
        <w:footnoteReference w:id="295"/>
      </w:r>
      <w:r w:rsidR="00A95A76" w:rsidRPr="00A95A76">
        <w:rPr>
          <w:b/>
          <w:lang w:val="ru-RU"/>
        </w:rPr>
        <w:t xml:space="preserve"> e)</w:t>
      </w:r>
      <w:r w:rsidR="00D85B34" w:rsidRPr="00794712">
        <w:rPr>
          <w:lang w:val="ru-RU"/>
        </w:rPr>
        <w:t xml:space="preserve"> 圣格里高利·尼西的——在痛惜某些背离教会的基督徒时说道：“他们为何憎恨我们？那些与我们相对立而竖立的新祭坛又意味着什么？ 难道我们传讲的是另一个耶稣吗？……难道我们当中有人竟敢将圣母称为‘生人者’（</w:t>
      </w:r>
      <w:r w:rsidR="00D85B34" w:rsidRPr="00AA0891">
        <w:t>άνθρωποτόκον</w:t>
      </w:r>
      <w:r w:rsidR="00D85B34" w:rsidRPr="00794712">
        <w:rPr>
          <w:lang w:val="ru-RU"/>
        </w:rPr>
        <w:t>），</w:t>
      </w:r>
      <w:r w:rsidR="00D85B34" w:rsidRPr="00794712">
        <w:rPr>
          <w:lang w:val="ru-RU"/>
        </w:rPr>
        <w:lastRenderedPageBreak/>
        <w:t>就像他们中的一些人那样，完全丧失了敬畏之心</w:t>
      </w:r>
      <w:r w:rsidR="00D85B34" w:rsidRPr="0096795B">
        <w:rPr>
          <w:lang w:val="ru-RU"/>
        </w:rPr>
        <w:t>吗？</w:t>
      </w:r>
      <w:r w:rsidR="00D85B34">
        <w:rPr>
          <w:lang w:val="ru-RU"/>
        </w:rPr>
        <w:t>”</w:t>
      </w:r>
      <w:r w:rsidR="00677D19">
        <w:rPr>
          <w:rStyle w:val="FootnoteReference"/>
          <w:lang w:val="ru-RU"/>
        </w:rPr>
        <w:footnoteReference w:id="296"/>
      </w:r>
      <w:r w:rsidR="00D85B34" w:rsidRPr="00794712">
        <w:rPr>
          <w:lang w:val="ru-RU"/>
        </w:rPr>
        <w:t xml:space="preserve"> 在此不得不提及，背教者尤利安当年曾指责基督徒，其中一项原因正是他们始终称玛利亚为“圣母”：</w:t>
      </w:r>
      <w:r w:rsidR="00677D19">
        <w:rPr>
          <w:rStyle w:val="FootnoteReference"/>
          <w:lang w:val="ru-RU"/>
        </w:rPr>
        <w:footnoteReference w:id="297"/>
      </w:r>
      <w:r w:rsidR="00D85B34" w:rsidRPr="00794712">
        <w:rPr>
          <w:lang w:val="ru-RU"/>
        </w:rPr>
        <w:t xml:space="preserve"> 可见，这一习俗在四世纪已根深蒂固且遍及各地。</w:t>
      </w:r>
    </w:p>
    <w:p w14:paraId="39E2B499" w14:textId="77777777" w:rsidR="00D85B34" w:rsidRPr="00794712" w:rsidRDefault="00F45CFB" w:rsidP="00D85B34">
      <w:pPr>
        <w:ind w:firstLine="708"/>
        <w:rPr>
          <w:lang w:val="ru-RU"/>
        </w:rPr>
      </w:pPr>
      <w:r w:rsidRPr="00F45CFB">
        <w:rPr>
          <w:b/>
          <w:lang w:val="ru-RU"/>
        </w:rPr>
        <w:t>6)</w:t>
      </w:r>
      <w:r w:rsidR="00D85B34" w:rsidRPr="00794712">
        <w:rPr>
          <w:lang w:val="ru-RU"/>
        </w:rPr>
        <w:t xml:space="preserve"> 五世纪时，整个教会于第三次大公会议上，为应对聂斯托里乌斯异端，庄严地承认圣童贞玛利亚为“圣母”，并采纳及确认了亚历山大里亚的圣西里尔的以下言论： “凡不承认以马内利是真神，因此圣童贞女即为圣母者——因她以肉身生下了道成肉身的上帝之言——此人当受绝罚。</w:t>
      </w:r>
      <w:r w:rsidR="00D85B34">
        <w:rPr>
          <w:lang w:val="ru-RU"/>
        </w:rPr>
        <w:t>”</w:t>
      </w:r>
      <w:r w:rsidR="00677D19">
        <w:rPr>
          <w:rStyle w:val="FootnoteReference"/>
          <w:lang w:val="ru-RU"/>
        </w:rPr>
        <w:footnoteReference w:id="298"/>
      </w:r>
      <w:r w:rsidR="00D85B34" w:rsidRPr="00794712">
        <w:rPr>
          <w:lang w:val="ru-RU"/>
        </w:rPr>
        <w:t xml:space="preserve"> 与此同时，福者狄奥多里特尽管此前与涅斯托里乌斯关系友好，却公开作证道：“涅斯托里乌斯新说的首要观点是：那位圣童女——上帝圣言从她那里取了肉身并按肉体降生——不应被承认为圣母，而仅应被视为基督之母，</w:t>
      </w:r>
      <w:r w:rsidR="00D85B34">
        <w:rPr>
          <w:lang w:val="ru-RU"/>
        </w:rPr>
        <w:t xml:space="preserve"> </w:t>
      </w:r>
      <w:r w:rsidR="00D85B34" w:rsidRPr="00794712">
        <w:rPr>
          <w:lang w:val="ru-RU"/>
        </w:rPr>
        <w:t>——而那些遵循使徒传统、宣扬真正信仰的古圣先贤们，却教导人们称呼并承认主的母亲为‘圣母’</w:t>
      </w:r>
      <w:r w:rsidR="00D85B34">
        <w:rPr>
          <w:lang w:val="ru-RU"/>
        </w:rPr>
        <w:t>。”</w:t>
      </w:r>
      <w:r w:rsidR="00677D19">
        <w:rPr>
          <w:rStyle w:val="FootnoteReference"/>
          <w:lang w:val="ru-RU"/>
        </w:rPr>
        <w:footnoteReference w:id="299"/>
      </w:r>
      <w:r w:rsidR="00D85B34" w:rsidRPr="00794712">
        <w:rPr>
          <w:lang w:val="ru-RU"/>
        </w:rPr>
        <w:t xml:space="preserve"> 同样，对涅斯托里乌斯更为追随的安提阿主教约翰，在致他的友善信函中，劝说他停止关于“圣母”称谓的争论时，也承认：“教会教师中无人否认这一称谓； 相反，许多人——而且是备受尊敬的人——都使用过它，而那些不使用它的人，也没有责备使用它的人”…… 接着他又说：“如果因着这降生（加拉太书 4</w:t>
      </w:r>
      <w:r w:rsidR="00D85B34" w:rsidRPr="0096795B">
        <w:rPr>
          <w:lang w:val="ru-RU"/>
        </w:rPr>
        <w:t>:</w:t>
      </w:r>
      <w:r w:rsidRPr="004F07F1">
        <w:rPr>
          <w:bCs/>
          <w:lang w:val="ru-RU"/>
        </w:rPr>
        <w:t>4）</w:t>
      </w:r>
      <w:r w:rsidR="00D85B34" w:rsidRPr="00794712">
        <w:rPr>
          <w:lang w:val="ru-RU"/>
        </w:rPr>
        <w:t>，教父们称童贞女为‘圣母’——正如她确实被称呼的那样——那么我看不出有什么必要为此争论不休，从而破坏教会的和平。 当我们像自古以来在上帝的教会中那些通晓神意的教师们那样说话和思考时，我们并不面临任何危险。”</w:t>
      </w:r>
      <w:r w:rsidR="00677D19">
        <w:rPr>
          <w:rStyle w:val="FootnoteReference"/>
          <w:lang w:val="ru-RU"/>
        </w:rPr>
        <w:footnoteReference w:id="300"/>
      </w:r>
      <w:r w:rsidR="00D85B34" w:rsidRPr="00794712">
        <w:rPr>
          <w:lang w:val="ru-RU"/>
        </w:rPr>
        <w:t xml:space="preserve"> 在此情境下，再也找不到比这更公正、更可靠的真理见证人了。 至于证明，即使在以弗所大公会议之后，东正教会依然信奉并将圣母玛利亚尊为上帝之母，这已属多余。</w:t>
      </w:r>
    </w:p>
    <w:p w14:paraId="49372BA5" w14:textId="77777777" w:rsidR="00D85B34" w:rsidRPr="00794712" w:rsidRDefault="00D85B34" w:rsidP="00D85B34">
      <w:pPr>
        <w:rPr>
          <w:lang w:val="ru-RU"/>
        </w:rPr>
      </w:pPr>
      <w:r w:rsidRPr="00794712">
        <w:rPr>
          <w:lang w:val="ru-RU"/>
        </w:rPr>
        <w:tab/>
        <w:t>至于“基督之母”这一称号——这是圣内斯托里乌斯赋予圣母的——那么，让我们与教会导师们一同指出：首先， 既不明确也不充分：因为“受膏者基督”之名，不仅属于那位由童贞女所生的以马内利，也属于那些从圣灵那里领受了膏抹的人</w:t>
      </w:r>
      <w:r w:rsidR="000C73C6" w:rsidRPr="000C73C6">
        <w:rPr>
          <w:lang w:val="ru-RU"/>
        </w:rPr>
        <w:t>[</w:t>
      </w:r>
      <w:r w:rsidRPr="00794712">
        <w:rPr>
          <w:lang w:val="ru-RU"/>
        </w:rPr>
        <w:t>(诗篇 104</w:t>
      </w:r>
      <w:r w:rsidRPr="0096795B">
        <w:rPr>
          <w:lang w:val="ru-RU"/>
        </w:rPr>
        <w:t>:</w:t>
      </w:r>
      <w:r w:rsidRPr="00794712">
        <w:rPr>
          <w:lang w:val="ru-RU"/>
        </w:rPr>
        <w:t>15</w:t>
      </w:r>
      <w:r w:rsidR="000C73C6" w:rsidRPr="000C73C6">
        <w:rPr>
          <w:lang w:val="ru-RU"/>
        </w:rPr>
        <w:t>)</w:t>
      </w:r>
      <w:r w:rsidRPr="00794712">
        <w:rPr>
          <w:lang w:val="ru-RU"/>
        </w:rPr>
        <w:t>；</w:t>
      </w:r>
      <w:r w:rsidR="00677D19">
        <w:rPr>
          <w:lang w:val="ru-RU"/>
        </w:rPr>
        <w:t xml:space="preserve"> </w:t>
      </w:r>
      <w:r w:rsidR="000C73C6" w:rsidRPr="000C73C6">
        <w:rPr>
          <w:lang w:val="ru-RU"/>
        </w:rPr>
        <w:t>（</w:t>
      </w:r>
      <w:r w:rsidR="00677D19">
        <w:rPr>
          <w:lang w:val="ru-RU"/>
        </w:rPr>
        <w:t>撒上10</w:t>
      </w:r>
      <w:r w:rsidRPr="0096795B">
        <w:rPr>
          <w:lang w:val="ru-RU"/>
        </w:rPr>
        <w:t>:</w:t>
      </w:r>
      <w:r w:rsidRPr="00794712">
        <w:rPr>
          <w:lang w:val="ru-RU"/>
        </w:rPr>
        <w:t>10</w:t>
      </w:r>
      <w:r w:rsidR="000C73C6" w:rsidRPr="000C73C6">
        <w:rPr>
          <w:lang w:val="ru-RU"/>
        </w:rPr>
        <w:t>）</w:t>
      </w:r>
      <w:r w:rsidRPr="00794712">
        <w:rPr>
          <w:lang w:val="ru-RU"/>
        </w:rPr>
        <w:t>；</w:t>
      </w:r>
      <w:r w:rsidR="000C73C6" w:rsidRPr="000C73C6">
        <w:rPr>
          <w:rFonts w:cs="Cambria Math"/>
          <w:lang w:val="ru-RU"/>
        </w:rPr>
        <w:t>（</w:t>
      </w:r>
      <w:r w:rsidRPr="00794712">
        <w:rPr>
          <w:lang w:val="ru-RU"/>
        </w:rPr>
        <w:t>撒上16</w:t>
      </w:r>
      <w:r w:rsidRPr="0096795B">
        <w:rPr>
          <w:lang w:val="ru-RU"/>
        </w:rPr>
        <w:t>:</w:t>
      </w:r>
      <w:r w:rsidRPr="00794712">
        <w:rPr>
          <w:lang w:val="ru-RU"/>
        </w:rPr>
        <w:t>13</w:t>
      </w:r>
      <w:r w:rsidR="000C73C6" w:rsidRPr="000C73C6">
        <w:rPr>
          <w:lang w:val="ru-RU"/>
        </w:rPr>
        <w:t>）</w:t>
      </w:r>
      <w:r w:rsidR="000C73C6" w:rsidRPr="00BD6C1B">
        <w:rPr>
          <w:lang w:val="ru-RU"/>
        </w:rPr>
        <w:t>]</w:t>
      </w:r>
      <w:r w:rsidRPr="00794712">
        <w:rPr>
          <w:lang w:val="ru-RU"/>
        </w:rPr>
        <w:t>等，甚至包括所有基督徒</w:t>
      </w:r>
      <w:r w:rsidR="000C73C6" w:rsidRPr="00BD6C1B">
        <w:rPr>
          <w:lang w:val="ru-RU"/>
        </w:rPr>
        <w:t>[</w:t>
      </w:r>
      <w:r w:rsidR="008A3626">
        <w:rPr>
          <w:lang w:val="ru-RU"/>
        </w:rPr>
        <w:t>（</w:t>
      </w:r>
      <w:r w:rsidRPr="00794712">
        <w:rPr>
          <w:lang w:val="ru-RU"/>
        </w:rPr>
        <w:t>约壹2</w:t>
      </w:r>
      <w:r w:rsidRPr="007162A9">
        <w:rPr>
          <w:lang w:val="ru-RU"/>
        </w:rPr>
        <w:t>:</w:t>
      </w:r>
      <w:r w:rsidRPr="00794712">
        <w:rPr>
          <w:lang w:val="ru-RU"/>
        </w:rPr>
        <w:t>20-27</w:t>
      </w:r>
      <w:r w:rsidR="000C73C6" w:rsidRPr="00BD6C1B">
        <w:rPr>
          <w:lang w:val="ru-RU"/>
        </w:rPr>
        <w:t>）</w:t>
      </w:r>
      <w:r w:rsidRPr="00794712">
        <w:rPr>
          <w:lang w:val="ru-RU"/>
        </w:rPr>
        <w:t>；</w:t>
      </w:r>
      <w:r w:rsidR="000C73C6" w:rsidRPr="00BD6C1B">
        <w:rPr>
          <w:lang w:val="ru-RU"/>
        </w:rPr>
        <w:t>（</w:t>
      </w:r>
      <w:r w:rsidRPr="00794712">
        <w:rPr>
          <w:lang w:val="ru-RU"/>
        </w:rPr>
        <w:t>徒10</w:t>
      </w:r>
      <w:r w:rsidRPr="007162A9">
        <w:rPr>
          <w:lang w:val="ru-RU"/>
        </w:rPr>
        <w:t>:</w:t>
      </w:r>
      <w:r w:rsidRPr="00794712">
        <w:rPr>
          <w:lang w:val="ru-RU"/>
        </w:rPr>
        <w:t>44-46）</w:t>
      </w:r>
      <w:r w:rsidR="000C73C6" w:rsidRPr="00BD6C1B">
        <w:rPr>
          <w:lang w:val="ru-RU"/>
        </w:rPr>
        <w:t>]</w:t>
      </w:r>
      <w:r w:rsidRPr="00794712">
        <w:rPr>
          <w:lang w:val="ru-RU"/>
        </w:rPr>
        <w:t>。 因此，若有人想要说，那些在母腹中就蒙受圣灵膏抹之人的母亲</w:t>
      </w:r>
      <w:r>
        <w:rPr>
          <w:lang w:val="ru-RU"/>
        </w:rPr>
        <w:t>，也是</w:t>
      </w:r>
      <w:r w:rsidRPr="00794712">
        <w:rPr>
          <w:lang w:val="ru-RU"/>
        </w:rPr>
        <w:t>“基督之母”，这并无不妥。然而，至圣童贞玛利亚所诞生的，不仅是蒙圣灵膏抹的人，更是我们的上帝</w:t>
      </w:r>
      <w:r w:rsidRPr="007162A9">
        <w:rPr>
          <w:lang w:val="ru-RU"/>
        </w:rPr>
        <w:t>——</w:t>
      </w:r>
      <w:r w:rsidRPr="00794712">
        <w:rPr>
          <w:lang w:val="ru-RU"/>
        </w:rPr>
        <w:t>基督。 因此，仅称她为“基督之母”（ ）这一称号尚显不足：她确实同时也是“上帝之母”（</w:t>
      </w:r>
      <w:r w:rsidR="00677D19">
        <w:rPr>
          <w:rStyle w:val="FootnoteReference"/>
          <w:lang w:val="ru-RU"/>
        </w:rPr>
        <w:footnoteReference w:id="301"/>
      </w:r>
      <w:r w:rsidRPr="00794712">
        <w:rPr>
          <w:lang w:val="ru-RU"/>
        </w:rPr>
        <w:t xml:space="preserve"> ）。其次，尽管“基督之母”这一称谓存在模糊性，但若按东正教的理解——即圣母诞下了道成肉身的基督——这一名称仍可被接受并适用于圣母： 在这种情况下，“基督之母”的含义就与“圣母”相同，正如“基督”意味着“道成肉身的神”。 但自从不虔诚的涅斯托里乌斯赋予“基督之母”这一名称以异端含义，并开始宣称至圣童贞女并非“圣母”</w:t>
      </w:r>
      <w:r w:rsidRPr="00794712">
        <w:rPr>
          <w:lang w:val="ru-RU"/>
        </w:rPr>
        <w:lastRenderedPageBreak/>
        <w:t>，而仅仅是“基督之母”，因为她所诞生的基督只是一个普通人，而上帝后来仅以一种道德上的方式与之结合以来，</w:t>
      </w:r>
      <w:r>
        <w:rPr>
          <w:lang w:val="ru-RU"/>
        </w:rPr>
        <w:t xml:space="preserve"> </w:t>
      </w:r>
      <w:r w:rsidRPr="00794712">
        <w:rPr>
          <w:lang w:val="ru-RU"/>
        </w:rPr>
        <w:t>——自那时起，正教会便理所当然地拒绝了这一称谓，因其对圣母构成冒犯。</w:t>
      </w:r>
      <w:r w:rsidR="00677D19">
        <w:rPr>
          <w:rStyle w:val="FootnoteReference"/>
          <w:lang w:val="ru-RU"/>
        </w:rPr>
        <w:footnoteReference w:id="302"/>
      </w:r>
    </w:p>
    <w:p w14:paraId="64923F84" w14:textId="77777777" w:rsidR="00D85B34" w:rsidRDefault="00D85B34" w:rsidP="00D85B34">
      <w:pPr>
        <w:rPr>
          <w:lang w:val="ru-RU"/>
        </w:rPr>
      </w:pPr>
    </w:p>
    <w:p w14:paraId="599B9E57" w14:textId="77777777" w:rsidR="00D85B34" w:rsidRPr="00794712" w:rsidRDefault="00D85B34" w:rsidP="007B240B">
      <w:pPr>
        <w:pStyle w:val="Heading5"/>
        <w:rPr>
          <w:lang w:val="ru-RU"/>
        </w:rPr>
      </w:pPr>
      <w:bookmarkStart w:id="184" w:name="_Toc133155572"/>
      <w:bookmarkStart w:id="185" w:name="_Toc180664585"/>
      <w:bookmarkStart w:id="186" w:name="_Toc180679206"/>
      <w:bookmarkStart w:id="187" w:name="_Toc180679263"/>
      <w:bookmarkStart w:id="188" w:name="_Toc180679786"/>
      <w:bookmarkStart w:id="189" w:name="_Toc238453669"/>
      <w:bookmarkStart w:id="190" w:name="_Toc238576485"/>
      <w:r w:rsidRPr="00794712">
        <w:rPr>
          <w:lang w:val="ru-RU"/>
        </w:rPr>
        <w:t xml:space="preserve">§141. </w:t>
      </w:r>
      <w:r w:rsidR="00A95A76" w:rsidRPr="00A95A76">
        <w:rPr>
          <w:lang w:val="ru-RU"/>
        </w:rPr>
        <w:t>c)</w:t>
      </w:r>
      <w:r w:rsidRPr="00794712">
        <w:rPr>
          <w:lang w:val="ru-RU"/>
        </w:rPr>
        <w:t xml:space="preserve"> 关于至圣圣三</w:t>
      </w:r>
      <w:bookmarkEnd w:id="184"/>
      <w:bookmarkEnd w:id="185"/>
      <w:bookmarkEnd w:id="186"/>
      <w:bookmarkEnd w:id="187"/>
      <w:bookmarkEnd w:id="188"/>
      <w:bookmarkEnd w:id="189"/>
      <w:bookmarkEnd w:id="190"/>
    </w:p>
    <w:p w14:paraId="42166551" w14:textId="77777777" w:rsidR="00D85B34" w:rsidRPr="00794712" w:rsidRDefault="00D85B34" w:rsidP="00D85B34">
      <w:pPr>
        <w:ind w:firstLine="708"/>
        <w:rPr>
          <w:lang w:val="ru-RU"/>
        </w:rPr>
      </w:pPr>
      <w:r w:rsidRPr="00794712">
        <w:rPr>
          <w:lang w:val="ru-RU"/>
        </w:rPr>
        <w:t>最后，从关于耶稣基督内两性位格结合的教义中，衍生出以下关于至圣三位一体的真理，这些真理旨在反驳异端观点：</w:t>
      </w:r>
    </w:p>
    <w:p w14:paraId="7039BBF9" w14:textId="77777777" w:rsidR="00D85B34" w:rsidRPr="00794712" w:rsidRDefault="00D85B34" w:rsidP="00D85B34">
      <w:pPr>
        <w:rPr>
          <w:lang w:val="ru-RU"/>
        </w:rPr>
      </w:pPr>
      <w:r w:rsidRPr="00794712">
        <w:rPr>
          <w:lang w:val="ru-RU"/>
        </w:rPr>
        <w:tab/>
      </w:r>
      <w:r w:rsidRPr="00B77AF0">
        <w:rPr>
          <w:b/>
          <w:bCs/>
        </w:rPr>
        <w:t>I</w:t>
      </w:r>
      <w:r w:rsidRPr="00B77AF0">
        <w:rPr>
          <w:b/>
          <w:bCs/>
          <w:lang w:val="ru-RU"/>
        </w:rPr>
        <w:t>.</w:t>
      </w:r>
      <w:r w:rsidRPr="00794712">
        <w:rPr>
          <w:lang w:val="ru-RU"/>
        </w:rPr>
        <w:t xml:space="preserve"> 并非整个至圣三位一体道成肉身，而是只有一位神的儿子——至圣三位一体的第二位格——道成肉身：</w:t>
      </w:r>
      <w:r w:rsidRPr="007162A9">
        <w:rPr>
          <w:i/>
          <w:iCs/>
          <w:lang w:val="ru-RU"/>
        </w:rPr>
        <w:t>“道成了肉身</w:t>
      </w:r>
      <w:r w:rsidR="005864AB">
        <w:rPr>
          <w:lang w:val="ru-RU"/>
        </w:rPr>
        <w:t>”（</w:t>
      </w:r>
      <w:r w:rsidRPr="00794712">
        <w:rPr>
          <w:lang w:val="ru-RU"/>
        </w:rPr>
        <w:t>约1</w:t>
      </w:r>
      <w:r>
        <w:rPr>
          <w:lang w:val="ru-RU"/>
        </w:rPr>
        <w:t>:</w:t>
      </w:r>
      <w:r w:rsidRPr="00794712">
        <w:rPr>
          <w:lang w:val="ru-RU"/>
        </w:rPr>
        <w:t>1）。 因为尽管三位神圣位格的神性是唯一且不可分割的，但祂们作为位格彼此有别，而且神性并非存在于祂们的位格之外，</w:t>
      </w:r>
      <w:r>
        <w:rPr>
          <w:lang w:val="ru-RU"/>
        </w:rPr>
        <w:t>而是</w:t>
      </w:r>
      <w:r w:rsidRPr="00794712">
        <w:rPr>
          <w:lang w:val="ru-RU"/>
        </w:rPr>
        <w:t>“全然（尽管不可分割）存于神性的每个位格之中： 全都在圣父之中，全都在圣子之中，全都在圣灵之中——因此，圣父是完全的神，圣子是完全的神，圣灵是完全的神。”</w:t>
      </w:r>
      <w:r w:rsidR="00677D19">
        <w:rPr>
          <w:rStyle w:val="FootnoteReference"/>
          <w:lang w:val="ru-RU"/>
        </w:rPr>
        <w:footnoteReference w:id="303"/>
      </w:r>
      <w:r w:rsidRPr="00794712">
        <w:rPr>
          <w:lang w:val="ru-RU"/>
        </w:rPr>
        <w:t xml:space="preserve"> 因此，当圣子道成肉身，并在祂的位格中结合了两种本性，</w:t>
      </w:r>
      <w:r>
        <w:rPr>
          <w:lang w:val="ru-RU"/>
        </w:rPr>
        <w:t xml:space="preserve"> </w:t>
      </w:r>
      <w:r w:rsidRPr="00794712">
        <w:rPr>
          <w:lang w:val="ru-RU"/>
        </w:rPr>
        <w:t>——即神性与人性——这并不意味着圣父和圣灵也一同道成肉身：因为并非他们共有的神性本身直接道成肉身，而是圣三一中的第二个位格——即拥有神性的圣子——道成肉身。 我们并非说，作为非位格概念的神性与人性结合，</w:t>
      </w:r>
      <w:r>
        <w:rPr>
          <w:lang w:val="ru-RU"/>
        </w:rPr>
        <w:t>而是</w:t>
      </w:r>
      <w:r w:rsidRPr="00794712">
        <w:rPr>
          <w:lang w:val="ru-RU"/>
        </w:rPr>
        <w:t>“断言神性在其位格之一中与人性结合……； 即，当圣三一中的一位位格——道成肉身的圣子——降世为人时，神性在其一位格中与整个人性完全结合……而且，圣父和圣灵在任何其他方面都没有参与圣子的道成肉身，除了以恩典和旨意参与之外。”</w:t>
      </w:r>
      <w:r w:rsidR="00677D19">
        <w:rPr>
          <w:rStyle w:val="FootnoteReference"/>
          <w:lang w:val="ru-RU"/>
        </w:rPr>
        <w:footnoteReference w:id="304"/>
      </w:r>
      <w:r w:rsidRPr="00794712">
        <w:rPr>
          <w:lang w:val="ru-RU"/>
        </w:rPr>
        <w:t xml:space="preserve"> 毫无疑问，这对于我们而言是至大的奥秘</w:t>
      </w:r>
      <w:r w:rsidR="00621F17">
        <w:rPr>
          <w:lang w:val="ru-RU"/>
        </w:rPr>
        <w:t>（提摩太前书</w:t>
      </w:r>
      <w:r w:rsidRPr="00794712">
        <w:rPr>
          <w:lang w:val="ru-RU"/>
        </w:rPr>
        <w:t xml:space="preserve"> 3</w:t>
      </w:r>
      <w:r>
        <w:rPr>
          <w:lang w:val="ru-RU"/>
        </w:rPr>
        <w:t>:</w:t>
      </w:r>
      <w:r w:rsidRPr="00794712">
        <w:rPr>
          <w:lang w:val="ru-RU"/>
        </w:rPr>
        <w:t>16）：我们无法理解，独一的上帝之子是如何在祂的位格中将神的本性与人的本性完全结合而道成肉身的，因为前者在至圣三位一体的所有位格中是唯一且不可分割的。 但我们被教导要相信：圣父、圣子和圣灵，尽管他们的本性完全合一且不可分割，却是三个不同且独立的位格；他们中的每一个都是完全的神，虽然不是三位神，而是一位神。因此，尽管对我们来说完全难以理解，但一位神圣位格在不包括另外两位的情况下道成肉身，是完全可能的。</w:t>
      </w:r>
    </w:p>
    <w:p w14:paraId="71ED40B5" w14:textId="77777777" w:rsidR="00D85B34" w:rsidRPr="00794712" w:rsidRDefault="00D85B34" w:rsidP="00D85B34">
      <w:pPr>
        <w:rPr>
          <w:lang w:val="ru-RU"/>
        </w:rPr>
      </w:pPr>
      <w:r w:rsidRPr="00794712">
        <w:rPr>
          <w:lang w:val="ru-RU"/>
        </w:rPr>
        <w:tab/>
      </w:r>
      <w:r w:rsidRPr="00B77AF0">
        <w:rPr>
          <w:b/>
          <w:bCs/>
        </w:rPr>
        <w:t>II</w:t>
      </w:r>
      <w:r w:rsidRPr="00B77AF0">
        <w:rPr>
          <w:b/>
          <w:bCs/>
          <w:lang w:val="ru-RU"/>
        </w:rPr>
        <w:t>.</w:t>
      </w:r>
      <w:r w:rsidRPr="00794712">
        <w:rPr>
          <w:lang w:val="ru-RU"/>
        </w:rPr>
        <w:t xml:space="preserve"> 至圣三位一体中的第二位格与其他位格的关系，因其道成肉身而丝毫未变：道成肉身之后，道依然是与从前完全相同的上帝之子；道成肉身之后，祂正是上帝圣父的亲生之子，而非被收养的儿子。 因为虽然祂成了人，但祂内的人性并不具有独立的存在，也不构成一个可以被收养的独立位格；相反， 人性已被神性接纳，融入祂神圣位格的完美且不可分割的合一之中，因此祂如今依然是自亘古以来那未曾改变的神圣位格。 因此，如果祂自亘古以来就作为位格（ </w:t>
      </w:r>
      <w:r w:rsidRPr="00794712">
        <w:rPr>
          <w:lang w:val="ru-RU"/>
        </w:rPr>
        <w:lastRenderedPageBreak/>
        <w:t>）而非作为神性三位一体共有的本质，被称为“圣子”，那么如今，在祂内两个位格结合的两个本性中，祂依然是神的儿子，因此是真正的、本性的儿子，而非被收养的儿子。 一个众所周知的事实：</w:t>
      </w:r>
    </w:p>
    <w:p w14:paraId="35D84655" w14:textId="77777777" w:rsidR="00D85B34" w:rsidRPr="00794712" w:rsidRDefault="00F45CFB" w:rsidP="00D85B34">
      <w:pPr>
        <w:ind w:firstLine="708"/>
        <w:rPr>
          <w:lang w:val="ru-RU"/>
        </w:rPr>
      </w:pPr>
      <w:r w:rsidRPr="00F45CFB">
        <w:rPr>
          <w:b/>
          <w:lang w:val="ru-RU"/>
        </w:rPr>
        <w:t>1)</w:t>
      </w:r>
      <w:r w:rsidR="00D85B34" w:rsidRPr="00794712">
        <w:rPr>
          <w:lang w:val="ru-RU"/>
        </w:rPr>
        <w:t xml:space="preserve"> 源自圣经。在这里，道成肉身的上帝被称为：</w:t>
      </w:r>
      <w:r w:rsidR="00A95A76" w:rsidRPr="00A95A76">
        <w:rPr>
          <w:b/>
          <w:lang w:val="ru-RU"/>
        </w:rPr>
        <w:t>a)</w:t>
      </w:r>
      <w:r w:rsidR="00D85B34" w:rsidRPr="00794712">
        <w:rPr>
          <w:lang w:val="ru-RU"/>
        </w:rPr>
        <w:t xml:space="preserve"> 神的独生子：</w:t>
      </w:r>
      <w:r w:rsidR="00D85B34" w:rsidRPr="00570864">
        <w:rPr>
          <w:i/>
          <w:iCs/>
          <w:lang w:val="ru-RU"/>
        </w:rPr>
        <w:t>“道成了肉身，住在我们中间，充充满满地有恩典有真理；我们也见过祂的荣光，正是父独生子的荣光。”</w:t>
      </w:r>
      <w:r w:rsidR="00D85B34" w:rsidRPr="00794712">
        <w:rPr>
          <w:lang w:val="ru-RU"/>
        </w:rPr>
        <w:t xml:space="preserve"> </w:t>
      </w:r>
      <w:r w:rsidR="005864AB">
        <w:rPr>
          <w:lang w:val="ru-RU"/>
        </w:rPr>
        <w:t>（</w:t>
      </w:r>
      <w:r w:rsidR="00D85B34" w:rsidRPr="00794712">
        <w:rPr>
          <w:lang w:val="ru-RU"/>
        </w:rPr>
        <w:t>约1</w:t>
      </w:r>
      <w:r w:rsidR="00D85B34" w:rsidRPr="007A6C1A">
        <w:rPr>
          <w:lang w:val="ru-RU"/>
        </w:rPr>
        <w:t>:</w:t>
      </w:r>
      <w:r w:rsidR="00D85B34" w:rsidRPr="00794712">
        <w:rPr>
          <w:lang w:val="ru-RU"/>
        </w:rPr>
        <w:t>14）；</w:t>
      </w:r>
      <w:r w:rsidR="00D85B34" w:rsidRPr="007A6C1A">
        <w:rPr>
          <w:i/>
          <w:iCs/>
          <w:lang w:val="ru-RU"/>
        </w:rPr>
        <w:t>“因为神爱世人，甚至将他的独生子赐给他们，叫一切信他的，不至灭亡，反得永生。”</w:t>
      </w:r>
      <w:r w:rsidR="005864AB">
        <w:rPr>
          <w:lang w:val="ru-RU"/>
        </w:rPr>
        <w:t>（</w:t>
      </w:r>
      <w:r w:rsidR="00D85B34" w:rsidRPr="00794712">
        <w:rPr>
          <w:lang w:val="ru-RU"/>
        </w:rPr>
        <w:t>约3</w:t>
      </w:r>
      <w:r w:rsidR="00D85B34" w:rsidRPr="007A6C1A">
        <w:rPr>
          <w:lang w:val="ru-RU"/>
        </w:rPr>
        <w:t>:</w:t>
      </w:r>
      <w:r w:rsidR="00D85B34" w:rsidRPr="00794712">
        <w:rPr>
          <w:lang w:val="ru-RU"/>
        </w:rPr>
        <w:t>16）；</w:t>
      </w:r>
      <w:r w:rsidR="00A95A76" w:rsidRPr="00A95A76">
        <w:rPr>
          <w:b/>
          <w:lang w:val="ru-RU"/>
        </w:rPr>
        <w:t xml:space="preserve"> b)</w:t>
      </w:r>
      <w:r w:rsidR="00D85B34" w:rsidRPr="00794712">
        <w:rPr>
          <w:lang w:val="ru-RU"/>
        </w:rPr>
        <w:t xml:space="preserve"> 真神的儿子：</w:t>
      </w:r>
      <w:r w:rsidR="00D85B34" w:rsidRPr="007A6C1A">
        <w:rPr>
          <w:i/>
          <w:iCs/>
          <w:lang w:val="ru-RU"/>
        </w:rPr>
        <w:t>“我们也知道，神的儿子已经来了，把光和智慧赐给我们，使我们认识那位真神，并且使我们住在祂的真儿子耶稣基督里面。”</w:t>
      </w:r>
      <w:r w:rsidR="008A3626">
        <w:rPr>
          <w:lang w:val="ru-RU"/>
        </w:rPr>
        <w:t>（约翰一书</w:t>
      </w:r>
      <w:r w:rsidR="00D85B34" w:rsidRPr="00794712">
        <w:rPr>
          <w:lang w:val="ru-RU"/>
        </w:rPr>
        <w:t xml:space="preserve"> 5</w:t>
      </w:r>
      <w:r w:rsidR="00D85B34" w:rsidRPr="007A6C1A">
        <w:rPr>
          <w:lang w:val="ru-RU"/>
        </w:rPr>
        <w:t>:</w:t>
      </w:r>
      <w:r w:rsidR="00D85B34" w:rsidRPr="00794712">
        <w:rPr>
          <w:lang w:val="ru-RU"/>
        </w:rPr>
        <w:t>20）；</w:t>
      </w:r>
      <w:r w:rsidR="00A95A76" w:rsidRPr="00A95A76">
        <w:rPr>
          <w:b/>
          <w:lang w:val="ru-RU"/>
        </w:rPr>
        <w:t>c)</w:t>
      </w:r>
      <w:r w:rsidR="00D85B34" w:rsidRPr="00794712">
        <w:rPr>
          <w:lang w:val="ru-RU"/>
        </w:rPr>
        <w:t xml:space="preserve"> 神亲生的儿子，而非被收养的儿子： </w:t>
      </w:r>
      <w:r w:rsidR="00D85B34" w:rsidRPr="007A6C1A">
        <w:rPr>
          <w:i/>
          <w:iCs/>
          <w:lang w:val="ru-RU"/>
        </w:rPr>
        <w:t>“使徒说：‘神连自己的（</w:t>
      </w:r>
      <w:r w:rsidR="00D85B34" w:rsidRPr="007A6C1A">
        <w:rPr>
          <w:i/>
          <w:iCs/>
        </w:rPr>
        <w:t>τού</w:t>
      </w:r>
      <w:r w:rsidR="00D85B34" w:rsidRPr="0097554A">
        <w:rPr>
          <w:i/>
          <w:iCs/>
          <w:lang w:val="ru-RU"/>
        </w:rPr>
        <w:t xml:space="preserve"> </w:t>
      </w:r>
      <w:r w:rsidR="00D85B34" w:rsidRPr="007A6C1A">
        <w:rPr>
          <w:i/>
          <w:iCs/>
          <w:lang w:val="ru-RU"/>
        </w:rPr>
        <w:t>ίδίου，即亲生的）儿子尚且</w:t>
      </w:r>
      <w:r w:rsidR="00D85B34">
        <w:rPr>
          <w:i/>
          <w:iCs/>
          <w:lang w:val="ru-RU"/>
        </w:rPr>
        <w:t>不爱</w:t>
      </w:r>
      <w:r w:rsidR="00D85B34" w:rsidRPr="007A6C1A">
        <w:rPr>
          <w:i/>
          <w:iCs/>
          <w:lang w:val="ru-RU"/>
        </w:rPr>
        <w:t>惜，竟为我们众人舍了祂</w:t>
      </w:r>
      <w:r w:rsidR="00D85B34" w:rsidRPr="00794712">
        <w:rPr>
          <w:lang w:val="ru-RU"/>
        </w:rPr>
        <w:t>’”（罗8</w:t>
      </w:r>
      <w:r w:rsidR="00D85B34" w:rsidRPr="007A6C1A">
        <w:rPr>
          <w:lang w:val="ru-RU"/>
        </w:rPr>
        <w:t>:</w:t>
      </w:r>
      <w:r w:rsidR="00D85B34" w:rsidRPr="00794712">
        <w:rPr>
          <w:lang w:val="ru-RU"/>
        </w:rPr>
        <w:t>32）。所有这些经文，正如其内容本身所示，都指向耶稣基督——神人二性者。</w:t>
      </w:r>
    </w:p>
    <w:p w14:paraId="450EF7FB" w14:textId="77777777" w:rsidR="00D85B34" w:rsidRPr="00794712" w:rsidRDefault="00F45CFB" w:rsidP="00D85B34">
      <w:pPr>
        <w:ind w:firstLine="708"/>
        <w:rPr>
          <w:lang w:val="ru-RU"/>
        </w:rPr>
      </w:pPr>
      <w:r w:rsidRPr="00F45CFB">
        <w:rPr>
          <w:b/>
          <w:lang w:val="ru-RU"/>
        </w:rPr>
        <w:t>2）</w:t>
      </w:r>
      <w:r w:rsidR="00D85B34" w:rsidRPr="00794712">
        <w:rPr>
          <w:lang w:val="ru-RU"/>
        </w:rPr>
        <w:t>来自普世教会的教义。例如，在第四次大公会议的教义中，教会教导我们信奉“唯一且同一的基督， 独生子、主……祂并非被分割或分裂为两个位格，而是唯一且同一的独生子，即道成肉身的上帝、主耶稣基督，正如古时的先知们论及祂的那样，正如主耶稣基督亲自教导我们的那样，也正如我们的父所赐予我们的信经所载的那样</w:t>
      </w:r>
      <w:r w:rsidR="00D85B34">
        <w:rPr>
          <w:lang w:val="ru-RU"/>
        </w:rPr>
        <w:t>。”</w:t>
      </w:r>
      <w:r w:rsidR="00D85B34" w:rsidRPr="00794712">
        <w:rPr>
          <w:lang w:val="ru-RU"/>
        </w:rPr>
        <w:t xml:space="preserve"> 此外，在第三次大公会议之前，</w:t>
      </w:r>
      <w:r w:rsidR="00D85B34">
        <w:rPr>
          <w:lang w:val="ru-RU"/>
        </w:rPr>
        <w:t>诸位教父</w:t>
      </w:r>
      <w:r w:rsidR="00D85B34" w:rsidRPr="00794712">
        <w:rPr>
          <w:lang w:val="ru-RU"/>
        </w:rPr>
        <w:t>便已确立了以下信条，该信条摘自圣大亚他那修的著作：“我们承认祂（</w:t>
      </w:r>
      <w:r w:rsidR="00A95A76" w:rsidRPr="004F07F1">
        <w:rPr>
          <w:lang w:val="ru-RU"/>
        </w:rPr>
        <w:t>耶稣基督）</w:t>
      </w:r>
      <w:r w:rsidR="00D85B34" w:rsidRPr="00794712">
        <w:rPr>
          <w:lang w:val="ru-RU"/>
        </w:rPr>
        <w:t>是神的儿子，按神性（</w:t>
      </w:r>
      <w:r w:rsidR="00D85B34" w:rsidRPr="00AA0891">
        <w:t>κατά</w:t>
      </w:r>
      <w:r w:rsidR="00D85B34" w:rsidRPr="0097554A">
        <w:rPr>
          <w:lang w:val="ru-RU"/>
        </w:rPr>
        <w:t xml:space="preserve"> </w:t>
      </w:r>
      <w:r w:rsidR="00D85B34" w:rsidRPr="00AA0891">
        <w:t>πνεύμα</w:t>
      </w:r>
      <w:r w:rsidR="00D85B34" w:rsidRPr="00794712">
        <w:rPr>
          <w:lang w:val="ru-RU"/>
        </w:rPr>
        <w:t>）是神，按肉体是人子……； 并非两个儿子——一个是真实且应受敬拜的上帝之子，另一个是从马利亚所生、不应受敬拜的人，仅因恩典才像我们一样被收纳为上帝的儿女——而是独一的儿子，从上帝而来的，正如所言，独一的上帝之子，也是上帝， 正是这位在末世按肉体由马利亚所生……因为由马利亚所生的，就是真神的儿子，在本性上就是神</w:t>
      </w:r>
      <w:r w:rsidR="00D85B34">
        <w:rPr>
          <w:lang w:val="ru-RU"/>
        </w:rPr>
        <w:t>。”</w:t>
      </w:r>
      <w:r w:rsidR="00677D19">
        <w:rPr>
          <w:rStyle w:val="FootnoteReference"/>
          <w:lang w:val="ru-RU"/>
        </w:rPr>
        <w:footnoteReference w:id="305"/>
      </w:r>
    </w:p>
    <w:p w14:paraId="6A4C2E80" w14:textId="77777777" w:rsidR="00D85B34" w:rsidRPr="00794712" w:rsidRDefault="00F45CFB" w:rsidP="00D85B34">
      <w:pPr>
        <w:ind w:firstLine="708"/>
        <w:rPr>
          <w:lang w:val="ru-RU"/>
        </w:rPr>
      </w:pPr>
      <w:r w:rsidRPr="00F45CFB">
        <w:rPr>
          <w:b/>
          <w:lang w:val="ru-RU"/>
        </w:rPr>
        <w:t>3)</w:t>
      </w:r>
      <w:r w:rsidR="00D85B34" w:rsidRPr="00794712">
        <w:rPr>
          <w:lang w:val="ru-RU"/>
        </w:rPr>
        <w:t xml:space="preserve"> 来自教会个别教师的见证，例如：</w:t>
      </w:r>
    </w:p>
    <w:p w14:paraId="07A0C7EF"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圣格里高利·神学家：“起初</w:t>
      </w:r>
      <w:r>
        <w:rPr>
          <w:lang w:val="ru-RU"/>
        </w:rPr>
        <w:t>有</w:t>
      </w:r>
      <w:r w:rsidRPr="00794712">
        <w:rPr>
          <w:lang w:val="ru-RU"/>
        </w:rPr>
        <w:t>，在神</w:t>
      </w:r>
      <w:r>
        <w:rPr>
          <w:lang w:val="ru-RU"/>
        </w:rPr>
        <w:t>那里有，且就是神</w:t>
      </w:r>
      <w:r w:rsidRPr="00794712">
        <w:rPr>
          <w:lang w:val="ru-RU"/>
        </w:rPr>
        <w:t>：</w:t>
      </w:r>
      <w:r>
        <w:rPr>
          <w:lang w:val="ru-RU"/>
        </w:rPr>
        <w:t>三次‘有</w:t>
      </w:r>
      <w:r w:rsidRPr="00794712">
        <w:rPr>
          <w:lang w:val="ru-RU"/>
        </w:rPr>
        <w:t>’，由数字本身所证实，那位</w:t>
      </w:r>
      <w:r>
        <w:rPr>
          <w:lang w:val="ru-RU"/>
        </w:rPr>
        <w:t>本有的</w:t>
      </w:r>
      <w:r w:rsidRPr="00794712">
        <w:rPr>
          <w:lang w:val="ru-RU"/>
        </w:rPr>
        <w:t>，将自己倾注出来，并接纳了</w:t>
      </w:r>
      <w:r>
        <w:rPr>
          <w:lang w:val="ru-RU"/>
        </w:rPr>
        <w:t>本非己</w:t>
      </w:r>
      <w:r w:rsidRPr="00794712">
        <w:rPr>
          <w:lang w:val="ru-RU"/>
        </w:rPr>
        <w:t>有的，由此并未形成两个，而是美意地使二者合而为一： 因为神既是那一位，也是另一位，既是接纳者，也是被接纳者，两种本性融合为一，但并非两个圣子（愿这融合之说不要因错误的解释而受到亵渎！）</w:t>
      </w:r>
      <w:r w:rsidRPr="00865D51">
        <w:rPr>
          <w:lang w:val="ru-RU"/>
        </w:rPr>
        <w:t>；</w:t>
      </w:r>
      <w:r>
        <w:rPr>
          <w:lang w:val="ru-RU"/>
        </w:rPr>
        <w:t>”</w:t>
      </w:r>
      <w:r w:rsidR="00677D19">
        <w:rPr>
          <w:rStyle w:val="FootnoteReference"/>
          <w:lang w:val="ru-RU"/>
        </w:rPr>
        <w:footnoteReference w:id="306"/>
      </w:r>
      <w:r w:rsidR="00A95A76" w:rsidRPr="00A95A76">
        <w:rPr>
          <w:b/>
          <w:lang w:val="ru-RU"/>
        </w:rPr>
        <w:t xml:space="preserve"> b)</w:t>
      </w:r>
      <w:r w:rsidRPr="00794712">
        <w:rPr>
          <w:lang w:val="ru-RU"/>
        </w:rPr>
        <w:t xml:space="preserve"> 伊拉里乌斯：“我们当中也有许多人都是神的儿子；但这位曾说： </w:t>
      </w:r>
      <w:r w:rsidRPr="00B27E72">
        <w:rPr>
          <w:i/>
          <w:iCs/>
          <w:lang w:val="ru-RU"/>
        </w:rPr>
        <w:t>‘父啊，求你荣耀你的儿子</w:t>
      </w:r>
      <w:r w:rsidR="005864AB">
        <w:rPr>
          <w:lang w:val="ru-RU"/>
        </w:rPr>
        <w:t>’（</w:t>
      </w:r>
      <w:r w:rsidRPr="00794712">
        <w:rPr>
          <w:lang w:val="ru-RU"/>
        </w:rPr>
        <w:t>约17</w:t>
      </w:r>
      <w:r w:rsidRPr="00865D51">
        <w:rPr>
          <w:lang w:val="ru-RU"/>
        </w:rPr>
        <w:t>:</w:t>
      </w:r>
      <w:r w:rsidRPr="00794712">
        <w:rPr>
          <w:lang w:val="ru-RU"/>
        </w:rPr>
        <w:t>1）；因为祂是按着本性、而非领养（</w:t>
      </w:r>
      <w:r w:rsidRPr="00AA0891">
        <w:t>non</w:t>
      </w:r>
      <w:r w:rsidRPr="0097554A">
        <w:rPr>
          <w:lang w:val="ru-RU"/>
        </w:rPr>
        <w:t xml:space="preserve"> </w:t>
      </w:r>
      <w:r w:rsidRPr="00AA0891">
        <w:t>adoptione</w:t>
      </w:r>
      <w:r w:rsidRPr="00794712">
        <w:rPr>
          <w:lang w:val="ru-RU"/>
        </w:rPr>
        <w:t>）所生的真儿子，是按着真理、而非仅凭名义，是按着神的本性所生、而非被造的</w:t>
      </w:r>
      <w:r w:rsidRPr="00B27E72">
        <w:rPr>
          <w:lang w:val="ru-RU"/>
        </w:rPr>
        <w:t>；</w:t>
      </w:r>
      <w:r>
        <w:rPr>
          <w:lang w:val="ru-RU"/>
        </w:rPr>
        <w:t>”</w:t>
      </w:r>
      <w:r w:rsidR="00677D19">
        <w:rPr>
          <w:rStyle w:val="FootnoteReference"/>
          <w:lang w:val="ru-RU"/>
        </w:rPr>
        <w:footnoteReference w:id="307"/>
      </w:r>
      <w:r w:rsidR="00A95A76" w:rsidRPr="00A95A76">
        <w:rPr>
          <w:b/>
          <w:lang w:val="ru-RU"/>
        </w:rPr>
        <w:t xml:space="preserve"> c)</w:t>
      </w:r>
      <w:r w:rsidRPr="00794712">
        <w:rPr>
          <w:lang w:val="ru-RU"/>
        </w:rPr>
        <w:t xml:space="preserve"> 圣尼西亚的格里高利： “（阿波利纳里派）宣称，有些人遵循普世教会的教义，尊崇两位圣子：一位是按本性而生的圣子，另一位则是后来通过收养（</w:t>
      </w:r>
      <w:r w:rsidRPr="00AA0891">
        <w:t>κατά</w:t>
      </w:r>
      <w:r w:rsidRPr="0097554A">
        <w:rPr>
          <w:lang w:val="ru-RU"/>
        </w:rPr>
        <w:t xml:space="preserve"> </w:t>
      </w:r>
      <w:r w:rsidRPr="00AA0891">
        <w:t>θέσιν</w:t>
      </w:r>
      <w:r w:rsidRPr="00794712">
        <w:rPr>
          <w:lang w:val="ru-RU"/>
        </w:rPr>
        <w:t>）成为圣子的； 我不知道他们是从谁那里</w:t>
      </w:r>
      <w:r>
        <w:rPr>
          <w:lang w:val="ru-RU"/>
        </w:rPr>
        <w:t>听来的……”</w:t>
      </w:r>
      <w:r w:rsidR="006D2C7E">
        <w:rPr>
          <w:rStyle w:val="FootnoteReference"/>
          <w:lang w:val="ru-RU"/>
        </w:rPr>
        <w:footnoteReference w:id="308"/>
      </w:r>
      <w:r w:rsidR="00A95A76" w:rsidRPr="00A95A76">
        <w:rPr>
          <w:b/>
          <w:lang w:val="ru-RU"/>
        </w:rPr>
        <w:t xml:space="preserve"> d)</w:t>
      </w:r>
      <w:r w:rsidRPr="00794712">
        <w:rPr>
          <w:lang w:val="ru-RU"/>
        </w:rPr>
        <w:t xml:space="preserve"> 君士坦丁堡的圣普罗克勒：“只有一位圣子：因为，当我们敬拜同质三位一体时，我们不会在其中引入第四位……； 基督并非另一人，上帝——道——</w:t>
      </w:r>
      <w:r w:rsidRPr="00794712">
        <w:rPr>
          <w:lang w:val="ru-RU"/>
        </w:rPr>
        <w:lastRenderedPageBreak/>
        <w:t>也并非另一人：因为神的本性不承认有两个儿子……； 我们信奉同一位圣子，祂既是永恒的，又在末世道成肉身，并未在其本性中掺入任何虚假之物：因为在神的宝座上没有任何多余之物</w:t>
      </w:r>
      <w:r w:rsidRPr="00B27E72">
        <w:rPr>
          <w:lang w:val="ru-RU"/>
        </w:rPr>
        <w:t>；</w:t>
      </w:r>
      <w:r>
        <w:rPr>
          <w:lang w:val="ru-RU"/>
        </w:rPr>
        <w:t>”</w:t>
      </w:r>
      <w:r w:rsidR="006D2C7E">
        <w:rPr>
          <w:rStyle w:val="FootnoteReference"/>
          <w:lang w:val="ru-RU"/>
        </w:rPr>
        <w:footnoteReference w:id="309"/>
      </w:r>
      <w:r w:rsidR="00A95A76" w:rsidRPr="00A95A76">
        <w:rPr>
          <w:b/>
          <w:lang w:val="ru-RU"/>
        </w:rPr>
        <w:t xml:space="preserve"> e)</w:t>
      </w:r>
      <w:r w:rsidRPr="00794712">
        <w:rPr>
          <w:lang w:val="ru-RU"/>
        </w:rPr>
        <w:t xml:space="preserve"> 圣约翰·达马斯库斯：“我不将第四位格引入圣三，绝不如此； 但我信奉独一的圣言神及其肉身。圣三在圣言道成肉身后依然是圣三……圣言神的肉身并未获得独立的位格，也未成为与圣言神位格不同的位格； 而是在其中获得位格后，更准确地说，是被接纳进道成肉身之神的位格之中，而非成为独立的位格。因此，它既非无位格，也不在圣三中引入另一位格。</w:t>
      </w:r>
      <w:r>
        <w:rPr>
          <w:lang w:val="ru-RU"/>
        </w:rPr>
        <w:t>”</w:t>
      </w:r>
      <w:r w:rsidR="006D2C7E">
        <w:rPr>
          <w:rStyle w:val="FootnoteReference"/>
          <w:lang w:val="ru-RU"/>
        </w:rPr>
        <w:footnoteReference w:id="310"/>
      </w:r>
    </w:p>
    <w:p w14:paraId="3E22D0B9" w14:textId="77777777" w:rsidR="00D85B34" w:rsidRPr="00794712" w:rsidRDefault="00D85B34" w:rsidP="00D85B34">
      <w:pPr>
        <w:rPr>
          <w:lang w:val="ru-RU"/>
        </w:rPr>
      </w:pPr>
      <w:r w:rsidRPr="00794712">
        <w:rPr>
          <w:lang w:val="ru-RU"/>
        </w:rPr>
        <w:tab/>
        <w:t>在教父们的这些最后话语中，不仅清晰地阐述了这一思想，还解释了在神子道成肉身后，三位一体如何依然保持为三位一体，以及圣子与另外两位神圣位格之间的关系并未改变。</w:t>
      </w:r>
    </w:p>
    <w:p w14:paraId="58AE2C30" w14:textId="77777777" w:rsidR="00D85B34" w:rsidRDefault="00D85B34" w:rsidP="00D85B34">
      <w:pPr>
        <w:rPr>
          <w:lang w:val="ru-RU"/>
        </w:rPr>
      </w:pPr>
    </w:p>
    <w:p w14:paraId="2CE20541" w14:textId="77777777" w:rsidR="00D85B34" w:rsidRPr="00794712" w:rsidRDefault="00D85B34" w:rsidP="007B240B">
      <w:pPr>
        <w:pStyle w:val="Heading5"/>
        <w:rPr>
          <w:lang w:val="ru-RU"/>
        </w:rPr>
      </w:pPr>
      <w:bookmarkStart w:id="191" w:name="_Toc133155573"/>
      <w:bookmarkStart w:id="192" w:name="_Toc180664586"/>
      <w:bookmarkStart w:id="193" w:name="_Toc180679207"/>
      <w:bookmarkStart w:id="194" w:name="_Toc180679264"/>
      <w:bookmarkStart w:id="195" w:name="_Toc180679787"/>
      <w:bookmarkStart w:id="196" w:name="_Toc238453670"/>
      <w:bookmarkStart w:id="197" w:name="_Toc238576486"/>
      <w:r w:rsidRPr="00794712">
        <w:rPr>
          <w:lang w:val="ru-RU"/>
        </w:rPr>
        <w:t>§142. 关于道成肉身奥秘教义的道德应用</w:t>
      </w:r>
      <w:bookmarkEnd w:id="191"/>
      <w:bookmarkEnd w:id="192"/>
      <w:bookmarkEnd w:id="193"/>
      <w:bookmarkEnd w:id="194"/>
      <w:bookmarkEnd w:id="195"/>
      <w:bookmarkEnd w:id="196"/>
      <w:bookmarkEnd w:id="197"/>
    </w:p>
    <w:p w14:paraId="75F063F4" w14:textId="77777777" w:rsidR="00D85B34" w:rsidRPr="00794712" w:rsidRDefault="00D85B34" w:rsidP="00D85B34">
      <w:pPr>
        <w:ind w:firstLine="708"/>
        <w:rPr>
          <w:lang w:val="ru-RU"/>
        </w:rPr>
      </w:pPr>
      <w:r w:rsidRPr="00794712">
        <w:rPr>
          <w:lang w:val="ru-RU"/>
        </w:rPr>
        <w:t>道成肉身奥秘的教义——</w:t>
      </w:r>
    </w:p>
    <w:p w14:paraId="22378393" w14:textId="77777777" w:rsidR="00D85B34" w:rsidRPr="00794712" w:rsidRDefault="00F45CFB" w:rsidP="00D85B34">
      <w:pPr>
        <w:ind w:firstLine="708"/>
        <w:rPr>
          <w:lang w:val="ru-RU"/>
        </w:rPr>
      </w:pPr>
      <w:r w:rsidRPr="00F45CFB">
        <w:rPr>
          <w:b/>
          <w:lang w:val="ru-RU"/>
        </w:rPr>
        <w:t>1)</w:t>
      </w:r>
      <w:r w:rsidR="00D85B34" w:rsidRPr="00794712">
        <w:rPr>
          <w:lang w:val="ru-RU"/>
        </w:rPr>
        <w:t xml:space="preserve"> 坚固我们的信仰。因为它告诉我们，我们信仰的创始者不仅是人，同时也是神：因此，祂向我们所启示的一切，所吩咐我们信靠的一切，无论看似多么难以理解，无疑都是真实且不可动摇的。</w:t>
      </w:r>
    </w:p>
    <w:p w14:paraId="46BF62A9"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它使我们的盼望焕发活力并得以坚固。 </w:t>
      </w:r>
      <w:r w:rsidR="00D85B34" w:rsidRPr="00B27E72">
        <w:rPr>
          <w:i/>
          <w:iCs/>
          <w:lang w:val="ru-RU"/>
        </w:rPr>
        <w:t>“那不爱惜自己的儿子，为我们众人舍了他的儿子，岂不也把万物和他一同白白地赐给我们吗？</w:t>
      </w:r>
      <w:r w:rsidR="00D85B34" w:rsidRPr="00794712">
        <w:rPr>
          <w:lang w:val="ru-RU"/>
        </w:rPr>
        <w:t>”（罗马书 8</w:t>
      </w:r>
      <w:r w:rsidR="00D85B34" w:rsidRPr="00B27E72">
        <w:rPr>
          <w:lang w:val="ru-RU"/>
        </w:rPr>
        <w:t>:</w:t>
      </w:r>
      <w:r w:rsidR="00D85B34" w:rsidRPr="00794712">
        <w:rPr>
          <w:lang w:val="ru-RU"/>
        </w:rPr>
        <w:t>32）。既然神的儿子亲自成为我们的救赎主，并向我们许下最甘美的应许：难道他不会实现这些应许吗？</w:t>
      </w:r>
    </w:p>
    <w:p w14:paraId="3738D971" w14:textId="77777777" w:rsidR="00D85B34" w:rsidRPr="00794712" w:rsidRDefault="00F45CFB" w:rsidP="00D85B34">
      <w:pPr>
        <w:ind w:firstLine="708"/>
        <w:rPr>
          <w:lang w:val="ru-RU"/>
        </w:rPr>
      </w:pPr>
      <w:r w:rsidRPr="00F45CFB">
        <w:rPr>
          <w:b/>
          <w:lang w:val="ru-RU"/>
        </w:rPr>
        <w:t>3)</w:t>
      </w:r>
      <w:r w:rsidR="00D85B34" w:rsidRPr="00794712">
        <w:rPr>
          <w:lang w:val="ru-RU"/>
        </w:rPr>
        <w:t xml:space="preserve"> 祂在我们心中点燃对上帝的爱，向我们展现了祂在道成肉身之事上向我们这些罪人所显明的无尽之爱，尤其是上帝之子，祂乐意为了我们而亲自承担了我们的人性。</w:t>
      </w:r>
    </w:p>
    <w:p w14:paraId="1AFA9B0C" w14:textId="77777777" w:rsidR="00D85B34" w:rsidRPr="00794712" w:rsidRDefault="00F45CFB" w:rsidP="00D85B34">
      <w:pPr>
        <w:ind w:firstLine="708"/>
        <w:rPr>
          <w:lang w:val="ru-RU"/>
        </w:rPr>
      </w:pPr>
      <w:r w:rsidRPr="00F45CFB">
        <w:rPr>
          <w:b/>
          <w:lang w:val="ru-RU"/>
        </w:rPr>
        <w:t>4)</w:t>
      </w:r>
      <w:r w:rsidR="00D85B34" w:rsidRPr="00794712">
        <w:rPr>
          <w:lang w:val="ru-RU"/>
        </w:rPr>
        <w:t xml:space="preserve"> 教导并激励我们竭尽全力，颂扬至圣、至洁、至蒙福、荣耀的我们的主母——圣母玛利亚，这位永贞童女，她蒙恩得以侍奉“道成肉身”这一至高奥秘，从而成为我们得救的源头。</w:t>
      </w:r>
    </w:p>
    <w:p w14:paraId="1B1ACA6B" w14:textId="77777777" w:rsidR="00D85B34" w:rsidRPr="00794712" w:rsidRDefault="00F45CFB" w:rsidP="00D85B34">
      <w:pPr>
        <w:ind w:firstLine="708"/>
        <w:rPr>
          <w:lang w:val="ru-RU"/>
        </w:rPr>
      </w:pPr>
      <w:r w:rsidRPr="00F45CFB">
        <w:rPr>
          <w:b/>
          <w:lang w:val="ru-RU"/>
        </w:rPr>
        <w:t>5)</w:t>
      </w:r>
      <w:r w:rsidR="00D85B34" w:rsidRPr="00794712">
        <w:rPr>
          <w:lang w:val="ru-RU"/>
        </w:rPr>
        <w:t xml:space="preserve"> 教导并激励我们珍视自身人性尊严，不因罪过而贬低它——因为神的独生子曾乐意将其接纳于祂神圣位格的合一之中；既要尊重自己，也要尊重他人——因为神人本人曾赐予我们“弟兄”之名 </w:t>
      </w:r>
      <w:r w:rsidR="00B77AF0" w:rsidRPr="00F45CFB">
        <w:rPr>
          <w:lang w:val="ru-RU"/>
        </w:rPr>
        <w:t>[</w:t>
      </w:r>
      <w:r w:rsidR="00D85B34" w:rsidRPr="00794712">
        <w:rPr>
          <w:lang w:val="ru-RU"/>
        </w:rPr>
        <w:t>(诗篇 21</w:t>
      </w:r>
      <w:r w:rsidR="00D85B34" w:rsidRPr="002538DD">
        <w:rPr>
          <w:lang w:val="ru-RU"/>
        </w:rPr>
        <w:t>:</w:t>
      </w:r>
      <w:r w:rsidR="00D85B34" w:rsidRPr="00794712">
        <w:rPr>
          <w:lang w:val="ru-RU"/>
        </w:rPr>
        <w:t>23</w:t>
      </w:r>
      <w:r w:rsidR="00B77AF0" w:rsidRPr="00F45CFB">
        <w:rPr>
          <w:lang w:val="ru-RU"/>
        </w:rPr>
        <w:t>)</w:t>
      </w:r>
      <w:r w:rsidR="00D85B34" w:rsidRPr="00794712">
        <w:rPr>
          <w:lang w:val="ru-RU"/>
        </w:rPr>
        <w:t>；</w:t>
      </w:r>
      <w:r w:rsidR="008D4E5F">
        <w:rPr>
          <w:lang w:val="ru-RU"/>
        </w:rPr>
        <w:t xml:space="preserve"> </w:t>
      </w:r>
      <w:r w:rsidR="00B77AF0" w:rsidRPr="00F45CFB">
        <w:rPr>
          <w:lang w:val="ru-RU"/>
        </w:rPr>
        <w:t>（</w:t>
      </w:r>
      <w:r w:rsidR="008D4E5F">
        <w:rPr>
          <w:lang w:val="ru-RU"/>
        </w:rPr>
        <w:t>马太福音</w:t>
      </w:r>
      <w:r w:rsidR="00D85B34" w:rsidRPr="00794712">
        <w:rPr>
          <w:lang w:val="ru-RU"/>
        </w:rPr>
        <w:t xml:space="preserve"> 12</w:t>
      </w:r>
      <w:r w:rsidR="00D85B34" w:rsidRPr="002538DD">
        <w:rPr>
          <w:lang w:val="ru-RU"/>
        </w:rPr>
        <w:t>:</w:t>
      </w:r>
      <w:r w:rsidR="00D85B34" w:rsidRPr="00794712">
        <w:rPr>
          <w:lang w:val="ru-RU"/>
        </w:rPr>
        <w:t>49）</w:t>
      </w:r>
      <w:r w:rsidR="00B77AF0" w:rsidRPr="00F45CFB">
        <w:rPr>
          <w:lang w:val="ru-RU"/>
        </w:rPr>
        <w:t>]</w:t>
      </w:r>
      <w:r w:rsidR="00D85B34" w:rsidRPr="00794712">
        <w:rPr>
          <w:lang w:val="ru-RU"/>
        </w:rPr>
        <w:t>。</w:t>
      </w:r>
    </w:p>
    <w:p w14:paraId="6DD4210B" w14:textId="77777777" w:rsidR="00D85B34" w:rsidRPr="00794712" w:rsidRDefault="00F45CFB" w:rsidP="00D85B34">
      <w:pPr>
        <w:ind w:firstLine="708"/>
        <w:rPr>
          <w:lang w:val="ru-RU"/>
        </w:rPr>
      </w:pPr>
      <w:r w:rsidRPr="00F45CFB">
        <w:rPr>
          <w:b/>
          <w:lang w:val="ru-RU"/>
        </w:rPr>
        <w:t>6)</w:t>
      </w:r>
      <w:r w:rsidR="00D85B34" w:rsidRPr="00794712">
        <w:rPr>
          <w:lang w:val="ru-RU"/>
        </w:rPr>
        <w:t xml:space="preserve"> 最后，祂借着道成肉身的上帝之子，为我们树立了最完美的榜样，正如祂自己所说：“我给你们作了榜样，叫你们照着我给你们所做的去行</w:t>
      </w:r>
      <w:r w:rsidR="005864AB">
        <w:rPr>
          <w:lang w:val="ru-RU"/>
        </w:rPr>
        <w:t>”（约翰</w:t>
      </w:r>
      <w:r w:rsidR="00D85B34" w:rsidRPr="00794712">
        <w:rPr>
          <w:lang w:val="ru-RU"/>
        </w:rPr>
        <w:t>福音13</w:t>
      </w:r>
      <w:r w:rsidR="008D4E5F" w:rsidRPr="008D4E5F">
        <w:rPr>
          <w:lang w:val="ru-RU"/>
        </w:rPr>
        <w:t>:</w:t>
      </w:r>
      <w:r w:rsidR="00D85B34" w:rsidRPr="00794712">
        <w:rPr>
          <w:lang w:val="ru-RU"/>
        </w:rPr>
        <w:t>15）。</w:t>
      </w:r>
    </w:p>
    <w:p w14:paraId="7E048958" w14:textId="77777777" w:rsidR="00D85B34" w:rsidRDefault="00D85B34" w:rsidP="00D85B34">
      <w:pPr>
        <w:rPr>
          <w:lang w:val="ru-RU"/>
        </w:rPr>
      </w:pPr>
      <w:r w:rsidRPr="00794712">
        <w:rPr>
          <w:lang w:val="ru-RU"/>
        </w:rPr>
        <w:tab/>
      </w:r>
    </w:p>
    <w:p w14:paraId="0F15F9F8" w14:textId="77777777" w:rsidR="00D85B34" w:rsidRPr="00794712" w:rsidRDefault="00D85B34" w:rsidP="007B240B">
      <w:pPr>
        <w:pStyle w:val="Heading3"/>
        <w:rPr>
          <w:lang w:val="ru-RU"/>
        </w:rPr>
      </w:pPr>
      <w:bookmarkStart w:id="198" w:name="_Toc133155574"/>
      <w:bookmarkStart w:id="199" w:name="_Toc180664587"/>
      <w:bookmarkStart w:id="200" w:name="_Toc180679208"/>
      <w:bookmarkStart w:id="201" w:name="_Toc180679265"/>
      <w:bookmarkStart w:id="202" w:name="_Toc180679788"/>
      <w:bookmarkStart w:id="203" w:name="_Toc238453411"/>
      <w:bookmarkStart w:id="204" w:name="_Toc238453671"/>
      <w:bookmarkStart w:id="205" w:name="_Toc238466397"/>
      <w:bookmarkStart w:id="206" w:name="_Toc238576487"/>
      <w:r w:rsidRPr="00AA0891">
        <w:t>第二</w:t>
      </w:r>
      <w:r w:rsidRPr="00794712">
        <w:rPr>
          <w:lang w:val="ru-RU"/>
        </w:rPr>
        <w:t xml:space="preserve">章。 </w:t>
      </w:r>
      <w:r>
        <w:rPr>
          <w:lang w:val="ru-RU"/>
        </w:rPr>
        <w:br/>
      </w:r>
      <w:r w:rsidRPr="00794712">
        <w:rPr>
          <w:lang w:val="ru-RU"/>
        </w:rPr>
        <w:t>论主耶稣基督成就我们的救恩，或论赎罪之奥秘</w:t>
      </w:r>
      <w:bookmarkEnd w:id="198"/>
      <w:bookmarkEnd w:id="199"/>
      <w:bookmarkEnd w:id="200"/>
      <w:bookmarkEnd w:id="201"/>
      <w:bookmarkEnd w:id="202"/>
      <w:bookmarkEnd w:id="203"/>
      <w:bookmarkEnd w:id="204"/>
      <w:bookmarkEnd w:id="205"/>
      <w:bookmarkEnd w:id="206"/>
    </w:p>
    <w:p w14:paraId="59236274" w14:textId="77777777" w:rsidR="00D85B34" w:rsidRDefault="00D85B34" w:rsidP="00D85B34">
      <w:pPr>
        <w:rPr>
          <w:lang w:val="ru-RU"/>
        </w:rPr>
      </w:pPr>
      <w:r w:rsidRPr="00794712">
        <w:rPr>
          <w:lang w:val="ru-RU"/>
        </w:rPr>
        <w:tab/>
      </w:r>
    </w:p>
    <w:p w14:paraId="3D84E14B" w14:textId="77777777" w:rsidR="00D85B34" w:rsidRPr="00794712" w:rsidRDefault="00D85B34" w:rsidP="007B240B">
      <w:pPr>
        <w:pStyle w:val="Heading5"/>
        <w:rPr>
          <w:lang w:val="ru-RU"/>
        </w:rPr>
      </w:pPr>
      <w:bookmarkStart w:id="207" w:name="_Toc133155575"/>
      <w:bookmarkStart w:id="208" w:name="_Toc180664588"/>
      <w:bookmarkStart w:id="209" w:name="_Toc180679209"/>
      <w:bookmarkStart w:id="210" w:name="_Toc180679266"/>
      <w:bookmarkStart w:id="211" w:name="_Toc180679789"/>
      <w:bookmarkStart w:id="212" w:name="_Toc238453672"/>
      <w:bookmarkStart w:id="213" w:name="_Toc238576488"/>
      <w:r w:rsidRPr="00794712">
        <w:rPr>
          <w:lang w:val="ru-RU"/>
        </w:rPr>
        <w:t>§143. 主耶稣是如何成就我们的救赎的？</w:t>
      </w:r>
      <w:bookmarkEnd w:id="207"/>
      <w:bookmarkEnd w:id="208"/>
      <w:bookmarkEnd w:id="209"/>
      <w:bookmarkEnd w:id="210"/>
      <w:bookmarkEnd w:id="211"/>
      <w:bookmarkEnd w:id="212"/>
      <w:bookmarkEnd w:id="213"/>
    </w:p>
    <w:p w14:paraId="2DC3DC54" w14:textId="77777777" w:rsidR="00D85B34" w:rsidRDefault="00D85B34" w:rsidP="00D85B34">
      <w:pPr>
        <w:ind w:firstLine="708"/>
        <w:rPr>
          <w:lang w:val="ru-RU"/>
        </w:rPr>
      </w:pPr>
      <w:r w:rsidRPr="00794712">
        <w:rPr>
          <w:lang w:val="ru-RU"/>
        </w:rPr>
        <w:t>主耶稣降临人间是为了拯救我们</w:t>
      </w:r>
      <w:r w:rsidR="000A57C3">
        <w:rPr>
          <w:lang w:val="ru-RU"/>
        </w:rPr>
        <w:t>（太</w:t>
      </w:r>
      <w:r w:rsidRPr="00794712">
        <w:rPr>
          <w:lang w:val="ru-RU"/>
        </w:rPr>
        <w:t>18</w:t>
      </w:r>
      <w:r w:rsidRPr="00B27E72">
        <w:rPr>
          <w:lang w:val="ru-RU"/>
        </w:rPr>
        <w:t>:</w:t>
      </w:r>
      <w:r w:rsidRPr="00794712">
        <w:rPr>
          <w:lang w:val="ru-RU"/>
        </w:rPr>
        <w:t>11），祂亲自乐意将自己那伟大的壮举——正是通过这一壮举，祂确实拯救了我们——称为对人类的服侍：</w:t>
      </w:r>
      <w:r w:rsidRPr="00B27E72">
        <w:rPr>
          <w:i/>
          <w:iCs/>
          <w:lang w:val="ru-RU"/>
        </w:rPr>
        <w:t>祂说：“人子</w:t>
      </w:r>
      <w:r w:rsidRPr="00794712">
        <w:rPr>
          <w:lang w:val="ru-RU"/>
        </w:rPr>
        <w:t>来，</w:t>
      </w:r>
      <w:r w:rsidRPr="00B27E72">
        <w:rPr>
          <w:i/>
          <w:iCs/>
          <w:lang w:val="ru-RU"/>
        </w:rPr>
        <w:t>并不是要受人的服侍，乃是要服侍人，并且要舍命，作多人的赎</w:t>
      </w:r>
      <w:r w:rsidRPr="00B27E72">
        <w:rPr>
          <w:i/>
          <w:iCs/>
          <w:lang w:val="ru-RU"/>
        </w:rPr>
        <w:lastRenderedPageBreak/>
        <w:t>价”</w:t>
      </w:r>
      <w:r w:rsidRPr="00794712">
        <w:rPr>
          <w:lang w:val="ru-RU"/>
        </w:rPr>
        <w:t xml:space="preserve"> </w:t>
      </w:r>
      <w:r w:rsidR="00463137" w:rsidRPr="00463137">
        <w:rPr>
          <w:lang w:val="ru-RU"/>
        </w:rPr>
        <w:t>[</w:t>
      </w:r>
      <w:r w:rsidR="000A57C3">
        <w:rPr>
          <w:lang w:val="ru-RU"/>
        </w:rPr>
        <w:t>(马太福音</w:t>
      </w:r>
      <w:r w:rsidRPr="00794712">
        <w:rPr>
          <w:lang w:val="ru-RU"/>
        </w:rPr>
        <w:t xml:space="preserve"> 20</w:t>
      </w:r>
      <w:r w:rsidRPr="00B27E72">
        <w:rPr>
          <w:lang w:val="ru-RU"/>
        </w:rPr>
        <w:t>:</w:t>
      </w:r>
      <w:r w:rsidRPr="00794712">
        <w:rPr>
          <w:lang w:val="ru-RU"/>
        </w:rPr>
        <w:t>28</w:t>
      </w:r>
      <w:r w:rsidR="00463137" w:rsidRPr="00463137">
        <w:rPr>
          <w:lang w:val="ru-RU"/>
        </w:rPr>
        <w:t>)</w:t>
      </w:r>
      <w:r w:rsidRPr="00794712">
        <w:rPr>
          <w:lang w:val="ru-RU"/>
        </w:rPr>
        <w:t>；</w:t>
      </w:r>
      <w:r w:rsidR="00463137" w:rsidRPr="00463137">
        <w:rPr>
          <w:lang w:val="ru-RU"/>
        </w:rPr>
        <w:t>(</w:t>
      </w:r>
      <w:r w:rsidRPr="00794712">
        <w:rPr>
          <w:lang w:val="ru-RU"/>
        </w:rPr>
        <w:t>马可福音 10</w:t>
      </w:r>
      <w:r w:rsidRPr="00B27E72">
        <w:rPr>
          <w:lang w:val="ru-RU"/>
        </w:rPr>
        <w:t>:</w:t>
      </w:r>
      <w:r w:rsidRPr="00794712">
        <w:rPr>
          <w:lang w:val="ru-RU"/>
        </w:rPr>
        <w:t>45)</w:t>
      </w:r>
      <w:r w:rsidR="00463137" w:rsidRPr="00463137">
        <w:rPr>
          <w:lang w:val="ru-RU"/>
        </w:rPr>
        <w:t>]</w:t>
      </w:r>
      <w:r w:rsidRPr="00794712">
        <w:rPr>
          <w:lang w:val="ru-RU"/>
        </w:rPr>
        <w:t>。祂的这种事工</w:t>
      </w:r>
      <w:r>
        <w:rPr>
          <w:lang w:val="ru-RU"/>
        </w:rPr>
        <w:t>究竟</w:t>
      </w:r>
      <w:r w:rsidRPr="00794712">
        <w:rPr>
          <w:lang w:val="ru-RU"/>
        </w:rPr>
        <w:t>是什么——这从祂“弥赛亚”或“基督”（受膏者</w:t>
      </w:r>
      <w:r>
        <w:rPr>
          <w:lang w:val="ru-RU"/>
        </w:rPr>
        <w:t>）</w:t>
      </w:r>
      <w:r w:rsidRPr="00794712">
        <w:rPr>
          <w:lang w:val="ru-RU"/>
        </w:rPr>
        <w:t>这个名字本身便可看出，这个名字自古以来在神的教会中，只赐给那些蒙圣灵膏抹的人：先知 （《列王纪下》19</w:t>
      </w:r>
      <w:r w:rsidRPr="00B27E72">
        <w:rPr>
          <w:lang w:val="ru-RU"/>
        </w:rPr>
        <w:t>:</w:t>
      </w:r>
      <w:r w:rsidRPr="00794712">
        <w:rPr>
          <w:lang w:val="ru-RU"/>
        </w:rPr>
        <w:t>16）、大祭司（《出埃及记》30</w:t>
      </w:r>
      <w:r w:rsidRPr="00B27E72">
        <w:rPr>
          <w:lang w:val="ru-RU"/>
        </w:rPr>
        <w:t>:</w:t>
      </w:r>
      <w:r w:rsidRPr="00794712">
        <w:rPr>
          <w:lang w:val="ru-RU"/>
        </w:rPr>
        <w:t>30）、君王（《撒母耳记上》10</w:t>
      </w:r>
      <w:r w:rsidRPr="00B27E72">
        <w:rPr>
          <w:lang w:val="ru-RU"/>
        </w:rPr>
        <w:t>:</w:t>
      </w:r>
      <w:r w:rsidRPr="00794712">
        <w:rPr>
          <w:lang w:val="ru-RU"/>
        </w:rPr>
        <w:t>1</w:t>
      </w:r>
      <w:r w:rsidR="00463137" w:rsidRPr="00463137">
        <w:rPr>
          <w:lang w:val="ru-RU"/>
        </w:rPr>
        <w:t>）</w:t>
      </w:r>
      <w:r w:rsidRPr="00794712">
        <w:rPr>
          <w:lang w:val="ru-RU"/>
        </w:rPr>
        <w:t>；</w:t>
      </w:r>
      <w:r w:rsidR="00FB2012">
        <w:rPr>
          <w:rFonts w:cs="Cambria Math"/>
          <w:lang w:val="ru-RU"/>
        </w:rPr>
        <w:t xml:space="preserve"> </w:t>
      </w:r>
      <w:r w:rsidR="00463137" w:rsidRPr="00463137">
        <w:rPr>
          <w:rFonts w:cs="Cambria Math"/>
          <w:lang w:val="ru-RU"/>
        </w:rPr>
        <w:t>（</w:t>
      </w:r>
      <w:r w:rsidR="00463137" w:rsidRPr="00794712">
        <w:rPr>
          <w:lang w:val="ru-RU"/>
        </w:rPr>
        <w:t>撒上</w:t>
      </w:r>
      <w:r w:rsidRPr="00794712">
        <w:rPr>
          <w:lang w:val="ru-RU"/>
        </w:rPr>
        <w:t>16</w:t>
      </w:r>
      <w:r w:rsidRPr="00B27E72">
        <w:rPr>
          <w:lang w:val="ru-RU"/>
        </w:rPr>
        <w:t>:</w:t>
      </w:r>
      <w:r w:rsidRPr="00794712">
        <w:rPr>
          <w:lang w:val="ru-RU"/>
        </w:rPr>
        <w:t>13），而这个名字在首要意义上归属于祂——我们的主，因祂按人性蒙神以喜乐的膏油所膏立</w:t>
      </w:r>
      <w:r w:rsidRPr="00A2668D">
        <w:rPr>
          <w:i/>
          <w:iCs/>
          <w:lang w:val="ru-RU"/>
        </w:rPr>
        <w:t>，更是祂子民的同工</w:t>
      </w:r>
      <w:r w:rsidR="00463137" w:rsidRPr="00463137">
        <w:rPr>
          <w:lang w:val="ru-RU"/>
        </w:rPr>
        <w:t>[</w:t>
      </w:r>
      <w:r w:rsidRPr="00794712">
        <w:rPr>
          <w:lang w:val="ru-RU"/>
        </w:rPr>
        <w:t>（赛61</w:t>
      </w:r>
      <w:r w:rsidRPr="00B27E72">
        <w:rPr>
          <w:lang w:val="ru-RU"/>
        </w:rPr>
        <w:t>:</w:t>
      </w:r>
      <w:r w:rsidRPr="00794712">
        <w:rPr>
          <w:lang w:val="ru-RU"/>
        </w:rPr>
        <w:t>1</w:t>
      </w:r>
      <w:r w:rsidR="00463137" w:rsidRPr="00463137">
        <w:rPr>
          <w:lang w:val="ru-RU"/>
        </w:rPr>
        <w:t>）</w:t>
      </w:r>
      <w:r w:rsidRPr="00794712">
        <w:rPr>
          <w:lang w:val="ru-RU"/>
        </w:rPr>
        <w:t xml:space="preserve">； </w:t>
      </w:r>
      <w:r w:rsidR="00463137" w:rsidRPr="00463137">
        <w:rPr>
          <w:lang w:val="ru-RU"/>
        </w:rPr>
        <w:t>（</w:t>
      </w:r>
      <w:r w:rsidRPr="00794712">
        <w:rPr>
          <w:lang w:val="ru-RU"/>
        </w:rPr>
        <w:t>诗篇 44</w:t>
      </w:r>
      <w:r w:rsidRPr="00B27E72">
        <w:rPr>
          <w:lang w:val="ru-RU"/>
        </w:rPr>
        <w:t>:</w:t>
      </w:r>
      <w:r w:rsidRPr="00794712">
        <w:rPr>
          <w:lang w:val="ru-RU"/>
        </w:rPr>
        <w:t>8</w:t>
      </w:r>
      <w:r w:rsidR="00463137" w:rsidRPr="00463137">
        <w:rPr>
          <w:lang w:val="ru-RU"/>
        </w:rPr>
        <w:t>）</w:t>
      </w:r>
      <w:r w:rsidRPr="00794712">
        <w:rPr>
          <w:lang w:val="ru-RU"/>
        </w:rPr>
        <w:t>；</w:t>
      </w:r>
      <w:r w:rsidR="00463137" w:rsidRPr="00463137">
        <w:rPr>
          <w:lang w:val="ru-RU"/>
        </w:rPr>
        <w:t>（</w:t>
      </w:r>
      <w:r w:rsidR="0087297C">
        <w:rPr>
          <w:lang w:val="ru-RU"/>
        </w:rPr>
        <w:t>路加福音</w:t>
      </w:r>
      <w:r w:rsidRPr="00794712">
        <w:rPr>
          <w:lang w:val="ru-RU"/>
        </w:rPr>
        <w:t xml:space="preserve"> 4</w:t>
      </w:r>
      <w:r w:rsidRPr="00B27E72">
        <w:rPr>
          <w:lang w:val="ru-RU"/>
        </w:rPr>
        <w:t>:</w:t>
      </w:r>
      <w:r w:rsidRPr="00794712">
        <w:rPr>
          <w:lang w:val="ru-RU"/>
        </w:rPr>
        <w:t>18-20</w:t>
      </w:r>
      <w:r w:rsidR="00463137" w:rsidRPr="00463137">
        <w:rPr>
          <w:lang w:val="ru-RU"/>
        </w:rPr>
        <w:t>）</w:t>
      </w:r>
      <w:r w:rsidRPr="00794712">
        <w:rPr>
          <w:lang w:val="ru-RU"/>
        </w:rPr>
        <w:t>；</w:t>
      </w:r>
      <w:r w:rsidR="00463137" w:rsidRPr="00463137">
        <w:rPr>
          <w:lang w:val="ru-RU"/>
        </w:rPr>
        <w:t>（</w:t>
      </w:r>
      <w:r w:rsidRPr="00794712">
        <w:rPr>
          <w:lang w:val="ru-RU"/>
        </w:rPr>
        <w:t>使徒行传 10</w:t>
      </w:r>
      <w:r w:rsidRPr="00B27E72">
        <w:rPr>
          <w:lang w:val="ru-RU"/>
        </w:rPr>
        <w:t>:</w:t>
      </w:r>
      <w:r w:rsidRPr="00794712">
        <w:rPr>
          <w:lang w:val="ru-RU"/>
        </w:rPr>
        <w:t>38）</w:t>
      </w:r>
      <w:r w:rsidR="00463137" w:rsidRPr="00463137">
        <w:rPr>
          <w:lang w:val="ru-RU"/>
        </w:rPr>
        <w:t>]</w:t>
      </w:r>
      <w:r w:rsidRPr="00794712">
        <w:rPr>
          <w:lang w:val="ru-RU"/>
        </w:rPr>
        <w:t>，</w:t>
      </w:r>
      <w:r w:rsidR="00F64FAF">
        <w:rPr>
          <w:rStyle w:val="FootnoteReference"/>
          <w:lang w:val="ru-RU"/>
        </w:rPr>
        <w:footnoteReference w:id="311"/>
      </w:r>
      <w:r w:rsidRPr="00794712">
        <w:rPr>
          <w:lang w:val="ru-RU"/>
        </w:rPr>
        <w:t xml:space="preserve"> 祂在自己一位格中，以至高无上的程度，将上述三种 受膏的身份——先知、大祭司和君王——完美地结合在一起。</w:t>
      </w:r>
      <w:r w:rsidR="00F64FAF">
        <w:rPr>
          <w:rStyle w:val="FootnoteReference"/>
          <w:lang w:val="ru-RU"/>
        </w:rPr>
        <w:footnoteReference w:id="312"/>
      </w:r>
      <w:r w:rsidRPr="00794712">
        <w:rPr>
          <w:lang w:val="ru-RU"/>
        </w:rPr>
        <w:t xml:space="preserve"> 祂拯救了我们：</w:t>
      </w:r>
      <w:r w:rsidR="00A95A76" w:rsidRPr="00A95A76">
        <w:rPr>
          <w:b/>
          <w:lang w:val="ru-RU"/>
        </w:rPr>
        <w:t>a)</w:t>
      </w:r>
      <w:r w:rsidRPr="00794712">
        <w:rPr>
          <w:lang w:val="ru-RU"/>
        </w:rPr>
        <w:t xml:space="preserve"> 作为先知，赐给我们光明与智慧，使我们认识真神，并在祂的真儿子耶稣基督里</w:t>
      </w:r>
      <w:r w:rsidR="008A3626">
        <w:rPr>
          <w:lang w:val="ru-RU"/>
        </w:rPr>
        <w:t>（约壹</w:t>
      </w:r>
      <w:r w:rsidRPr="00794712">
        <w:rPr>
          <w:lang w:val="ru-RU"/>
        </w:rPr>
        <w:t xml:space="preserve"> 5</w:t>
      </w:r>
      <w:r w:rsidRPr="00A2668D">
        <w:rPr>
          <w:lang w:val="ru-RU"/>
        </w:rPr>
        <w:t>:</w:t>
      </w:r>
      <w:r w:rsidRPr="00794712">
        <w:rPr>
          <w:lang w:val="ru-RU"/>
        </w:rPr>
        <w:t>20）；</w:t>
      </w:r>
      <w:r w:rsidR="00A95A76" w:rsidRPr="00A95A76">
        <w:rPr>
          <w:b/>
          <w:lang w:val="ru-RU"/>
        </w:rPr>
        <w:t>b)</w:t>
      </w:r>
      <w:r w:rsidRPr="00794712">
        <w:rPr>
          <w:lang w:val="ru-RU"/>
        </w:rPr>
        <w:t xml:space="preserve"> 作为大祭司，将自己献为赎世之罪的祭物，从而为我们向神的公义作了赎罪；</w:t>
      </w:r>
      <w:r w:rsidR="00A95A76" w:rsidRPr="00A95A76">
        <w:rPr>
          <w:b/>
          <w:lang w:val="ru-RU"/>
        </w:rPr>
        <w:t xml:space="preserve"> c)</w:t>
      </w:r>
      <w:r w:rsidRPr="00794712">
        <w:rPr>
          <w:lang w:val="ru-RU"/>
        </w:rPr>
        <w:t xml:space="preserve"> 作为君王，摧毁了死亡和地狱的权势，并从父那里</w:t>
      </w:r>
      <w:r>
        <w:rPr>
          <w:lang w:val="ru-RU"/>
        </w:rPr>
        <w:t>领受了</w:t>
      </w:r>
      <w:r w:rsidRPr="00A2668D">
        <w:rPr>
          <w:i/>
          <w:iCs/>
          <w:lang w:val="ru-RU"/>
        </w:rPr>
        <w:t>天上地下一切的权柄</w:t>
      </w:r>
      <w:r w:rsidR="000A57C3">
        <w:rPr>
          <w:lang w:val="ru-RU"/>
        </w:rPr>
        <w:t>（马太福音</w:t>
      </w:r>
      <w:r w:rsidRPr="00794712">
        <w:rPr>
          <w:lang w:val="ru-RU"/>
        </w:rPr>
        <w:t xml:space="preserve"> 28</w:t>
      </w:r>
      <w:r w:rsidRPr="00A2668D">
        <w:rPr>
          <w:lang w:val="ru-RU"/>
        </w:rPr>
        <w:t>:</w:t>
      </w:r>
      <w:r w:rsidRPr="00794712">
        <w:rPr>
          <w:lang w:val="ru-RU"/>
        </w:rPr>
        <w:t>18），好赐给我们</w:t>
      </w:r>
      <w:r>
        <w:rPr>
          <w:lang w:val="ru-RU"/>
        </w:rPr>
        <w:t>永生</w:t>
      </w:r>
      <w:r w:rsidR="005864AB">
        <w:rPr>
          <w:lang w:val="ru-RU"/>
        </w:rPr>
        <w:t>（约翰福音</w:t>
      </w:r>
      <w:r w:rsidRPr="00794712">
        <w:rPr>
          <w:lang w:val="ru-RU"/>
        </w:rPr>
        <w:t xml:space="preserve"> 17</w:t>
      </w:r>
      <w:r>
        <w:rPr>
          <w:lang w:val="ru-RU"/>
        </w:rPr>
        <w:t>:</w:t>
      </w:r>
      <w:r w:rsidRPr="00794712">
        <w:rPr>
          <w:lang w:val="ru-RU"/>
        </w:rPr>
        <w:t>2）。 也就是说，主耶稣通过祂对人类的三重事工——先知、大祭司和君王——成就了我们的救赎。</w:t>
      </w:r>
    </w:p>
    <w:p w14:paraId="4DE85370" w14:textId="77777777" w:rsidR="00D85B34" w:rsidRPr="00794712" w:rsidRDefault="00D85B34" w:rsidP="00D85B34">
      <w:pPr>
        <w:ind w:firstLine="708"/>
        <w:rPr>
          <w:lang w:val="ru-RU"/>
        </w:rPr>
      </w:pPr>
    </w:p>
    <w:p w14:paraId="64D5D01E" w14:textId="77777777" w:rsidR="00D85B34" w:rsidRPr="00794712" w:rsidRDefault="00D85B34" w:rsidP="007B240B">
      <w:pPr>
        <w:pStyle w:val="Heading4"/>
        <w:rPr>
          <w:lang w:val="ru-RU"/>
        </w:rPr>
      </w:pPr>
      <w:bookmarkStart w:id="214" w:name="_Toc133155576"/>
      <w:bookmarkStart w:id="215" w:name="_Toc180664589"/>
      <w:bookmarkStart w:id="216" w:name="_Toc180679210"/>
      <w:bookmarkStart w:id="217" w:name="_Toc180679267"/>
      <w:bookmarkStart w:id="218" w:name="_Toc180679790"/>
      <w:bookmarkStart w:id="219" w:name="_Toc238453412"/>
      <w:bookmarkStart w:id="220" w:name="_Toc238453673"/>
      <w:bookmarkStart w:id="221" w:name="_Toc238466398"/>
      <w:bookmarkStart w:id="222" w:name="_Toc238576489"/>
      <w:r w:rsidRPr="00AA0891">
        <w:t>一</w:t>
      </w:r>
      <w:r w:rsidRPr="00794712">
        <w:rPr>
          <w:lang w:val="ru-RU"/>
        </w:rPr>
        <w:t>、关于耶稣基督的先知事工</w:t>
      </w:r>
      <w:bookmarkEnd w:id="214"/>
      <w:bookmarkEnd w:id="215"/>
      <w:bookmarkEnd w:id="216"/>
      <w:bookmarkEnd w:id="217"/>
      <w:bookmarkEnd w:id="218"/>
      <w:bookmarkEnd w:id="219"/>
      <w:bookmarkEnd w:id="220"/>
      <w:bookmarkEnd w:id="221"/>
      <w:bookmarkEnd w:id="222"/>
    </w:p>
    <w:p w14:paraId="799E0655" w14:textId="77777777" w:rsidR="00D85B34" w:rsidRDefault="00D85B34" w:rsidP="00D85B34">
      <w:pPr>
        <w:rPr>
          <w:lang w:val="ru-RU"/>
        </w:rPr>
      </w:pPr>
    </w:p>
    <w:p w14:paraId="3E65D940" w14:textId="77777777" w:rsidR="00D85B34" w:rsidRPr="00794712" w:rsidRDefault="00D85B34" w:rsidP="007B240B">
      <w:pPr>
        <w:pStyle w:val="Heading5"/>
        <w:rPr>
          <w:lang w:val="ru-RU"/>
        </w:rPr>
      </w:pPr>
      <w:bookmarkStart w:id="223" w:name="_Toc133155577"/>
      <w:bookmarkStart w:id="224" w:name="_Toc180664590"/>
      <w:bookmarkStart w:id="225" w:name="_Toc180679211"/>
      <w:bookmarkStart w:id="226" w:name="_Toc180679268"/>
      <w:bookmarkStart w:id="227" w:name="_Toc180679791"/>
      <w:bookmarkStart w:id="228" w:name="_Toc238453674"/>
      <w:bookmarkStart w:id="229" w:name="_Toc238576490"/>
      <w:r w:rsidRPr="00794712">
        <w:rPr>
          <w:lang w:val="ru-RU"/>
        </w:rPr>
        <w:t>§144. 关于耶稣基督先知事工的概念及其真理</w:t>
      </w:r>
      <w:bookmarkEnd w:id="223"/>
      <w:bookmarkEnd w:id="224"/>
      <w:bookmarkEnd w:id="225"/>
      <w:bookmarkEnd w:id="226"/>
      <w:bookmarkEnd w:id="227"/>
      <w:bookmarkEnd w:id="228"/>
      <w:bookmarkEnd w:id="229"/>
    </w:p>
    <w:p w14:paraId="644C3527" w14:textId="77777777" w:rsidR="00D85B34" w:rsidRPr="00794712" w:rsidRDefault="00D85B34" w:rsidP="00D85B34">
      <w:pPr>
        <w:ind w:firstLine="708"/>
        <w:rPr>
          <w:lang w:val="ru-RU"/>
        </w:rPr>
      </w:pPr>
      <w:r w:rsidRPr="00794712">
        <w:rPr>
          <w:lang w:val="ru-RU"/>
        </w:rPr>
        <w:t>旧约先知的事工，总体而言，是在从上头得着启示后，向世人宣告神的旨意（哈该书 1</w:t>
      </w:r>
      <w:r>
        <w:rPr>
          <w:lang w:val="ru-RU"/>
        </w:rPr>
        <w:t>:</w:t>
      </w:r>
      <w:r w:rsidRPr="00794712">
        <w:rPr>
          <w:lang w:val="ru-RU"/>
        </w:rPr>
        <w:t xml:space="preserve">13），并教导他们、劝诫他们、使他们在真道和敬虔上得以坚固 </w:t>
      </w:r>
      <w:r w:rsidR="00463137" w:rsidRPr="00463137">
        <w:rPr>
          <w:lang w:val="ru-RU"/>
        </w:rPr>
        <w:t>[</w:t>
      </w:r>
      <w:r w:rsidRPr="00794712">
        <w:rPr>
          <w:lang w:val="ru-RU"/>
        </w:rPr>
        <w:t>(列王纪下 17</w:t>
      </w:r>
      <w:r>
        <w:rPr>
          <w:lang w:val="ru-RU"/>
        </w:rPr>
        <w:t>:</w:t>
      </w:r>
      <w:r w:rsidRPr="00794712">
        <w:rPr>
          <w:lang w:val="ru-RU"/>
        </w:rPr>
        <w:t>13</w:t>
      </w:r>
      <w:r w:rsidR="00463137" w:rsidRPr="00463137">
        <w:rPr>
          <w:lang w:val="ru-RU"/>
        </w:rPr>
        <w:t>)</w:t>
      </w:r>
      <w:r w:rsidRPr="00794712">
        <w:rPr>
          <w:lang w:val="ru-RU"/>
        </w:rPr>
        <w:t xml:space="preserve">； </w:t>
      </w:r>
      <w:r w:rsidR="00463137" w:rsidRPr="00463137">
        <w:rPr>
          <w:lang w:val="ru-RU"/>
        </w:rPr>
        <w:t>(</w:t>
      </w:r>
      <w:r w:rsidRPr="00794712">
        <w:rPr>
          <w:lang w:val="ru-RU"/>
        </w:rPr>
        <w:t>耶25</w:t>
      </w:r>
      <w:r>
        <w:rPr>
          <w:lang w:val="ru-RU"/>
        </w:rPr>
        <w:t>:</w:t>
      </w:r>
      <w:r w:rsidRPr="00794712">
        <w:rPr>
          <w:lang w:val="ru-RU"/>
        </w:rPr>
        <w:t>4)</w:t>
      </w:r>
      <w:r w:rsidR="00463137" w:rsidRPr="00463137">
        <w:rPr>
          <w:lang w:val="ru-RU"/>
        </w:rPr>
        <w:t>]</w:t>
      </w:r>
      <w:r w:rsidRPr="00794712">
        <w:rPr>
          <w:lang w:val="ru-RU"/>
        </w:rPr>
        <w:t xml:space="preserve">。相应地，作为最伟大的先知——旧约先知们不过是祂的先驱和预表——主耶稣的事工，表现为祂以尽可能全面和清晰的方式，向世人宣告了上帝关于拯救世界的旨意 </w:t>
      </w:r>
      <w:r w:rsidR="00463137" w:rsidRPr="00463137">
        <w:rPr>
          <w:lang w:val="ru-RU"/>
        </w:rPr>
        <w:t>[</w:t>
      </w:r>
      <w:r w:rsidR="005864AB">
        <w:rPr>
          <w:lang w:val="ru-RU"/>
        </w:rPr>
        <w:t>(</w:t>
      </w:r>
      <w:r w:rsidRPr="00794712">
        <w:rPr>
          <w:lang w:val="ru-RU"/>
        </w:rPr>
        <w:t>约1</w:t>
      </w:r>
      <w:r>
        <w:rPr>
          <w:lang w:val="ru-RU"/>
        </w:rPr>
        <w:t>:</w:t>
      </w:r>
      <w:r w:rsidRPr="00794712">
        <w:rPr>
          <w:lang w:val="ru-RU"/>
        </w:rPr>
        <w:t>18</w:t>
      </w:r>
      <w:r w:rsidR="00463137" w:rsidRPr="00463137">
        <w:rPr>
          <w:lang w:val="ru-RU"/>
        </w:rPr>
        <w:t>)</w:t>
      </w:r>
      <w:r w:rsidRPr="00794712">
        <w:rPr>
          <w:lang w:val="ru-RU"/>
        </w:rPr>
        <w:t>；</w:t>
      </w:r>
      <w:r w:rsidR="00463137" w:rsidRPr="00463137">
        <w:rPr>
          <w:rFonts w:cs="Cambria Math"/>
          <w:lang w:val="ru-RU"/>
        </w:rPr>
        <w:t>（</w:t>
      </w:r>
      <w:r w:rsidRPr="00794712">
        <w:rPr>
          <w:lang w:val="ru-RU"/>
        </w:rPr>
        <w:t>9</w:t>
      </w:r>
      <w:r>
        <w:rPr>
          <w:lang w:val="ru-RU"/>
        </w:rPr>
        <w:t>:</w:t>
      </w:r>
      <w:r w:rsidRPr="00794712">
        <w:rPr>
          <w:lang w:val="ru-RU"/>
        </w:rPr>
        <w:t>16-18）</w:t>
      </w:r>
      <w:r w:rsidR="00463137" w:rsidRPr="00463137">
        <w:rPr>
          <w:lang w:val="ru-RU"/>
        </w:rPr>
        <w:t>]</w:t>
      </w:r>
      <w:r w:rsidRPr="00794712">
        <w:rPr>
          <w:lang w:val="ru-RU"/>
        </w:rPr>
        <w:t>，并向他们传授了崭新且最完美的信仰与敬虔之律法，这律法能拯救全人类</w:t>
      </w:r>
      <w:r w:rsidR="008A3626">
        <w:rPr>
          <w:lang w:val="ru-RU"/>
        </w:rPr>
        <w:t>（路加福音</w:t>
      </w:r>
      <w:r w:rsidRPr="00794712">
        <w:rPr>
          <w:lang w:val="ru-RU"/>
        </w:rPr>
        <w:t xml:space="preserve"> 4</w:t>
      </w:r>
      <w:r>
        <w:rPr>
          <w:lang w:val="ru-RU"/>
        </w:rPr>
        <w:t>:</w:t>
      </w:r>
      <w:r w:rsidRPr="00794712">
        <w:rPr>
          <w:lang w:val="ru-RU"/>
        </w:rPr>
        <w:t>18-21）。</w:t>
      </w:r>
    </w:p>
    <w:p w14:paraId="5AA00F41" w14:textId="77777777" w:rsidR="00D85B34" w:rsidRPr="00794712" w:rsidRDefault="00F45CFB" w:rsidP="00D85B34">
      <w:pPr>
        <w:ind w:firstLine="708"/>
        <w:rPr>
          <w:lang w:val="ru-RU"/>
        </w:rPr>
      </w:pPr>
      <w:r w:rsidRPr="00F45CFB">
        <w:rPr>
          <w:b/>
          <w:lang w:val="ru-RU"/>
        </w:rPr>
        <w:lastRenderedPageBreak/>
        <w:t>1)</w:t>
      </w:r>
      <w:r w:rsidR="00D85B34" w:rsidRPr="00794712">
        <w:rPr>
          <w:lang w:val="ru-RU"/>
        </w:rPr>
        <w:t xml:space="preserve"> 关于耶稣基督的这一事工，在旧约中已有明确的预言。早在摩西——那位将古代律法赐给以色列人的先知——的时候，上帝就亲自论及这位未来的立法者、弥赛亚： </w:t>
      </w:r>
      <w:r w:rsidR="00D85B34" w:rsidRPr="008310B7">
        <w:rPr>
          <w:i/>
          <w:iCs/>
          <w:lang w:val="ru-RU"/>
        </w:rPr>
        <w:t>“我要从他们的弟兄中，为他们兴起一位先知，像你一样；我要将我的话放在他口中，他必将我一切所吩咐的都传给他们；凡不听从那先知奉我名所说的话的，我必追讨他的罪”</w:t>
      </w:r>
      <w:r w:rsidR="00D85B34" w:rsidRPr="00794712">
        <w:rPr>
          <w:lang w:val="ru-RU"/>
        </w:rPr>
        <w:t>（申命记 18</w:t>
      </w:r>
      <w:r w:rsidR="00D85B34">
        <w:rPr>
          <w:lang w:val="ru-RU"/>
        </w:rPr>
        <w:t>:</w:t>
      </w:r>
      <w:r w:rsidR="00D85B34" w:rsidRPr="00794712">
        <w:rPr>
          <w:lang w:val="ru-RU"/>
        </w:rPr>
        <w:t>18-19）。</w:t>
      </w:r>
      <w:r w:rsidR="00205710">
        <w:rPr>
          <w:rStyle w:val="FootnoteReference"/>
          <w:lang w:val="ru-RU"/>
        </w:rPr>
        <w:footnoteReference w:id="313"/>
      </w:r>
      <w:r w:rsidR="00D85B34" w:rsidRPr="00794712">
        <w:rPr>
          <w:lang w:val="ru-RU"/>
        </w:rPr>
        <w:t xml:space="preserve"> 随后，诗人以弥赛亚的名义向神呼求：</w:t>
      </w:r>
      <w:r w:rsidR="00D85B34" w:rsidRPr="008310B7">
        <w:rPr>
          <w:i/>
          <w:iCs/>
          <w:lang w:val="ru-RU"/>
        </w:rPr>
        <w:t>“我要向我的弟兄传扬你的名，在会中称颂你”</w:t>
      </w:r>
      <w:r w:rsidR="00D85B34" w:rsidRPr="00794712">
        <w:rPr>
          <w:lang w:val="ru-RU"/>
        </w:rPr>
        <w:t>（诗篇 21</w:t>
      </w:r>
      <w:r w:rsidR="00D85B34" w:rsidRPr="008310B7">
        <w:rPr>
          <w:lang w:val="ru-RU"/>
        </w:rPr>
        <w:t>:</w:t>
      </w:r>
      <w:r w:rsidR="00D85B34" w:rsidRPr="00794712">
        <w:rPr>
          <w:lang w:val="ru-RU"/>
        </w:rPr>
        <w:t>23）。 你的律法在我腹中。我用口传扬大教会中的公义，我不会禁止我的口：</w:t>
      </w:r>
      <w:r w:rsidR="00D85B34" w:rsidRPr="008310B7">
        <w:rPr>
          <w:i/>
          <w:iCs/>
          <w:lang w:val="ru-RU"/>
        </w:rPr>
        <w:t>“我在大会中传扬你的公义；我没有禁止我的口：主啊，你知道。 我没有将你的公义藏在心里，我传扬你的信实和你的救恩，在大会中没有隐瞒你的慈爱和你的真理”</w:t>
      </w:r>
      <w:r w:rsidR="00D85B34" w:rsidRPr="00794712">
        <w:rPr>
          <w:lang w:val="ru-RU"/>
        </w:rPr>
        <w:t>（诗篇 39</w:t>
      </w:r>
      <w:r w:rsidR="00D85B34" w:rsidRPr="008310B7">
        <w:rPr>
          <w:lang w:val="ru-RU"/>
        </w:rPr>
        <w:t>:</w:t>
      </w:r>
      <w:r w:rsidR="00D85B34" w:rsidRPr="00794712">
        <w:rPr>
          <w:lang w:val="ru-RU"/>
        </w:rPr>
        <w:t>10-11）。 过了一段时间，先知以赛亚也代表弥赛亚作见证说：</w:t>
      </w:r>
      <w:r w:rsidR="00D85B34" w:rsidRPr="008310B7">
        <w:rPr>
          <w:i/>
          <w:iCs/>
          <w:lang w:val="ru-RU"/>
        </w:rPr>
        <w:t xml:space="preserve">“主的灵在我身上，因为主用膏膏我，叫我传福音给贫穷的人；差遣我医治伤心的人，报告被掳的得释放，被囚的出监牢，传扬主悦纳人的禧年 ” </w:t>
      </w:r>
      <w:r w:rsidR="00463137" w:rsidRPr="00463137">
        <w:rPr>
          <w:lang w:val="ru-RU"/>
        </w:rPr>
        <w:t>[</w:t>
      </w:r>
      <w:r w:rsidR="00D85B34" w:rsidRPr="00794712">
        <w:rPr>
          <w:lang w:val="ru-RU"/>
        </w:rPr>
        <w:t>(赛 61</w:t>
      </w:r>
      <w:r w:rsidR="00D85B34" w:rsidRPr="008310B7">
        <w:rPr>
          <w:lang w:val="ru-RU"/>
        </w:rPr>
        <w:t>:</w:t>
      </w:r>
      <w:r w:rsidR="00D85B34" w:rsidRPr="00794712">
        <w:rPr>
          <w:lang w:val="ru-RU"/>
        </w:rPr>
        <w:t>1-2</w:t>
      </w:r>
      <w:r w:rsidR="00463137" w:rsidRPr="00463137">
        <w:rPr>
          <w:lang w:val="ru-RU"/>
        </w:rPr>
        <w:t>)</w:t>
      </w:r>
      <w:r w:rsidR="00205710" w:rsidRPr="00205710">
        <w:rPr>
          <w:lang w:val="ru-RU"/>
        </w:rPr>
        <w:t>；</w:t>
      </w:r>
      <w:r w:rsidR="00463137" w:rsidRPr="00463137">
        <w:rPr>
          <w:lang w:val="ru-RU"/>
        </w:rPr>
        <w:t>(</w:t>
      </w:r>
      <w:r w:rsidR="0087297C">
        <w:rPr>
          <w:lang w:val="ru-RU"/>
        </w:rPr>
        <w:t>路</w:t>
      </w:r>
      <w:r w:rsidR="00D85B34" w:rsidRPr="00794712">
        <w:rPr>
          <w:lang w:val="ru-RU"/>
        </w:rPr>
        <w:t xml:space="preserve"> 4</w:t>
      </w:r>
      <w:r w:rsidR="00D85B34" w:rsidRPr="008310B7">
        <w:rPr>
          <w:lang w:val="ru-RU"/>
        </w:rPr>
        <w:t>:</w:t>
      </w:r>
      <w:r w:rsidR="00D85B34" w:rsidRPr="00794712">
        <w:rPr>
          <w:lang w:val="ru-RU"/>
        </w:rPr>
        <w:t>18)</w:t>
      </w:r>
      <w:r w:rsidR="00463137" w:rsidRPr="00463137">
        <w:rPr>
          <w:lang w:val="ru-RU"/>
        </w:rPr>
        <w:t>]</w:t>
      </w:r>
      <w:r w:rsidR="00D85B34" w:rsidRPr="00794712">
        <w:rPr>
          <w:lang w:val="ru-RU"/>
        </w:rPr>
        <w:t>。</w:t>
      </w:r>
    </w:p>
    <w:p w14:paraId="497614A4"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基督——救主本人曾将这一事工视为自己至关重要的事工。</w:t>
      </w:r>
      <w:r w:rsidR="00D85B34" w:rsidRPr="008902DA">
        <w:rPr>
          <w:i/>
          <w:iCs/>
          <w:lang w:val="ru-RU"/>
        </w:rPr>
        <w:t>“我为此而生，也为此来到世上，是要为真理作见证；凡属真理的人，就听我的声音</w:t>
      </w:r>
      <w:r w:rsidR="00D85B34" w:rsidRPr="00794712">
        <w:rPr>
          <w:lang w:val="ru-RU"/>
        </w:rPr>
        <w:t>。</w:t>
      </w:r>
      <w:r w:rsidR="00D85B34" w:rsidRPr="008902DA">
        <w:rPr>
          <w:i/>
          <w:iCs/>
          <w:lang w:val="ru-RU"/>
        </w:rPr>
        <w:t>”</w:t>
      </w:r>
      <w:r w:rsidR="00D85B34" w:rsidRPr="00794712">
        <w:rPr>
          <w:lang w:val="ru-RU"/>
        </w:rPr>
        <w:t>（约18</w:t>
      </w:r>
      <w:r w:rsidR="00D85B34" w:rsidRPr="008902DA">
        <w:rPr>
          <w:lang w:val="ru-RU"/>
        </w:rPr>
        <w:t>:</w:t>
      </w:r>
      <w:r w:rsidR="00D85B34" w:rsidRPr="00794712">
        <w:rPr>
          <w:lang w:val="ru-RU"/>
        </w:rPr>
        <w:t>37） 因此：</w:t>
      </w:r>
      <w:r w:rsidR="00A95A76" w:rsidRPr="00A95A76">
        <w:rPr>
          <w:b/>
          <w:lang w:val="ru-RU"/>
        </w:rPr>
        <w:t>a)</w:t>
      </w:r>
      <w:r w:rsidR="00D85B34" w:rsidRPr="00794712">
        <w:rPr>
          <w:lang w:val="ru-RU"/>
        </w:rPr>
        <w:t xml:space="preserve"> 祂称自己为世上的光：</w:t>
      </w:r>
      <w:r w:rsidR="00D85B34" w:rsidRPr="008902DA">
        <w:rPr>
          <w:i/>
          <w:iCs/>
          <w:lang w:val="ru-RU"/>
        </w:rPr>
        <w:t>“我是光，来到世上，叫凡信我的，不至于住在黑暗里”</w:t>
      </w:r>
      <w:r w:rsidR="00463137" w:rsidRPr="00463137">
        <w:rPr>
          <w:lang w:val="ru-RU"/>
        </w:rPr>
        <w:t>[</w:t>
      </w:r>
      <w:r w:rsidR="005864AB">
        <w:rPr>
          <w:lang w:val="ru-RU"/>
        </w:rPr>
        <w:t>(</w:t>
      </w:r>
      <w:r w:rsidR="00D85B34" w:rsidRPr="00794712">
        <w:rPr>
          <w:lang w:val="ru-RU"/>
        </w:rPr>
        <w:t>约12</w:t>
      </w:r>
      <w:r w:rsidR="00D85B34" w:rsidRPr="008902DA">
        <w:rPr>
          <w:lang w:val="ru-RU"/>
        </w:rPr>
        <w:t>:</w:t>
      </w:r>
      <w:r w:rsidR="00D85B34" w:rsidRPr="00794712">
        <w:rPr>
          <w:lang w:val="ru-RU"/>
        </w:rPr>
        <w:t>46</w:t>
      </w:r>
      <w:r w:rsidR="00463137" w:rsidRPr="00463137">
        <w:rPr>
          <w:lang w:val="ru-RU"/>
        </w:rPr>
        <w:t>)</w:t>
      </w:r>
      <w:r w:rsidR="00D85B34" w:rsidRPr="00794712">
        <w:rPr>
          <w:lang w:val="ru-RU"/>
        </w:rPr>
        <w:t>；</w:t>
      </w:r>
      <w:r w:rsidR="00463137" w:rsidRPr="00463137">
        <w:rPr>
          <w:lang w:val="ru-RU"/>
        </w:rPr>
        <w:t>(</w:t>
      </w:r>
      <w:r w:rsidR="00D85B34" w:rsidRPr="00794712">
        <w:rPr>
          <w:lang w:val="ru-RU"/>
        </w:rPr>
        <w:t>约8</w:t>
      </w:r>
      <w:r w:rsidR="00D85B34" w:rsidRPr="008902DA">
        <w:rPr>
          <w:lang w:val="ru-RU"/>
        </w:rPr>
        <w:t>:</w:t>
      </w:r>
      <w:r w:rsidR="00D85B34" w:rsidRPr="00794712">
        <w:rPr>
          <w:lang w:val="ru-RU"/>
        </w:rPr>
        <w:t>12</w:t>
      </w:r>
      <w:r w:rsidR="00463137" w:rsidRPr="00463137">
        <w:rPr>
          <w:lang w:val="ru-RU"/>
        </w:rPr>
        <w:t>)</w:t>
      </w:r>
      <w:r w:rsidR="00D85B34" w:rsidRPr="00794712">
        <w:rPr>
          <w:lang w:val="ru-RU"/>
        </w:rPr>
        <w:t>；</w:t>
      </w:r>
      <w:r w:rsidR="00463137" w:rsidRPr="00463137">
        <w:rPr>
          <w:lang w:val="ru-RU"/>
        </w:rPr>
        <w:t>(</w:t>
      </w:r>
      <w:r w:rsidR="00D85B34" w:rsidRPr="00794712">
        <w:rPr>
          <w:lang w:val="ru-RU"/>
        </w:rPr>
        <w:t>约9</w:t>
      </w:r>
      <w:r w:rsidR="00D85B34" w:rsidRPr="008902DA">
        <w:rPr>
          <w:lang w:val="ru-RU"/>
        </w:rPr>
        <w:t>:</w:t>
      </w:r>
      <w:r w:rsidR="00D85B34" w:rsidRPr="00794712">
        <w:rPr>
          <w:lang w:val="ru-RU"/>
        </w:rPr>
        <w:t>5)</w:t>
      </w:r>
      <w:r w:rsidR="00463137" w:rsidRPr="00463137">
        <w:rPr>
          <w:lang w:val="ru-RU"/>
        </w:rPr>
        <w:t>]</w:t>
      </w:r>
      <w:r w:rsidR="00D85B34" w:rsidRPr="00794712">
        <w:rPr>
          <w:lang w:val="ru-RU"/>
        </w:rPr>
        <w:t>；</w:t>
      </w:r>
      <w:r w:rsidR="00A95A76" w:rsidRPr="00A95A76">
        <w:rPr>
          <w:b/>
          <w:lang w:val="ru-RU"/>
        </w:rPr>
        <w:t>b)</w:t>
      </w:r>
      <w:r w:rsidR="00D85B34" w:rsidRPr="00794712">
        <w:rPr>
          <w:lang w:val="ru-RU"/>
        </w:rPr>
        <w:t xml:space="preserve"> 唯一的老师和导师： </w:t>
      </w:r>
      <w:r w:rsidR="00D85B34" w:rsidRPr="008902DA">
        <w:rPr>
          <w:i/>
          <w:iCs/>
          <w:lang w:val="ru-RU"/>
        </w:rPr>
        <w:t>“你们称我为‘夫子’和‘主’，你们说得对，我确实是”</w:t>
      </w:r>
      <w:r w:rsidR="005864AB">
        <w:rPr>
          <w:lang w:val="ru-RU"/>
        </w:rPr>
        <w:t>（约</w:t>
      </w:r>
      <w:r w:rsidR="00D85B34" w:rsidRPr="00794712">
        <w:rPr>
          <w:lang w:val="ru-RU"/>
        </w:rPr>
        <w:t>13</w:t>
      </w:r>
      <w:r w:rsidR="00D85B34" w:rsidRPr="008902DA">
        <w:rPr>
          <w:lang w:val="ru-RU"/>
        </w:rPr>
        <w:t>:</w:t>
      </w:r>
      <w:r w:rsidR="00D85B34" w:rsidRPr="00794712">
        <w:rPr>
          <w:lang w:val="ru-RU"/>
        </w:rPr>
        <w:t>13）；</w:t>
      </w:r>
      <w:r w:rsidR="00D85B34" w:rsidRPr="008902DA">
        <w:rPr>
          <w:i/>
          <w:iCs/>
          <w:lang w:val="ru-RU"/>
        </w:rPr>
        <w:t>“你们不要自称‘夫子’，因为你们只有一位夫子，就是基督……也不要自称‘导师’，因为你们只有一位导师，就是基督”</w:t>
      </w:r>
      <w:r w:rsidR="00224D5E">
        <w:rPr>
          <w:lang w:val="ru-RU"/>
        </w:rPr>
        <w:t>（太</w:t>
      </w:r>
      <w:r w:rsidR="00D85B34">
        <w:rPr>
          <w:lang w:val="ru-RU"/>
        </w:rPr>
        <w:t>23:</w:t>
      </w:r>
      <w:r w:rsidR="00D85B34" w:rsidRPr="00794712">
        <w:rPr>
          <w:lang w:val="ru-RU"/>
        </w:rPr>
        <w:t>8-10）；</w:t>
      </w:r>
      <w:r w:rsidR="00A95A76" w:rsidRPr="00A95A76">
        <w:rPr>
          <w:b/>
          <w:lang w:val="ru-RU"/>
        </w:rPr>
        <w:t xml:space="preserve"> c) </w:t>
      </w:r>
      <w:r w:rsidR="00D85B34" w:rsidRPr="00794712">
        <w:rPr>
          <w:lang w:val="ru-RU"/>
        </w:rPr>
        <w:t xml:space="preserve">在某地传道时，祂作见证说：我应当在别的城里传讲上帝的国，因为我奉差遣来， </w:t>
      </w:r>
      <w:r w:rsidR="008A3626">
        <w:rPr>
          <w:lang w:val="ru-RU"/>
        </w:rPr>
        <w:t>（路加福音</w:t>
      </w:r>
      <w:r w:rsidR="00D85B34" w:rsidRPr="00794712">
        <w:rPr>
          <w:lang w:val="ru-RU"/>
        </w:rPr>
        <w:t xml:space="preserve"> 4</w:t>
      </w:r>
      <w:r w:rsidR="00D85B34" w:rsidRPr="008902DA">
        <w:rPr>
          <w:lang w:val="ru-RU"/>
        </w:rPr>
        <w:t>:</w:t>
      </w:r>
      <w:r w:rsidR="00D85B34" w:rsidRPr="00794712">
        <w:rPr>
          <w:lang w:val="ru-RU"/>
        </w:rPr>
        <w:t>43）；</w:t>
      </w:r>
      <w:r w:rsidR="00D85B34">
        <w:rPr>
          <w:lang w:val="ru-RU"/>
        </w:rPr>
        <w:t>以及</w:t>
      </w:r>
      <w:r w:rsidR="00A95A76" w:rsidRPr="00A95A76">
        <w:rPr>
          <w:b/>
          <w:lang w:val="ru-RU"/>
        </w:rPr>
        <w:t>——d)</w:t>
      </w:r>
      <w:r w:rsidR="00D85B34" w:rsidRPr="00794712">
        <w:rPr>
          <w:lang w:val="ru-RU"/>
        </w:rPr>
        <w:t xml:space="preserve"> 结束传道后，祂对天父说： </w:t>
      </w:r>
      <w:r w:rsidR="00D85B34" w:rsidRPr="008902DA">
        <w:rPr>
          <w:i/>
          <w:iCs/>
          <w:lang w:val="ru-RU"/>
        </w:rPr>
        <w:t>“我在地上已经荣耀了你，你所托付我做的，我已经做成了……我已将你的名显明给世人……你所赐给我的话，我已传给他们，他们也领受了，并且确实明白我是从你出来的，也信了你差了我来”</w:t>
      </w:r>
      <w:r w:rsidR="005864AB">
        <w:rPr>
          <w:lang w:val="ru-RU"/>
        </w:rPr>
        <w:t>（</w:t>
      </w:r>
      <w:r w:rsidR="00D85B34" w:rsidRPr="00794712">
        <w:rPr>
          <w:lang w:val="ru-RU"/>
        </w:rPr>
        <w:t>约17</w:t>
      </w:r>
      <w:r w:rsidR="00D85B34" w:rsidRPr="008902DA">
        <w:rPr>
          <w:lang w:val="ru-RU"/>
        </w:rPr>
        <w:t>:</w:t>
      </w:r>
      <w:r w:rsidR="00D85B34" w:rsidRPr="00794712">
        <w:rPr>
          <w:lang w:val="ru-RU"/>
        </w:rPr>
        <w:t>4-8）。</w:t>
      </w:r>
    </w:p>
    <w:p w14:paraId="5202C439" w14:textId="77777777" w:rsidR="00D85B34" w:rsidRPr="00794712" w:rsidRDefault="00F45CFB" w:rsidP="00D85B34">
      <w:pPr>
        <w:ind w:firstLine="708"/>
        <w:rPr>
          <w:lang w:val="ru-RU"/>
        </w:rPr>
      </w:pPr>
      <w:r w:rsidRPr="00F45CFB">
        <w:rPr>
          <w:b/>
          <w:lang w:val="ru-RU"/>
        </w:rPr>
        <w:t>3)</w:t>
      </w:r>
      <w:r w:rsidR="00D85B34" w:rsidRPr="00794712">
        <w:rPr>
          <w:lang w:val="ru-RU"/>
        </w:rPr>
        <w:t xml:space="preserve"> 圣使徒们也称主耶稣为老师和导师 </w:t>
      </w:r>
      <w:r w:rsidR="00463137" w:rsidRPr="00463137">
        <w:rPr>
          <w:lang w:val="ru-RU"/>
        </w:rPr>
        <w:t>[</w:t>
      </w:r>
      <w:r w:rsidR="008A3626">
        <w:rPr>
          <w:lang w:val="ru-RU"/>
        </w:rPr>
        <w:t>(路加福音</w:t>
      </w:r>
      <w:r w:rsidR="00D85B34" w:rsidRPr="00794712">
        <w:rPr>
          <w:lang w:val="ru-RU"/>
        </w:rPr>
        <w:t xml:space="preserve"> 9</w:t>
      </w:r>
      <w:r w:rsidR="00D85B34" w:rsidRPr="008902DA">
        <w:rPr>
          <w:lang w:val="ru-RU"/>
        </w:rPr>
        <w:t>:</w:t>
      </w:r>
      <w:r w:rsidR="00D85B34" w:rsidRPr="00794712">
        <w:rPr>
          <w:lang w:val="ru-RU"/>
        </w:rPr>
        <w:t>49</w:t>
      </w:r>
      <w:r w:rsidR="00463137" w:rsidRPr="00463137">
        <w:rPr>
          <w:lang w:val="ru-RU"/>
        </w:rPr>
        <w:t>)</w:t>
      </w:r>
      <w:r w:rsidR="00D85B34" w:rsidRPr="00794712">
        <w:rPr>
          <w:lang w:val="ru-RU"/>
        </w:rPr>
        <w:t>；</w:t>
      </w:r>
      <w:r w:rsidR="00463137" w:rsidRPr="00463137">
        <w:rPr>
          <w:lang w:val="ru-RU"/>
        </w:rPr>
        <w:t>(</w:t>
      </w:r>
      <w:r w:rsidR="0087297C">
        <w:rPr>
          <w:lang w:val="ru-RU"/>
        </w:rPr>
        <w:t>约翰福音</w:t>
      </w:r>
      <w:r w:rsidR="00D85B34" w:rsidRPr="00794712">
        <w:rPr>
          <w:lang w:val="ru-RU"/>
        </w:rPr>
        <w:t xml:space="preserve"> 13</w:t>
      </w:r>
      <w:r w:rsidR="00D85B34" w:rsidRPr="00FF5B35">
        <w:rPr>
          <w:lang w:val="ru-RU"/>
        </w:rPr>
        <w:t>:</w:t>
      </w:r>
      <w:r w:rsidR="00D85B34" w:rsidRPr="00794712">
        <w:rPr>
          <w:lang w:val="ru-RU"/>
        </w:rPr>
        <w:t>13)</w:t>
      </w:r>
      <w:r w:rsidR="00463137" w:rsidRPr="00463137">
        <w:rPr>
          <w:lang w:val="ru-RU"/>
        </w:rPr>
        <w:t>]</w:t>
      </w:r>
      <w:r w:rsidR="00D85B34" w:rsidRPr="00794712">
        <w:rPr>
          <w:lang w:val="ru-RU"/>
        </w:rPr>
        <w:t>；</w:t>
      </w:r>
      <w:r w:rsidR="00D85B34" w:rsidRPr="00FF5B35">
        <w:rPr>
          <w:i/>
          <w:iCs/>
          <w:lang w:val="ru-RU"/>
        </w:rPr>
        <w:t>称祂为先知，祂在神和众百姓面前，在行为和言语上都</w:t>
      </w:r>
      <w:r w:rsidR="00D85B34">
        <w:rPr>
          <w:i/>
          <w:iCs/>
          <w:lang w:val="ru-RU"/>
        </w:rPr>
        <w:t xml:space="preserve">大有能力 </w:t>
      </w:r>
      <w:r w:rsidR="008A3626">
        <w:rPr>
          <w:lang w:val="ru-RU"/>
        </w:rPr>
        <w:t>(路加福音</w:t>
      </w:r>
      <w:r w:rsidR="00D85B34" w:rsidRPr="00794712">
        <w:rPr>
          <w:lang w:val="ru-RU"/>
        </w:rPr>
        <w:t xml:space="preserve"> 24</w:t>
      </w:r>
      <w:r w:rsidR="00D85B34" w:rsidRPr="00FF5B35">
        <w:rPr>
          <w:lang w:val="ru-RU"/>
        </w:rPr>
        <w:t>:</w:t>
      </w:r>
      <w:r w:rsidR="00D85B34" w:rsidRPr="00794712">
        <w:rPr>
          <w:lang w:val="ru-RU"/>
        </w:rPr>
        <w:t xml:space="preserve">19)； </w:t>
      </w:r>
      <w:r w:rsidR="00D85B34" w:rsidRPr="00516C2B">
        <w:rPr>
          <w:i/>
          <w:iCs/>
          <w:lang w:val="ru-RU"/>
        </w:rPr>
        <w:t>是那“照亮一切来到世上之人的</w:t>
      </w:r>
      <w:r w:rsidR="00D85B34" w:rsidRPr="00794712">
        <w:rPr>
          <w:lang w:val="ru-RU"/>
        </w:rPr>
        <w:t>真</w:t>
      </w:r>
      <w:r w:rsidR="00D85B34" w:rsidRPr="00516C2B">
        <w:rPr>
          <w:i/>
          <w:iCs/>
          <w:lang w:val="ru-RU"/>
        </w:rPr>
        <w:t>光”</w:t>
      </w:r>
      <w:r w:rsidR="005864AB">
        <w:rPr>
          <w:lang w:val="ru-RU"/>
        </w:rPr>
        <w:t>（约</w:t>
      </w:r>
      <w:r w:rsidR="00D85B34" w:rsidRPr="00794712">
        <w:rPr>
          <w:lang w:val="ru-RU"/>
        </w:rPr>
        <w:t>1</w:t>
      </w:r>
      <w:r w:rsidR="00D85B34" w:rsidRPr="00FF5B35">
        <w:rPr>
          <w:lang w:val="ru-RU"/>
        </w:rPr>
        <w:t>:</w:t>
      </w:r>
      <w:r w:rsidR="00D85B34" w:rsidRPr="00794712">
        <w:rPr>
          <w:lang w:val="ru-RU"/>
        </w:rPr>
        <w:t>9），并作见证说：</w:t>
      </w:r>
      <w:r w:rsidR="00D85B34" w:rsidRPr="00516C2B">
        <w:rPr>
          <w:i/>
          <w:iCs/>
          <w:lang w:val="ru-RU"/>
        </w:rPr>
        <w:t>“我们也知道，神的儿子已经来了，并且赐给我们光和智慧，使我们能认识真神，并在祂的独生子耶稣基督里”</w:t>
      </w:r>
      <w:r w:rsidR="008A3626">
        <w:rPr>
          <w:lang w:val="ru-RU"/>
        </w:rPr>
        <w:t>（约</w:t>
      </w:r>
      <w:r w:rsidR="00D85B34" w:rsidRPr="00794712">
        <w:rPr>
          <w:lang w:val="ru-RU"/>
        </w:rPr>
        <w:t>壹5</w:t>
      </w:r>
      <w:r w:rsidR="00D85B34" w:rsidRPr="00FF5B35">
        <w:rPr>
          <w:lang w:val="ru-RU"/>
        </w:rPr>
        <w:t>:</w:t>
      </w:r>
      <w:r w:rsidR="00D85B34" w:rsidRPr="00794712">
        <w:rPr>
          <w:lang w:val="ru-RU"/>
        </w:rPr>
        <w:t>20）；又如：</w:t>
      </w:r>
      <w:r w:rsidR="00D85B34" w:rsidRPr="00516C2B">
        <w:rPr>
          <w:i/>
          <w:iCs/>
          <w:lang w:val="ru-RU"/>
        </w:rPr>
        <w:t>“从来没有人看见神，惟有父怀里的独生子将祂显明出来”</w:t>
      </w:r>
      <w:r w:rsidR="005864AB">
        <w:rPr>
          <w:lang w:val="ru-RU"/>
        </w:rPr>
        <w:t>（约</w:t>
      </w:r>
      <w:r w:rsidR="00D85B34" w:rsidRPr="00794712">
        <w:rPr>
          <w:lang w:val="ru-RU"/>
        </w:rPr>
        <w:t>1</w:t>
      </w:r>
      <w:r w:rsidR="00D85B34" w:rsidRPr="00516C2B">
        <w:rPr>
          <w:lang w:val="ru-RU"/>
        </w:rPr>
        <w:t>:</w:t>
      </w:r>
      <w:r w:rsidR="00D85B34" w:rsidRPr="00794712">
        <w:rPr>
          <w:lang w:val="ru-RU"/>
        </w:rPr>
        <w:t>18）。</w:t>
      </w:r>
    </w:p>
    <w:p w14:paraId="4F2EA715" w14:textId="77777777" w:rsidR="00D85B34" w:rsidRPr="00794712" w:rsidRDefault="00F45CFB" w:rsidP="00D85B34">
      <w:pPr>
        <w:ind w:firstLine="708"/>
        <w:rPr>
          <w:lang w:val="ru-RU"/>
        </w:rPr>
      </w:pPr>
      <w:r w:rsidRPr="00F45CFB">
        <w:rPr>
          <w:b/>
          <w:lang w:val="ru-RU"/>
        </w:rPr>
        <w:t>4)</w:t>
      </w:r>
      <w:r w:rsidR="00D85B34" w:rsidRPr="00794712">
        <w:rPr>
          <w:lang w:val="ru-RU"/>
        </w:rPr>
        <w:t xml:space="preserve"> 教会的圣父们和教师们，除了遵从上帝的话语，一致承认主耶稣是伟大的先知和教师</w:t>
      </w:r>
      <w:r w:rsidR="00D85B34">
        <w:rPr>
          <w:lang w:val="ru-RU"/>
        </w:rPr>
        <w:t>之外，</w:t>
      </w:r>
      <w:r w:rsidR="00205710">
        <w:rPr>
          <w:rStyle w:val="FootnoteReference"/>
          <w:lang w:val="ru-RU"/>
        </w:rPr>
        <w:footnoteReference w:id="314"/>
      </w:r>
      <w:r w:rsidR="00D85B34">
        <w:rPr>
          <w:lang w:val="ru-RU"/>
        </w:rPr>
        <w:t xml:space="preserve"> ——</w:t>
      </w:r>
      <w:r w:rsidR="00D85B34" w:rsidRPr="00794712">
        <w:rPr>
          <w:lang w:val="ru-RU"/>
        </w:rPr>
        <w:t>他们还共同论证说，先知的事工对于祂的使命至关重要，否则祂就无法拯救那些身处黑暗和死亡阴影中的人，因此，这些人首先期待祂成为启蒙者。例如，以下人士阐述了这一思想：</w:t>
      </w:r>
    </w:p>
    <w:p w14:paraId="4BCCAB71" w14:textId="77777777" w:rsidR="00D85B34" w:rsidRPr="00794712" w:rsidRDefault="00D85B34" w:rsidP="00D85B34">
      <w:pPr>
        <w:rPr>
          <w:lang w:val="ru-RU"/>
        </w:rPr>
      </w:pPr>
      <w:r w:rsidRPr="00794712">
        <w:rPr>
          <w:lang w:val="ru-RU"/>
        </w:rPr>
        <w:tab/>
        <w:t>耶路撒冷的圣西里尔问道：“——他在描述异教崇拜的状况后</w:t>
      </w:r>
      <w:r>
        <w:rPr>
          <w:lang w:val="ru-RU"/>
        </w:rPr>
        <w:t>问道——</w:t>
      </w:r>
      <w:r w:rsidRPr="00794712">
        <w:rPr>
          <w:lang w:val="ru-RU"/>
        </w:rPr>
        <w:t xml:space="preserve">难道上帝之子从天而降，为要治愈如此巨大的创伤，竟是徒劳的吗？难道圣子降临，为要使人认识圣父，竟是徒劳的吗？ 你可曾看见，是什么促使独生子从圣父右边的宝座上降临？ </w:t>
      </w:r>
      <w:r w:rsidRPr="00794712">
        <w:rPr>
          <w:lang w:val="ru-RU"/>
        </w:rPr>
        <w:lastRenderedPageBreak/>
        <w:t>圣父遭人轻视；圣子理应纠正这一谬误：因为那位创造万物者，理应将万物献给万有的主；理应治愈这道创伤。毕竟，还有什么比敬拜石头而非上帝更严重的病症呢？</w:t>
      </w:r>
      <w:r>
        <w:rPr>
          <w:lang w:val="ru-RU"/>
        </w:rPr>
        <w:t>”</w:t>
      </w:r>
      <w:r w:rsidR="002A7613">
        <w:rPr>
          <w:rStyle w:val="FootnoteReference"/>
          <w:lang w:val="ru-RU"/>
        </w:rPr>
        <w:footnoteReference w:id="315"/>
      </w:r>
    </w:p>
    <w:p w14:paraId="05D9ED97" w14:textId="77777777" w:rsidR="00D85B34" w:rsidRPr="00794712" w:rsidRDefault="00D85B34" w:rsidP="00D85B34">
      <w:pPr>
        <w:rPr>
          <w:lang w:val="ru-RU"/>
        </w:rPr>
      </w:pPr>
      <w:r w:rsidRPr="00794712">
        <w:rPr>
          <w:lang w:val="ru-RU"/>
        </w:rPr>
        <w:tab/>
        <w:t>圣大亚法纳西：“既然整个宇宙都充斥着偶像崇拜和无神论，对上帝的认识在所有人心中都已蒙蔽：那么，谁能教导整个宇宙认识圣父呢？ 你会说：是人吗？但人类既无法走遍整个太阳之下的大地，也无法凭自身力量完成如此伟业，更无法在此事上赢得所有人的信任，更无法仅凭自身抵御恶魔的诱惑与欺骗。 当所有人的灵魂都被恶魔的欺骗和偶像的虚妄所击垮和扰乱时：那么，一个普通人又如何能将那些他甚至无法看见之人的心和思想争取到自己这一边呢？ 看不见的人，你又如何能使他明白真理呢？难道有人会说，是自然能使人明白真理吗？但如果自然真能做到这一点，人类中就不会有如此巨大的邪恶了。自然一直存在，然而人们却对上帝没有确切的认识。 为此，除了道成肉身的上帝——祂洞察人的灵魂与心智，主宰万物，并通过自然向世人显明圣父——还有谁能胜任呢？诚然，那位通过祂对宇宙的预定与治理来教导世人认识祂的圣父，也理应亲自更新这一教义</w:t>
      </w:r>
      <w:r>
        <w:rPr>
          <w:lang w:val="ru-RU"/>
        </w:rPr>
        <w:t>。”</w:t>
      </w:r>
      <w:r w:rsidR="002A7613">
        <w:rPr>
          <w:rStyle w:val="FootnoteReference"/>
          <w:lang w:val="ru-RU"/>
        </w:rPr>
        <w:footnoteReference w:id="316"/>
      </w:r>
    </w:p>
    <w:p w14:paraId="147C5DAD" w14:textId="77777777" w:rsidR="00D85B34" w:rsidRPr="00794712" w:rsidRDefault="00D85B34" w:rsidP="00D85B34">
      <w:pPr>
        <w:rPr>
          <w:lang w:val="ru-RU"/>
        </w:rPr>
      </w:pPr>
      <w:r w:rsidRPr="00794712">
        <w:rPr>
          <w:lang w:val="ru-RU"/>
        </w:rPr>
        <w:tab/>
        <w:t>亚历山大的圣西里尔：“那些迷失方向的人确实需要智慧与启迪——他们因极度的愚昧，竟崇拜受造之物而非造物主，将树木和石头称为神明。 正因如此，道才道成肉身，并向他们启示道：</w:t>
      </w:r>
      <w:r w:rsidRPr="00516C2B">
        <w:rPr>
          <w:i/>
          <w:iCs/>
          <w:lang w:val="ru-RU"/>
        </w:rPr>
        <w:t>‘主的灵在我身上；因为祂用膏膏我，叫我传福音给贫穷的人，差遣我医治伤心的人，报告被掳的得释放，瞎眼的得看见’</w:t>
      </w:r>
      <w:r w:rsidR="008A3626">
        <w:rPr>
          <w:lang w:val="ru-RU"/>
        </w:rPr>
        <w:t>（路加</w:t>
      </w:r>
      <w:r w:rsidRPr="00794712">
        <w:rPr>
          <w:lang w:val="ru-RU"/>
        </w:rPr>
        <w:t>福音4</w:t>
      </w:r>
      <w:r w:rsidRPr="00516C2B">
        <w:rPr>
          <w:lang w:val="ru-RU"/>
        </w:rPr>
        <w:t>:</w:t>
      </w:r>
      <w:r w:rsidRPr="00794712">
        <w:rPr>
          <w:lang w:val="ru-RU"/>
        </w:rPr>
        <w:t>18）。因为各民族的病痛正是如此。 但借着祂，这些病痛得以医治：因为他们从祂那里获得了智慧，并得到了启迪。</w:t>
      </w:r>
      <w:r>
        <w:rPr>
          <w:lang w:val="ru-RU"/>
        </w:rPr>
        <w:t>”</w:t>
      </w:r>
      <w:r w:rsidR="002A7613">
        <w:rPr>
          <w:rStyle w:val="FootnoteReference"/>
          <w:lang w:val="ru-RU"/>
        </w:rPr>
        <w:footnoteReference w:id="317"/>
      </w:r>
    </w:p>
    <w:p w14:paraId="02226295" w14:textId="77777777" w:rsidR="00D85B34" w:rsidRDefault="00D85B34" w:rsidP="00D85B34">
      <w:pPr>
        <w:rPr>
          <w:lang w:val="ru-RU"/>
        </w:rPr>
      </w:pPr>
    </w:p>
    <w:p w14:paraId="7C2CB276" w14:textId="77777777" w:rsidR="00D85B34" w:rsidRPr="00794712" w:rsidRDefault="00D85B34" w:rsidP="007B240B">
      <w:pPr>
        <w:pStyle w:val="Heading5"/>
        <w:rPr>
          <w:lang w:val="ru-RU"/>
        </w:rPr>
      </w:pPr>
      <w:bookmarkStart w:id="230" w:name="_Toc133155578"/>
      <w:bookmarkStart w:id="231" w:name="_Toc180664591"/>
      <w:bookmarkStart w:id="232" w:name="_Toc180679212"/>
      <w:bookmarkStart w:id="233" w:name="_Toc180679269"/>
      <w:bookmarkStart w:id="234" w:name="_Toc180679792"/>
      <w:bookmarkStart w:id="235" w:name="_Toc238453675"/>
      <w:bookmarkStart w:id="236" w:name="_Toc238576491"/>
      <w:r w:rsidRPr="00794712">
        <w:rPr>
          <w:lang w:val="ru-RU"/>
        </w:rPr>
        <w:t>§145. 主耶稣如何履行祂的先知事工，以及祂讲道的本质</w:t>
      </w:r>
      <w:bookmarkEnd w:id="230"/>
      <w:bookmarkEnd w:id="231"/>
      <w:bookmarkEnd w:id="232"/>
      <w:bookmarkEnd w:id="233"/>
      <w:bookmarkEnd w:id="234"/>
      <w:bookmarkEnd w:id="235"/>
      <w:bookmarkEnd w:id="236"/>
    </w:p>
    <w:p w14:paraId="59C74BE2" w14:textId="77777777" w:rsidR="00D85B34" w:rsidRPr="00794712" w:rsidRDefault="00D85B34" w:rsidP="00D85B34">
      <w:pPr>
        <w:ind w:firstLine="708"/>
        <w:rPr>
          <w:lang w:val="ru-RU"/>
        </w:rPr>
      </w:pPr>
      <w:r w:rsidRPr="00794712">
        <w:rPr>
          <w:lang w:val="ru-RU"/>
        </w:rPr>
        <w:t>主以两种方式向人类履行了祂的先知事工。 首先</w:t>
      </w:r>
      <w:r>
        <w:rPr>
          <w:lang w:val="ru-RU"/>
        </w:rPr>
        <w:t>是</w:t>
      </w:r>
      <w:r w:rsidRPr="00794712">
        <w:rPr>
          <w:lang w:val="ru-RU"/>
        </w:rPr>
        <w:t>直接的：当祂年满三十岁</w:t>
      </w:r>
      <w:r w:rsidR="008A3626">
        <w:rPr>
          <w:lang w:val="ru-RU"/>
        </w:rPr>
        <w:t>（路加福音</w:t>
      </w:r>
      <w:r w:rsidRPr="00794712">
        <w:rPr>
          <w:lang w:val="ru-RU"/>
        </w:rPr>
        <w:t xml:space="preserve"> 3</w:t>
      </w:r>
      <w:r w:rsidRPr="00516C2B">
        <w:rPr>
          <w:lang w:val="ru-RU"/>
        </w:rPr>
        <w:t>:</w:t>
      </w:r>
      <w:r w:rsidRPr="00794712">
        <w:rPr>
          <w:lang w:val="ru-RU"/>
        </w:rPr>
        <w:t>23）时，祂开始担任 公共教师的职务，并在离世前的三年半左右时间里，走遍犹大地各城各乡，到处传讲天国的福音</w:t>
      </w:r>
      <w:r w:rsidR="000A57C3">
        <w:rPr>
          <w:lang w:val="ru-RU"/>
        </w:rPr>
        <w:t>（马太福音</w:t>
      </w:r>
      <w:r w:rsidRPr="00794712">
        <w:rPr>
          <w:lang w:val="ru-RU"/>
        </w:rPr>
        <w:t xml:space="preserve"> 9</w:t>
      </w:r>
      <w:r w:rsidRPr="0081028F">
        <w:rPr>
          <w:lang w:val="ru-RU"/>
        </w:rPr>
        <w:t>:</w:t>
      </w:r>
      <w:r w:rsidRPr="00794712">
        <w:rPr>
          <w:lang w:val="ru-RU"/>
        </w:rPr>
        <w:t xml:space="preserve">35）。 </w:t>
      </w:r>
      <w:r>
        <w:rPr>
          <w:lang w:val="ru-RU"/>
        </w:rPr>
        <w:t>随后</w:t>
      </w:r>
      <w:r w:rsidRPr="00794712">
        <w:rPr>
          <w:lang w:val="ru-RU"/>
        </w:rPr>
        <w:t>——通过祂亲自预先拣选</w:t>
      </w:r>
      <w:r w:rsidR="008A3626">
        <w:rPr>
          <w:lang w:val="ru-RU"/>
        </w:rPr>
        <w:t>（路加福音</w:t>
      </w:r>
      <w:r w:rsidRPr="00794712">
        <w:rPr>
          <w:lang w:val="ru-RU"/>
        </w:rPr>
        <w:t xml:space="preserve"> 6:13）并特意为传道事工预备的门徒；此外，祂升天后，又赐予他们从上头来的能力 </w:t>
      </w:r>
      <w:r w:rsidR="008A3626">
        <w:rPr>
          <w:lang w:val="ru-RU"/>
        </w:rPr>
        <w:t>（路加福音</w:t>
      </w:r>
      <w:r w:rsidRPr="00794712">
        <w:rPr>
          <w:lang w:val="ru-RU"/>
        </w:rPr>
        <w:t xml:space="preserve"> 24</w:t>
      </w:r>
      <w:r w:rsidRPr="0081028F">
        <w:rPr>
          <w:lang w:val="ru-RU"/>
        </w:rPr>
        <w:t>:</w:t>
      </w:r>
      <w:r w:rsidRPr="00794712">
        <w:rPr>
          <w:lang w:val="ru-RU"/>
        </w:rPr>
        <w:t>49），并遵照祂的诫命</w:t>
      </w:r>
      <w:r w:rsidR="005864AB">
        <w:rPr>
          <w:lang w:val="ru-RU"/>
        </w:rPr>
        <w:t>（马可福音</w:t>
      </w:r>
      <w:r w:rsidRPr="00794712">
        <w:rPr>
          <w:lang w:val="ru-RU"/>
        </w:rPr>
        <w:t xml:space="preserve"> 16</w:t>
      </w:r>
      <w:r w:rsidRPr="0081028F">
        <w:rPr>
          <w:lang w:val="ru-RU"/>
        </w:rPr>
        <w:t>:</w:t>
      </w:r>
      <w:r w:rsidRPr="00794712">
        <w:rPr>
          <w:lang w:val="ru-RU"/>
        </w:rPr>
        <w:t>15），将祂的教义传遍全地，向万民宣告（罗马书 10</w:t>
      </w:r>
      <w:r w:rsidRPr="0081028F">
        <w:rPr>
          <w:lang w:val="ru-RU"/>
        </w:rPr>
        <w:t>:</w:t>
      </w:r>
      <w:r w:rsidRPr="00794712">
        <w:rPr>
          <w:lang w:val="ru-RU"/>
        </w:rPr>
        <w:t>18），并以口传和书面形式将之传承给历代的教会（</w:t>
      </w:r>
      <w:r w:rsidR="00463137">
        <w:rPr>
          <w:lang w:val="ru-RU"/>
        </w:rPr>
        <w:t>帖撒罗尼迦</w:t>
      </w:r>
      <w:r w:rsidRPr="00794712">
        <w:rPr>
          <w:lang w:val="ru-RU"/>
        </w:rPr>
        <w:t>后书 2</w:t>
      </w:r>
      <w:r w:rsidRPr="0081028F">
        <w:rPr>
          <w:lang w:val="ru-RU"/>
        </w:rPr>
        <w:t>:</w:t>
      </w:r>
      <w:r w:rsidRPr="00794712">
        <w:rPr>
          <w:lang w:val="ru-RU"/>
        </w:rPr>
        <w:t>15）。</w:t>
      </w:r>
    </w:p>
    <w:p w14:paraId="4DB706FA" w14:textId="77777777" w:rsidR="00D85B34" w:rsidRPr="00794712" w:rsidRDefault="00D85B34" w:rsidP="00D85B34">
      <w:pPr>
        <w:rPr>
          <w:lang w:val="ru-RU"/>
        </w:rPr>
      </w:pPr>
      <w:r w:rsidRPr="00794712">
        <w:rPr>
          <w:lang w:val="ru-RU"/>
        </w:rPr>
        <w:tab/>
        <w:t>这一教义涵盖了复兴之宗教的全部内涵，由两部分组成：信心的律法与行为的律法，</w:t>
      </w:r>
      <w:r w:rsidR="002A7613">
        <w:rPr>
          <w:rStyle w:val="FootnoteReference"/>
          <w:lang w:val="ru-RU"/>
        </w:rPr>
        <w:footnoteReference w:id="318"/>
      </w:r>
      <w:r w:rsidRPr="00794712">
        <w:rPr>
          <w:lang w:val="ru-RU"/>
        </w:rPr>
        <w:t xml:space="preserve"> ，完全指向同一个伟大目标——人的得救。</w:t>
      </w:r>
    </w:p>
    <w:p w14:paraId="0193718D" w14:textId="77777777" w:rsidR="00D85B34" w:rsidRPr="00794712" w:rsidRDefault="00D85B34" w:rsidP="00D85B34">
      <w:pPr>
        <w:rPr>
          <w:lang w:val="ru-RU"/>
        </w:rPr>
      </w:pPr>
      <w:r w:rsidRPr="00794712">
        <w:rPr>
          <w:lang w:val="ru-RU"/>
        </w:rPr>
        <w:tab/>
        <w:t>基督亲自用以下话语阐明了“信的律法”的本质：</w:t>
      </w:r>
      <w:r w:rsidRPr="0081028F">
        <w:rPr>
          <w:i/>
          <w:iCs/>
          <w:lang w:val="ru-RU"/>
        </w:rPr>
        <w:t>“因为神爱世人，甚至将他的独生子赐给他们，叫一切信他的，不至灭亡，反得永生”</w:t>
      </w:r>
      <w:r w:rsidRPr="00794712">
        <w:rPr>
          <w:lang w:val="ru-RU"/>
        </w:rPr>
        <w:t xml:space="preserve"> </w:t>
      </w:r>
      <w:r w:rsidR="005864AB">
        <w:rPr>
          <w:lang w:val="ru-RU"/>
        </w:rPr>
        <w:t>（</w:t>
      </w:r>
      <w:r w:rsidRPr="00794712">
        <w:rPr>
          <w:lang w:val="ru-RU"/>
        </w:rPr>
        <w:t>《</w:t>
      </w:r>
      <w:r w:rsidR="005864AB">
        <w:rPr>
          <w:lang w:val="ru-RU"/>
        </w:rPr>
        <w:t>约翰福音</w:t>
      </w:r>
      <w:r w:rsidRPr="00794712">
        <w:rPr>
          <w:lang w:val="ru-RU"/>
        </w:rPr>
        <w:t>》3</w:t>
      </w:r>
      <w:r w:rsidRPr="0081028F">
        <w:rPr>
          <w:lang w:val="ru-RU"/>
        </w:rPr>
        <w:t>:</w:t>
      </w:r>
      <w:r w:rsidRPr="00794712">
        <w:rPr>
          <w:lang w:val="ru-RU"/>
        </w:rPr>
        <w:t>16），或者说：</w:t>
      </w:r>
      <w:r w:rsidRPr="0081028F">
        <w:rPr>
          <w:i/>
          <w:iCs/>
          <w:lang w:val="ru-RU"/>
        </w:rPr>
        <w:t>“认识你——独一真神，并你所差来的</w:t>
      </w:r>
      <w:r w:rsidRPr="002538DD">
        <w:rPr>
          <w:i/>
          <w:iCs/>
          <w:lang w:val="ru-RU"/>
        </w:rPr>
        <w:t>耶稣基督，</w:t>
      </w:r>
      <w:r w:rsidRPr="0081028F">
        <w:rPr>
          <w:i/>
          <w:iCs/>
          <w:lang w:val="ru-RU"/>
        </w:rPr>
        <w:t>这就是</w:t>
      </w:r>
      <w:r w:rsidRPr="002538DD">
        <w:rPr>
          <w:i/>
          <w:iCs/>
          <w:lang w:val="ru-RU"/>
        </w:rPr>
        <w:t>永生</w:t>
      </w:r>
      <w:r w:rsidR="005864AB">
        <w:rPr>
          <w:lang w:val="ru-RU"/>
        </w:rPr>
        <w:t>”（《约翰福音》</w:t>
      </w:r>
      <w:r w:rsidRPr="00794712">
        <w:rPr>
          <w:lang w:val="ru-RU"/>
        </w:rPr>
        <w:t>17</w:t>
      </w:r>
      <w:r>
        <w:rPr>
          <w:lang w:val="ru-RU"/>
        </w:rPr>
        <w:t>:</w:t>
      </w:r>
      <w:r w:rsidRPr="00794712">
        <w:rPr>
          <w:lang w:val="ru-RU"/>
        </w:rPr>
        <w:t>3）。据此，他特别教导道：</w:t>
      </w:r>
    </w:p>
    <w:p w14:paraId="1077E1B4" w14:textId="77777777" w:rsidR="00D85B34" w:rsidRPr="00794712" w:rsidRDefault="00F45CFB" w:rsidP="00D85B34">
      <w:pPr>
        <w:ind w:firstLine="708"/>
        <w:rPr>
          <w:lang w:val="ru-RU"/>
        </w:rPr>
      </w:pPr>
      <w:r w:rsidRPr="00F45CFB">
        <w:rPr>
          <w:b/>
          <w:lang w:val="ru-RU"/>
        </w:rPr>
        <w:lastRenderedPageBreak/>
        <w:t>1)</w:t>
      </w:r>
      <w:r w:rsidR="00D85B34" w:rsidRPr="00794712">
        <w:rPr>
          <w:lang w:val="ru-RU"/>
        </w:rPr>
        <w:t xml:space="preserve"> 关于至高无上、至臻完美的上帝之灵 </w:t>
      </w:r>
      <w:r w:rsidR="00463137" w:rsidRPr="00463137">
        <w:rPr>
          <w:lang w:val="ru-RU"/>
        </w:rPr>
        <w:t>[</w:t>
      </w:r>
      <w:r w:rsidR="000A57C3">
        <w:rPr>
          <w:lang w:val="ru-RU"/>
        </w:rPr>
        <w:t>(太</w:t>
      </w:r>
      <w:r w:rsidR="00D85B34" w:rsidRPr="00794712">
        <w:rPr>
          <w:lang w:val="ru-RU"/>
        </w:rPr>
        <w:t xml:space="preserve"> 5</w:t>
      </w:r>
      <w:r w:rsidR="00D85B34" w:rsidRPr="0081028F">
        <w:rPr>
          <w:lang w:val="ru-RU"/>
        </w:rPr>
        <w:t>:</w:t>
      </w:r>
      <w:r w:rsidR="00D85B34" w:rsidRPr="00794712">
        <w:rPr>
          <w:lang w:val="ru-RU"/>
        </w:rPr>
        <w:t>45</w:t>
      </w:r>
      <w:r w:rsidR="00463137">
        <w:rPr>
          <w:lang w:val="ru-RU"/>
        </w:rPr>
        <w:t>)</w:t>
      </w:r>
      <w:r w:rsidR="00D85B34" w:rsidRPr="00794712">
        <w:rPr>
          <w:lang w:val="ru-RU"/>
        </w:rPr>
        <w:t>；</w:t>
      </w:r>
      <w:r w:rsidR="00463137">
        <w:rPr>
          <w:lang w:val="ru-RU"/>
        </w:rPr>
        <w:t>(</w:t>
      </w:r>
      <w:r w:rsidR="0087297C">
        <w:rPr>
          <w:lang w:val="ru-RU"/>
        </w:rPr>
        <w:t>约 4</w:t>
      </w:r>
      <w:r w:rsidR="00D85B34" w:rsidRPr="0081028F">
        <w:rPr>
          <w:lang w:val="ru-RU"/>
        </w:rPr>
        <w:t>:</w:t>
      </w:r>
      <w:r w:rsidR="00D85B34" w:rsidRPr="00794712">
        <w:rPr>
          <w:lang w:val="ru-RU"/>
        </w:rPr>
        <w:t>24)</w:t>
      </w:r>
      <w:r w:rsidR="00463137" w:rsidRPr="00463137">
        <w:rPr>
          <w:lang w:val="ru-RU"/>
        </w:rPr>
        <w:t>]</w:t>
      </w:r>
      <w:r w:rsidR="00D85B34" w:rsidRPr="00794712">
        <w:rPr>
          <w:lang w:val="ru-RU"/>
        </w:rPr>
        <w:t xml:space="preserve">，祂在本质上独一无二 </w:t>
      </w:r>
      <w:r w:rsidR="005864AB">
        <w:rPr>
          <w:lang w:val="ru-RU"/>
        </w:rPr>
        <w:t>(可</w:t>
      </w:r>
      <w:r w:rsidR="00D85B34" w:rsidRPr="00794712">
        <w:rPr>
          <w:lang w:val="ru-RU"/>
        </w:rPr>
        <w:t xml:space="preserve"> 12</w:t>
      </w:r>
      <w:r w:rsidR="00D85B34" w:rsidRPr="0081028F">
        <w:rPr>
          <w:lang w:val="ru-RU"/>
        </w:rPr>
        <w:t>:</w:t>
      </w:r>
      <w:r w:rsidR="00D85B34" w:rsidRPr="00794712">
        <w:rPr>
          <w:lang w:val="ru-RU"/>
        </w:rPr>
        <w:t xml:space="preserve">29)，但在位格上为三位一体 </w:t>
      </w:r>
      <w:r w:rsidR="000A57C3">
        <w:rPr>
          <w:lang w:val="ru-RU"/>
        </w:rPr>
        <w:t>(太</w:t>
      </w:r>
      <w:r w:rsidR="00D85B34" w:rsidRPr="00794712">
        <w:rPr>
          <w:lang w:val="ru-RU"/>
        </w:rPr>
        <w:t xml:space="preserve"> 28</w:t>
      </w:r>
      <w:r w:rsidR="00D85B34" w:rsidRPr="0081028F">
        <w:rPr>
          <w:lang w:val="ru-RU"/>
        </w:rPr>
        <w:t>:</w:t>
      </w:r>
      <w:r w:rsidR="00D85B34" w:rsidRPr="00794712">
        <w:rPr>
          <w:lang w:val="ru-RU"/>
        </w:rPr>
        <w:t xml:space="preserve">19)，具有独立存在 </w:t>
      </w:r>
      <w:r w:rsidR="005864AB">
        <w:rPr>
          <w:lang w:val="ru-RU"/>
        </w:rPr>
        <w:t>(约</w:t>
      </w:r>
      <w:r w:rsidR="00D85B34" w:rsidRPr="00794712">
        <w:rPr>
          <w:lang w:val="ru-RU"/>
        </w:rPr>
        <w:t xml:space="preserve"> 5</w:t>
      </w:r>
      <w:r w:rsidR="00D85B34" w:rsidRPr="0081028F">
        <w:rPr>
          <w:lang w:val="ru-RU"/>
        </w:rPr>
        <w:t>:</w:t>
      </w:r>
      <w:r w:rsidR="00D85B34" w:rsidRPr="00794712">
        <w:rPr>
          <w:lang w:val="ru-RU"/>
        </w:rPr>
        <w:t>26)， 无所不在</w:t>
      </w:r>
      <w:r w:rsidR="005864AB">
        <w:rPr>
          <w:lang w:val="ru-RU"/>
        </w:rPr>
        <w:t>（</w:t>
      </w:r>
      <w:r w:rsidR="00D85B34" w:rsidRPr="00794712">
        <w:rPr>
          <w:lang w:val="ru-RU"/>
        </w:rPr>
        <w:t>约4</w:t>
      </w:r>
      <w:r w:rsidR="00D85B34" w:rsidRPr="0081028F">
        <w:rPr>
          <w:lang w:val="ru-RU"/>
        </w:rPr>
        <w:t>:</w:t>
      </w:r>
      <w:r w:rsidR="00D85B34" w:rsidRPr="00794712">
        <w:rPr>
          <w:lang w:val="ru-RU"/>
        </w:rPr>
        <w:t>21-23）、至善</w:t>
      </w:r>
      <w:r w:rsidR="000A57C3">
        <w:rPr>
          <w:lang w:val="ru-RU"/>
        </w:rPr>
        <w:t>（</w:t>
      </w:r>
      <w:r w:rsidR="00D85B34" w:rsidRPr="00794712">
        <w:rPr>
          <w:lang w:val="ru-RU"/>
        </w:rPr>
        <w:t>太19</w:t>
      </w:r>
      <w:r w:rsidR="00D85B34" w:rsidRPr="0081028F">
        <w:rPr>
          <w:lang w:val="ru-RU"/>
        </w:rPr>
        <w:t>:</w:t>
      </w:r>
      <w:r w:rsidR="00D85B34" w:rsidRPr="00794712">
        <w:rPr>
          <w:lang w:val="ru-RU"/>
        </w:rPr>
        <w:t>17）、全能</w:t>
      </w:r>
      <w:r w:rsidR="000A57C3">
        <w:rPr>
          <w:lang w:val="ru-RU"/>
        </w:rPr>
        <w:t>（太</w:t>
      </w:r>
      <w:r w:rsidR="00D85B34" w:rsidRPr="00794712">
        <w:rPr>
          <w:lang w:val="ru-RU"/>
        </w:rPr>
        <w:t>19</w:t>
      </w:r>
      <w:r w:rsidR="00D85B34" w:rsidRPr="0081028F">
        <w:rPr>
          <w:lang w:val="ru-RU"/>
        </w:rPr>
        <w:t>:</w:t>
      </w:r>
      <w:r w:rsidR="00D85B34" w:rsidRPr="00794712">
        <w:rPr>
          <w:lang w:val="ru-RU"/>
        </w:rPr>
        <w:t>26）、 宇宙的创造者和主宰</w:t>
      </w:r>
      <w:r w:rsidR="000A57C3">
        <w:rPr>
          <w:lang w:val="ru-RU"/>
        </w:rPr>
        <w:t>（马太福音</w:t>
      </w:r>
      <w:r w:rsidR="00D85B34" w:rsidRPr="00794712">
        <w:rPr>
          <w:lang w:val="ru-RU"/>
        </w:rPr>
        <w:t xml:space="preserve"> 6</w:t>
      </w:r>
      <w:r w:rsidR="00D85B34" w:rsidRPr="0081028F">
        <w:rPr>
          <w:lang w:val="ru-RU"/>
        </w:rPr>
        <w:t>:</w:t>
      </w:r>
      <w:r w:rsidR="00D85B34" w:rsidRPr="00794712">
        <w:rPr>
          <w:lang w:val="ru-RU"/>
        </w:rPr>
        <w:t>26-29），祂以父般的慈爱关怀着祂所有的受造物，尤其是人类</w:t>
      </w:r>
      <w:r w:rsidR="008A3626">
        <w:rPr>
          <w:lang w:val="ru-RU"/>
        </w:rPr>
        <w:t>（路加福音</w:t>
      </w:r>
      <w:r w:rsidR="00D85B34" w:rsidRPr="00794712">
        <w:rPr>
          <w:lang w:val="ru-RU"/>
        </w:rPr>
        <w:t xml:space="preserve"> 12</w:t>
      </w:r>
      <w:r w:rsidR="00D85B34" w:rsidRPr="0081028F">
        <w:rPr>
          <w:lang w:val="ru-RU"/>
        </w:rPr>
        <w:t>:</w:t>
      </w:r>
      <w:r w:rsidR="00D85B34" w:rsidRPr="00794712">
        <w:rPr>
          <w:lang w:val="ru-RU"/>
        </w:rPr>
        <w:t>7）。</w:t>
      </w:r>
    </w:p>
    <w:p w14:paraId="621A61B3" w14:textId="77777777" w:rsidR="00D85B34" w:rsidRPr="00794712" w:rsidRDefault="00D85B34" w:rsidP="00D85B34">
      <w:pPr>
        <w:ind w:firstLine="708"/>
        <w:rPr>
          <w:lang w:val="ru-RU"/>
        </w:rPr>
      </w:pPr>
      <w:r w:rsidRPr="00794712">
        <w:rPr>
          <w:lang w:val="ru-RU"/>
        </w:rPr>
        <w:t>2</w:t>
      </w:r>
      <w:r w:rsidR="00F45CFB" w:rsidRPr="00F45CFB">
        <w:rPr>
          <w:b/>
          <w:lang w:val="ru-RU"/>
        </w:rPr>
        <w:t>)</w:t>
      </w:r>
      <w:r w:rsidRPr="00794712">
        <w:rPr>
          <w:lang w:val="ru-RU"/>
        </w:rPr>
        <w:t xml:space="preserve"> 关于祂自己，作为上帝的独生</w:t>
      </w:r>
      <w:r>
        <w:rPr>
          <w:lang w:val="ru-RU"/>
        </w:rPr>
        <w:t>子</w:t>
      </w:r>
      <w:r w:rsidRPr="00794712">
        <w:rPr>
          <w:lang w:val="ru-RU"/>
        </w:rPr>
        <w:t xml:space="preserve">，降临世上是为了使人类与上帝和好并重新联合 </w:t>
      </w:r>
      <w:r w:rsidR="00463137" w:rsidRPr="00463137">
        <w:rPr>
          <w:lang w:val="ru-RU"/>
        </w:rPr>
        <w:t>[</w:t>
      </w:r>
      <w:r w:rsidR="005864AB">
        <w:rPr>
          <w:lang w:val="ru-RU"/>
        </w:rPr>
        <w:t>(约</w:t>
      </w:r>
      <w:r w:rsidRPr="00794712">
        <w:rPr>
          <w:lang w:val="ru-RU"/>
        </w:rPr>
        <w:t xml:space="preserve"> 3</w:t>
      </w:r>
      <w:r w:rsidRPr="0081028F">
        <w:rPr>
          <w:lang w:val="ru-RU"/>
        </w:rPr>
        <w:t>:</w:t>
      </w:r>
      <w:r w:rsidRPr="00794712">
        <w:rPr>
          <w:lang w:val="ru-RU"/>
        </w:rPr>
        <w:t>16</w:t>
      </w:r>
      <w:r w:rsidR="00463137" w:rsidRPr="00463137">
        <w:rPr>
          <w:lang w:val="ru-RU"/>
        </w:rPr>
        <w:t>)</w:t>
      </w:r>
      <w:r w:rsidRPr="00794712">
        <w:rPr>
          <w:lang w:val="ru-RU"/>
        </w:rPr>
        <w:t>；</w:t>
      </w:r>
      <w:r w:rsidR="00463137" w:rsidRPr="00463137">
        <w:rPr>
          <w:rFonts w:cs="Cambria Math"/>
          <w:lang w:val="ru-RU"/>
        </w:rPr>
        <w:t>(</w:t>
      </w:r>
      <w:r w:rsidR="00463137">
        <w:rPr>
          <w:rFonts w:cs="Cambria Math"/>
          <w:lang w:val="ru-RU"/>
        </w:rPr>
        <w:t>约</w:t>
      </w:r>
      <w:r w:rsidRPr="00794712">
        <w:rPr>
          <w:lang w:val="ru-RU"/>
        </w:rPr>
        <w:t xml:space="preserve"> 17</w:t>
      </w:r>
      <w:r w:rsidRPr="0081028F">
        <w:rPr>
          <w:lang w:val="ru-RU"/>
        </w:rPr>
        <w:t>:</w:t>
      </w:r>
      <w:r w:rsidRPr="00794712">
        <w:rPr>
          <w:lang w:val="ru-RU"/>
        </w:rPr>
        <w:t>21)</w:t>
      </w:r>
      <w:r w:rsidR="00463137" w:rsidRPr="00463137">
        <w:rPr>
          <w:lang w:val="ru-RU"/>
        </w:rPr>
        <w:t>]</w:t>
      </w:r>
      <w:r w:rsidRPr="00794712">
        <w:rPr>
          <w:lang w:val="ru-RU"/>
        </w:rPr>
        <w:t xml:space="preserve">，关于祂救赎性的受难、死亡与复活 </w:t>
      </w:r>
      <w:r w:rsidR="00463137" w:rsidRPr="00463137">
        <w:rPr>
          <w:lang w:val="ru-RU"/>
        </w:rPr>
        <w:t>[</w:t>
      </w:r>
      <w:r w:rsidR="000A57C3">
        <w:rPr>
          <w:lang w:val="ru-RU"/>
        </w:rPr>
        <w:t>(太</w:t>
      </w:r>
      <w:r w:rsidRPr="00794712">
        <w:rPr>
          <w:lang w:val="ru-RU"/>
        </w:rPr>
        <w:t xml:space="preserve"> 12</w:t>
      </w:r>
      <w:r w:rsidRPr="0081028F">
        <w:rPr>
          <w:lang w:val="ru-RU"/>
        </w:rPr>
        <w:t>:</w:t>
      </w:r>
      <w:r w:rsidRPr="00794712">
        <w:rPr>
          <w:lang w:val="ru-RU"/>
        </w:rPr>
        <w:t>40</w:t>
      </w:r>
      <w:r w:rsidR="00463137" w:rsidRPr="00463137">
        <w:rPr>
          <w:lang w:val="ru-RU"/>
        </w:rPr>
        <w:t>)</w:t>
      </w:r>
      <w:r w:rsidRPr="00794712">
        <w:rPr>
          <w:lang w:val="ru-RU"/>
        </w:rPr>
        <w:t xml:space="preserve">； </w:t>
      </w:r>
      <w:r w:rsidR="00463137" w:rsidRPr="00463137">
        <w:rPr>
          <w:lang w:val="ru-RU"/>
        </w:rPr>
        <w:t>（</w:t>
      </w:r>
      <w:r w:rsidR="00463137">
        <w:rPr>
          <w:lang w:val="ru-RU"/>
        </w:rPr>
        <w:t>太16</w:t>
      </w:r>
      <w:r w:rsidRPr="0081028F">
        <w:rPr>
          <w:lang w:val="ru-RU"/>
        </w:rPr>
        <w:t>:</w:t>
      </w:r>
      <w:r w:rsidRPr="00794712">
        <w:rPr>
          <w:lang w:val="ru-RU"/>
        </w:rPr>
        <w:t>21）</w:t>
      </w:r>
      <w:r w:rsidR="00463137" w:rsidRPr="00463137">
        <w:rPr>
          <w:lang w:val="ru-RU"/>
        </w:rPr>
        <w:t>]</w:t>
      </w:r>
      <w:r w:rsidRPr="00794712">
        <w:rPr>
          <w:lang w:val="ru-RU"/>
        </w:rPr>
        <w:t>。</w:t>
      </w:r>
    </w:p>
    <w:p w14:paraId="2922F4EC" w14:textId="77777777" w:rsidR="00D85B34" w:rsidRPr="00794712" w:rsidRDefault="00F45CFB" w:rsidP="00D85B34">
      <w:pPr>
        <w:ind w:firstLine="708"/>
        <w:rPr>
          <w:lang w:val="ru-RU"/>
        </w:rPr>
      </w:pPr>
      <w:r w:rsidRPr="00F45CFB">
        <w:rPr>
          <w:b/>
          <w:lang w:val="ru-RU"/>
        </w:rPr>
        <w:t>3)</w:t>
      </w:r>
      <w:r w:rsidR="00D85B34" w:rsidRPr="00794712">
        <w:rPr>
          <w:lang w:val="ru-RU"/>
        </w:rPr>
        <w:t xml:space="preserve"> 最后，关于堕落、受损的人</w:t>
      </w:r>
      <w:r w:rsidR="005864AB">
        <w:rPr>
          <w:lang w:val="ru-RU"/>
        </w:rPr>
        <w:t>（</w:t>
      </w:r>
      <w:r w:rsidR="00D85B34" w:rsidRPr="00794712">
        <w:rPr>
          <w:lang w:val="ru-RU"/>
        </w:rPr>
        <w:t>约3</w:t>
      </w:r>
      <w:r w:rsidR="00D85B34" w:rsidRPr="0081028F">
        <w:rPr>
          <w:lang w:val="ru-RU"/>
        </w:rPr>
        <w:t>:</w:t>
      </w:r>
      <w:r w:rsidR="00D85B34" w:rsidRPr="00794712">
        <w:rPr>
          <w:lang w:val="ru-RU"/>
        </w:rPr>
        <w:t>7），以及他如何能够站起来并领受救恩、得以重生</w:t>
      </w:r>
      <w:r w:rsidR="005864AB">
        <w:rPr>
          <w:lang w:val="ru-RU"/>
        </w:rPr>
        <w:t>（约</w:t>
      </w:r>
      <w:r w:rsidR="00D85B34" w:rsidRPr="00794712">
        <w:rPr>
          <w:lang w:val="ru-RU"/>
        </w:rPr>
        <w:t>3</w:t>
      </w:r>
      <w:r w:rsidR="00D85B34" w:rsidRPr="0081028F">
        <w:rPr>
          <w:lang w:val="ru-RU"/>
        </w:rPr>
        <w:t>:</w:t>
      </w:r>
      <w:r w:rsidR="00D85B34" w:rsidRPr="00794712">
        <w:rPr>
          <w:lang w:val="ru-RU"/>
        </w:rPr>
        <w:t xml:space="preserve">5）、成圣 </w:t>
      </w:r>
      <w:r w:rsidR="005864AB">
        <w:rPr>
          <w:lang w:val="ru-RU"/>
        </w:rPr>
        <w:t>（</w:t>
      </w:r>
      <w:r w:rsidR="00D85B34" w:rsidRPr="00794712">
        <w:rPr>
          <w:lang w:val="ru-RU"/>
        </w:rPr>
        <w:t>约17</w:t>
      </w:r>
      <w:r w:rsidR="00D85B34" w:rsidRPr="0081028F">
        <w:rPr>
          <w:lang w:val="ru-RU"/>
        </w:rPr>
        <w:t>:</w:t>
      </w:r>
      <w:r w:rsidR="00D85B34" w:rsidRPr="00794712">
        <w:rPr>
          <w:lang w:val="ru-RU"/>
        </w:rPr>
        <w:t>11-17），借着救赎主与神重新联合</w:t>
      </w:r>
      <w:r w:rsidR="005864AB">
        <w:rPr>
          <w:lang w:val="ru-RU"/>
        </w:rPr>
        <w:t>（</w:t>
      </w:r>
      <w:r w:rsidR="00D85B34" w:rsidRPr="00794712">
        <w:rPr>
          <w:lang w:val="ru-RU"/>
        </w:rPr>
        <w:t>约14</w:t>
      </w:r>
      <w:r w:rsidR="00D85B34" w:rsidRPr="0081028F">
        <w:rPr>
          <w:lang w:val="ru-RU"/>
        </w:rPr>
        <w:t>:</w:t>
      </w:r>
      <w:r w:rsidR="00D85B34" w:rsidRPr="00794712">
        <w:rPr>
          <w:lang w:val="ru-RU"/>
        </w:rPr>
        <w:t>6-20），从而在死后获得永恒的福乐生命</w:t>
      </w:r>
      <w:r w:rsidR="005864AB">
        <w:rPr>
          <w:lang w:val="ru-RU"/>
        </w:rPr>
        <w:t>（</w:t>
      </w:r>
      <w:r w:rsidR="00D85B34" w:rsidRPr="00794712">
        <w:rPr>
          <w:lang w:val="ru-RU"/>
        </w:rPr>
        <w:t>约3</w:t>
      </w:r>
      <w:r w:rsidR="00D85B34" w:rsidRPr="0081028F">
        <w:rPr>
          <w:lang w:val="ru-RU"/>
        </w:rPr>
        <w:t>:</w:t>
      </w:r>
      <w:r w:rsidR="00D85B34" w:rsidRPr="00794712">
        <w:rPr>
          <w:lang w:val="ru-RU"/>
        </w:rPr>
        <w:t>16）。</w:t>
      </w:r>
    </w:p>
    <w:p w14:paraId="3D1AB848" w14:textId="77777777" w:rsidR="00D85B34" w:rsidRPr="00794712" w:rsidRDefault="00D85B34" w:rsidP="00D85B34">
      <w:pPr>
        <w:rPr>
          <w:lang w:val="ru-RU"/>
        </w:rPr>
      </w:pPr>
      <w:r w:rsidRPr="00794712">
        <w:rPr>
          <w:lang w:val="ru-RU"/>
        </w:rPr>
        <w:tab/>
        <w:t>基督将行为之律的本质——与信心的律相一致——概括为两条主要诫命：</w:t>
      </w:r>
    </w:p>
    <w:p w14:paraId="451C84FD" w14:textId="77777777" w:rsidR="00D85B34" w:rsidRPr="00794712" w:rsidRDefault="00F45CFB" w:rsidP="00D85B34">
      <w:pPr>
        <w:ind w:firstLine="708"/>
        <w:rPr>
          <w:lang w:val="ru-RU"/>
        </w:rPr>
      </w:pPr>
      <w:r w:rsidRPr="00F45CFB">
        <w:rPr>
          <w:b/>
          <w:lang w:val="ru-RU"/>
        </w:rPr>
        <w:t>1)</w:t>
      </w:r>
      <w:r w:rsidR="00D85B34" w:rsidRPr="00794712">
        <w:rPr>
          <w:lang w:val="ru-RU"/>
        </w:rPr>
        <w:t xml:space="preserve"> 关于自我牺牲的诫命。 </w:t>
      </w:r>
      <w:r w:rsidR="00D85B34" w:rsidRPr="0081028F">
        <w:rPr>
          <w:i/>
          <w:iCs/>
          <w:lang w:val="ru-RU"/>
        </w:rPr>
        <w:t>“若有人要跟从我，就当舍己，背起他的十字架来跟从我”</w:t>
      </w:r>
      <w:r w:rsidR="005864AB">
        <w:rPr>
          <w:lang w:val="ru-RU"/>
        </w:rPr>
        <w:t>（</w:t>
      </w:r>
      <w:r w:rsidR="00D85B34" w:rsidRPr="00794712">
        <w:rPr>
          <w:lang w:val="ru-RU"/>
        </w:rPr>
        <w:t>可8</w:t>
      </w:r>
      <w:r w:rsidR="00D85B34" w:rsidRPr="0081028F">
        <w:rPr>
          <w:lang w:val="ru-RU"/>
        </w:rPr>
        <w:t>:</w:t>
      </w:r>
      <w:r w:rsidR="00D85B34" w:rsidRPr="00794712">
        <w:rPr>
          <w:lang w:val="ru-RU"/>
        </w:rPr>
        <w:t>34）。这条诫命显然旨在从我们内心根除一切罪恶的源头——骄傲或自爱（德10</w:t>
      </w:r>
      <w:r w:rsidR="00D85B34" w:rsidRPr="0081028F">
        <w:rPr>
          <w:lang w:val="ru-RU"/>
        </w:rPr>
        <w:t>:</w:t>
      </w:r>
      <w:r w:rsidR="00D85B34" w:rsidRPr="00794712">
        <w:rPr>
          <w:lang w:val="ru-RU"/>
        </w:rPr>
        <w:t>15）， 进而使我们从肉体和灵里的各种污秽中得洁净（林后7</w:t>
      </w:r>
      <w:r w:rsidR="00D85B34" w:rsidRPr="000C696E">
        <w:rPr>
          <w:lang w:val="ru-RU"/>
        </w:rPr>
        <w:t>:</w:t>
      </w:r>
      <w:r w:rsidR="00D85B34" w:rsidRPr="00794712">
        <w:rPr>
          <w:lang w:val="ru-RU"/>
        </w:rPr>
        <w:t>1），使我们脱去</w:t>
      </w:r>
      <w:r w:rsidR="00D85B34" w:rsidRPr="000C696E">
        <w:rPr>
          <w:i/>
          <w:iCs/>
          <w:lang w:val="ru-RU"/>
        </w:rPr>
        <w:t>“那随从情欲、在虚妄中朽坏的旧人”</w:t>
      </w:r>
      <w:r w:rsidR="00D85B34" w:rsidRPr="00794712">
        <w:rPr>
          <w:lang w:val="ru-RU"/>
        </w:rPr>
        <w:t>（弗4</w:t>
      </w:r>
      <w:r w:rsidR="00D85B34" w:rsidRPr="000C696E">
        <w:rPr>
          <w:lang w:val="ru-RU"/>
        </w:rPr>
        <w:t>:</w:t>
      </w:r>
      <w:r w:rsidR="00D85B34" w:rsidRPr="00794712">
        <w:rPr>
          <w:lang w:val="ru-RU"/>
        </w:rPr>
        <w:t>22），因为那旧人绝</w:t>
      </w:r>
      <w:r w:rsidR="00D85B34">
        <w:rPr>
          <w:lang w:val="ru-RU"/>
        </w:rPr>
        <w:t>不能</w:t>
      </w:r>
      <w:r w:rsidR="00D85B34" w:rsidRPr="00794712">
        <w:rPr>
          <w:lang w:val="ru-RU"/>
        </w:rPr>
        <w:t>进入神的国</w:t>
      </w:r>
      <w:r w:rsidR="005864AB">
        <w:rPr>
          <w:lang w:val="ru-RU"/>
        </w:rPr>
        <w:t>（</w:t>
      </w:r>
      <w:r w:rsidR="00D85B34" w:rsidRPr="00794712">
        <w:rPr>
          <w:lang w:val="ru-RU"/>
        </w:rPr>
        <w:t>约3</w:t>
      </w:r>
      <w:r w:rsidR="00D85B34" w:rsidRPr="000C696E">
        <w:rPr>
          <w:lang w:val="ru-RU"/>
        </w:rPr>
        <w:t>:</w:t>
      </w:r>
      <w:r w:rsidR="00D85B34" w:rsidRPr="00794712">
        <w:rPr>
          <w:lang w:val="ru-RU"/>
        </w:rPr>
        <w:t>5）。</w:t>
      </w:r>
      <w:r w:rsidR="002A7613">
        <w:rPr>
          <w:rStyle w:val="FootnoteReference"/>
          <w:lang w:val="ru-RU"/>
        </w:rPr>
        <w:footnoteReference w:id="319"/>
      </w:r>
      <w:r w:rsidR="00D85B34" w:rsidRPr="00794712">
        <w:rPr>
          <w:lang w:val="ru-RU"/>
        </w:rPr>
        <w:t xml:space="preserve"> 而这种自我牺牲，按照主的话说，应当体现在以下方面：</w:t>
      </w:r>
      <w:r w:rsidR="00A95A76" w:rsidRPr="00A95A76">
        <w:rPr>
          <w:b/>
          <w:lang w:val="ru-RU"/>
        </w:rPr>
        <w:t>a)</w:t>
      </w:r>
      <w:r w:rsidR="00D85B34" w:rsidRPr="00794712">
        <w:rPr>
          <w:lang w:val="ru-RU"/>
        </w:rPr>
        <w:t xml:space="preserve"> 我们要弃绝以往那邪恶的生活方式，并为一切罪孽悔改</w:t>
      </w:r>
      <w:r w:rsidR="000A57C3">
        <w:rPr>
          <w:lang w:val="ru-RU"/>
        </w:rPr>
        <w:t>（</w:t>
      </w:r>
      <w:r w:rsidR="00D85B34" w:rsidRPr="00794712">
        <w:rPr>
          <w:lang w:val="ru-RU"/>
        </w:rPr>
        <w:t>太3</w:t>
      </w:r>
      <w:r w:rsidR="00D85B34">
        <w:rPr>
          <w:lang w:val="ru-RU"/>
        </w:rPr>
        <w:t>:</w:t>
      </w:r>
      <w:r w:rsidR="00D85B34" w:rsidRPr="00794712">
        <w:rPr>
          <w:lang w:val="ru-RU"/>
        </w:rPr>
        <w:t>2）；</w:t>
      </w:r>
      <w:r w:rsidR="00A95A76" w:rsidRPr="00A95A76">
        <w:rPr>
          <w:b/>
          <w:lang w:val="ru-RU"/>
        </w:rPr>
        <w:t xml:space="preserve"> b)</w:t>
      </w:r>
      <w:r w:rsidR="00D85B34" w:rsidRPr="00794712">
        <w:rPr>
          <w:lang w:val="ru-RU"/>
        </w:rPr>
        <w:t xml:space="preserve"> 甘愿舍弃世上的一切事物，即使它们对我们而言如同自己的眼睛、手或脚般珍贵，只要我们察觉到它们会引诱我们并使我们陷入罪中</w:t>
      </w:r>
      <w:r w:rsidR="000A57C3">
        <w:rPr>
          <w:lang w:val="ru-RU"/>
        </w:rPr>
        <w:t>（太</w:t>
      </w:r>
      <w:r w:rsidR="00D85B34" w:rsidRPr="00794712">
        <w:rPr>
          <w:lang w:val="ru-RU"/>
        </w:rPr>
        <w:t>5</w:t>
      </w:r>
      <w:r w:rsidR="00D85B34" w:rsidRPr="000C696E">
        <w:rPr>
          <w:lang w:val="ru-RU"/>
        </w:rPr>
        <w:t>:</w:t>
      </w:r>
      <w:r w:rsidR="00D85B34" w:rsidRPr="00794712">
        <w:rPr>
          <w:lang w:val="ru-RU"/>
        </w:rPr>
        <w:t>29-31）；</w:t>
      </w:r>
      <w:r w:rsidR="00A95A76" w:rsidRPr="00A95A76">
        <w:rPr>
          <w:b/>
          <w:lang w:val="ru-RU"/>
        </w:rPr>
        <w:t xml:space="preserve"> c)</w:t>
      </w:r>
      <w:r w:rsidR="00D85B34" w:rsidRPr="00794712">
        <w:rPr>
          <w:lang w:val="ru-RU"/>
        </w:rPr>
        <w:t xml:space="preserve"> 甚至要舍弃自己的家、父亲、母亲和家人，如果我们发现，若不这样做，我们就无法远离不义并获得救恩 </w:t>
      </w:r>
      <w:r w:rsidR="001F1173" w:rsidRPr="001F1173">
        <w:rPr>
          <w:lang w:val="ru-RU"/>
        </w:rPr>
        <w:t>[</w:t>
      </w:r>
      <w:r w:rsidR="005864AB">
        <w:rPr>
          <w:lang w:val="ru-RU"/>
        </w:rPr>
        <w:t>(可</w:t>
      </w:r>
      <w:r w:rsidR="00D85B34" w:rsidRPr="00794712">
        <w:rPr>
          <w:lang w:val="ru-RU"/>
        </w:rPr>
        <w:t xml:space="preserve"> 10</w:t>
      </w:r>
      <w:r w:rsidR="00D85B34" w:rsidRPr="0051548C">
        <w:rPr>
          <w:lang w:val="ru-RU"/>
        </w:rPr>
        <w:t>:</w:t>
      </w:r>
      <w:r w:rsidR="00D85B34" w:rsidRPr="00794712">
        <w:rPr>
          <w:lang w:val="ru-RU"/>
        </w:rPr>
        <w:t>29</w:t>
      </w:r>
      <w:r w:rsidR="001F1173" w:rsidRPr="001F1173">
        <w:rPr>
          <w:lang w:val="ru-RU"/>
        </w:rPr>
        <w:t>)</w:t>
      </w:r>
      <w:r w:rsidR="00D85B34" w:rsidRPr="00794712">
        <w:rPr>
          <w:lang w:val="ru-RU"/>
        </w:rPr>
        <w:t>；</w:t>
      </w:r>
      <w:r w:rsidR="0087297C">
        <w:rPr>
          <w:lang w:val="ru-RU"/>
        </w:rPr>
        <w:t xml:space="preserve"> </w:t>
      </w:r>
      <w:r w:rsidR="001F1173" w:rsidRPr="001F1173">
        <w:rPr>
          <w:lang w:val="ru-RU"/>
        </w:rPr>
        <w:t>（</w:t>
      </w:r>
      <w:r w:rsidR="0087297C">
        <w:rPr>
          <w:lang w:val="ru-RU"/>
        </w:rPr>
        <w:t>路加福音</w:t>
      </w:r>
      <w:r w:rsidR="00D85B34" w:rsidRPr="00794712">
        <w:rPr>
          <w:lang w:val="ru-RU"/>
        </w:rPr>
        <w:t xml:space="preserve"> 14</w:t>
      </w:r>
      <w:r w:rsidR="00D85B34" w:rsidRPr="0051548C">
        <w:rPr>
          <w:lang w:val="ru-RU"/>
        </w:rPr>
        <w:t>:</w:t>
      </w:r>
      <w:r w:rsidR="00D85B34" w:rsidRPr="00794712">
        <w:rPr>
          <w:lang w:val="ru-RU"/>
        </w:rPr>
        <w:t>26）</w:t>
      </w:r>
      <w:r w:rsidR="001F1173" w:rsidRPr="001F1173">
        <w:rPr>
          <w:lang w:val="ru-RU"/>
        </w:rPr>
        <w:t>]</w:t>
      </w:r>
      <w:r w:rsidR="00D85B34" w:rsidRPr="00794712">
        <w:rPr>
          <w:lang w:val="ru-RU"/>
        </w:rPr>
        <w:t>；</w:t>
      </w:r>
      <w:r w:rsidR="00A95A76" w:rsidRPr="00A95A76">
        <w:rPr>
          <w:b/>
          <w:lang w:val="ru-RU"/>
        </w:rPr>
        <w:t>d)</w:t>
      </w:r>
      <w:r w:rsidR="00D85B34" w:rsidRPr="00794712">
        <w:rPr>
          <w:lang w:val="ru-RU"/>
        </w:rPr>
        <w:t xml:space="preserve"> 我们要努力不仅在行为上，甚至在思想和言语上都不犯罪 </w:t>
      </w:r>
      <w:r w:rsidR="001F1173" w:rsidRPr="00A95A76">
        <w:rPr>
          <w:lang w:val="ru-RU"/>
        </w:rPr>
        <w:t>[</w:t>
      </w:r>
      <w:r w:rsidR="000A57C3">
        <w:rPr>
          <w:lang w:val="ru-RU"/>
        </w:rPr>
        <w:t>(马太福音</w:t>
      </w:r>
      <w:r w:rsidR="00D85B34" w:rsidRPr="00794712">
        <w:rPr>
          <w:lang w:val="ru-RU"/>
        </w:rPr>
        <w:t xml:space="preserve"> 5</w:t>
      </w:r>
      <w:r w:rsidR="00D85B34" w:rsidRPr="0051548C">
        <w:rPr>
          <w:lang w:val="ru-RU"/>
        </w:rPr>
        <w:t>:</w:t>
      </w:r>
      <w:r w:rsidR="00D85B34" w:rsidRPr="00794712">
        <w:rPr>
          <w:lang w:val="ru-RU"/>
        </w:rPr>
        <w:t>28</w:t>
      </w:r>
      <w:r w:rsidR="001F1173" w:rsidRPr="00A95A76">
        <w:rPr>
          <w:lang w:val="ru-RU"/>
        </w:rPr>
        <w:t>)</w:t>
      </w:r>
      <w:r w:rsidR="00D85B34" w:rsidRPr="00794712">
        <w:rPr>
          <w:lang w:val="ru-RU"/>
        </w:rPr>
        <w:t>；</w:t>
      </w:r>
      <w:r w:rsidR="001F1173" w:rsidRPr="00A95A76">
        <w:rPr>
          <w:lang w:val="ru-RU"/>
        </w:rPr>
        <w:t>(</w:t>
      </w:r>
      <w:r w:rsidR="001F1173">
        <w:rPr>
          <w:lang w:val="ru-RU"/>
        </w:rPr>
        <w:t>马太福音</w:t>
      </w:r>
      <w:r w:rsidR="00D85B34" w:rsidRPr="00794712">
        <w:rPr>
          <w:lang w:val="ru-RU"/>
        </w:rPr>
        <w:t xml:space="preserve"> 12</w:t>
      </w:r>
      <w:r w:rsidR="00D85B34" w:rsidRPr="0051548C">
        <w:rPr>
          <w:lang w:val="ru-RU"/>
        </w:rPr>
        <w:t>:</w:t>
      </w:r>
      <w:r w:rsidR="00D85B34" w:rsidRPr="00794712">
        <w:rPr>
          <w:lang w:val="ru-RU"/>
        </w:rPr>
        <w:t>36)</w:t>
      </w:r>
      <w:r w:rsidR="001F1173" w:rsidRPr="00A95A76">
        <w:rPr>
          <w:lang w:val="ru-RU"/>
        </w:rPr>
        <w:t>]</w:t>
      </w:r>
      <w:r w:rsidR="00D85B34" w:rsidRPr="00794712">
        <w:rPr>
          <w:lang w:val="ru-RU"/>
        </w:rPr>
        <w:t>。</w:t>
      </w:r>
    </w:p>
    <w:p w14:paraId="7226A7C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在关于爱上帝和爱邻舍的诫命</w:t>
      </w:r>
      <w:r w:rsidR="000A57C3">
        <w:rPr>
          <w:lang w:val="ru-RU"/>
        </w:rPr>
        <w:t>（</w:t>
      </w:r>
      <w:r w:rsidR="00D85B34" w:rsidRPr="00794712">
        <w:rPr>
          <w:lang w:val="ru-RU"/>
        </w:rPr>
        <w:t>太22</w:t>
      </w:r>
      <w:r w:rsidR="00D85B34" w:rsidRPr="0051548C">
        <w:rPr>
          <w:lang w:val="ru-RU"/>
        </w:rPr>
        <w:t>:</w:t>
      </w:r>
      <w:r w:rsidR="00D85B34" w:rsidRPr="00794712">
        <w:rPr>
          <w:lang w:val="ru-RU"/>
        </w:rPr>
        <w:t>37-39）中——这条诫命旨在将新生命的种子，即圣洁且蒙上帝喜悦的生命</w:t>
      </w:r>
      <w:r w:rsidR="005864AB">
        <w:rPr>
          <w:lang w:val="ru-RU"/>
        </w:rPr>
        <w:t>（约</w:t>
      </w:r>
      <w:r w:rsidR="00D85B34" w:rsidRPr="00794712">
        <w:rPr>
          <w:lang w:val="ru-RU"/>
        </w:rPr>
        <w:t>13</w:t>
      </w:r>
      <w:r w:rsidR="00D85B34" w:rsidRPr="0051548C">
        <w:rPr>
          <w:lang w:val="ru-RU"/>
        </w:rPr>
        <w:t>:</w:t>
      </w:r>
      <w:r w:rsidR="00D85B34" w:rsidRPr="00794712">
        <w:rPr>
          <w:lang w:val="ru-RU"/>
        </w:rPr>
        <w:t>84），植根于我们心中，以取代我们原有的罪恶之种； 将 的道德完美之联合（歌罗西书 8</w:t>
      </w:r>
      <w:r w:rsidR="00D85B34" w:rsidRPr="0051548C">
        <w:rPr>
          <w:lang w:val="ru-RU"/>
        </w:rPr>
        <w:t>:</w:t>
      </w:r>
      <w:r w:rsidR="00D85B34" w:rsidRPr="00794712">
        <w:rPr>
          <w:lang w:val="ru-RU"/>
        </w:rPr>
        <w:t>14）植入我们心中，并使我们这纯洁、更新的身心，真正地与神联合</w:t>
      </w:r>
      <w:r w:rsidR="005864AB">
        <w:rPr>
          <w:lang w:val="ru-RU"/>
        </w:rPr>
        <w:t>（约翰福音</w:t>
      </w:r>
      <w:r w:rsidR="00D85B34" w:rsidRPr="00794712">
        <w:rPr>
          <w:lang w:val="ru-RU"/>
        </w:rPr>
        <w:t xml:space="preserve"> 17</w:t>
      </w:r>
      <w:r w:rsidR="00D85B34" w:rsidRPr="0051548C">
        <w:rPr>
          <w:lang w:val="ru-RU"/>
        </w:rPr>
        <w:t>:</w:t>
      </w:r>
      <w:r w:rsidR="00D85B34" w:rsidRPr="00794712">
        <w:rPr>
          <w:lang w:val="ru-RU"/>
        </w:rPr>
        <w:t>21）。 在阐述对上帝之爱的特质时，主教导说：这种</w:t>
      </w:r>
      <w:r w:rsidR="00A95A76" w:rsidRPr="00A95A76">
        <w:rPr>
          <w:b/>
          <w:lang w:val="ru-RU"/>
        </w:rPr>
        <w:t>爱——a)</w:t>
      </w:r>
      <w:r w:rsidR="00D85B34" w:rsidRPr="00794712">
        <w:rPr>
          <w:lang w:val="ru-RU"/>
        </w:rPr>
        <w:t xml:space="preserve"> 必须是最真诚、最完全、最完美的</w:t>
      </w:r>
      <w:r w:rsidR="008A3626">
        <w:rPr>
          <w:lang w:val="ru-RU"/>
        </w:rPr>
        <w:t>（路加福音</w:t>
      </w:r>
      <w:r w:rsidR="00D85B34" w:rsidRPr="00794712">
        <w:rPr>
          <w:lang w:val="ru-RU"/>
        </w:rPr>
        <w:t xml:space="preserve"> 10</w:t>
      </w:r>
      <w:r w:rsidR="00D85B34" w:rsidRPr="0051548C">
        <w:rPr>
          <w:lang w:val="ru-RU"/>
        </w:rPr>
        <w:t>:</w:t>
      </w:r>
      <w:r w:rsidR="00D85B34" w:rsidRPr="00794712">
        <w:rPr>
          <w:lang w:val="ru-RU"/>
        </w:rPr>
        <w:t>27）；</w:t>
      </w:r>
      <w:r w:rsidR="00A95A76" w:rsidRPr="00A95A76">
        <w:rPr>
          <w:b/>
          <w:lang w:val="ru-RU"/>
        </w:rPr>
        <w:t>b)</w:t>
      </w:r>
      <w:r w:rsidR="00D85B34" w:rsidRPr="00794712">
        <w:rPr>
          <w:lang w:val="ru-RU"/>
        </w:rPr>
        <w:t xml:space="preserve"> 必须体现在顺服上帝的旨意、遵守诫命上</w:t>
      </w:r>
      <w:r w:rsidR="005864AB">
        <w:rPr>
          <w:lang w:val="ru-RU"/>
        </w:rPr>
        <w:t>（约翰福音</w:t>
      </w:r>
      <w:r w:rsidR="00D85B34" w:rsidRPr="00794712">
        <w:rPr>
          <w:lang w:val="ru-RU"/>
        </w:rPr>
        <w:t xml:space="preserve"> 14</w:t>
      </w:r>
      <w:r w:rsidR="00D85B34" w:rsidRPr="0051548C">
        <w:rPr>
          <w:lang w:val="ru-RU"/>
        </w:rPr>
        <w:t>:</w:t>
      </w:r>
      <w:r w:rsidR="00D85B34" w:rsidRPr="00794712">
        <w:rPr>
          <w:lang w:val="ru-RU"/>
        </w:rPr>
        <w:t>15-21）；</w:t>
      </w:r>
      <w:r w:rsidR="00A95A76" w:rsidRPr="00A95A76">
        <w:rPr>
          <w:b/>
          <w:lang w:val="ru-RU"/>
        </w:rPr>
        <w:t xml:space="preserve"> c)</w:t>
      </w:r>
      <w:r w:rsidR="00D85B34" w:rsidRPr="00794712">
        <w:rPr>
          <w:lang w:val="ru-RU"/>
        </w:rPr>
        <w:t xml:space="preserve"> 始终以神的荣耀为念</w:t>
      </w:r>
      <w:r w:rsidR="000A57C3">
        <w:rPr>
          <w:lang w:val="ru-RU"/>
        </w:rPr>
        <w:t>（马太福音</w:t>
      </w:r>
      <w:r w:rsidR="00D85B34" w:rsidRPr="00794712">
        <w:rPr>
          <w:lang w:val="ru-RU"/>
        </w:rPr>
        <w:t xml:space="preserve"> 5</w:t>
      </w:r>
      <w:r w:rsidR="00D85B34" w:rsidRPr="0051548C">
        <w:rPr>
          <w:lang w:val="ru-RU"/>
        </w:rPr>
        <w:t>:</w:t>
      </w:r>
      <w:r w:rsidRPr="00F45CFB">
        <w:rPr>
          <w:b/>
          <w:lang w:val="ru-RU"/>
        </w:rPr>
        <w:t>16）</w:t>
      </w:r>
      <w:r w:rsidR="00D85B34" w:rsidRPr="00794712">
        <w:rPr>
          <w:lang w:val="ru-RU"/>
        </w:rPr>
        <w:t>；</w:t>
      </w:r>
      <w:r w:rsidR="00A95A76" w:rsidRPr="00A95A76">
        <w:rPr>
          <w:b/>
          <w:lang w:val="ru-RU"/>
        </w:rPr>
        <w:t>d)</w:t>
      </w:r>
      <w:r w:rsidR="00D85B34" w:rsidRPr="00794712">
        <w:rPr>
          <w:lang w:val="ru-RU"/>
        </w:rPr>
        <w:t xml:space="preserve"> 甚至要达到这样的地步：为了神的名，我们甘愿舍弃自己的性命</w:t>
      </w:r>
      <w:r w:rsidR="005864AB">
        <w:rPr>
          <w:lang w:val="ru-RU"/>
        </w:rPr>
        <w:t>（马可福音</w:t>
      </w:r>
      <w:r w:rsidR="00D85B34" w:rsidRPr="00794712">
        <w:rPr>
          <w:lang w:val="ru-RU"/>
        </w:rPr>
        <w:t xml:space="preserve"> 8</w:t>
      </w:r>
      <w:r w:rsidR="00D85B34" w:rsidRPr="0051548C">
        <w:rPr>
          <w:lang w:val="ru-RU"/>
        </w:rPr>
        <w:t>:</w:t>
      </w:r>
      <w:r w:rsidR="00D85B34" w:rsidRPr="00794712">
        <w:rPr>
          <w:lang w:val="ru-RU"/>
        </w:rPr>
        <w:t>35）。 同样，在阐述爱邻舍的特质时，他教导我们</w:t>
      </w:r>
      <w:r w:rsidR="00D85B34">
        <w:rPr>
          <w:lang w:val="ru-RU"/>
        </w:rPr>
        <w:t>：</w:t>
      </w:r>
      <w:r w:rsidR="00A95A76" w:rsidRPr="00A95A76">
        <w:rPr>
          <w:b/>
          <w:lang w:val="ru-RU"/>
        </w:rPr>
        <w:t xml:space="preserve">a) </w:t>
      </w:r>
      <w:r w:rsidR="00D85B34" w:rsidRPr="00794712">
        <w:rPr>
          <w:lang w:val="ru-RU"/>
        </w:rPr>
        <w:t>要爱所有人，不仅要爱朋友，还要爱仇敌</w:t>
      </w:r>
      <w:bookmarkStart w:id="237" w:name="_Hlk127797283"/>
      <w:r w:rsidR="000A57C3">
        <w:rPr>
          <w:lang w:val="ru-RU"/>
        </w:rPr>
        <w:t xml:space="preserve"> （太</w:t>
      </w:r>
      <w:r w:rsidR="00D85B34" w:rsidRPr="00794712">
        <w:rPr>
          <w:lang w:val="ru-RU"/>
        </w:rPr>
        <w:t>5</w:t>
      </w:r>
      <w:r w:rsidR="00D85B34" w:rsidRPr="0051548C">
        <w:rPr>
          <w:lang w:val="ru-RU"/>
        </w:rPr>
        <w:t>:</w:t>
      </w:r>
      <w:r w:rsidR="00D85B34" w:rsidRPr="00794712">
        <w:rPr>
          <w:lang w:val="ru-RU"/>
        </w:rPr>
        <w:t>44-48）；</w:t>
      </w:r>
      <w:r w:rsidR="00A95A76" w:rsidRPr="00A95A76">
        <w:rPr>
          <w:b/>
          <w:lang w:val="ru-RU"/>
        </w:rPr>
        <w:t>b)</w:t>
      </w:r>
      <w:r w:rsidR="00D85B34" w:rsidRPr="00794712">
        <w:rPr>
          <w:lang w:val="ru-RU"/>
        </w:rPr>
        <w:t xml:space="preserve"> 不仅在行为上，甚至在言语和意念上也不要伤害邻舍</w:t>
      </w:r>
      <w:r w:rsidR="007041F1" w:rsidRPr="007041F1">
        <w:rPr>
          <w:lang w:val="ru-RU"/>
        </w:rPr>
        <w:t>[</w:t>
      </w:r>
      <w:r w:rsidR="000A57C3">
        <w:rPr>
          <w:lang w:val="ru-RU"/>
        </w:rPr>
        <w:t>(太</w:t>
      </w:r>
      <w:r w:rsidR="00D85B34" w:rsidRPr="00794712">
        <w:rPr>
          <w:lang w:val="ru-RU"/>
        </w:rPr>
        <w:t>5</w:t>
      </w:r>
      <w:r w:rsidR="00D85B34" w:rsidRPr="0051548C">
        <w:rPr>
          <w:lang w:val="ru-RU"/>
        </w:rPr>
        <w:t>:</w:t>
      </w:r>
      <w:r w:rsidR="00D85B34" w:rsidRPr="00794712">
        <w:rPr>
          <w:lang w:val="ru-RU"/>
        </w:rPr>
        <w:t>22</w:t>
      </w:r>
      <w:r w:rsidR="001F1173" w:rsidRPr="001F1173">
        <w:rPr>
          <w:lang w:val="ru-RU"/>
        </w:rPr>
        <w:t>)</w:t>
      </w:r>
      <w:r w:rsidR="00D85B34" w:rsidRPr="00794712">
        <w:rPr>
          <w:lang w:val="ru-RU"/>
        </w:rPr>
        <w:t xml:space="preserve">； </w:t>
      </w:r>
      <w:r w:rsidR="001F1173" w:rsidRPr="001F1173">
        <w:rPr>
          <w:lang w:val="ru-RU"/>
        </w:rPr>
        <w:t>(</w:t>
      </w:r>
      <w:r w:rsidR="001F1173">
        <w:rPr>
          <w:lang w:val="ru-RU"/>
        </w:rPr>
        <w:t>太</w:t>
      </w:r>
      <w:r w:rsidR="00D85B34" w:rsidRPr="00794712">
        <w:rPr>
          <w:lang w:val="ru-RU"/>
        </w:rPr>
        <w:t xml:space="preserve"> 7</w:t>
      </w:r>
      <w:r w:rsidR="00D85B34" w:rsidRPr="0051548C">
        <w:rPr>
          <w:lang w:val="ru-RU"/>
        </w:rPr>
        <w:t>:</w:t>
      </w:r>
      <w:r w:rsidR="00D85B34" w:rsidRPr="00794712">
        <w:rPr>
          <w:lang w:val="ru-RU"/>
        </w:rPr>
        <w:t>1-12)</w:t>
      </w:r>
      <w:r w:rsidR="007041F1" w:rsidRPr="007041F1">
        <w:rPr>
          <w:lang w:val="ru-RU"/>
        </w:rPr>
        <w:t>]</w:t>
      </w:r>
      <w:r w:rsidR="00D85B34" w:rsidRPr="00794712">
        <w:rPr>
          <w:lang w:val="ru-RU"/>
        </w:rPr>
        <w:t>；</w:t>
      </w:r>
      <w:bookmarkEnd w:id="237"/>
      <w:r w:rsidR="00A95A76" w:rsidRPr="00A95A76">
        <w:rPr>
          <w:b/>
          <w:lang w:val="ru-RU"/>
        </w:rPr>
        <w:t xml:space="preserve"> c)</w:t>
      </w:r>
      <w:r w:rsidR="00D85B34" w:rsidRPr="00794712">
        <w:rPr>
          <w:lang w:val="ru-RU"/>
        </w:rPr>
        <w:t xml:space="preserve"> 自己要宽宏大量地忍受一切侮辱，并原谅一切冒犯，不仅</w:t>
      </w:r>
      <w:r w:rsidR="00D85B34" w:rsidRPr="008B42AB">
        <w:rPr>
          <w:i/>
          <w:iCs/>
          <w:lang w:val="ru-RU"/>
        </w:rPr>
        <w:t xml:space="preserve">“七次”，而是“七十个七次” </w:t>
      </w:r>
      <w:r w:rsidR="001F1173" w:rsidRPr="001F1173">
        <w:rPr>
          <w:lang w:val="ru-RU"/>
        </w:rPr>
        <w:t>[</w:t>
      </w:r>
      <w:r w:rsidR="000A57C3">
        <w:rPr>
          <w:lang w:val="ru-RU"/>
        </w:rPr>
        <w:t>(太</w:t>
      </w:r>
      <w:r w:rsidR="00D85B34" w:rsidRPr="00794712">
        <w:rPr>
          <w:lang w:val="ru-RU"/>
        </w:rPr>
        <w:t xml:space="preserve"> 5</w:t>
      </w:r>
      <w:r w:rsidR="00D85B34" w:rsidRPr="008B42AB">
        <w:rPr>
          <w:lang w:val="ru-RU"/>
        </w:rPr>
        <w:t>:</w:t>
      </w:r>
      <w:r w:rsidR="00D85B34" w:rsidRPr="00794712">
        <w:rPr>
          <w:lang w:val="ru-RU"/>
        </w:rPr>
        <w:t>38-</w:t>
      </w:r>
      <w:r w:rsidR="00D85B34" w:rsidRPr="00794712">
        <w:rPr>
          <w:lang w:val="ru-RU"/>
        </w:rPr>
        <w:lastRenderedPageBreak/>
        <w:t>39</w:t>
      </w:r>
      <w:r w:rsidR="001F1173">
        <w:rPr>
          <w:lang w:val="ru-RU"/>
        </w:rPr>
        <w:t>)</w:t>
      </w:r>
      <w:r w:rsidR="00D85B34" w:rsidRPr="00794712">
        <w:rPr>
          <w:lang w:val="ru-RU"/>
        </w:rPr>
        <w:t>；</w:t>
      </w:r>
      <w:r w:rsidR="001F1173">
        <w:rPr>
          <w:lang w:val="ru-RU"/>
        </w:rPr>
        <w:t>(太</w:t>
      </w:r>
      <w:r w:rsidR="00D85B34" w:rsidRPr="00794712">
        <w:rPr>
          <w:lang w:val="ru-RU"/>
        </w:rPr>
        <w:t xml:space="preserve"> 6</w:t>
      </w:r>
      <w:r w:rsidR="00D85B34" w:rsidRPr="008B42AB">
        <w:rPr>
          <w:lang w:val="ru-RU"/>
        </w:rPr>
        <w:t>:</w:t>
      </w:r>
      <w:r w:rsidR="00D85B34" w:rsidRPr="00794712">
        <w:rPr>
          <w:lang w:val="ru-RU"/>
        </w:rPr>
        <w:t>14</w:t>
      </w:r>
      <w:r w:rsidR="001F1173">
        <w:rPr>
          <w:lang w:val="ru-RU"/>
        </w:rPr>
        <w:t>)</w:t>
      </w:r>
      <w:r w:rsidR="00D85B34" w:rsidRPr="00794712">
        <w:rPr>
          <w:lang w:val="ru-RU"/>
        </w:rPr>
        <w:t xml:space="preserve">； </w:t>
      </w:r>
      <w:r w:rsidR="001F1173">
        <w:rPr>
          <w:lang w:val="ru-RU"/>
        </w:rPr>
        <w:t>（太</w:t>
      </w:r>
      <w:r w:rsidR="00D85B34" w:rsidRPr="00794712">
        <w:rPr>
          <w:lang w:val="ru-RU"/>
        </w:rPr>
        <w:t xml:space="preserve"> 18</w:t>
      </w:r>
      <w:r w:rsidR="00D85B34" w:rsidRPr="008B42AB">
        <w:rPr>
          <w:lang w:val="ru-RU"/>
        </w:rPr>
        <w:t>:</w:t>
      </w:r>
      <w:r w:rsidR="00D85B34" w:rsidRPr="00794712">
        <w:rPr>
          <w:lang w:val="ru-RU"/>
        </w:rPr>
        <w:t>22）</w:t>
      </w:r>
      <w:r w:rsidR="001F1173" w:rsidRPr="007041F1">
        <w:rPr>
          <w:lang w:val="ru-RU"/>
        </w:rPr>
        <w:t>]</w:t>
      </w:r>
      <w:r w:rsidR="00D85B34" w:rsidRPr="00794712">
        <w:rPr>
          <w:lang w:val="ru-RU"/>
        </w:rPr>
        <w:t>；</w:t>
      </w:r>
      <w:r w:rsidR="00A95A76" w:rsidRPr="00A95A76">
        <w:rPr>
          <w:b/>
          <w:lang w:val="ru-RU"/>
        </w:rPr>
        <w:t>d)</w:t>
      </w:r>
      <w:r w:rsidR="00D85B34" w:rsidRPr="00794712">
        <w:rPr>
          <w:lang w:val="ru-RU"/>
        </w:rPr>
        <w:t xml:space="preserve"> 始终对邻舍充满怜悯，并在他们有需要时施以援手 </w:t>
      </w:r>
      <w:r w:rsidR="007041F1" w:rsidRPr="007041F1">
        <w:rPr>
          <w:lang w:val="ru-RU"/>
        </w:rPr>
        <w:t>[</w:t>
      </w:r>
      <w:r w:rsidR="000A57C3">
        <w:rPr>
          <w:lang w:val="ru-RU"/>
        </w:rPr>
        <w:t>(太</w:t>
      </w:r>
      <w:r w:rsidR="00D85B34" w:rsidRPr="00794712">
        <w:rPr>
          <w:lang w:val="ru-RU"/>
        </w:rPr>
        <w:t xml:space="preserve"> 5</w:t>
      </w:r>
      <w:r w:rsidR="00D85B34" w:rsidRPr="008B42AB">
        <w:rPr>
          <w:lang w:val="ru-RU"/>
        </w:rPr>
        <w:t>:</w:t>
      </w:r>
      <w:r w:rsidR="00D85B34" w:rsidRPr="00794712">
        <w:rPr>
          <w:lang w:val="ru-RU"/>
        </w:rPr>
        <w:t>36-42</w:t>
      </w:r>
      <w:r w:rsidR="007041F1" w:rsidRPr="007041F1">
        <w:rPr>
          <w:lang w:val="ru-RU"/>
        </w:rPr>
        <w:t>)</w:t>
      </w:r>
      <w:r w:rsidR="00D85B34" w:rsidRPr="00794712">
        <w:rPr>
          <w:lang w:val="ru-RU"/>
        </w:rPr>
        <w:t>；</w:t>
      </w:r>
      <w:r w:rsidR="007041F1" w:rsidRPr="007041F1">
        <w:rPr>
          <w:lang w:val="ru-RU"/>
        </w:rPr>
        <w:t>（</w:t>
      </w:r>
      <w:r w:rsidR="0087297C">
        <w:rPr>
          <w:lang w:val="ru-RU"/>
        </w:rPr>
        <w:t>路</w:t>
      </w:r>
      <w:r w:rsidR="00D85B34" w:rsidRPr="00794712">
        <w:rPr>
          <w:lang w:val="ru-RU"/>
        </w:rPr>
        <w:t xml:space="preserve"> 6</w:t>
      </w:r>
      <w:r w:rsidR="00D85B34" w:rsidRPr="000A62C2">
        <w:rPr>
          <w:lang w:val="ru-RU"/>
        </w:rPr>
        <w:t>:</w:t>
      </w:r>
      <w:r w:rsidR="00D85B34" w:rsidRPr="00794712">
        <w:rPr>
          <w:lang w:val="ru-RU"/>
        </w:rPr>
        <w:t>35)</w:t>
      </w:r>
      <w:r w:rsidR="007041F1" w:rsidRPr="007041F1">
        <w:rPr>
          <w:lang w:val="ru-RU"/>
        </w:rPr>
        <w:t>]</w:t>
      </w:r>
      <w:r w:rsidR="00D85B34" w:rsidRPr="00794712">
        <w:rPr>
          <w:lang w:val="ru-RU"/>
        </w:rPr>
        <w:t xml:space="preserve">；以及 </w:t>
      </w:r>
      <w:r w:rsidR="00A95A76" w:rsidRPr="00A95A76">
        <w:rPr>
          <w:b/>
          <w:lang w:val="ru-RU"/>
        </w:rPr>
        <w:t>e)</w:t>
      </w:r>
      <w:r w:rsidR="00D85B34" w:rsidRPr="00794712">
        <w:rPr>
          <w:lang w:val="ru-RU"/>
        </w:rPr>
        <w:t xml:space="preserve"> 愿意在必要时，为自己的弟兄舍命</w:t>
      </w:r>
      <w:r w:rsidR="005864AB">
        <w:rPr>
          <w:lang w:val="ru-RU"/>
        </w:rPr>
        <w:t>（约</w:t>
      </w:r>
      <w:r w:rsidR="00D85B34" w:rsidRPr="00794712">
        <w:rPr>
          <w:lang w:val="ru-RU"/>
        </w:rPr>
        <w:t xml:space="preserve"> 15</w:t>
      </w:r>
      <w:r w:rsidR="00D85B34" w:rsidRPr="000A62C2">
        <w:rPr>
          <w:lang w:val="ru-RU"/>
        </w:rPr>
        <w:t>:</w:t>
      </w:r>
      <w:r w:rsidR="00D85B34" w:rsidRPr="00794712">
        <w:rPr>
          <w:lang w:val="ru-RU"/>
        </w:rPr>
        <w:t>13）。</w:t>
      </w:r>
    </w:p>
    <w:p w14:paraId="4FFFCDF8" w14:textId="77777777" w:rsidR="00D85B34" w:rsidRPr="00794712" w:rsidRDefault="00D85B34" w:rsidP="00D85B34">
      <w:pPr>
        <w:rPr>
          <w:lang w:val="ru-RU"/>
        </w:rPr>
      </w:pPr>
      <w:r w:rsidRPr="00794712">
        <w:rPr>
          <w:lang w:val="ru-RU"/>
        </w:rPr>
        <w:tab/>
        <w:t>为了激励人们接受并遵守这两条律法——即信仰之律与行动之律——主耶稣向他们指出：</w:t>
      </w:r>
      <w:r w:rsidR="00A95A76" w:rsidRPr="00A95A76">
        <w:rPr>
          <w:b/>
          <w:lang w:val="ru-RU"/>
        </w:rPr>
        <w:t xml:space="preserve"> a) </w:t>
      </w:r>
      <w:r w:rsidRPr="00794712">
        <w:rPr>
          <w:lang w:val="ru-RU"/>
        </w:rPr>
        <w:t xml:space="preserve">一方面——指出那些最严重的灾难和永恒的痛苦；全善的上帝早已预定要通过祂的独生子拯救人类脱离这些灾难，而所有罪人若不遵行祂的教导，就必然会遭受这些灾难 </w:t>
      </w:r>
      <w:r w:rsidR="007041F1" w:rsidRPr="007041F1">
        <w:rPr>
          <w:lang w:val="ru-RU"/>
        </w:rPr>
        <w:t>[</w:t>
      </w:r>
      <w:r w:rsidR="000A57C3">
        <w:rPr>
          <w:lang w:val="ru-RU"/>
        </w:rPr>
        <w:t>(太</w:t>
      </w:r>
      <w:r w:rsidRPr="00794712">
        <w:rPr>
          <w:lang w:val="ru-RU"/>
        </w:rPr>
        <w:t xml:space="preserve"> 25</w:t>
      </w:r>
      <w:r w:rsidRPr="000A62C2">
        <w:rPr>
          <w:lang w:val="ru-RU"/>
        </w:rPr>
        <w:t>:</w:t>
      </w:r>
      <w:r w:rsidRPr="00794712">
        <w:rPr>
          <w:lang w:val="ru-RU"/>
        </w:rPr>
        <w:t>41</w:t>
      </w:r>
      <w:r w:rsidR="007041F1" w:rsidRPr="007041F1">
        <w:rPr>
          <w:lang w:val="ru-RU"/>
        </w:rPr>
        <w:t>)</w:t>
      </w:r>
      <w:r w:rsidRPr="00794712">
        <w:rPr>
          <w:lang w:val="ru-RU"/>
        </w:rPr>
        <w:t>；</w:t>
      </w:r>
      <w:r w:rsidR="0087297C">
        <w:rPr>
          <w:lang w:val="ru-RU"/>
        </w:rPr>
        <w:t xml:space="preserve"> </w:t>
      </w:r>
      <w:r w:rsidR="007041F1" w:rsidRPr="007041F1">
        <w:rPr>
          <w:lang w:val="ru-RU"/>
        </w:rPr>
        <w:t>(</w:t>
      </w:r>
      <w:r w:rsidRPr="00794712">
        <w:rPr>
          <w:lang w:val="ru-RU"/>
        </w:rPr>
        <w:t>路13</w:t>
      </w:r>
      <w:r w:rsidRPr="000A62C2">
        <w:rPr>
          <w:lang w:val="ru-RU"/>
        </w:rPr>
        <w:t>:</w:t>
      </w:r>
      <w:r w:rsidRPr="00794712">
        <w:rPr>
          <w:lang w:val="ru-RU"/>
        </w:rPr>
        <w:t>28)</w:t>
      </w:r>
      <w:r w:rsidR="007041F1" w:rsidRPr="007041F1">
        <w:rPr>
          <w:lang w:val="ru-RU"/>
        </w:rPr>
        <w:t>]</w:t>
      </w:r>
      <w:r w:rsidRPr="00794712">
        <w:rPr>
          <w:lang w:val="ru-RU"/>
        </w:rPr>
        <w:t>；</w:t>
      </w:r>
      <w:r w:rsidR="00A95A76" w:rsidRPr="00A95A76">
        <w:rPr>
          <w:b/>
          <w:lang w:val="ru-RU"/>
        </w:rPr>
        <w:t>b)</w:t>
      </w:r>
      <w:r w:rsidRPr="00794712">
        <w:rPr>
          <w:lang w:val="ru-RU"/>
        </w:rPr>
        <w:t xml:space="preserve"> 另一方面——天父同样因祂所爱的独生子的功绩，为所有遵行祂教导的义人预备了至大且永恒的福分 </w:t>
      </w:r>
      <w:r w:rsidR="007041F1" w:rsidRPr="007041F1">
        <w:rPr>
          <w:lang w:val="ru-RU"/>
        </w:rPr>
        <w:t>[</w:t>
      </w:r>
      <w:r w:rsidR="000A57C3">
        <w:rPr>
          <w:lang w:val="ru-RU"/>
        </w:rPr>
        <w:t>(太</w:t>
      </w:r>
      <w:r w:rsidRPr="00794712">
        <w:rPr>
          <w:lang w:val="ru-RU"/>
        </w:rPr>
        <w:t>19</w:t>
      </w:r>
      <w:r w:rsidRPr="000A62C2">
        <w:rPr>
          <w:lang w:val="ru-RU"/>
        </w:rPr>
        <w:t>:</w:t>
      </w:r>
      <w:r w:rsidRPr="00794712">
        <w:rPr>
          <w:lang w:val="ru-RU"/>
        </w:rPr>
        <w:t>28-29</w:t>
      </w:r>
      <w:r w:rsidR="007041F1" w:rsidRPr="007041F1">
        <w:rPr>
          <w:lang w:val="ru-RU"/>
        </w:rPr>
        <w:t>)</w:t>
      </w:r>
      <w:r w:rsidRPr="00794712">
        <w:rPr>
          <w:lang w:val="ru-RU"/>
        </w:rPr>
        <w:t>；</w:t>
      </w:r>
      <w:r w:rsidR="007041F1" w:rsidRPr="007041F1">
        <w:rPr>
          <w:lang w:val="ru-RU"/>
        </w:rPr>
        <w:t>(</w:t>
      </w:r>
      <w:r w:rsidR="007041F1">
        <w:rPr>
          <w:lang w:val="ru-RU"/>
        </w:rPr>
        <w:t>太</w:t>
      </w:r>
      <w:r w:rsidRPr="00794712">
        <w:rPr>
          <w:lang w:val="ru-RU"/>
        </w:rPr>
        <w:t>25</w:t>
      </w:r>
      <w:r w:rsidRPr="000A62C2">
        <w:rPr>
          <w:lang w:val="ru-RU"/>
        </w:rPr>
        <w:t>:</w:t>
      </w:r>
      <w:r w:rsidRPr="00794712">
        <w:rPr>
          <w:lang w:val="ru-RU"/>
        </w:rPr>
        <w:t>34)</w:t>
      </w:r>
      <w:r w:rsidR="007041F1" w:rsidRPr="007041F1">
        <w:rPr>
          <w:lang w:val="ru-RU"/>
        </w:rPr>
        <w:t>]</w:t>
      </w:r>
      <w:r w:rsidRPr="00794712">
        <w:rPr>
          <w:lang w:val="ru-RU"/>
        </w:rPr>
        <w:t>；</w:t>
      </w:r>
      <w:r w:rsidR="002A7613">
        <w:rPr>
          <w:rStyle w:val="FootnoteReference"/>
          <w:lang w:val="ru-RU"/>
        </w:rPr>
        <w:footnoteReference w:id="320"/>
      </w:r>
      <w:r w:rsidR="00A95A76" w:rsidRPr="00A95A76">
        <w:rPr>
          <w:b/>
          <w:lang w:val="ru-RU"/>
        </w:rPr>
        <w:t xml:space="preserve"> c)</w:t>
      </w:r>
      <w:r w:rsidRPr="00794712">
        <w:rPr>
          <w:lang w:val="ru-RU"/>
        </w:rPr>
        <w:t xml:space="preserve"> 最后——是上帝对我们这些罪人那无边无际且至为感人的爱，这种爱体现在祂救赎我们脱离永恒的灾祸，并赐予我们永恒的福乐之中 </w:t>
      </w:r>
      <w:r w:rsidR="007041F1" w:rsidRPr="007041F1">
        <w:rPr>
          <w:lang w:val="ru-RU"/>
        </w:rPr>
        <w:t>[</w:t>
      </w:r>
      <w:r w:rsidR="005864AB">
        <w:rPr>
          <w:lang w:val="ru-RU"/>
        </w:rPr>
        <w:t>(约</w:t>
      </w:r>
      <w:r w:rsidRPr="00794712">
        <w:rPr>
          <w:lang w:val="ru-RU"/>
        </w:rPr>
        <w:t xml:space="preserve"> 3</w:t>
      </w:r>
      <w:r w:rsidRPr="000A62C2">
        <w:rPr>
          <w:lang w:val="ru-RU"/>
        </w:rPr>
        <w:t>:</w:t>
      </w:r>
      <w:r w:rsidRPr="00794712">
        <w:rPr>
          <w:lang w:val="ru-RU"/>
        </w:rPr>
        <w:t>16-17</w:t>
      </w:r>
      <w:r w:rsidR="007041F1" w:rsidRPr="007041F1">
        <w:rPr>
          <w:lang w:val="ru-RU"/>
        </w:rPr>
        <w:t>)</w:t>
      </w:r>
      <w:r w:rsidRPr="00794712">
        <w:rPr>
          <w:lang w:val="ru-RU"/>
        </w:rPr>
        <w:t>；</w:t>
      </w:r>
      <w:r w:rsidR="007041F1" w:rsidRPr="007041F1">
        <w:rPr>
          <w:rFonts w:cs="Cambria Math"/>
          <w:lang w:val="ru-RU"/>
        </w:rPr>
        <w:t>(</w:t>
      </w:r>
      <w:r w:rsidR="007041F1">
        <w:rPr>
          <w:rFonts w:cs="Cambria Math"/>
          <w:lang w:val="ru-RU"/>
        </w:rPr>
        <w:t>约</w:t>
      </w:r>
      <w:r w:rsidRPr="00794712">
        <w:rPr>
          <w:lang w:val="ru-RU"/>
        </w:rPr>
        <w:t xml:space="preserve"> 15</w:t>
      </w:r>
      <w:r w:rsidRPr="000A62C2">
        <w:rPr>
          <w:lang w:val="ru-RU"/>
        </w:rPr>
        <w:t>:</w:t>
      </w:r>
      <w:r w:rsidRPr="00794712">
        <w:rPr>
          <w:lang w:val="ru-RU"/>
        </w:rPr>
        <w:t>9-15)</w:t>
      </w:r>
      <w:r w:rsidR="007041F1" w:rsidRPr="007041F1">
        <w:rPr>
          <w:lang w:val="ru-RU"/>
        </w:rPr>
        <w:t>]</w:t>
      </w:r>
      <w:r w:rsidRPr="00794712">
        <w:rPr>
          <w:lang w:val="ru-RU"/>
        </w:rPr>
        <w:t>。</w:t>
      </w:r>
    </w:p>
    <w:p w14:paraId="238D77FD" w14:textId="77777777" w:rsidR="00D85B34" w:rsidRDefault="00D85B34" w:rsidP="00D85B34">
      <w:pPr>
        <w:rPr>
          <w:lang w:val="ru-RU"/>
        </w:rPr>
      </w:pPr>
    </w:p>
    <w:p w14:paraId="0540F709" w14:textId="77777777" w:rsidR="00D85B34" w:rsidRPr="00794712" w:rsidRDefault="00D85B34" w:rsidP="007B240B">
      <w:pPr>
        <w:pStyle w:val="Heading5"/>
        <w:rPr>
          <w:lang w:val="ru-RU"/>
        </w:rPr>
      </w:pPr>
      <w:bookmarkStart w:id="238" w:name="_Toc133155579"/>
      <w:bookmarkStart w:id="239" w:name="_Toc180664592"/>
      <w:bookmarkStart w:id="240" w:name="_Toc180679213"/>
      <w:bookmarkStart w:id="241" w:name="_Toc180679270"/>
      <w:bookmarkStart w:id="242" w:name="_Toc180679793"/>
      <w:bookmarkStart w:id="243" w:name="_Toc238453676"/>
      <w:bookmarkStart w:id="244" w:name="_Toc238576492"/>
      <w:r w:rsidRPr="00794712">
        <w:rPr>
          <w:lang w:val="ru-RU"/>
        </w:rPr>
        <w:t>§146. 耶稣基督传授了一条崭新且最完美的律法，以取代摩西的律法</w:t>
      </w:r>
      <w:bookmarkEnd w:id="238"/>
      <w:bookmarkEnd w:id="239"/>
      <w:bookmarkEnd w:id="240"/>
      <w:bookmarkEnd w:id="241"/>
      <w:bookmarkEnd w:id="242"/>
      <w:bookmarkEnd w:id="243"/>
      <w:bookmarkEnd w:id="244"/>
    </w:p>
    <w:p w14:paraId="2851CABF" w14:textId="77777777" w:rsidR="00D85B34" w:rsidRPr="00794712" w:rsidRDefault="00D85B34" w:rsidP="00D85B34">
      <w:pPr>
        <w:ind w:firstLine="708"/>
        <w:rPr>
          <w:lang w:val="ru-RU"/>
        </w:rPr>
      </w:pPr>
      <w:r w:rsidRPr="00794712">
        <w:rPr>
          <w:lang w:val="ru-RU"/>
        </w:rPr>
        <w:t>这由救主基督所传授、完全以拯救人为目的的信德与行为之律法，是比摩西律法或旧约律法更为完美的新律法，并已取而代之。</w:t>
      </w:r>
    </w:p>
    <w:p w14:paraId="64DBB6E2" w14:textId="77777777" w:rsidR="00D85B34" w:rsidRPr="00794712" w:rsidRDefault="00F45CFB" w:rsidP="00D85B34">
      <w:pPr>
        <w:ind w:firstLine="708"/>
        <w:rPr>
          <w:lang w:val="ru-RU"/>
        </w:rPr>
      </w:pPr>
      <w:r w:rsidRPr="00F45CFB">
        <w:rPr>
          <w:b/>
          <w:bCs/>
          <w:lang w:val="ru-RU"/>
        </w:rPr>
        <w:t>1)</w:t>
      </w:r>
      <w:r w:rsidR="00D85B34" w:rsidRPr="00794712">
        <w:rPr>
          <w:lang w:val="ru-RU"/>
        </w:rPr>
        <w:t xml:space="preserve"> 确实有新律法。我们从以下方面可以确信这一点：</w:t>
      </w:r>
    </w:p>
    <w:p w14:paraId="5C03F077" w14:textId="77777777" w:rsidR="00D85B34" w:rsidRPr="00794712" w:rsidRDefault="00D85B34" w:rsidP="00D85B34">
      <w:pPr>
        <w:rPr>
          <w:lang w:val="ru-RU"/>
        </w:rPr>
      </w:pPr>
      <w:r w:rsidRPr="00794712">
        <w:rPr>
          <w:lang w:val="ru-RU"/>
        </w:rPr>
        <w:tab/>
      </w:r>
      <w:r w:rsidR="00A95A76" w:rsidRPr="00A95A76">
        <w:rPr>
          <w:b/>
          <w:bCs/>
          <w:lang w:val="ru-RU"/>
        </w:rPr>
        <w:t>a)</w:t>
      </w:r>
      <w:r w:rsidRPr="00794712">
        <w:rPr>
          <w:lang w:val="ru-RU"/>
        </w:rPr>
        <w:t xml:space="preserve"> 耶利米书的预言：</w:t>
      </w:r>
      <w:r w:rsidRPr="000A62C2">
        <w:rPr>
          <w:i/>
          <w:iCs/>
          <w:lang w:val="ru-RU"/>
        </w:rPr>
        <w:t>“看哪，日子将到，这是耶和华说的，我要与以色列家和犹大家立一个新约，不像我拉着他们祖先的手，领他们出埃及地那日所立的约”</w:t>
      </w:r>
      <w:r w:rsidRPr="00794712">
        <w:rPr>
          <w:lang w:val="ru-RU"/>
        </w:rPr>
        <w:t xml:space="preserve"> （耶31</w:t>
      </w:r>
      <w:r w:rsidRPr="000A62C2">
        <w:rPr>
          <w:lang w:val="ru-RU"/>
        </w:rPr>
        <w:t>:</w:t>
      </w:r>
      <w:r w:rsidRPr="00794712">
        <w:rPr>
          <w:lang w:val="ru-RU"/>
        </w:rPr>
        <w:t>31-32），即并非依据西奈山所立的旧约之约。圣使徒保罗（希8</w:t>
      </w:r>
      <w:r w:rsidRPr="000A62C2">
        <w:rPr>
          <w:lang w:val="ru-RU"/>
        </w:rPr>
        <w:t>:</w:t>
      </w:r>
      <w:r w:rsidRPr="00794712">
        <w:rPr>
          <w:lang w:val="ru-RU"/>
        </w:rPr>
        <w:t>6-13）见证了这里所谈论的是上帝借着救主基督所赐的新律法，教会教师们也一致如此教导。</w:t>
      </w:r>
      <w:r w:rsidR="002A7613">
        <w:rPr>
          <w:rStyle w:val="FootnoteReference"/>
          <w:lang w:val="ru-RU"/>
        </w:rPr>
        <w:footnoteReference w:id="321"/>
      </w:r>
    </w:p>
    <w:p w14:paraId="1E2CE272" w14:textId="77777777" w:rsidR="00D85B34" w:rsidRPr="000B6B83" w:rsidRDefault="00D85B34" w:rsidP="00D85B34">
      <w:pPr>
        <w:rPr>
          <w:lang w:val="ru-RU"/>
        </w:rPr>
      </w:pPr>
      <w:r w:rsidRPr="00794712">
        <w:rPr>
          <w:lang w:val="ru-RU"/>
        </w:rPr>
        <w:tab/>
      </w:r>
      <w:r w:rsidR="00A95A76" w:rsidRPr="00A95A76">
        <w:rPr>
          <w:b/>
          <w:bCs/>
          <w:lang w:val="ru-RU"/>
        </w:rPr>
        <w:t xml:space="preserve">b) </w:t>
      </w:r>
      <w:r w:rsidRPr="00794712">
        <w:rPr>
          <w:lang w:val="ru-RU"/>
        </w:rPr>
        <w:t>从主耶稣自己的话语中可见：我赐给你们一条新诫命，就是要你们彼此相爱，正如我爱你们一样</w:t>
      </w:r>
      <w:r w:rsidR="005864AB">
        <w:rPr>
          <w:lang w:val="ru-RU"/>
        </w:rPr>
        <w:t>（</w:t>
      </w:r>
      <w:r w:rsidRPr="00794712">
        <w:rPr>
          <w:lang w:val="ru-RU"/>
        </w:rPr>
        <w:t>约13</w:t>
      </w:r>
      <w:r w:rsidRPr="000A62C2">
        <w:rPr>
          <w:lang w:val="ru-RU"/>
        </w:rPr>
        <w:t>:</w:t>
      </w:r>
      <w:r w:rsidRPr="00794712">
        <w:rPr>
          <w:lang w:val="ru-RU"/>
        </w:rPr>
        <w:t>34）</w:t>
      </w:r>
      <w:r>
        <w:rPr>
          <w:lang w:val="ru-RU"/>
        </w:rPr>
        <w:t>——</w:t>
      </w:r>
      <w:r w:rsidRPr="00794712">
        <w:rPr>
          <w:lang w:val="ru-RU"/>
        </w:rPr>
        <w:t>这条诫命之所以“新”，在于其所要求的爱（正如我爱你们一样）在高度和丰盛上都超越了以往，尽管爱邻舍的诫命在旧约中早已有所记载 （利未记19</w:t>
      </w:r>
      <w:r w:rsidRPr="000A62C2">
        <w:rPr>
          <w:lang w:val="ru-RU"/>
        </w:rPr>
        <w:t>:</w:t>
      </w:r>
      <w:r w:rsidRPr="00794712">
        <w:rPr>
          <w:lang w:val="ru-RU"/>
        </w:rPr>
        <w:t>18）。</w:t>
      </w:r>
    </w:p>
    <w:p w14:paraId="3AF7E164" w14:textId="77777777" w:rsidR="00D85B34" w:rsidRPr="002F5742" w:rsidRDefault="00D85B34" w:rsidP="00D85B34">
      <w:pPr>
        <w:rPr>
          <w:lang w:val="ru-RU"/>
        </w:rPr>
      </w:pPr>
      <w:r w:rsidRPr="00794712">
        <w:rPr>
          <w:lang w:val="ru-RU"/>
        </w:rPr>
        <w:tab/>
      </w:r>
      <w:r w:rsidR="00A95A76" w:rsidRPr="00A95A76">
        <w:rPr>
          <w:b/>
          <w:bCs/>
          <w:lang w:val="ru-RU"/>
        </w:rPr>
        <w:t>c)</w:t>
      </w:r>
      <w:r w:rsidRPr="00794712">
        <w:rPr>
          <w:lang w:val="ru-RU"/>
        </w:rPr>
        <w:t xml:space="preserve"> 最后——从基督的教导中，我们确实发现了《旧约》中所没有的新律法。因此（这是信仰中最重要的一条！），基督教导我们：他正是自古以来被应许的弥赛亚</w:t>
      </w:r>
      <w:r w:rsidR="00A95A76" w:rsidRPr="00A95A76">
        <w:rPr>
          <w:lang w:val="ru-RU"/>
        </w:rPr>
        <w:t>[</w:t>
      </w:r>
      <w:r w:rsidR="005864AB">
        <w:rPr>
          <w:lang w:val="ru-RU"/>
        </w:rPr>
        <w:t>（</w:t>
      </w:r>
      <w:r w:rsidRPr="00794712">
        <w:rPr>
          <w:lang w:val="ru-RU"/>
        </w:rPr>
        <w:t>约5</w:t>
      </w:r>
      <w:r w:rsidRPr="000B6B83">
        <w:rPr>
          <w:lang w:val="ru-RU"/>
        </w:rPr>
        <w:t>:</w:t>
      </w:r>
      <w:r w:rsidRPr="00794712">
        <w:rPr>
          <w:lang w:val="ru-RU"/>
        </w:rPr>
        <w:t>39</w:t>
      </w:r>
      <w:r w:rsidR="00A95A76" w:rsidRPr="00A95A76">
        <w:rPr>
          <w:lang w:val="ru-RU"/>
        </w:rPr>
        <w:t>）</w:t>
      </w:r>
      <w:r w:rsidRPr="00794712">
        <w:rPr>
          <w:lang w:val="ru-RU"/>
        </w:rPr>
        <w:t>；</w:t>
      </w:r>
      <w:r w:rsidR="0087297C">
        <w:rPr>
          <w:lang w:val="ru-RU"/>
        </w:rPr>
        <w:t xml:space="preserve"> </w:t>
      </w:r>
      <w:r w:rsidR="00A95A76" w:rsidRPr="00A95A76">
        <w:rPr>
          <w:lang w:val="ru-RU"/>
        </w:rPr>
        <w:t>（</w:t>
      </w:r>
      <w:r w:rsidR="0087297C">
        <w:rPr>
          <w:lang w:val="ru-RU"/>
        </w:rPr>
        <w:t>路加福音</w:t>
      </w:r>
      <w:r w:rsidRPr="00794712">
        <w:rPr>
          <w:lang w:val="ru-RU"/>
        </w:rPr>
        <w:t xml:space="preserve"> 24</w:t>
      </w:r>
      <w:r w:rsidRPr="000B6B83">
        <w:rPr>
          <w:lang w:val="ru-RU"/>
        </w:rPr>
        <w:t>:</w:t>
      </w:r>
      <w:r w:rsidRPr="00794712">
        <w:rPr>
          <w:lang w:val="ru-RU"/>
        </w:rPr>
        <w:t>27）</w:t>
      </w:r>
      <w:r w:rsidR="00A95A76" w:rsidRPr="00A95A76">
        <w:rPr>
          <w:lang w:val="ru-RU"/>
        </w:rPr>
        <w:t>]</w:t>
      </w:r>
      <w:r w:rsidRPr="00794712">
        <w:rPr>
          <w:lang w:val="ru-RU"/>
        </w:rPr>
        <w:t>，即为我们的救赎而道成肉身的独生子</w:t>
      </w:r>
      <w:r w:rsidR="005864AB">
        <w:rPr>
          <w:lang w:val="ru-RU"/>
        </w:rPr>
        <w:t>（约翰福音</w:t>
      </w:r>
      <w:r w:rsidRPr="00794712">
        <w:rPr>
          <w:lang w:val="ru-RU"/>
        </w:rPr>
        <w:t xml:space="preserve"> 3</w:t>
      </w:r>
      <w:r w:rsidRPr="000B6B83">
        <w:rPr>
          <w:lang w:val="ru-RU"/>
        </w:rPr>
        <w:t>:</w:t>
      </w:r>
      <w:r w:rsidRPr="00794712">
        <w:rPr>
          <w:lang w:val="ru-RU"/>
        </w:rPr>
        <w:t>16）——随后：</w:t>
      </w:r>
      <w:r w:rsidR="00A95A76" w:rsidRPr="00A95A76">
        <w:rPr>
          <w:b/>
          <w:lang w:val="ru-RU"/>
        </w:rPr>
        <w:t>a)</w:t>
      </w:r>
      <w:r w:rsidRPr="00794712">
        <w:rPr>
          <w:lang w:val="ru-RU"/>
        </w:rPr>
        <w:t xml:space="preserve"> 要求所有人信靠祂：</w:t>
      </w:r>
      <w:r w:rsidRPr="00FC5DF2">
        <w:rPr>
          <w:i/>
          <w:iCs/>
          <w:lang w:val="ru-RU"/>
        </w:rPr>
        <w:t>“神的工作，就是叫你们信祂所差来的那一位”</w:t>
      </w:r>
      <w:r w:rsidR="005864AB">
        <w:rPr>
          <w:lang w:val="ru-RU"/>
        </w:rPr>
        <w:t>（约翰福音</w:t>
      </w:r>
      <w:r w:rsidRPr="00794712">
        <w:rPr>
          <w:lang w:val="ru-RU"/>
        </w:rPr>
        <w:t xml:space="preserve"> 6</w:t>
      </w:r>
      <w:r w:rsidR="002A7613">
        <w:rPr>
          <w:lang w:val="ru-RU"/>
        </w:rPr>
        <w:t>:</w:t>
      </w:r>
      <w:r w:rsidRPr="00794712">
        <w:rPr>
          <w:lang w:val="ru-RU"/>
        </w:rPr>
        <w:t xml:space="preserve">29）； </w:t>
      </w:r>
      <w:r w:rsidRPr="00FC5DF2">
        <w:rPr>
          <w:i/>
          <w:iCs/>
          <w:lang w:val="ru-RU"/>
        </w:rPr>
        <w:t>“你们要信神，也要信我”</w:t>
      </w:r>
      <w:r w:rsidR="005864AB">
        <w:rPr>
          <w:lang w:val="ru-RU"/>
        </w:rPr>
        <w:t>（</w:t>
      </w:r>
      <w:r w:rsidRPr="00794712">
        <w:rPr>
          <w:lang w:val="ru-RU"/>
        </w:rPr>
        <w:t>约14</w:t>
      </w:r>
      <w:r>
        <w:rPr>
          <w:lang w:val="ru-RU"/>
        </w:rPr>
        <w:t>:</w:t>
      </w:r>
      <w:r w:rsidRPr="00794712">
        <w:rPr>
          <w:lang w:val="ru-RU"/>
        </w:rPr>
        <w:t>1）；</w:t>
      </w:r>
      <w:r w:rsidRPr="00FC5DF2">
        <w:rPr>
          <w:i/>
          <w:iCs/>
          <w:lang w:val="ru-RU"/>
        </w:rPr>
        <w:t>“信我的，就有永生”</w:t>
      </w:r>
      <w:r w:rsidRPr="00794712">
        <w:rPr>
          <w:lang w:val="ru-RU"/>
        </w:rPr>
        <w:t>（约6</w:t>
      </w:r>
      <w:r w:rsidRPr="00FC5DF2">
        <w:rPr>
          <w:lang w:val="ru-RU"/>
        </w:rPr>
        <w:t>:</w:t>
      </w:r>
      <w:r w:rsidRPr="00794712">
        <w:rPr>
          <w:lang w:val="ru-RU"/>
        </w:rPr>
        <w:t>47）；</w:t>
      </w:r>
      <w:r w:rsidR="00A95A76" w:rsidRPr="00A95A76">
        <w:rPr>
          <w:b/>
          <w:lang w:val="ru-RU"/>
        </w:rPr>
        <w:t>b)</w:t>
      </w:r>
      <w:r w:rsidRPr="00794712">
        <w:rPr>
          <w:lang w:val="ru-RU"/>
        </w:rPr>
        <w:t xml:space="preserve"> 要求人们爱祂并遵守祂的诫命：</w:t>
      </w:r>
      <w:r w:rsidRPr="00FC5DF2">
        <w:rPr>
          <w:i/>
          <w:iCs/>
          <w:lang w:val="ru-RU"/>
        </w:rPr>
        <w:t>“你们要常在我爱里”</w:t>
      </w:r>
      <w:r w:rsidR="005864AB">
        <w:rPr>
          <w:lang w:val="ru-RU"/>
        </w:rPr>
        <w:t>（约</w:t>
      </w:r>
      <w:r w:rsidRPr="00794712">
        <w:rPr>
          <w:lang w:val="ru-RU"/>
        </w:rPr>
        <w:t>15</w:t>
      </w:r>
      <w:r w:rsidRPr="00FC5DF2">
        <w:rPr>
          <w:lang w:val="ru-RU"/>
        </w:rPr>
        <w:t>:</w:t>
      </w:r>
      <w:r w:rsidRPr="00794712">
        <w:rPr>
          <w:lang w:val="ru-RU"/>
        </w:rPr>
        <w:t xml:space="preserve">9）； </w:t>
      </w:r>
      <w:r w:rsidRPr="00FC5DF2">
        <w:rPr>
          <w:i/>
          <w:iCs/>
          <w:lang w:val="ru-RU"/>
        </w:rPr>
        <w:t>“你们若爱我，就必遵守我的诫命”</w:t>
      </w:r>
      <w:r w:rsidRPr="00794712">
        <w:rPr>
          <w:lang w:val="ru-RU"/>
        </w:rPr>
        <w:t>（约14</w:t>
      </w:r>
      <w:r w:rsidRPr="00FC5DF2">
        <w:rPr>
          <w:lang w:val="ru-RU"/>
        </w:rPr>
        <w:t>:</w:t>
      </w:r>
      <w:r w:rsidRPr="00794712">
        <w:rPr>
          <w:lang w:val="ru-RU"/>
        </w:rPr>
        <w:t>15）；</w:t>
      </w:r>
      <w:r w:rsidR="00A95A76" w:rsidRPr="00A95A76">
        <w:rPr>
          <w:b/>
          <w:lang w:val="ru-RU"/>
        </w:rPr>
        <w:t>c）</w:t>
      </w:r>
      <w:r w:rsidRPr="00794712">
        <w:rPr>
          <w:lang w:val="ru-RU"/>
        </w:rPr>
        <w:t>要求向祂献上神圣的敬拜：</w:t>
      </w:r>
      <w:r w:rsidRPr="00FC5DF2">
        <w:rPr>
          <w:i/>
          <w:iCs/>
          <w:lang w:val="ru-RU"/>
        </w:rPr>
        <w:t>“叫众人尊敬儿子，如</w:t>
      </w:r>
      <w:r w:rsidRPr="00FC5DF2">
        <w:rPr>
          <w:i/>
          <w:iCs/>
          <w:lang w:val="ru-RU"/>
        </w:rPr>
        <w:lastRenderedPageBreak/>
        <w:t>同尊敬父一样。 不尊敬子的，就是不尊敬 差遣祂的父”</w:t>
      </w:r>
      <w:r w:rsidR="005864AB">
        <w:rPr>
          <w:lang w:val="ru-RU"/>
        </w:rPr>
        <w:t>（</w:t>
      </w:r>
      <w:r w:rsidRPr="00794712">
        <w:rPr>
          <w:lang w:val="ru-RU"/>
        </w:rPr>
        <w:t>约5</w:t>
      </w:r>
      <w:r w:rsidRPr="00FC5DF2">
        <w:rPr>
          <w:lang w:val="ru-RU"/>
        </w:rPr>
        <w:t>:</w:t>
      </w:r>
      <w:r w:rsidRPr="00794712">
        <w:rPr>
          <w:lang w:val="ru-RU"/>
        </w:rPr>
        <w:t>23）。祂的律法如下：</w:t>
      </w:r>
      <w:r w:rsidR="00A95A76" w:rsidRPr="00A95A76">
        <w:rPr>
          <w:b/>
          <w:lang w:val="ru-RU"/>
        </w:rPr>
        <w:t>a）</w:t>
      </w:r>
      <w:r w:rsidRPr="00794712">
        <w:rPr>
          <w:lang w:val="ru-RU"/>
        </w:rPr>
        <w:t>关于所有人都必须领受洗礼的诫命</w:t>
      </w:r>
      <w:r w:rsidR="005864AB">
        <w:rPr>
          <w:lang w:val="ru-RU"/>
        </w:rPr>
        <w:t>（可16</w:t>
      </w:r>
      <w:r w:rsidRPr="00FC5DF2">
        <w:rPr>
          <w:lang w:val="ru-RU"/>
        </w:rPr>
        <w:t>:</w:t>
      </w:r>
      <w:r w:rsidRPr="00794712">
        <w:rPr>
          <w:lang w:val="ru-RU"/>
        </w:rPr>
        <w:t>16；</w:t>
      </w:r>
      <w:r w:rsidR="0087297C">
        <w:rPr>
          <w:lang w:val="ru-RU"/>
        </w:rPr>
        <w:t xml:space="preserve"> 约3</w:t>
      </w:r>
      <w:r w:rsidRPr="00FC5DF2">
        <w:rPr>
          <w:lang w:val="ru-RU"/>
        </w:rPr>
        <w:t>:</w:t>
      </w:r>
      <w:r w:rsidRPr="00794712">
        <w:rPr>
          <w:lang w:val="ru-RU"/>
        </w:rPr>
        <w:t>5），祂以此取代了旧约的割礼（西2</w:t>
      </w:r>
      <w:r w:rsidRPr="00FC5DF2">
        <w:rPr>
          <w:lang w:val="ru-RU"/>
        </w:rPr>
        <w:t>:</w:t>
      </w:r>
      <w:r w:rsidR="00F45CFB" w:rsidRPr="00F45CFB">
        <w:rPr>
          <w:b/>
          <w:lang w:val="ru-RU"/>
        </w:rPr>
        <w:t>11-12）</w:t>
      </w:r>
      <w:r w:rsidRPr="00794712">
        <w:rPr>
          <w:lang w:val="ru-RU"/>
        </w:rPr>
        <w:t>；</w:t>
      </w:r>
      <w:r w:rsidR="00A95A76" w:rsidRPr="00A95A76">
        <w:rPr>
          <w:b/>
          <w:lang w:val="ru-RU"/>
        </w:rPr>
        <w:t>b)</w:t>
      </w:r>
      <w:r w:rsidRPr="00794712">
        <w:rPr>
          <w:lang w:val="ru-RU"/>
        </w:rPr>
        <w:t xml:space="preserve"> 关于所有人都必须领受圣餐</w:t>
      </w:r>
      <w:r w:rsidR="005864AB">
        <w:rPr>
          <w:lang w:val="ru-RU"/>
        </w:rPr>
        <w:t>（</w:t>
      </w:r>
      <w:r w:rsidRPr="00794712">
        <w:rPr>
          <w:lang w:val="ru-RU"/>
        </w:rPr>
        <w:t>约6</w:t>
      </w:r>
      <w:r w:rsidRPr="00FC5DF2">
        <w:rPr>
          <w:lang w:val="ru-RU"/>
        </w:rPr>
        <w:t>:</w:t>
      </w:r>
      <w:r w:rsidRPr="00794712">
        <w:rPr>
          <w:lang w:val="ru-RU"/>
        </w:rPr>
        <w:t>53-58），祂以此取代了旧约的祭物和供物</w:t>
      </w:r>
      <w:r w:rsidR="000A57C3">
        <w:rPr>
          <w:lang w:val="ru-RU"/>
        </w:rPr>
        <w:t>（</w:t>
      </w:r>
      <w:r w:rsidRPr="00794712">
        <w:rPr>
          <w:lang w:val="ru-RU"/>
        </w:rPr>
        <w:t>太16</w:t>
      </w:r>
      <w:r w:rsidRPr="00FC5DF2">
        <w:rPr>
          <w:lang w:val="ru-RU"/>
        </w:rPr>
        <w:t>:</w:t>
      </w:r>
      <w:r w:rsidRPr="00794712">
        <w:rPr>
          <w:lang w:val="ru-RU"/>
        </w:rPr>
        <w:t>28； 林前11</w:t>
      </w:r>
      <w:r w:rsidRPr="00FC5DF2">
        <w:rPr>
          <w:lang w:val="ru-RU"/>
        </w:rPr>
        <w:t>:</w:t>
      </w:r>
      <w:r w:rsidRPr="00794712">
        <w:rPr>
          <w:lang w:val="ru-RU"/>
        </w:rPr>
        <w:t>25）；</w:t>
      </w:r>
      <w:r w:rsidR="00A95A76" w:rsidRPr="00A95A76">
        <w:rPr>
          <w:b/>
          <w:lang w:val="ru-RU"/>
        </w:rPr>
        <w:t>c）</w:t>
      </w:r>
      <w:r w:rsidRPr="00794712">
        <w:rPr>
          <w:lang w:val="ru-RU"/>
        </w:rPr>
        <w:t xml:space="preserve">关于婚姻不可解除的原则——除特殊情况外，无论何种过错均不可解除，而旧约中因犹太人的顽固，却允许他们解除婚姻 </w:t>
      </w:r>
      <w:r w:rsidR="000A57C3">
        <w:rPr>
          <w:lang w:val="ru-RU"/>
        </w:rPr>
        <w:t>[(太</w:t>
      </w:r>
      <w:r w:rsidRPr="00794712">
        <w:rPr>
          <w:lang w:val="ru-RU"/>
        </w:rPr>
        <w:t>19</w:t>
      </w:r>
      <w:r w:rsidRPr="00FC5DF2">
        <w:rPr>
          <w:lang w:val="ru-RU"/>
        </w:rPr>
        <w:t>:</w:t>
      </w:r>
      <w:r w:rsidRPr="00794712">
        <w:rPr>
          <w:lang w:val="ru-RU"/>
        </w:rPr>
        <w:t>3-9</w:t>
      </w:r>
      <w:r w:rsidR="004F07F1" w:rsidRPr="004F07F1">
        <w:rPr>
          <w:lang w:val="ru-RU"/>
        </w:rPr>
        <w:t>)</w:t>
      </w:r>
      <w:r w:rsidRPr="00794712">
        <w:rPr>
          <w:lang w:val="ru-RU"/>
        </w:rPr>
        <w:t xml:space="preserve">； </w:t>
      </w:r>
      <w:r w:rsidR="004F07F1" w:rsidRPr="004F07F1">
        <w:rPr>
          <w:lang w:val="ru-RU"/>
        </w:rPr>
        <w:t>（</w:t>
      </w:r>
      <w:r w:rsidRPr="00794712">
        <w:rPr>
          <w:lang w:val="ru-RU"/>
        </w:rPr>
        <w:t>可10</w:t>
      </w:r>
      <w:r w:rsidRPr="00FC5DF2">
        <w:rPr>
          <w:lang w:val="ru-RU"/>
        </w:rPr>
        <w:t>:</w:t>
      </w:r>
      <w:r w:rsidRPr="00794712">
        <w:rPr>
          <w:lang w:val="ru-RU"/>
        </w:rPr>
        <w:t>2-9）</w:t>
      </w:r>
      <w:r w:rsidR="004F07F1" w:rsidRPr="004F07F1">
        <w:rPr>
          <w:lang w:val="ru-RU"/>
        </w:rPr>
        <w:t>]</w:t>
      </w:r>
      <w:r w:rsidRPr="00794712">
        <w:rPr>
          <w:lang w:val="ru-RU"/>
        </w:rPr>
        <w:t>；</w:t>
      </w:r>
      <w:r w:rsidR="00A95A76" w:rsidRPr="00A95A76">
        <w:rPr>
          <w:b/>
          <w:lang w:val="ru-RU"/>
        </w:rPr>
        <w:t>d）</w:t>
      </w:r>
      <w:r w:rsidRPr="00794712">
        <w:rPr>
          <w:lang w:val="ru-RU"/>
        </w:rPr>
        <w:t>关于新约教会层级的设立</w:t>
      </w:r>
      <w:r w:rsidR="004F07F1" w:rsidRPr="004F07F1">
        <w:rPr>
          <w:lang w:val="ru-RU"/>
        </w:rPr>
        <w:t>[</w:t>
      </w:r>
      <w:r w:rsidR="008A3626">
        <w:rPr>
          <w:lang w:val="ru-RU"/>
        </w:rPr>
        <w:t>（路</w:t>
      </w:r>
      <w:r w:rsidRPr="00794712">
        <w:rPr>
          <w:lang w:val="ru-RU"/>
        </w:rPr>
        <w:t>6</w:t>
      </w:r>
      <w:r w:rsidRPr="00FC5DF2">
        <w:rPr>
          <w:lang w:val="ru-RU"/>
        </w:rPr>
        <w:t>:</w:t>
      </w:r>
      <w:r w:rsidRPr="00794712">
        <w:rPr>
          <w:lang w:val="ru-RU"/>
        </w:rPr>
        <w:t>13</w:t>
      </w:r>
      <w:r w:rsidR="004F07F1" w:rsidRPr="004F07F1">
        <w:rPr>
          <w:lang w:val="ru-RU"/>
        </w:rPr>
        <w:t>）</w:t>
      </w:r>
      <w:r w:rsidRPr="00794712">
        <w:rPr>
          <w:lang w:val="ru-RU"/>
        </w:rPr>
        <w:t>；</w:t>
      </w:r>
      <w:r w:rsidR="004F07F1" w:rsidRPr="004F07F1">
        <w:rPr>
          <w:lang w:val="ru-RU"/>
        </w:rPr>
        <w:t>（</w:t>
      </w:r>
      <w:r w:rsidRPr="00794712">
        <w:rPr>
          <w:lang w:val="ru-RU"/>
        </w:rPr>
        <w:t>弗4</w:t>
      </w:r>
      <w:r w:rsidRPr="00FC5DF2">
        <w:rPr>
          <w:lang w:val="ru-RU"/>
        </w:rPr>
        <w:t>:</w:t>
      </w:r>
      <w:r w:rsidRPr="00794712">
        <w:rPr>
          <w:lang w:val="ru-RU"/>
        </w:rPr>
        <w:t>11）</w:t>
      </w:r>
      <w:r w:rsidR="004F07F1" w:rsidRPr="004F07F1">
        <w:rPr>
          <w:lang w:val="ru-RU"/>
        </w:rPr>
        <w:t>]</w:t>
      </w:r>
      <w:r w:rsidRPr="00794712">
        <w:rPr>
          <w:lang w:val="ru-RU"/>
        </w:rPr>
        <w:t>，以取代旧约中出自利未支派、遵循亚伦传承的祭司。 而正如使徒所言，现今的祭司职分，因着需要和律法，会有所改变（希伯来书 7</w:t>
      </w:r>
      <w:r w:rsidRPr="00FC5DF2">
        <w:rPr>
          <w:lang w:val="ru-RU"/>
        </w:rPr>
        <w:t>:</w:t>
      </w:r>
      <w:r w:rsidRPr="00794712">
        <w:rPr>
          <w:lang w:val="ru-RU"/>
        </w:rPr>
        <w:t>12）。</w:t>
      </w:r>
    </w:p>
    <w:p w14:paraId="528E9916" w14:textId="77777777" w:rsidR="00D85B34" w:rsidRPr="00794712" w:rsidRDefault="00F45CFB" w:rsidP="00D85B34">
      <w:pPr>
        <w:ind w:firstLine="708"/>
        <w:rPr>
          <w:lang w:val="ru-RU"/>
        </w:rPr>
      </w:pPr>
      <w:r w:rsidRPr="00F45CFB">
        <w:rPr>
          <w:b/>
          <w:lang w:val="ru-RU"/>
        </w:rPr>
        <w:t>2)</w:t>
      </w:r>
      <w:r w:rsidR="00D85B34" w:rsidRPr="00794712">
        <w:rPr>
          <w:lang w:val="ru-RU"/>
        </w:rPr>
        <w:t xml:space="preserve"> 有一条律法，比摩西律法——即旧约律法——更为完美。因为：</w:t>
      </w:r>
    </w:p>
    <w:p w14:paraId="4393C014"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摩西律法仅是为福音作预备，是</w:t>
      </w:r>
      <w:r w:rsidRPr="002F5742">
        <w:rPr>
          <w:i/>
          <w:iCs/>
          <w:lang w:val="ru-RU"/>
        </w:rPr>
        <w:t>引导人归向基督的保姆</w:t>
      </w:r>
      <w:r w:rsidRPr="00794712">
        <w:rPr>
          <w:lang w:val="ru-RU"/>
        </w:rPr>
        <w:t>（加拉太书 3</w:t>
      </w:r>
      <w:r>
        <w:rPr>
          <w:lang w:val="ru-RU"/>
        </w:rPr>
        <w:t>:</w:t>
      </w:r>
      <w:r w:rsidRPr="00794712">
        <w:rPr>
          <w:lang w:val="ru-RU"/>
        </w:rPr>
        <w:t>24）。 前者</w:t>
      </w:r>
      <w:r w:rsidRPr="002F5742">
        <w:rPr>
          <w:i/>
          <w:iCs/>
          <w:lang w:val="ru-RU"/>
        </w:rPr>
        <w:t>只是未来福分的</w:t>
      </w:r>
      <w:r w:rsidRPr="00794712">
        <w:rPr>
          <w:lang w:val="ru-RU"/>
        </w:rPr>
        <w:t>影子，而福音律法则呈现</w:t>
      </w:r>
      <w:r w:rsidRPr="002F5742">
        <w:rPr>
          <w:i/>
          <w:iCs/>
          <w:lang w:val="ru-RU"/>
        </w:rPr>
        <w:t>了事物的真实样貌</w:t>
      </w:r>
      <w:r w:rsidRPr="00794712">
        <w:rPr>
          <w:lang w:val="ru-RU"/>
        </w:rPr>
        <w:t>（希伯来书 10</w:t>
      </w:r>
      <w:r>
        <w:rPr>
          <w:lang w:val="ru-RU"/>
        </w:rPr>
        <w:t>:</w:t>
      </w:r>
      <w:r w:rsidRPr="00794712">
        <w:rPr>
          <w:lang w:val="ru-RU"/>
        </w:rPr>
        <w:t>1）；前者仅有关于弥赛亚的应许、预言和预表；后者则显明了这些应许、预言和预表的实际成就。</w:t>
      </w:r>
      <w:r w:rsidR="002A7613">
        <w:rPr>
          <w:rStyle w:val="FootnoteReference"/>
          <w:lang w:val="ru-RU"/>
        </w:rPr>
        <w:footnoteReference w:id="322"/>
      </w:r>
    </w:p>
    <w:p w14:paraId="163C8600"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福音律法以无可比拟的完整性和清晰度阐明了信仰中最重要的真理：关于至圣三位一体的奥秘、道成肉身的奥秘、救赎、重生、藉圣灵恩典使我们成圣，以及来世的生命，而旧约中对此仅是略有提及。</w:t>
      </w:r>
    </w:p>
    <w:p w14:paraId="2AED737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在福音律法中，尤其是救主在山上所讲的训诲里，所描绘的道德真理和美德，比如： 宽宏大量地忍受并宽恕冒犯、爱仇敌、自我牺牲与谦卑、作为对全善之父的顺服，以及不仅在肉体上、更在灵性上的贞洁</w:t>
      </w:r>
      <w:r w:rsidR="00F45CFB" w:rsidRPr="00F45CFB">
        <w:rPr>
          <w:lang w:val="ru-RU"/>
        </w:rPr>
        <w:t>[</w:t>
      </w:r>
      <w:r w:rsidR="00224D5E">
        <w:rPr>
          <w:lang w:val="ru-RU"/>
        </w:rPr>
        <w:t>(太</w:t>
      </w:r>
      <w:r w:rsidRPr="00794712">
        <w:rPr>
          <w:lang w:val="ru-RU"/>
        </w:rPr>
        <w:t xml:space="preserve"> 5-7</w:t>
      </w:r>
      <w:r w:rsidR="00F45CFB">
        <w:rPr>
          <w:lang w:val="ru-RU"/>
        </w:rPr>
        <w:t>)</w:t>
      </w:r>
      <w:r w:rsidRPr="00794712">
        <w:rPr>
          <w:lang w:val="ru-RU"/>
        </w:rPr>
        <w:t xml:space="preserve">； </w:t>
      </w:r>
      <w:r w:rsidR="00F45CFB">
        <w:rPr>
          <w:lang w:val="ru-RU"/>
        </w:rPr>
        <w:t>（马太福音</w:t>
      </w:r>
      <w:r w:rsidRPr="00794712">
        <w:rPr>
          <w:lang w:val="ru-RU"/>
        </w:rPr>
        <w:t xml:space="preserve"> 11</w:t>
      </w:r>
      <w:r>
        <w:rPr>
          <w:lang w:val="ru-RU"/>
        </w:rPr>
        <w:t>:</w:t>
      </w:r>
      <w:r w:rsidRPr="00794712">
        <w:rPr>
          <w:lang w:val="ru-RU"/>
        </w:rPr>
        <w:t>29）</w:t>
      </w:r>
      <w:r w:rsidR="00F45CFB" w:rsidRPr="00F45CFB">
        <w:rPr>
          <w:lang w:val="ru-RU"/>
        </w:rPr>
        <w:t>]</w:t>
      </w:r>
      <w:r w:rsidRPr="00794712">
        <w:rPr>
          <w:lang w:val="ru-RU"/>
        </w:rPr>
        <w:t>、基督徒之间以救主对他们的爱为最高典范的彼此相爱</w:t>
      </w:r>
      <w:r w:rsidR="005864AB">
        <w:rPr>
          <w:lang w:val="ru-RU"/>
        </w:rPr>
        <w:t>（约翰福音</w:t>
      </w:r>
      <w:r w:rsidRPr="00794712">
        <w:rPr>
          <w:lang w:val="ru-RU"/>
        </w:rPr>
        <w:t xml:space="preserve"> 13</w:t>
      </w:r>
      <w:r>
        <w:rPr>
          <w:lang w:val="ru-RU"/>
        </w:rPr>
        <w:t>:</w:t>
      </w:r>
      <w:r w:rsidR="00F45CFB" w:rsidRPr="00F45CFB">
        <w:rPr>
          <w:b/>
          <w:lang w:val="ru-RU"/>
        </w:rPr>
        <w:t>34）</w:t>
      </w:r>
      <w:r w:rsidRPr="00794712">
        <w:rPr>
          <w:lang w:val="ru-RU"/>
        </w:rPr>
        <w:t>等。</w:t>
      </w:r>
    </w:p>
    <w:p w14:paraId="727337F4" w14:textId="77777777" w:rsidR="00D85B34" w:rsidRPr="00794712" w:rsidRDefault="00D85B34" w:rsidP="00D85B34">
      <w:pPr>
        <w:rPr>
          <w:lang w:val="ru-RU"/>
        </w:rPr>
      </w:pPr>
      <w:r w:rsidRPr="00794712">
        <w:rPr>
          <w:lang w:val="ru-RU"/>
        </w:rPr>
        <w:tab/>
        <w:t>“律法禁止犯罪，”圣格里高利·神学家写道，“但人们却将动机和原因也视为罪过，几乎如同行为本身一般。律法说：</w:t>
      </w:r>
      <w:r w:rsidRPr="002538DD">
        <w:rPr>
          <w:i/>
          <w:iCs/>
          <w:lang w:val="ru-RU"/>
        </w:rPr>
        <w:t>‘</w:t>
      </w:r>
      <w:r w:rsidRPr="00FF140B">
        <w:rPr>
          <w:i/>
          <w:iCs/>
          <w:lang w:val="ru-RU"/>
        </w:rPr>
        <w:t>不可</w:t>
      </w:r>
      <w:r w:rsidRPr="002538DD">
        <w:rPr>
          <w:i/>
          <w:iCs/>
          <w:lang w:val="ru-RU"/>
        </w:rPr>
        <w:t>奸淫’</w:t>
      </w:r>
      <w:r w:rsidR="00224D5E">
        <w:rPr>
          <w:lang w:val="ru-RU"/>
        </w:rPr>
        <w:t>（马太福音</w:t>
      </w:r>
      <w:r w:rsidRPr="00794712">
        <w:rPr>
          <w:lang w:val="ru-RU"/>
        </w:rPr>
        <w:t xml:space="preserve"> 5</w:t>
      </w:r>
      <w:r w:rsidRPr="002538DD">
        <w:rPr>
          <w:lang w:val="ru-RU"/>
        </w:rPr>
        <w:t>:</w:t>
      </w:r>
      <w:r w:rsidRPr="00794712">
        <w:rPr>
          <w:lang w:val="ru-RU"/>
        </w:rPr>
        <w:t>27）。 而你连贪欲都不可有，不可用好奇而专注的目光点燃情欲。律法上说：</w:t>
      </w:r>
      <w:r w:rsidRPr="00FF140B">
        <w:rPr>
          <w:i/>
          <w:iCs/>
          <w:lang w:val="ru-RU"/>
        </w:rPr>
        <w:t>‘不可杀人’</w:t>
      </w:r>
      <w:r w:rsidR="00224D5E">
        <w:rPr>
          <w:lang w:val="ru-RU"/>
        </w:rPr>
        <w:t>（马太福音</w:t>
      </w:r>
      <w:r w:rsidRPr="00794712">
        <w:rPr>
          <w:lang w:val="ru-RU"/>
        </w:rPr>
        <w:t xml:space="preserve"> 5</w:t>
      </w:r>
      <w:r w:rsidRPr="00FF140B">
        <w:rPr>
          <w:lang w:val="ru-RU"/>
        </w:rPr>
        <w:t>:21</w:t>
      </w:r>
      <w:r w:rsidRPr="00794712">
        <w:rPr>
          <w:lang w:val="ru-RU"/>
        </w:rPr>
        <w:t>）。而你不仅不可因被击打而报复，甚至要将自己交在击打你的人手中。后者比前者要明智得多！ 律法说：</w:t>
      </w:r>
      <w:r w:rsidRPr="00FF140B">
        <w:rPr>
          <w:i/>
          <w:iCs/>
          <w:lang w:val="ru-RU"/>
        </w:rPr>
        <w:t>不可将房屋加在房屋上，也不可将田地加在田地上</w:t>
      </w:r>
      <w:r w:rsidRPr="00794712">
        <w:rPr>
          <w:lang w:val="ru-RU"/>
        </w:rPr>
        <w:t>（赛5</w:t>
      </w:r>
      <w:r>
        <w:rPr>
          <w:lang w:val="ru-RU"/>
        </w:rPr>
        <w:t>:</w:t>
      </w:r>
      <w:r w:rsidRPr="00794712">
        <w:rPr>
          <w:lang w:val="ru-RU"/>
        </w:rPr>
        <w:t>8），</w:t>
      </w:r>
      <w:r w:rsidRPr="00FF140B">
        <w:rPr>
          <w:i/>
          <w:iCs/>
          <w:lang w:val="ru-RU"/>
        </w:rPr>
        <w:t>以免欺压贫穷人和乞丐</w:t>
      </w:r>
      <w:r w:rsidRPr="00794712">
        <w:rPr>
          <w:lang w:val="ru-RU"/>
        </w:rPr>
        <w:t>（结22</w:t>
      </w:r>
      <w:r>
        <w:rPr>
          <w:lang w:val="ru-RU"/>
        </w:rPr>
        <w:t>:</w:t>
      </w:r>
      <w:r w:rsidRPr="00794712">
        <w:rPr>
          <w:lang w:val="ru-RU"/>
        </w:rPr>
        <w:t>29）。而你要甘心乐意地舍去凭公义所得的财物，向乞丐敞开自己，这样你才能轻松地背起十字架，并在看不见的事物中得着丰盛</w:t>
      </w:r>
      <w:r>
        <w:rPr>
          <w:lang w:val="ru-RU"/>
        </w:rPr>
        <w:t>。”</w:t>
      </w:r>
      <w:r w:rsidR="002A7613">
        <w:rPr>
          <w:rStyle w:val="FootnoteReference"/>
          <w:lang w:val="ru-RU"/>
        </w:rPr>
        <w:footnoteReference w:id="323"/>
      </w:r>
    </w:p>
    <w:p w14:paraId="49366D6C" w14:textId="77777777" w:rsidR="00D85B34" w:rsidRPr="00794712" w:rsidRDefault="00D85B34" w:rsidP="00D85B34">
      <w:pPr>
        <w:rPr>
          <w:lang w:val="ru-RU"/>
        </w:rPr>
      </w:pPr>
      <w:r w:rsidRPr="00794712">
        <w:rPr>
          <w:lang w:val="ru-RU"/>
        </w:rPr>
        <w:tab/>
      </w:r>
      <w:r w:rsidR="00A95A76" w:rsidRPr="00A95A76">
        <w:rPr>
          <w:b/>
          <w:lang w:val="ru-RU"/>
        </w:rPr>
        <w:t>d)</w:t>
      </w:r>
      <w:r w:rsidRPr="00794712">
        <w:rPr>
          <w:lang w:val="ru-RU"/>
        </w:rPr>
        <w:t xml:space="preserve"> 最后，福音律法为人们提供了比摩西律法更高尚、更纯洁的动机，促使他们遵行神的旨意。后者——至少从字面意义上理解——在此情况下仅限于应许暂时的福分</w:t>
      </w:r>
      <w:r w:rsidR="00F45CFB" w:rsidRPr="00F45CFB">
        <w:rPr>
          <w:lang w:val="ru-RU"/>
        </w:rPr>
        <w:t>[</w:t>
      </w:r>
      <w:r w:rsidRPr="00794712">
        <w:rPr>
          <w:lang w:val="ru-RU"/>
        </w:rPr>
        <w:t>(出 20</w:t>
      </w:r>
      <w:r>
        <w:rPr>
          <w:lang w:val="ru-RU"/>
        </w:rPr>
        <w:t>:</w:t>
      </w:r>
      <w:r w:rsidRPr="00794712">
        <w:rPr>
          <w:lang w:val="ru-RU"/>
        </w:rPr>
        <w:t>12</w:t>
      </w:r>
      <w:r w:rsidR="00F45CFB" w:rsidRPr="00F45CFB">
        <w:rPr>
          <w:lang w:val="ru-RU"/>
        </w:rPr>
        <w:t>)</w:t>
      </w:r>
      <w:r w:rsidRPr="00794712">
        <w:rPr>
          <w:lang w:val="ru-RU"/>
        </w:rPr>
        <w:t xml:space="preserve">； </w:t>
      </w:r>
      <w:r w:rsidR="00F45CFB" w:rsidRPr="00F45CFB">
        <w:rPr>
          <w:lang w:val="ru-RU"/>
        </w:rPr>
        <w:t>(</w:t>
      </w:r>
      <w:r w:rsidRPr="00794712">
        <w:rPr>
          <w:lang w:val="ru-RU"/>
        </w:rPr>
        <w:t>利未记 26</w:t>
      </w:r>
      <w:r>
        <w:rPr>
          <w:lang w:val="ru-RU"/>
        </w:rPr>
        <w:t>:</w:t>
      </w:r>
      <w:r w:rsidRPr="00794712">
        <w:rPr>
          <w:lang w:val="ru-RU"/>
        </w:rPr>
        <w:t>3</w:t>
      </w:r>
      <w:r w:rsidR="00F45CFB" w:rsidRPr="00F45CFB">
        <w:rPr>
          <w:lang w:val="ru-RU"/>
        </w:rPr>
        <w:t>)</w:t>
      </w:r>
      <w:r w:rsidRPr="00794712">
        <w:rPr>
          <w:lang w:val="ru-RU"/>
        </w:rPr>
        <w:t>；</w:t>
      </w:r>
      <w:r w:rsidR="00F45CFB" w:rsidRPr="00F45CFB">
        <w:rPr>
          <w:lang w:val="ru-RU"/>
        </w:rPr>
        <w:t>(</w:t>
      </w:r>
      <w:r w:rsidRPr="00794712">
        <w:rPr>
          <w:lang w:val="ru-RU"/>
        </w:rPr>
        <w:t xml:space="preserve">申命记 </w:t>
      </w:r>
      <w:r w:rsidRPr="00794712">
        <w:rPr>
          <w:lang w:val="ru-RU"/>
        </w:rPr>
        <w:lastRenderedPageBreak/>
        <w:t>28</w:t>
      </w:r>
      <w:r>
        <w:rPr>
          <w:lang w:val="ru-RU"/>
        </w:rPr>
        <w:t>:</w:t>
      </w:r>
      <w:r w:rsidRPr="00794712">
        <w:rPr>
          <w:lang w:val="ru-RU"/>
        </w:rPr>
        <w:t>2)</w:t>
      </w:r>
      <w:r w:rsidR="00F45CFB" w:rsidRPr="00F45CFB">
        <w:rPr>
          <w:lang w:val="ru-RU"/>
        </w:rPr>
        <w:t>]</w:t>
      </w:r>
      <w:r w:rsidRPr="00794712">
        <w:rPr>
          <w:lang w:val="ru-RU"/>
        </w:rPr>
        <w:t xml:space="preserve">，而福音律法则主要甚至完全指向永恒的、属灵的福分，以及来世的生命 </w:t>
      </w:r>
      <w:r w:rsidR="00F45CFB" w:rsidRPr="00BD6C1B">
        <w:rPr>
          <w:lang w:val="ru-RU"/>
        </w:rPr>
        <w:t>[</w:t>
      </w:r>
      <w:r w:rsidR="000A57C3">
        <w:rPr>
          <w:lang w:val="ru-RU"/>
        </w:rPr>
        <w:t>(马太福音</w:t>
      </w:r>
      <w:r w:rsidRPr="00794712">
        <w:rPr>
          <w:lang w:val="ru-RU"/>
        </w:rPr>
        <w:t xml:space="preserve"> 5</w:t>
      </w:r>
      <w:r>
        <w:rPr>
          <w:lang w:val="ru-RU"/>
        </w:rPr>
        <w:t>:</w:t>
      </w:r>
      <w:r w:rsidRPr="00794712">
        <w:rPr>
          <w:lang w:val="ru-RU"/>
        </w:rPr>
        <w:t>1-12</w:t>
      </w:r>
      <w:r w:rsidR="00F45CFB" w:rsidRPr="00BD6C1B">
        <w:rPr>
          <w:lang w:val="ru-RU"/>
        </w:rPr>
        <w:t>)</w:t>
      </w:r>
      <w:r>
        <w:rPr>
          <w:lang w:val="ru-RU"/>
        </w:rPr>
        <w:t>，</w:t>
      </w:r>
      <w:r w:rsidR="00F45CFB" w:rsidRPr="00BD6C1B">
        <w:rPr>
          <w:lang w:val="ru-RU"/>
        </w:rPr>
        <w:t>(</w:t>
      </w:r>
      <w:r w:rsidR="00F45CFB">
        <w:rPr>
          <w:lang w:val="ru-RU"/>
        </w:rPr>
        <w:t>马太福音</w:t>
      </w:r>
      <w:r w:rsidRPr="00794712">
        <w:rPr>
          <w:lang w:val="ru-RU"/>
        </w:rPr>
        <w:t xml:space="preserve"> 19-20</w:t>
      </w:r>
      <w:r w:rsidR="00F45CFB" w:rsidRPr="00BD6C1B">
        <w:rPr>
          <w:lang w:val="ru-RU"/>
        </w:rPr>
        <w:t>)</w:t>
      </w:r>
      <w:r w:rsidRPr="00794712">
        <w:rPr>
          <w:lang w:val="ru-RU"/>
        </w:rPr>
        <w:t>；</w:t>
      </w:r>
      <w:r w:rsidR="00F45CFB" w:rsidRPr="00BD6C1B">
        <w:rPr>
          <w:lang w:val="ru-RU"/>
        </w:rPr>
        <w:t>(</w:t>
      </w:r>
      <w:r w:rsidR="00F45CFB">
        <w:rPr>
          <w:lang w:val="ru-RU"/>
        </w:rPr>
        <w:t>马太福音</w:t>
      </w:r>
      <w:r w:rsidRPr="00794712">
        <w:rPr>
          <w:lang w:val="ru-RU"/>
        </w:rPr>
        <w:t xml:space="preserve"> 19</w:t>
      </w:r>
      <w:r>
        <w:rPr>
          <w:lang w:val="ru-RU"/>
        </w:rPr>
        <w:t>:</w:t>
      </w:r>
      <w:r w:rsidRPr="00794712">
        <w:rPr>
          <w:lang w:val="ru-RU"/>
        </w:rPr>
        <w:t>28-29</w:t>
      </w:r>
      <w:r w:rsidR="00F45CFB" w:rsidRPr="00BD6C1B">
        <w:rPr>
          <w:lang w:val="ru-RU"/>
        </w:rPr>
        <w:t>)</w:t>
      </w:r>
      <w:r w:rsidRPr="00794712">
        <w:rPr>
          <w:lang w:val="ru-RU"/>
        </w:rPr>
        <w:t xml:space="preserve">； </w:t>
      </w:r>
      <w:r w:rsidR="00F45CFB" w:rsidRPr="00BD6C1B">
        <w:rPr>
          <w:lang w:val="ru-RU"/>
        </w:rPr>
        <w:t>(</w:t>
      </w:r>
      <w:r w:rsidR="00F45CFB">
        <w:rPr>
          <w:lang w:val="ru-RU"/>
        </w:rPr>
        <w:t>马太福音</w:t>
      </w:r>
      <w:r w:rsidRPr="00794712">
        <w:rPr>
          <w:lang w:val="ru-RU"/>
        </w:rPr>
        <w:t xml:space="preserve"> 25</w:t>
      </w:r>
      <w:r>
        <w:rPr>
          <w:lang w:val="ru-RU"/>
        </w:rPr>
        <w:t>:</w:t>
      </w:r>
      <w:r w:rsidRPr="00794712">
        <w:rPr>
          <w:lang w:val="ru-RU"/>
        </w:rPr>
        <w:t>34)</w:t>
      </w:r>
      <w:r w:rsidR="00F45CFB" w:rsidRPr="00BD6C1B">
        <w:rPr>
          <w:lang w:val="ru-RU"/>
        </w:rPr>
        <w:t>]</w:t>
      </w:r>
      <w:r w:rsidRPr="00794712">
        <w:rPr>
          <w:lang w:val="ru-RU"/>
        </w:rPr>
        <w:t>。</w:t>
      </w:r>
    </w:p>
    <w:p w14:paraId="4810A3B9" w14:textId="77777777" w:rsidR="00D85B34" w:rsidRPr="00794712" w:rsidRDefault="00D85B34" w:rsidP="00D85B34">
      <w:pPr>
        <w:rPr>
          <w:lang w:val="ru-RU"/>
        </w:rPr>
      </w:pPr>
      <w:r w:rsidRPr="00794712">
        <w:rPr>
          <w:lang w:val="ru-RU"/>
        </w:rPr>
        <w:tab/>
        <w:t>“圣约翰·金口说：‘这里所应许的，已不再是流淌着蜂蜜与牛奶的土地，不再是安享晚年，不再是子孙满堂，不再是面包和葡萄酒，也不再是羊群和牛群； 而是天堂与天上的福分，成为独生子的儿女并与祂结为兄弟，分享基业、荣耀与统治，以及其他无数的奖赏。</w:t>
      </w:r>
      <w:r>
        <w:rPr>
          <w:lang w:val="ru-RU"/>
        </w:rPr>
        <w:t>”</w:t>
      </w:r>
      <w:r w:rsidR="009B440A">
        <w:rPr>
          <w:rStyle w:val="FootnoteReference"/>
          <w:lang w:val="ru-RU"/>
        </w:rPr>
        <w:footnoteReference w:id="324"/>
      </w:r>
      <w:r w:rsidRPr="00794712">
        <w:rPr>
          <w:lang w:val="ru-RU"/>
        </w:rPr>
        <w:t xml:space="preserve"> 另一方面，摩西的道德律法与 的民事律法密不可分，几乎每一条诫命若被违背，都会面临死刑或其他刑罚的威胁，因此更多是靠恐惧来促使人行善，以致犹太人，用使徒的话说，处于</w:t>
      </w:r>
      <w:r>
        <w:rPr>
          <w:lang w:val="ru-RU"/>
        </w:rPr>
        <w:t>奴役的</w:t>
      </w:r>
      <w:r w:rsidRPr="00794712">
        <w:rPr>
          <w:lang w:val="ru-RU"/>
        </w:rPr>
        <w:t>轭之下（加拉太书 5</w:t>
      </w:r>
      <w:r>
        <w:rPr>
          <w:lang w:val="ru-RU"/>
        </w:rPr>
        <w:t>:</w:t>
      </w:r>
      <w:r w:rsidRPr="00794712">
        <w:rPr>
          <w:lang w:val="ru-RU"/>
        </w:rPr>
        <w:t xml:space="preserve">1）， 并受奴役之灵所驱使。相反，福音律法纯粹是道德和宗教性质的，它主要通过爱来激励人行善 </w:t>
      </w:r>
      <w:r w:rsidR="00F45CFB" w:rsidRPr="00F45CFB">
        <w:rPr>
          <w:lang w:val="ru-RU"/>
        </w:rPr>
        <w:t>[</w:t>
      </w:r>
      <w:r w:rsidR="005864AB">
        <w:rPr>
          <w:lang w:val="ru-RU"/>
        </w:rPr>
        <w:t>(约</w:t>
      </w:r>
      <w:r w:rsidRPr="00794712">
        <w:rPr>
          <w:lang w:val="ru-RU"/>
        </w:rPr>
        <w:t xml:space="preserve"> 3</w:t>
      </w:r>
      <w:r>
        <w:rPr>
          <w:lang w:val="ru-RU"/>
        </w:rPr>
        <w:t>:</w:t>
      </w:r>
      <w:r w:rsidRPr="00794712">
        <w:rPr>
          <w:lang w:val="ru-RU"/>
        </w:rPr>
        <w:t>16-17</w:t>
      </w:r>
      <w:r w:rsidR="00F45CFB" w:rsidRPr="00F45CFB">
        <w:rPr>
          <w:lang w:val="ru-RU"/>
        </w:rPr>
        <w:t>)</w:t>
      </w:r>
      <w:r w:rsidRPr="00794712">
        <w:rPr>
          <w:lang w:val="ru-RU"/>
        </w:rPr>
        <w:t>；</w:t>
      </w:r>
      <w:r w:rsidR="00FB2012">
        <w:rPr>
          <w:rFonts w:cs="Cambria Math"/>
          <w:lang w:val="ru-RU"/>
        </w:rPr>
        <w:t xml:space="preserve"> </w:t>
      </w:r>
      <w:r w:rsidR="00F45CFB" w:rsidRPr="00F45CFB">
        <w:rPr>
          <w:rFonts w:cs="Cambria Math"/>
          <w:lang w:val="ru-RU"/>
        </w:rPr>
        <w:t>（</w:t>
      </w:r>
      <w:r w:rsidRPr="00794712">
        <w:rPr>
          <w:lang w:val="ru-RU"/>
        </w:rPr>
        <w:t>约15</w:t>
      </w:r>
      <w:r>
        <w:rPr>
          <w:lang w:val="ru-RU"/>
        </w:rPr>
        <w:t>:</w:t>
      </w:r>
      <w:r w:rsidRPr="00794712">
        <w:rPr>
          <w:lang w:val="ru-RU"/>
        </w:rPr>
        <w:t>9-15）</w:t>
      </w:r>
      <w:r w:rsidR="00F45CFB" w:rsidRPr="00F45CFB">
        <w:rPr>
          <w:lang w:val="ru-RU"/>
        </w:rPr>
        <w:t>]</w:t>
      </w:r>
      <w:r w:rsidRPr="00794712">
        <w:rPr>
          <w:lang w:val="ru-RU"/>
        </w:rPr>
        <w:t>：</w:t>
      </w:r>
      <w:r w:rsidRPr="003E7319">
        <w:rPr>
          <w:lang w:val="ru-RU"/>
        </w:rPr>
        <w:t>“使徒将基督徒与犹太人相比较时说</w:t>
      </w:r>
      <w:r w:rsidRPr="003E7319">
        <w:rPr>
          <w:i/>
          <w:iCs/>
          <w:lang w:val="ru-RU"/>
        </w:rPr>
        <w:t>：‘你们没有领受那使你们重新活在恐惧中的奴役之灵，而是领受了使你们成为儿女的圣灵，借着祂，我们呼求：“阿爸，父啊！”’”</w:t>
      </w:r>
      <w:r w:rsidRPr="00794712">
        <w:rPr>
          <w:lang w:val="ru-RU"/>
        </w:rPr>
        <w:t>（罗8</w:t>
      </w:r>
      <w:r w:rsidRPr="003E7319">
        <w:rPr>
          <w:lang w:val="ru-RU"/>
        </w:rPr>
        <w:t>:</w:t>
      </w:r>
      <w:r w:rsidRPr="00794712">
        <w:rPr>
          <w:lang w:val="ru-RU"/>
        </w:rPr>
        <w:t xml:space="preserve">15）； </w:t>
      </w:r>
      <w:r w:rsidRPr="003E7319">
        <w:rPr>
          <w:i/>
          <w:iCs/>
          <w:lang w:val="ru-RU"/>
        </w:rPr>
        <w:t>“所以，你不再是奴仆，而是儿子；既然是儿子，就是借着耶稣基督作神的后嗣”</w:t>
      </w:r>
      <w:r w:rsidRPr="00794712">
        <w:rPr>
          <w:lang w:val="ru-RU"/>
        </w:rPr>
        <w:t>（加拉太书 4</w:t>
      </w:r>
      <w:r w:rsidRPr="003E7319">
        <w:rPr>
          <w:lang w:val="ru-RU"/>
        </w:rPr>
        <w:t>:</w:t>
      </w:r>
      <w:r w:rsidRPr="00794712">
        <w:rPr>
          <w:lang w:val="ru-RU"/>
        </w:rPr>
        <w:t>7）。</w:t>
      </w:r>
    </w:p>
    <w:p w14:paraId="4165C1BB" w14:textId="77777777" w:rsidR="00D85B34" w:rsidRPr="00794712" w:rsidRDefault="00F45CFB" w:rsidP="00D85B34">
      <w:pPr>
        <w:ind w:firstLine="708"/>
        <w:rPr>
          <w:lang w:val="ru-RU"/>
        </w:rPr>
      </w:pPr>
      <w:r w:rsidRPr="00F45CFB">
        <w:rPr>
          <w:b/>
          <w:lang w:val="ru-RU"/>
        </w:rPr>
        <w:t xml:space="preserve">3) </w:t>
      </w:r>
      <w:r w:rsidR="00D85B34" w:rsidRPr="00794712">
        <w:rPr>
          <w:lang w:val="ru-RU"/>
        </w:rPr>
        <w:t>以自己取代了摩西律法。关于用新的、更完美的、福音式的律法取代摩西律法——实际上即仪式律法和民事律法——</w:t>
      </w:r>
    </w:p>
    <w:p w14:paraId="77C5EE62"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这在《旧约》中早已被预言。例如，上帝对犹太人所说的以下话语：</w:t>
      </w:r>
      <w:r w:rsidRPr="009B0CA0">
        <w:rPr>
          <w:i/>
          <w:iCs/>
          <w:lang w:val="ru-RU"/>
        </w:rPr>
        <w:t>“你们当中若有人能把门锁上，免得在我祭坛上徒然点火，那该多好。 ‘我并不喜悦你们，’万军之耶和华说，‘你们手所献的祭也不蒙我喜悦。因为从日出之地到日落之处，我的名在万民中必为大；在各处人都要向我的名献上纯净的祭物，’”</w:t>
      </w:r>
      <w:r w:rsidRPr="00794712">
        <w:rPr>
          <w:lang w:val="ru-RU"/>
        </w:rPr>
        <w:t>（玛拉基书 1</w:t>
      </w:r>
      <w:r w:rsidRPr="002538DD">
        <w:rPr>
          <w:lang w:val="ru-RU"/>
        </w:rPr>
        <w:t>:</w:t>
      </w:r>
      <w:r w:rsidRPr="00794712">
        <w:rPr>
          <w:lang w:val="ru-RU"/>
        </w:rPr>
        <w:t>10-11）。 正如圣父们和教会导师们所指出的，这里显然描绘了旧约祭祀的废除，以及随之而来的律法的废止——该律法规定祭祀只能在耶路撒冷圣殿中进行——并取而代之的是 另一种纯洁的祭物，进而确立另一项律法，据此该祭物将在世界各国被献上。</w:t>
      </w:r>
      <w:r w:rsidR="00203E23">
        <w:rPr>
          <w:rStyle w:val="FootnoteReference"/>
          <w:lang w:val="ru-RU"/>
        </w:rPr>
        <w:footnoteReference w:id="325"/>
      </w:r>
      <w:r w:rsidRPr="00794712">
        <w:rPr>
          <w:lang w:val="ru-RU"/>
        </w:rPr>
        <w:t xml:space="preserve"> 另见 </w:t>
      </w:r>
      <w:r w:rsidR="00F45CFB" w:rsidRPr="00BD6C1B">
        <w:rPr>
          <w:lang w:val="ru-RU"/>
        </w:rPr>
        <w:t>[</w:t>
      </w:r>
      <w:r w:rsidR="00203E23">
        <w:rPr>
          <w:lang w:val="ru-RU"/>
        </w:rPr>
        <w:t>(耶</w:t>
      </w:r>
      <w:r w:rsidRPr="00794712">
        <w:rPr>
          <w:lang w:val="ru-RU"/>
        </w:rPr>
        <w:t xml:space="preserve"> 31</w:t>
      </w:r>
      <w:r w:rsidRPr="002538DD">
        <w:rPr>
          <w:lang w:val="ru-RU"/>
        </w:rPr>
        <w:t>:</w:t>
      </w:r>
      <w:r w:rsidRPr="00794712">
        <w:rPr>
          <w:lang w:val="ru-RU"/>
        </w:rPr>
        <w:t>31-35</w:t>
      </w:r>
      <w:r w:rsidR="00203E23">
        <w:rPr>
          <w:lang w:val="ru-RU"/>
        </w:rPr>
        <w:t>)</w:t>
      </w:r>
      <w:r w:rsidRPr="00794712">
        <w:rPr>
          <w:lang w:val="ru-RU"/>
        </w:rPr>
        <w:t>；</w:t>
      </w:r>
      <w:r w:rsidR="00203E23">
        <w:rPr>
          <w:lang w:val="ru-RU"/>
        </w:rPr>
        <w:t>(</w:t>
      </w:r>
      <w:r w:rsidRPr="00794712">
        <w:rPr>
          <w:lang w:val="ru-RU"/>
        </w:rPr>
        <w:t>但 9</w:t>
      </w:r>
      <w:r w:rsidRPr="002538DD">
        <w:rPr>
          <w:lang w:val="ru-RU"/>
        </w:rPr>
        <w:t>:</w:t>
      </w:r>
      <w:r w:rsidRPr="00794712">
        <w:rPr>
          <w:lang w:val="ru-RU"/>
        </w:rPr>
        <w:t>27</w:t>
      </w:r>
      <w:r w:rsidR="00203E23">
        <w:rPr>
          <w:lang w:val="ru-RU"/>
        </w:rPr>
        <w:t>)</w:t>
      </w:r>
      <w:r w:rsidR="00F45CFB" w:rsidRPr="00BD6C1B">
        <w:rPr>
          <w:lang w:val="ru-RU"/>
        </w:rPr>
        <w:t>]</w:t>
      </w:r>
      <w:r w:rsidRPr="00794712">
        <w:rPr>
          <w:lang w:val="ru-RU"/>
        </w:rPr>
        <w:t xml:space="preserve"> 以及以下内容</w:t>
      </w:r>
    </w:p>
    <w:p w14:paraId="7F57226E"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救主基督通过言行明确地作出了见证。 祂虽然自己顺服摩西律法</w:t>
      </w:r>
      <w:r w:rsidR="008A3626">
        <w:rPr>
          <w:lang w:val="ru-RU"/>
        </w:rPr>
        <w:t>（路加福音</w:t>
      </w:r>
      <w:r w:rsidRPr="00794712">
        <w:rPr>
          <w:lang w:val="ru-RU"/>
        </w:rPr>
        <w:t xml:space="preserve"> 2</w:t>
      </w:r>
      <w:r w:rsidRPr="009B0CA0">
        <w:rPr>
          <w:lang w:val="ru-RU"/>
        </w:rPr>
        <w:t>:</w:t>
      </w:r>
      <w:r w:rsidRPr="00794712">
        <w:rPr>
          <w:lang w:val="ru-RU"/>
        </w:rPr>
        <w:t>21-23</w:t>
      </w:r>
      <w:r w:rsidR="00F45CFB" w:rsidRPr="00F45CFB">
        <w:rPr>
          <w:lang w:val="ru-RU"/>
        </w:rPr>
        <w:t>）</w:t>
      </w:r>
      <w:r w:rsidRPr="00794712">
        <w:rPr>
          <w:lang w:val="ru-RU"/>
        </w:rPr>
        <w:t>，</w:t>
      </w:r>
      <w:r w:rsidR="00203E23">
        <w:rPr>
          <w:rStyle w:val="FootnoteReference"/>
          <w:lang w:val="ru-RU"/>
        </w:rPr>
        <w:footnoteReference w:id="326"/>
      </w:r>
      <w:r w:rsidRPr="00794712">
        <w:rPr>
          <w:lang w:val="ru-RU"/>
        </w:rPr>
        <w:t xml:space="preserve"> 且在律法之下，为要救赎那些在律法之下的人（加拉太书 4</w:t>
      </w:r>
      <w:r w:rsidRPr="000049F9">
        <w:rPr>
          <w:lang w:val="ru-RU"/>
        </w:rPr>
        <w:t>:</w:t>
      </w:r>
      <w:r w:rsidRPr="00794712">
        <w:rPr>
          <w:lang w:val="ru-RU"/>
        </w:rPr>
        <w:t>5），但与此同时，祂以至高的智慧预备了废除该律法的事：</w:t>
      </w:r>
      <w:r w:rsidR="00A95A76" w:rsidRPr="00A95A76">
        <w:rPr>
          <w:b/>
          <w:lang w:val="ru-RU"/>
        </w:rPr>
        <w:t xml:space="preserve">a) </w:t>
      </w:r>
      <w:r w:rsidRPr="00794712">
        <w:rPr>
          <w:lang w:val="ru-RU"/>
        </w:rPr>
        <w:t xml:space="preserve">当祂称自己为安息日的主人时 </w:t>
      </w:r>
      <w:r w:rsidR="00C32184" w:rsidRPr="00C32184">
        <w:rPr>
          <w:lang w:val="ru-RU"/>
        </w:rPr>
        <w:t>[</w:t>
      </w:r>
      <w:r w:rsidR="000A57C3">
        <w:rPr>
          <w:lang w:val="ru-RU"/>
        </w:rPr>
        <w:t>(马太福音</w:t>
      </w:r>
      <w:r w:rsidRPr="00794712">
        <w:rPr>
          <w:lang w:val="ru-RU"/>
        </w:rPr>
        <w:t xml:space="preserve"> 12</w:t>
      </w:r>
      <w:r w:rsidRPr="000049F9">
        <w:rPr>
          <w:lang w:val="ru-RU"/>
        </w:rPr>
        <w:t>:</w:t>
      </w:r>
      <w:r w:rsidRPr="00794712">
        <w:rPr>
          <w:lang w:val="ru-RU"/>
        </w:rPr>
        <w:t>8;</w:t>
      </w:r>
      <w:r w:rsidR="0087297C">
        <w:rPr>
          <w:lang w:val="ru-RU"/>
        </w:rPr>
        <w:t xml:space="preserve"> 约5</w:t>
      </w:r>
      <w:r w:rsidRPr="000049F9">
        <w:rPr>
          <w:lang w:val="ru-RU"/>
        </w:rPr>
        <w:t>:</w:t>
      </w:r>
      <w:r w:rsidRPr="00794712">
        <w:rPr>
          <w:lang w:val="ru-RU"/>
        </w:rPr>
        <w:t>17)</w:t>
      </w:r>
      <w:r w:rsidR="00C32184" w:rsidRPr="00C32184">
        <w:rPr>
          <w:lang w:val="ru-RU"/>
        </w:rPr>
        <w:t>]</w:t>
      </w:r>
      <w:r w:rsidRPr="00794712">
        <w:rPr>
          <w:lang w:val="ru-RU"/>
        </w:rPr>
        <w:t>；</w:t>
      </w:r>
      <w:r w:rsidR="00203E23">
        <w:rPr>
          <w:rStyle w:val="FootnoteReference"/>
          <w:lang w:val="ru-RU"/>
        </w:rPr>
        <w:footnoteReference w:id="327"/>
      </w:r>
      <w:r w:rsidR="00A95A76" w:rsidRPr="00A95A76">
        <w:rPr>
          <w:b/>
          <w:lang w:val="ru-RU"/>
        </w:rPr>
        <w:t xml:space="preserve"> b) </w:t>
      </w:r>
      <w:r w:rsidRPr="00794712">
        <w:rPr>
          <w:lang w:val="ru-RU"/>
        </w:rPr>
        <w:t>当祂对撒玛利亚妇人说：</w:t>
      </w:r>
      <w:r w:rsidRPr="000049F9">
        <w:rPr>
          <w:i/>
          <w:iCs/>
          <w:lang w:val="ru-RU"/>
        </w:rPr>
        <w:t>“你当信我，时候将到，你们敬拜父，既不在这山上，也不在耶路撒冷……时候将到，如今就是了，那真正敬拜父的，要用心灵和诚实敬拜祂，因为父正在寻找这样敬拜祂的人”</w:t>
      </w:r>
      <w:r w:rsidRPr="00794712">
        <w:rPr>
          <w:lang w:val="ru-RU"/>
        </w:rPr>
        <w:t xml:space="preserve"> </w:t>
      </w:r>
      <w:r w:rsidR="005864AB">
        <w:rPr>
          <w:lang w:val="ru-RU"/>
        </w:rPr>
        <w:t>（</w:t>
      </w:r>
      <w:r w:rsidRPr="00794712">
        <w:rPr>
          <w:lang w:val="ru-RU"/>
        </w:rPr>
        <w:t>约4</w:t>
      </w:r>
      <w:r>
        <w:rPr>
          <w:lang w:val="ru-RU"/>
        </w:rPr>
        <w:t>:</w:t>
      </w:r>
      <w:r w:rsidRPr="00794712">
        <w:rPr>
          <w:lang w:val="ru-RU"/>
        </w:rPr>
        <w:t>21-23）；</w:t>
      </w:r>
      <w:r w:rsidR="00A95A76" w:rsidRPr="00A95A76">
        <w:rPr>
          <w:b/>
          <w:lang w:val="ru-RU"/>
        </w:rPr>
        <w:t>c)</w:t>
      </w:r>
      <w:r w:rsidRPr="00794712">
        <w:rPr>
          <w:lang w:val="ru-RU"/>
        </w:rPr>
        <w:t xml:space="preserve"> </w:t>
      </w:r>
      <w:r w:rsidRPr="00794712">
        <w:rPr>
          <w:lang w:val="ru-RU"/>
        </w:rPr>
        <w:lastRenderedPageBreak/>
        <w:t>最后，在最后的晚餐上，设立圣餐礼时，他说：</w:t>
      </w:r>
      <w:r w:rsidRPr="000049F9">
        <w:rPr>
          <w:i/>
          <w:iCs/>
          <w:lang w:val="ru-RU"/>
        </w:rPr>
        <w:t>“这杯是用我的血所立的新约，是为你们流出来的”</w:t>
      </w:r>
      <w:r w:rsidR="00C32184" w:rsidRPr="00C32184">
        <w:rPr>
          <w:lang w:val="ru-RU"/>
        </w:rPr>
        <w:t>[</w:t>
      </w:r>
      <w:r w:rsidR="008A3626">
        <w:rPr>
          <w:lang w:val="ru-RU"/>
        </w:rPr>
        <w:t>（</w:t>
      </w:r>
      <w:r w:rsidRPr="00794712">
        <w:rPr>
          <w:lang w:val="ru-RU"/>
        </w:rPr>
        <w:t>路22</w:t>
      </w:r>
      <w:r w:rsidRPr="000049F9">
        <w:rPr>
          <w:lang w:val="ru-RU"/>
        </w:rPr>
        <w:t>:</w:t>
      </w:r>
      <w:r w:rsidRPr="00794712">
        <w:rPr>
          <w:lang w:val="ru-RU"/>
        </w:rPr>
        <w:t>20</w:t>
      </w:r>
      <w:r w:rsidR="00C32184" w:rsidRPr="00C32184">
        <w:rPr>
          <w:lang w:val="ru-RU"/>
        </w:rPr>
        <w:t>）</w:t>
      </w:r>
      <w:r w:rsidRPr="00794712">
        <w:rPr>
          <w:lang w:val="ru-RU"/>
        </w:rPr>
        <w:t>；</w:t>
      </w:r>
      <w:r w:rsidR="00C32184" w:rsidRPr="00C32184">
        <w:rPr>
          <w:lang w:val="ru-RU"/>
        </w:rPr>
        <w:t>（</w:t>
      </w:r>
      <w:r w:rsidRPr="00794712">
        <w:rPr>
          <w:lang w:val="ru-RU"/>
        </w:rPr>
        <w:t>出24</w:t>
      </w:r>
      <w:r w:rsidRPr="000049F9">
        <w:rPr>
          <w:lang w:val="ru-RU"/>
        </w:rPr>
        <w:t>:</w:t>
      </w:r>
      <w:r w:rsidRPr="00794712">
        <w:rPr>
          <w:lang w:val="ru-RU"/>
        </w:rPr>
        <w:t>8）</w:t>
      </w:r>
      <w:r w:rsidR="00C32184" w:rsidRPr="00C32184">
        <w:rPr>
          <w:lang w:val="ru-RU"/>
        </w:rPr>
        <w:t>]</w:t>
      </w:r>
      <w:r w:rsidRPr="00794712">
        <w:rPr>
          <w:lang w:val="ru-RU"/>
        </w:rPr>
        <w:t>。</w:t>
      </w:r>
    </w:p>
    <w:p w14:paraId="4CD0C77A"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圣使徒们也作出了见证，尽管他们效法救主，在废除摩西律法时采取了明智的渐进方式，直到最终在耶路撒冷大公会议上庄严地完成了这一事工（使徒行传 15</w:t>
      </w:r>
      <w:r w:rsidRPr="009A7F60">
        <w:rPr>
          <w:lang w:val="ru-RU"/>
        </w:rPr>
        <w:t>:</w:t>
      </w:r>
      <w:r w:rsidRPr="00794712">
        <w:rPr>
          <w:lang w:val="ru-RU"/>
        </w:rPr>
        <w:t>28）。 关于摩西律法被基督之律法取代这一思想的最详尽阐述，见于圣保罗致罗马人、加拉太人、以弗所人和希伯来人的书信中，使徒在那里明确宣告：</w:t>
      </w:r>
      <w:r w:rsidRPr="009A7F60">
        <w:rPr>
          <w:i/>
          <w:iCs/>
          <w:lang w:val="ru-RU"/>
        </w:rPr>
        <w:t>“你们不在律法之下，而在恩典之下”</w:t>
      </w:r>
      <w:r w:rsidRPr="00794712">
        <w:rPr>
          <w:lang w:val="ru-RU"/>
        </w:rPr>
        <w:t>（罗6</w:t>
      </w:r>
      <w:r w:rsidRPr="009A7F60">
        <w:rPr>
          <w:lang w:val="ru-RU"/>
        </w:rPr>
        <w:t>:</w:t>
      </w:r>
      <w:r w:rsidRPr="00794712">
        <w:rPr>
          <w:lang w:val="ru-RU"/>
        </w:rPr>
        <w:t xml:space="preserve">14）； </w:t>
      </w:r>
      <w:r w:rsidRPr="009A7F60">
        <w:rPr>
          <w:i/>
          <w:iCs/>
          <w:lang w:val="ru-RU"/>
        </w:rPr>
        <w:t>“在基督耶稣里，受割礼和不受割礼都无关紧要，惟独那以爱为动力的信心”</w:t>
      </w:r>
      <w:r w:rsidRPr="00794712">
        <w:rPr>
          <w:lang w:val="ru-RU"/>
        </w:rPr>
        <w:t>（加拉太书 5</w:t>
      </w:r>
      <w:r w:rsidRPr="009A7F60">
        <w:rPr>
          <w:lang w:val="ru-RU"/>
        </w:rPr>
        <w:t>:</w:t>
      </w:r>
      <w:r w:rsidRPr="00794712">
        <w:rPr>
          <w:lang w:val="ru-RU"/>
        </w:rPr>
        <w:t>6）。</w:t>
      </w:r>
    </w:p>
    <w:p w14:paraId="0081745B" w14:textId="77777777" w:rsidR="00D85B34" w:rsidRPr="00794712" w:rsidRDefault="00D85B34" w:rsidP="00D85B34">
      <w:pPr>
        <w:rPr>
          <w:lang w:val="ru-RU"/>
        </w:rPr>
      </w:pPr>
      <w:r w:rsidRPr="00794712">
        <w:rPr>
          <w:lang w:val="ru-RU"/>
        </w:rPr>
        <w:tab/>
        <w:t>必须补充的是，救主基督废除摩西的礼仪律法和民事律法是不可避免的。礼仪律法原本仅具有预表的意义，当弥赛亚降临、预表得以应验时，它自然就失去了意义：</w:t>
      </w:r>
      <w:r w:rsidRPr="001B05CE">
        <w:rPr>
          <w:i/>
          <w:iCs/>
          <w:lang w:val="ru-RU"/>
        </w:rPr>
        <w:t>既然事物本身的真貌</w:t>
      </w:r>
      <w:r w:rsidRPr="00794712">
        <w:rPr>
          <w:lang w:val="ru-RU"/>
        </w:rPr>
        <w:t>已经显现</w:t>
      </w:r>
      <w:r w:rsidRPr="001B05CE">
        <w:rPr>
          <w:i/>
          <w:iCs/>
          <w:lang w:val="ru-RU"/>
        </w:rPr>
        <w:t>，</w:t>
      </w:r>
      <w:r>
        <w:rPr>
          <w:lang w:val="ru-RU"/>
        </w:rPr>
        <w:t>何需</w:t>
      </w:r>
      <w:r w:rsidRPr="001B05CE">
        <w:rPr>
          <w:i/>
          <w:iCs/>
          <w:lang w:val="ru-RU"/>
        </w:rPr>
        <w:t>未来福分的影子呢？</w:t>
      </w:r>
      <w:r w:rsidRPr="00794712">
        <w:rPr>
          <w:lang w:val="ru-RU"/>
        </w:rPr>
        <w:t xml:space="preserve"> （希伯来书 10</w:t>
      </w:r>
      <w:r w:rsidRPr="001B05CE">
        <w:rPr>
          <w:lang w:val="ru-RU"/>
        </w:rPr>
        <w:t>:</w:t>
      </w:r>
      <w:r w:rsidRPr="00794712">
        <w:rPr>
          <w:lang w:val="ru-RU"/>
        </w:rPr>
        <w:t>1）。</w:t>
      </w:r>
      <w:r w:rsidR="00203E23">
        <w:rPr>
          <w:rStyle w:val="FootnoteReference"/>
          <w:lang w:val="ru-RU"/>
        </w:rPr>
        <w:footnoteReference w:id="328"/>
      </w:r>
      <w:r w:rsidRPr="00794712">
        <w:rPr>
          <w:lang w:val="ru-RU"/>
        </w:rPr>
        <w:t xml:space="preserve"> 此外，礼仪律法与耶路撒冷圣殿密不可分，正如民事律法仅适用于犹太民族和巴勒斯坦地区一样； 因此，无论是礼仪律法还是民事律法，都无法在耶路撒冷和巴勒斯坦以外的地方适用，也无法成为适用于所有民族的普遍且具有约束力的律法。</w:t>
      </w:r>
      <w:r w:rsidR="00203E23">
        <w:rPr>
          <w:rStyle w:val="FootnoteReference"/>
          <w:lang w:val="ru-RU"/>
        </w:rPr>
        <w:footnoteReference w:id="329"/>
      </w:r>
      <w:r w:rsidRPr="00794712">
        <w:rPr>
          <w:lang w:val="ru-RU"/>
        </w:rPr>
        <w:t xml:space="preserve"> 然而，基督降临是为了向全人类、在所有时代传扬天国的福音。摩西的道德律法，既基于人类最本真的道德本性，又在实质上与基督的律法完全相似，甚至完全一致</w:t>
      </w:r>
      <w:r w:rsidR="00C32184" w:rsidRPr="00C32184">
        <w:rPr>
          <w:lang w:val="ru-RU"/>
        </w:rPr>
        <w:t>[</w:t>
      </w:r>
      <w:r w:rsidRPr="00794712">
        <w:rPr>
          <w:lang w:val="ru-RU"/>
        </w:rPr>
        <w:t>(申命记 6</w:t>
      </w:r>
      <w:r>
        <w:rPr>
          <w:lang w:val="ru-RU"/>
        </w:rPr>
        <w:t>:</w:t>
      </w:r>
      <w:r w:rsidRPr="00794712">
        <w:rPr>
          <w:lang w:val="ru-RU"/>
        </w:rPr>
        <w:t>5</w:t>
      </w:r>
      <w:r w:rsidR="00C32184" w:rsidRPr="00C32184">
        <w:rPr>
          <w:lang w:val="ru-RU"/>
        </w:rPr>
        <w:t>)</w:t>
      </w:r>
      <w:r w:rsidRPr="00794712">
        <w:rPr>
          <w:lang w:val="ru-RU"/>
        </w:rPr>
        <w:t xml:space="preserve">； </w:t>
      </w:r>
      <w:r w:rsidR="00C32184" w:rsidRPr="00C32184">
        <w:rPr>
          <w:lang w:val="ru-RU"/>
        </w:rPr>
        <w:t>（</w:t>
      </w:r>
      <w:r w:rsidRPr="00794712">
        <w:rPr>
          <w:lang w:val="ru-RU"/>
        </w:rPr>
        <w:t>《马可福音》12</w:t>
      </w:r>
      <w:r>
        <w:rPr>
          <w:lang w:val="ru-RU"/>
        </w:rPr>
        <w:t>:</w:t>
      </w:r>
      <w:r w:rsidRPr="00794712">
        <w:rPr>
          <w:lang w:val="ru-RU"/>
        </w:rPr>
        <w:t>30）</w:t>
      </w:r>
      <w:r w:rsidR="00C32184" w:rsidRPr="00C32184">
        <w:rPr>
          <w:lang w:val="ru-RU"/>
        </w:rPr>
        <w:t>]</w:t>
      </w:r>
      <w:r w:rsidRPr="00794712">
        <w:rPr>
          <w:lang w:val="ru-RU"/>
        </w:rPr>
        <w:t>，本可与后者相融合，并在其中保留其意义。 “正如圣西奥多所言</w:t>
      </w:r>
      <w:r>
        <w:rPr>
          <w:lang w:val="ru-RU"/>
        </w:rPr>
        <w:t>，”——</w:t>
      </w:r>
      <w:r w:rsidRPr="00794712">
        <w:rPr>
          <w:lang w:val="ru-RU"/>
        </w:rPr>
        <w:t>母亲们先用母乳哺育刚出生的婴儿，随后喂以清淡的食物，最后，当他们长成少年或青年时，便给他们吃固体食物：同样，万有的上帝也时而赐予人类最完美的教导。 但尽管如此，我们仍尊崇旧约，如同母亲的乳头，只是不再从那里汲取乳汁；因为对那些臻于完善的人来说，</w:t>
      </w:r>
      <w:r>
        <w:rPr>
          <w:lang w:val="ru-RU"/>
        </w:rPr>
        <w:t>乳母的乳汁</w:t>
      </w:r>
      <w:r w:rsidRPr="00794712">
        <w:rPr>
          <w:lang w:val="ru-RU"/>
        </w:rPr>
        <w:t>已属多余，尽管他们应当尊敬她，因为他们曾受过</w:t>
      </w:r>
      <w:r>
        <w:rPr>
          <w:lang w:val="ru-RU"/>
        </w:rPr>
        <w:t>她的</w:t>
      </w:r>
      <w:r w:rsidRPr="00794712">
        <w:rPr>
          <w:lang w:val="ru-RU"/>
        </w:rPr>
        <w:t>养育。 同样，我们虽然现在不再遵守割礼、安息日、献祭和洒水礼； 但尽管如此，我们仍能从旧约中汲取另一种益处：因为它以完美的方式教导我们敬虔、信靠上帝、爱邻舍、节制、公义、勇气，而且还为我们提供了古代圣徒的榜样，供我们效法</w:t>
      </w:r>
      <w:r>
        <w:rPr>
          <w:lang w:val="ru-RU"/>
        </w:rPr>
        <w:t>。”</w:t>
      </w:r>
      <w:r w:rsidR="008B03A1">
        <w:rPr>
          <w:rStyle w:val="FootnoteReference"/>
          <w:lang w:val="ru-RU"/>
        </w:rPr>
        <w:footnoteReference w:id="330"/>
      </w:r>
    </w:p>
    <w:p w14:paraId="01598328" w14:textId="77777777" w:rsidR="00D85B34" w:rsidRDefault="00D85B34" w:rsidP="00D85B34">
      <w:pPr>
        <w:rPr>
          <w:lang w:val="ru-RU"/>
        </w:rPr>
      </w:pPr>
    </w:p>
    <w:p w14:paraId="62093C91" w14:textId="77777777" w:rsidR="00D85B34" w:rsidRPr="00794712" w:rsidRDefault="00D85B34" w:rsidP="007B240B">
      <w:pPr>
        <w:pStyle w:val="Heading5"/>
        <w:rPr>
          <w:lang w:val="ru-RU"/>
        </w:rPr>
      </w:pPr>
      <w:bookmarkStart w:id="245" w:name="_Toc133155580"/>
      <w:bookmarkStart w:id="246" w:name="_Toc180664593"/>
      <w:bookmarkStart w:id="247" w:name="_Toc180679214"/>
      <w:bookmarkStart w:id="248" w:name="_Toc180679271"/>
      <w:bookmarkStart w:id="249" w:name="_Toc180679794"/>
      <w:bookmarkStart w:id="250" w:name="_Toc238453677"/>
      <w:bookmarkStart w:id="251" w:name="_Toc238576493"/>
      <w:r w:rsidRPr="00794712">
        <w:rPr>
          <w:lang w:val="ru-RU"/>
        </w:rPr>
        <w:t>§147. 耶稣基督为全人类和所有时代颁布了律法</w:t>
      </w:r>
      <w:bookmarkEnd w:id="245"/>
      <w:bookmarkEnd w:id="246"/>
      <w:bookmarkEnd w:id="247"/>
      <w:bookmarkEnd w:id="248"/>
      <w:bookmarkEnd w:id="249"/>
      <w:bookmarkEnd w:id="250"/>
      <w:bookmarkEnd w:id="251"/>
    </w:p>
    <w:p w14:paraId="1765845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他传讲的律法是为全人类而设，而非仅为犹太人。这一真理早在《旧约》中便已预言。例如，在先知以</w:t>
      </w:r>
      <w:r w:rsidR="00D85B34" w:rsidRPr="00794712">
        <w:rPr>
          <w:lang w:val="ru-RU"/>
        </w:rPr>
        <w:lastRenderedPageBreak/>
        <w:t>赛亚的书中，上帝亲自对祂的儿子——弥赛亚说：</w:t>
      </w:r>
      <w:r w:rsidR="00D85B34" w:rsidRPr="00E10BDB">
        <w:rPr>
          <w:i/>
          <w:iCs/>
          <w:lang w:val="ru-RU"/>
        </w:rPr>
        <w:t>“我要使你成为万民的光，使我的救恩传到地极”</w:t>
      </w:r>
      <w:r w:rsidR="00D85B34" w:rsidRPr="00794712">
        <w:rPr>
          <w:lang w:val="ru-RU"/>
        </w:rPr>
        <w:t>（赛49</w:t>
      </w:r>
      <w:r w:rsidR="00D85B34">
        <w:rPr>
          <w:lang w:val="ru-RU"/>
        </w:rPr>
        <w:t>:</w:t>
      </w:r>
      <w:r w:rsidR="00D85B34" w:rsidRPr="00794712">
        <w:rPr>
          <w:lang w:val="ru-RU"/>
        </w:rPr>
        <w:t xml:space="preserve">6）； </w:t>
      </w:r>
      <w:r w:rsidR="00D85B34" w:rsidRPr="00E10BDB">
        <w:rPr>
          <w:i/>
          <w:iCs/>
          <w:lang w:val="ru-RU"/>
        </w:rPr>
        <w:t>“我要立你作百姓的约，作外邦人的光，为要开启瞎子的眼睛，领被囚的出监牢，领坐在黑暗中的人出牢狱”</w:t>
      </w:r>
      <w:r w:rsidR="00D85B34" w:rsidRPr="00794712">
        <w:rPr>
          <w:lang w:val="ru-RU"/>
        </w:rPr>
        <w:t>（</w:t>
      </w:r>
      <w:r w:rsidR="00D85B34">
        <w:rPr>
          <w:lang w:val="ru-RU"/>
        </w:rPr>
        <w:t>赛</w:t>
      </w:r>
      <w:r w:rsidR="00D85B34" w:rsidRPr="00794712">
        <w:rPr>
          <w:lang w:val="ru-RU"/>
        </w:rPr>
        <w:t>42</w:t>
      </w:r>
      <w:r w:rsidR="00D85B34" w:rsidRPr="00E10BDB">
        <w:rPr>
          <w:lang w:val="ru-RU"/>
        </w:rPr>
        <w:t>:</w:t>
      </w:r>
      <w:r w:rsidR="00D85B34" w:rsidRPr="00794712">
        <w:rPr>
          <w:lang w:val="ru-RU"/>
        </w:rPr>
        <w:t>6-7）。 基督一出生，待至圣童贞女的洁净期满后，被带进圣殿，义人西缅接过这神圣的婴孩，称祂</w:t>
      </w:r>
      <w:r w:rsidR="00D85B34" w:rsidRPr="00E10BDB">
        <w:rPr>
          <w:i/>
          <w:iCs/>
          <w:lang w:val="ru-RU"/>
        </w:rPr>
        <w:t>为“照亮外邦人的</w:t>
      </w:r>
      <w:r w:rsidR="00D85B34">
        <w:rPr>
          <w:i/>
          <w:iCs/>
          <w:lang w:val="ru-RU"/>
        </w:rPr>
        <w:t>光”</w:t>
      </w:r>
      <w:r w:rsidR="008A3626">
        <w:rPr>
          <w:lang w:val="ru-RU"/>
        </w:rPr>
        <w:t>（路加福音</w:t>
      </w:r>
      <w:r w:rsidR="00D85B34" w:rsidRPr="00794712">
        <w:rPr>
          <w:lang w:val="ru-RU"/>
        </w:rPr>
        <w:t xml:space="preserve"> 2</w:t>
      </w:r>
      <w:r w:rsidR="00D85B34" w:rsidRPr="00E10BDB">
        <w:rPr>
          <w:lang w:val="ru-RU"/>
        </w:rPr>
        <w:t>:</w:t>
      </w:r>
      <w:r w:rsidR="00D85B34" w:rsidRPr="00794712">
        <w:rPr>
          <w:lang w:val="ru-RU"/>
        </w:rPr>
        <w:t>32）。 基督救主开始公开传道后，曾为自己作见证说：</w:t>
      </w:r>
      <w:r w:rsidR="00D85B34" w:rsidRPr="00E10BDB">
        <w:rPr>
          <w:i/>
          <w:iCs/>
          <w:lang w:val="ru-RU"/>
        </w:rPr>
        <w:t>“我是世界的光”</w:t>
      </w:r>
      <w:r w:rsidR="005864AB">
        <w:rPr>
          <w:lang w:val="ru-RU"/>
        </w:rPr>
        <w:t>（约</w:t>
      </w:r>
      <w:r w:rsidR="00D85B34" w:rsidRPr="00794712">
        <w:rPr>
          <w:lang w:val="ru-RU"/>
        </w:rPr>
        <w:t>8</w:t>
      </w:r>
      <w:r w:rsidR="00D85B34">
        <w:rPr>
          <w:lang w:val="ru-RU"/>
        </w:rPr>
        <w:t>:</w:t>
      </w:r>
      <w:r w:rsidR="00D85B34" w:rsidRPr="00794712">
        <w:rPr>
          <w:lang w:val="ru-RU"/>
        </w:rPr>
        <w:t xml:space="preserve">12）； </w:t>
      </w:r>
      <w:r w:rsidR="00D85B34" w:rsidRPr="00E10BDB">
        <w:rPr>
          <w:i/>
          <w:iCs/>
          <w:lang w:val="ru-RU"/>
        </w:rPr>
        <w:t>“我作为光来到世上，是要叫凡信我的，不至于留在黑暗里”</w:t>
      </w:r>
      <w:r w:rsidR="005864AB">
        <w:rPr>
          <w:lang w:val="ru-RU"/>
        </w:rPr>
        <w:t>（</w:t>
      </w:r>
      <w:r w:rsidR="00D85B34" w:rsidRPr="00794712">
        <w:rPr>
          <w:lang w:val="ru-RU"/>
        </w:rPr>
        <w:t>约12</w:t>
      </w:r>
      <w:r w:rsidR="00D85B34">
        <w:rPr>
          <w:lang w:val="ru-RU"/>
        </w:rPr>
        <w:t>:</w:t>
      </w:r>
      <w:r w:rsidR="00D85B34" w:rsidRPr="00794712">
        <w:rPr>
          <w:lang w:val="ru-RU"/>
        </w:rPr>
        <w:t>46），同时还将祂刚拣选的门徒称为地上的盐</w:t>
      </w:r>
      <w:r w:rsidR="00224D5E">
        <w:rPr>
          <w:lang w:val="ru-RU"/>
        </w:rPr>
        <w:t>（太</w:t>
      </w:r>
      <w:r w:rsidR="00D85B34" w:rsidRPr="00794712">
        <w:rPr>
          <w:lang w:val="ru-RU"/>
        </w:rPr>
        <w:t>5</w:t>
      </w:r>
      <w:r w:rsidR="00D85B34" w:rsidRPr="00E10BDB">
        <w:rPr>
          <w:lang w:val="ru-RU"/>
        </w:rPr>
        <w:t>:</w:t>
      </w:r>
      <w:r w:rsidR="00D85B34" w:rsidRPr="00794712">
        <w:rPr>
          <w:lang w:val="ru-RU"/>
        </w:rPr>
        <w:t>13）、世上的光</w:t>
      </w:r>
      <w:r w:rsidR="00224D5E">
        <w:rPr>
          <w:lang w:val="ru-RU"/>
        </w:rPr>
        <w:t>（太</w:t>
      </w:r>
      <w:r w:rsidR="00D85B34" w:rsidRPr="00794712">
        <w:rPr>
          <w:lang w:val="ru-RU"/>
        </w:rPr>
        <w:t>5</w:t>
      </w:r>
      <w:r w:rsidR="00D85B34" w:rsidRPr="00E10BDB">
        <w:rPr>
          <w:lang w:val="ru-RU"/>
        </w:rPr>
        <w:t>:</w:t>
      </w:r>
      <w:r w:rsidR="00D85B34">
        <w:rPr>
          <w:lang w:val="ru-RU"/>
        </w:rPr>
        <w:t>14</w:t>
      </w:r>
      <w:r w:rsidR="00D85B34" w:rsidRPr="00794712">
        <w:rPr>
          <w:lang w:val="ru-RU"/>
        </w:rPr>
        <w:t>）。 当祂走过犹太人的各城各乡时，曾说：</w:t>
      </w:r>
      <w:r w:rsidR="00D85B34" w:rsidRPr="00E10BDB">
        <w:rPr>
          <w:i/>
          <w:iCs/>
          <w:lang w:val="ru-RU"/>
        </w:rPr>
        <w:t>“我还有别的羊，不是这羊圈里的；我必须领他们来，他们也要听我的声音，并且要合成一群，归一位牧人”</w:t>
      </w:r>
      <w:r w:rsidR="005864AB">
        <w:rPr>
          <w:lang w:val="ru-RU"/>
        </w:rPr>
        <w:t>（</w:t>
      </w:r>
      <w:r w:rsidR="00D85B34" w:rsidRPr="00794712">
        <w:rPr>
          <w:lang w:val="ru-RU"/>
        </w:rPr>
        <w:t>约10</w:t>
      </w:r>
      <w:r w:rsidR="00D85B34" w:rsidRPr="007E07E9">
        <w:rPr>
          <w:lang w:val="ru-RU"/>
        </w:rPr>
        <w:t>:</w:t>
      </w:r>
      <w:r w:rsidR="00D85B34" w:rsidRPr="00794712">
        <w:rPr>
          <w:lang w:val="ru-RU"/>
        </w:rPr>
        <w:t>16）。 最后，祂在世上完成了伟大的事工，复活后对门徒说：</w:t>
      </w:r>
      <w:r w:rsidR="00D85B34" w:rsidRPr="007E07E9">
        <w:rPr>
          <w:i/>
          <w:iCs/>
          <w:lang w:val="ru-RU"/>
        </w:rPr>
        <w:t>“天上地下所有的权柄都赐给我了。所以，你们要去，使万民作我的门徒”</w:t>
      </w:r>
      <w:r w:rsidR="00224D5E">
        <w:rPr>
          <w:lang w:val="ru-RU"/>
        </w:rPr>
        <w:t>（</w:t>
      </w:r>
      <w:r w:rsidR="00D85B34" w:rsidRPr="00794712">
        <w:rPr>
          <w:lang w:val="ru-RU"/>
        </w:rPr>
        <w:t>太28</w:t>
      </w:r>
      <w:r w:rsidR="00D85B34" w:rsidRPr="007E07E9">
        <w:rPr>
          <w:lang w:val="ru-RU"/>
        </w:rPr>
        <w:t>:</w:t>
      </w:r>
      <w:r w:rsidR="00D85B34" w:rsidRPr="00794712">
        <w:rPr>
          <w:lang w:val="ru-RU"/>
        </w:rPr>
        <w:t xml:space="preserve">18-19）； </w:t>
      </w:r>
      <w:r w:rsidR="00D85B34" w:rsidRPr="007E07E9">
        <w:rPr>
          <w:i/>
          <w:iCs/>
          <w:lang w:val="ru-RU"/>
        </w:rPr>
        <w:t>“你们往普天下去，向万物传讲福音”</w:t>
      </w:r>
      <w:r w:rsidR="005864AB">
        <w:rPr>
          <w:lang w:val="ru-RU"/>
        </w:rPr>
        <w:t>（</w:t>
      </w:r>
      <w:r w:rsidR="00D85B34" w:rsidRPr="00794712">
        <w:rPr>
          <w:lang w:val="ru-RU"/>
        </w:rPr>
        <w:t>马可福音16</w:t>
      </w:r>
      <w:r w:rsidR="00D85B34" w:rsidRPr="007E07E9">
        <w:rPr>
          <w:lang w:val="ru-RU"/>
        </w:rPr>
        <w:t>:</w:t>
      </w:r>
      <w:r w:rsidR="00D85B34" w:rsidRPr="00794712">
        <w:rPr>
          <w:lang w:val="ru-RU"/>
        </w:rPr>
        <w:t>15）。使徒们确实</w:t>
      </w:r>
      <w:r w:rsidR="00D85B34" w:rsidRPr="007E07E9">
        <w:rPr>
          <w:i/>
          <w:iCs/>
          <w:lang w:val="ru-RU"/>
        </w:rPr>
        <w:t>“出去，到处传道；主的道兴旺起来，也因随同的神迹得着了印证”</w:t>
      </w:r>
      <w:r w:rsidR="005864AB">
        <w:rPr>
          <w:lang w:val="ru-RU"/>
        </w:rPr>
        <w:t>（马可</w:t>
      </w:r>
      <w:r w:rsidR="00D85B34" w:rsidRPr="00794712">
        <w:rPr>
          <w:lang w:val="ru-RU"/>
        </w:rPr>
        <w:t>福音16</w:t>
      </w:r>
      <w:r w:rsidR="00D85B34" w:rsidRPr="007E07E9">
        <w:rPr>
          <w:lang w:val="ru-RU"/>
        </w:rPr>
        <w:t>:20</w:t>
      </w:r>
      <w:r w:rsidR="00D85B34" w:rsidRPr="00794712">
        <w:rPr>
          <w:lang w:val="ru-RU"/>
        </w:rPr>
        <w:t>）。</w:t>
      </w:r>
    </w:p>
    <w:p w14:paraId="2C93D4C7" w14:textId="77777777" w:rsidR="00D85B34" w:rsidRPr="00794712" w:rsidRDefault="00F45CFB" w:rsidP="00D85B34">
      <w:pPr>
        <w:ind w:firstLine="708"/>
        <w:rPr>
          <w:lang w:val="ru-RU"/>
        </w:rPr>
      </w:pPr>
      <w:r w:rsidRPr="00F45CFB">
        <w:rPr>
          <w:b/>
          <w:lang w:val="ru-RU"/>
        </w:rPr>
        <w:t>2)</w:t>
      </w:r>
      <w:r w:rsidR="00D85B34" w:rsidRPr="00794712">
        <w:rPr>
          <w:lang w:val="ru-RU"/>
        </w:rPr>
        <w:t xml:space="preserve"> 传授了适用于所有时代的律法。因为</w:t>
      </w:r>
      <w:r w:rsidR="00D85B34">
        <w:rPr>
          <w:lang w:val="ru-RU"/>
        </w:rPr>
        <w:t>基督</w:t>
      </w:r>
      <w:r w:rsidR="00A95A76" w:rsidRPr="00A95A76">
        <w:rPr>
          <w:b/>
          <w:lang w:val="ru-RU"/>
        </w:rPr>
        <w:t xml:space="preserve">——a) </w:t>
      </w:r>
      <w:r w:rsidR="00D85B34" w:rsidRPr="00794712">
        <w:rPr>
          <w:lang w:val="ru-RU"/>
        </w:rPr>
        <w:t>在差遣门徒去</w:t>
      </w:r>
      <w:r w:rsidR="00D85B34">
        <w:rPr>
          <w:lang w:val="ru-RU"/>
        </w:rPr>
        <w:t>教导万民</w:t>
      </w:r>
      <w:r w:rsidR="00D85B34" w:rsidRPr="00794712">
        <w:rPr>
          <w:lang w:val="ru-RU"/>
        </w:rPr>
        <w:t>时，补充道：</w:t>
      </w:r>
      <w:r w:rsidR="00D85B34" w:rsidRPr="007E07E9">
        <w:rPr>
          <w:i/>
          <w:iCs/>
          <w:lang w:val="ru-RU"/>
        </w:rPr>
        <w:t>“看哪，我常与你们同在，直到世界的末了”</w:t>
      </w:r>
      <w:r w:rsidR="00224D5E">
        <w:rPr>
          <w:lang w:val="ru-RU"/>
        </w:rPr>
        <w:t>（太</w:t>
      </w:r>
      <w:r w:rsidR="00D85B34" w:rsidRPr="00794712">
        <w:rPr>
          <w:lang w:val="ru-RU"/>
        </w:rPr>
        <w:t>28</w:t>
      </w:r>
      <w:r w:rsidR="00D85B34" w:rsidRPr="007E07E9">
        <w:rPr>
          <w:lang w:val="ru-RU"/>
        </w:rPr>
        <w:t>:</w:t>
      </w:r>
      <w:r w:rsidR="00D85B34" w:rsidRPr="00794712">
        <w:rPr>
          <w:lang w:val="ru-RU"/>
        </w:rPr>
        <w:t>20），由此可见，他所指的不仅是与他同时代</w:t>
      </w:r>
      <w:r w:rsidR="00D85B34">
        <w:rPr>
          <w:lang w:val="ru-RU"/>
        </w:rPr>
        <w:t>的民族</w:t>
      </w:r>
      <w:r w:rsidR="00D85B34" w:rsidRPr="00794712">
        <w:rPr>
          <w:lang w:val="ru-RU"/>
        </w:rPr>
        <w:t>，还包括地上所有未来的世代；</w:t>
      </w:r>
      <w:r w:rsidR="00A95A76" w:rsidRPr="00A95A76">
        <w:rPr>
          <w:b/>
          <w:lang w:val="ru-RU"/>
        </w:rPr>
        <w:t xml:space="preserve"> b) </w:t>
      </w:r>
      <w:r w:rsidR="00D85B34" w:rsidRPr="00794712">
        <w:rPr>
          <w:lang w:val="ru-RU"/>
        </w:rPr>
        <w:t>在同一处向门徒应许圣灵时，祂说：</w:t>
      </w:r>
      <w:r w:rsidR="00D85B34" w:rsidRPr="007E07E9">
        <w:rPr>
          <w:i/>
          <w:iCs/>
          <w:lang w:val="ru-RU"/>
        </w:rPr>
        <w:t>“我要求父，父就另外赐给你们一位保惠师，叫祂永远与你们同在”</w:t>
      </w:r>
      <w:r w:rsidR="005864AB">
        <w:rPr>
          <w:lang w:val="ru-RU"/>
        </w:rPr>
        <w:t>（约</w:t>
      </w:r>
      <w:r w:rsidR="00D85B34" w:rsidRPr="00794712">
        <w:rPr>
          <w:lang w:val="ru-RU"/>
        </w:rPr>
        <w:t>14</w:t>
      </w:r>
      <w:r w:rsidR="00D85B34" w:rsidRPr="00427EEC">
        <w:rPr>
          <w:lang w:val="ru-RU"/>
        </w:rPr>
        <w:t>:</w:t>
      </w:r>
      <w:r w:rsidR="00D85B34" w:rsidRPr="00794712">
        <w:rPr>
          <w:lang w:val="ru-RU"/>
        </w:rPr>
        <w:t>16）；</w:t>
      </w:r>
      <w:r w:rsidR="00A95A76" w:rsidRPr="00A95A76">
        <w:rPr>
          <w:b/>
          <w:lang w:val="ru-RU"/>
        </w:rPr>
        <w:t xml:space="preserve"> c) </w:t>
      </w:r>
      <w:r w:rsidR="00D85B34" w:rsidRPr="00794712">
        <w:rPr>
          <w:lang w:val="ru-RU"/>
        </w:rPr>
        <w:t>在世界即将终结的征兆中，祂指出：</w:t>
      </w:r>
      <w:r w:rsidR="00D85B34" w:rsidRPr="00427EEC">
        <w:rPr>
          <w:i/>
          <w:iCs/>
          <w:lang w:val="ru-RU"/>
        </w:rPr>
        <w:t>“这天国的福音要传遍天下，对万民作见证”</w:t>
      </w:r>
      <w:r w:rsidR="00D85B34" w:rsidRPr="00794712">
        <w:rPr>
          <w:lang w:val="ru-RU"/>
        </w:rPr>
        <w:t xml:space="preserve"> </w:t>
      </w:r>
      <w:r w:rsidR="00224D5E">
        <w:rPr>
          <w:lang w:val="ru-RU"/>
        </w:rPr>
        <w:t>（马太</w:t>
      </w:r>
      <w:r w:rsidR="00D85B34" w:rsidRPr="00794712">
        <w:rPr>
          <w:lang w:val="ru-RU"/>
        </w:rPr>
        <w:t>福音24</w:t>
      </w:r>
      <w:r w:rsidR="00D85B34" w:rsidRPr="00427EEC">
        <w:rPr>
          <w:lang w:val="ru-RU"/>
        </w:rPr>
        <w:t>:</w:t>
      </w:r>
      <w:r w:rsidR="00D85B34" w:rsidRPr="00794712">
        <w:rPr>
          <w:lang w:val="ru-RU"/>
        </w:rPr>
        <w:t>14），</w:t>
      </w:r>
      <w:r w:rsidR="00A95A76" w:rsidRPr="00A95A76">
        <w:rPr>
          <w:b/>
          <w:lang w:val="ru-RU"/>
        </w:rPr>
        <w:t>并且——丁）</w:t>
      </w:r>
      <w:r w:rsidR="00D85B34" w:rsidRPr="00794712">
        <w:rPr>
          <w:lang w:val="ru-RU"/>
        </w:rPr>
        <w:t xml:space="preserve"> 将祂在世上建立天国、播撒良种的事工的终结，与世界的终结联系在一起，那时祂将带着荣耀显现，审判活人死人，按各人的行为报应各人</w:t>
      </w:r>
      <w:r w:rsidR="00224D5E">
        <w:rPr>
          <w:lang w:val="ru-RU"/>
        </w:rPr>
        <w:t>（</w:t>
      </w:r>
      <w:r w:rsidR="00D85B34" w:rsidRPr="00794712">
        <w:rPr>
          <w:lang w:val="ru-RU"/>
        </w:rPr>
        <w:t>马太福音13</w:t>
      </w:r>
      <w:r w:rsidR="00D85B34" w:rsidRPr="00427EEC">
        <w:rPr>
          <w:lang w:val="ru-RU"/>
        </w:rPr>
        <w:t>:</w:t>
      </w:r>
      <w:r w:rsidR="00D85B34" w:rsidRPr="00794712">
        <w:rPr>
          <w:lang w:val="ru-RU"/>
        </w:rPr>
        <w:t>24-43）。 圣使徒们也宣讲说：</w:t>
      </w:r>
      <w:r w:rsidR="00D85B34" w:rsidRPr="00427EEC">
        <w:rPr>
          <w:i/>
          <w:iCs/>
          <w:lang w:val="ru-RU"/>
        </w:rPr>
        <w:t>“耶稣基督昨日、今日、直到永远是一样的”</w:t>
      </w:r>
      <w:r w:rsidR="00D85B34" w:rsidRPr="00794712">
        <w:rPr>
          <w:lang w:val="ru-RU"/>
        </w:rPr>
        <w:t xml:space="preserve"> （希伯来书 13</w:t>
      </w:r>
      <w:r w:rsidR="00D85B34" w:rsidRPr="00427EEC">
        <w:rPr>
          <w:lang w:val="ru-RU"/>
        </w:rPr>
        <w:t>:</w:t>
      </w:r>
      <w:r w:rsidR="00D85B34" w:rsidRPr="00794712">
        <w:rPr>
          <w:lang w:val="ru-RU"/>
        </w:rPr>
        <w:t>8），祂的约</w:t>
      </w:r>
      <w:r w:rsidR="00D85B34">
        <w:rPr>
          <w:lang w:val="ru-RU"/>
        </w:rPr>
        <w:t>是</w:t>
      </w:r>
      <w:r w:rsidR="00D85B34" w:rsidRPr="00794712">
        <w:rPr>
          <w:lang w:val="ru-RU"/>
        </w:rPr>
        <w:t>永恒的约（希伯来书 13</w:t>
      </w:r>
      <w:r w:rsidR="00D85B34" w:rsidRPr="00427EEC">
        <w:rPr>
          <w:lang w:val="ru-RU"/>
        </w:rPr>
        <w:t>:20</w:t>
      </w:r>
      <w:r w:rsidR="00D85B34" w:rsidRPr="00794712">
        <w:rPr>
          <w:lang w:val="ru-RU"/>
        </w:rPr>
        <w:t>），并且</w:t>
      </w:r>
      <w:r w:rsidR="00D85B34" w:rsidRPr="00427EEC">
        <w:rPr>
          <w:i/>
          <w:iCs/>
          <w:lang w:val="ru-RU"/>
        </w:rPr>
        <w:t>“祂必须作王，直到将一切仇敌都放在祂的脚下”</w:t>
      </w:r>
      <w:r w:rsidR="00621F17">
        <w:rPr>
          <w:lang w:val="ru-RU"/>
        </w:rPr>
        <w:t>（哥林多前书</w:t>
      </w:r>
      <w:r w:rsidR="00D85B34" w:rsidRPr="00794712">
        <w:rPr>
          <w:lang w:val="ru-RU"/>
        </w:rPr>
        <w:t xml:space="preserve"> 15</w:t>
      </w:r>
      <w:r w:rsidR="00D85B34" w:rsidRPr="00427EEC">
        <w:rPr>
          <w:lang w:val="ru-RU"/>
        </w:rPr>
        <w:t>:</w:t>
      </w:r>
      <w:r w:rsidR="00D85B34" w:rsidRPr="00794712">
        <w:rPr>
          <w:lang w:val="ru-RU"/>
        </w:rPr>
        <w:t>25）。</w:t>
      </w:r>
    </w:p>
    <w:p w14:paraId="3E56ACD6" w14:textId="77777777" w:rsidR="00D85B34" w:rsidRPr="00794712" w:rsidRDefault="00D85B34" w:rsidP="00D85B34">
      <w:pPr>
        <w:rPr>
          <w:lang w:val="ru-RU"/>
        </w:rPr>
      </w:pPr>
      <w:r w:rsidRPr="00794712">
        <w:rPr>
          <w:lang w:val="ru-RU"/>
        </w:rPr>
        <w:tab/>
        <w:t>因此，教会的圣父们和教师们将基督的律法（与仅在特定时期赐予犹太民族的摩西律法相对）称为普世律法、普世信仰，</w:t>
      </w:r>
      <w:r w:rsidR="008B03A1">
        <w:rPr>
          <w:rStyle w:val="FootnoteReference"/>
          <w:lang w:val="ru-RU"/>
        </w:rPr>
        <w:footnoteReference w:id="331"/>
      </w:r>
      <w:r w:rsidRPr="00794712">
        <w:rPr>
          <w:lang w:val="ru-RU"/>
        </w:rPr>
        <w:t xml:space="preserve"> 因为它是为全人类和所有时代而设的律法，也是从一开始就传遍全地的信仰。</w:t>
      </w:r>
      <w:r w:rsidR="008B03A1">
        <w:rPr>
          <w:rStyle w:val="FootnoteReference"/>
          <w:lang w:val="ru-RU"/>
        </w:rPr>
        <w:footnoteReference w:id="332"/>
      </w:r>
      <w:r w:rsidRPr="00794712">
        <w:rPr>
          <w:lang w:val="ru-RU"/>
        </w:rPr>
        <w:t xml:space="preserve"> 我们很容易从造物主仁慈这一思想中确信福音律法的这种使命，祂无疑希望所有的人都能得救，并进入真理的认识中</w:t>
      </w:r>
      <w:r w:rsidR="00621F17">
        <w:rPr>
          <w:lang w:val="ru-RU"/>
        </w:rPr>
        <w:t>（提摩太前书</w:t>
      </w:r>
      <w:r w:rsidRPr="00794712">
        <w:rPr>
          <w:lang w:val="ru-RU"/>
        </w:rPr>
        <w:t xml:space="preserve"> 2</w:t>
      </w:r>
      <w:r w:rsidRPr="00427EEC">
        <w:rPr>
          <w:lang w:val="ru-RU"/>
        </w:rPr>
        <w:t>:</w:t>
      </w:r>
      <w:r w:rsidRPr="00794712">
        <w:rPr>
          <w:lang w:val="ru-RU"/>
        </w:rPr>
        <w:t>4）。而基督的律法是唯一的救赎之律，唯有通过它才能获得永生。</w:t>
      </w:r>
    </w:p>
    <w:p w14:paraId="1E315FB7" w14:textId="77777777" w:rsidR="00D85B34" w:rsidRDefault="00D85B34" w:rsidP="00D85B34">
      <w:pPr>
        <w:rPr>
          <w:lang w:val="ru-RU"/>
        </w:rPr>
      </w:pPr>
    </w:p>
    <w:p w14:paraId="6731BE61" w14:textId="77777777" w:rsidR="00D85B34" w:rsidRPr="00794712" w:rsidRDefault="00D85B34" w:rsidP="007B240B">
      <w:pPr>
        <w:pStyle w:val="Heading5"/>
        <w:rPr>
          <w:lang w:val="ru-RU"/>
        </w:rPr>
      </w:pPr>
      <w:bookmarkStart w:id="252" w:name="_Toc133155581"/>
      <w:bookmarkStart w:id="253" w:name="_Toc180664594"/>
      <w:bookmarkStart w:id="254" w:name="_Toc180679215"/>
      <w:bookmarkStart w:id="255" w:name="_Toc180679272"/>
      <w:bookmarkStart w:id="256" w:name="_Toc180679795"/>
      <w:bookmarkStart w:id="257" w:name="_Toc238453678"/>
      <w:bookmarkStart w:id="258" w:name="_Toc238576494"/>
      <w:r w:rsidRPr="00794712">
        <w:rPr>
          <w:lang w:val="ru-RU"/>
        </w:rPr>
        <w:t>§148. 耶稣基督传授了唯一的救赎之律，这也是获得永生的必要条件</w:t>
      </w:r>
      <w:bookmarkEnd w:id="252"/>
      <w:bookmarkEnd w:id="253"/>
      <w:bookmarkEnd w:id="254"/>
      <w:bookmarkEnd w:id="255"/>
      <w:bookmarkEnd w:id="256"/>
      <w:bookmarkEnd w:id="257"/>
      <w:bookmarkEnd w:id="258"/>
    </w:p>
    <w:p w14:paraId="7A617357" w14:textId="77777777" w:rsidR="00D85B34" w:rsidRPr="00794712" w:rsidRDefault="00D85B34" w:rsidP="00D85B34">
      <w:pPr>
        <w:ind w:firstLine="708"/>
        <w:rPr>
          <w:lang w:val="ru-RU"/>
        </w:rPr>
      </w:pPr>
      <w:r w:rsidRPr="00794712">
        <w:rPr>
          <w:lang w:val="ru-RU"/>
        </w:rPr>
        <w:t>这一至关重要的真理——</w:t>
      </w:r>
    </w:p>
    <w:p w14:paraId="0792C439" w14:textId="77777777" w:rsidR="00D85B34" w:rsidRPr="00794712" w:rsidRDefault="00F45CFB" w:rsidP="00D85B34">
      <w:pPr>
        <w:ind w:firstLine="708"/>
        <w:rPr>
          <w:lang w:val="ru-RU"/>
        </w:rPr>
      </w:pPr>
      <w:r w:rsidRPr="00F45CFB">
        <w:rPr>
          <w:b/>
          <w:lang w:val="ru-RU"/>
        </w:rPr>
        <w:lastRenderedPageBreak/>
        <w:t>1)</w:t>
      </w:r>
      <w:r w:rsidR="00D85B34" w:rsidRPr="00794712">
        <w:rPr>
          <w:lang w:val="ru-RU"/>
        </w:rPr>
        <w:t xml:space="preserve"> 救主基督本人已明确作证</w:t>
      </w:r>
      <w:r w:rsidR="00A95A76" w:rsidRPr="00A95A76">
        <w:rPr>
          <w:b/>
          <w:lang w:val="ru-RU"/>
        </w:rPr>
        <w:t xml:space="preserve">——a) </w:t>
      </w:r>
      <w:r w:rsidR="00D85B34" w:rsidRPr="00794712">
        <w:rPr>
          <w:lang w:val="ru-RU"/>
        </w:rPr>
        <w:t>当祂说：</w:t>
      </w:r>
      <w:r w:rsidR="00D85B34" w:rsidRPr="00427EEC">
        <w:rPr>
          <w:i/>
          <w:iCs/>
          <w:lang w:val="ru-RU"/>
        </w:rPr>
        <w:t>“我就是道路、真理、生命；若不借着我，没有人能到父那里去”</w:t>
      </w:r>
      <w:r w:rsidR="005864AB">
        <w:rPr>
          <w:lang w:val="ru-RU"/>
        </w:rPr>
        <w:t>（</w:t>
      </w:r>
      <w:r w:rsidR="00D85B34" w:rsidRPr="00794712">
        <w:rPr>
          <w:lang w:val="ru-RU"/>
        </w:rPr>
        <w:t>约14</w:t>
      </w:r>
      <w:r w:rsidR="00D85B34" w:rsidRPr="00427EEC">
        <w:rPr>
          <w:lang w:val="ru-RU"/>
        </w:rPr>
        <w:t>:</w:t>
      </w:r>
      <w:r w:rsidR="00D85B34" w:rsidRPr="00794712">
        <w:rPr>
          <w:lang w:val="ru-RU"/>
        </w:rPr>
        <w:t xml:space="preserve">6）； </w:t>
      </w:r>
      <w:r w:rsidR="00D85B34" w:rsidRPr="00427EEC">
        <w:rPr>
          <w:i/>
          <w:iCs/>
          <w:lang w:val="ru-RU"/>
        </w:rPr>
        <w:t>“认识你——独一的真神，并你所差来的耶稣基督，这就是永生</w:t>
      </w:r>
      <w:r w:rsidR="005864AB">
        <w:rPr>
          <w:lang w:val="ru-RU"/>
        </w:rPr>
        <w:t>”（</w:t>
      </w:r>
      <w:r w:rsidR="00D85B34" w:rsidRPr="00794712">
        <w:rPr>
          <w:lang w:val="ru-RU"/>
        </w:rPr>
        <w:t>约17</w:t>
      </w:r>
      <w:r w:rsidR="00D85B34">
        <w:rPr>
          <w:lang w:val="ru-RU"/>
        </w:rPr>
        <w:t>:</w:t>
      </w:r>
      <w:r w:rsidR="00D85B34" w:rsidRPr="00794712">
        <w:rPr>
          <w:lang w:val="ru-RU"/>
        </w:rPr>
        <w:t>3）；</w:t>
      </w:r>
      <w:r w:rsidR="00D85B34" w:rsidRPr="00427EEC">
        <w:rPr>
          <w:i/>
          <w:iCs/>
          <w:lang w:val="ru-RU"/>
        </w:rPr>
        <w:t>“信子的人有永生；不信子的人不得见永生，神的忿怒常在他身上”</w:t>
      </w:r>
      <w:r w:rsidR="00C32184" w:rsidRPr="00C32184">
        <w:rPr>
          <w:lang w:val="ru-RU"/>
        </w:rPr>
        <w:t>[</w:t>
      </w:r>
      <w:r w:rsidR="005864AB">
        <w:rPr>
          <w:lang w:val="ru-RU"/>
        </w:rPr>
        <w:t>(</w:t>
      </w:r>
      <w:r w:rsidR="00D85B34" w:rsidRPr="00794712">
        <w:rPr>
          <w:lang w:val="ru-RU"/>
        </w:rPr>
        <w:t>约3</w:t>
      </w:r>
      <w:r w:rsidR="00D85B34">
        <w:rPr>
          <w:lang w:val="ru-RU"/>
        </w:rPr>
        <w:t>:</w:t>
      </w:r>
      <w:r w:rsidR="00D85B34" w:rsidRPr="00794712">
        <w:rPr>
          <w:lang w:val="ru-RU"/>
        </w:rPr>
        <w:t>36</w:t>
      </w:r>
      <w:r w:rsidR="00C32184" w:rsidRPr="00C32184">
        <w:rPr>
          <w:lang w:val="ru-RU"/>
        </w:rPr>
        <w:t>)</w:t>
      </w:r>
      <w:r w:rsidR="00D85B34" w:rsidRPr="00794712">
        <w:rPr>
          <w:lang w:val="ru-RU"/>
        </w:rPr>
        <w:t xml:space="preserve">； </w:t>
      </w:r>
      <w:r w:rsidR="00C32184" w:rsidRPr="00C32184">
        <w:rPr>
          <w:lang w:val="ru-RU"/>
        </w:rPr>
        <w:t>（</w:t>
      </w:r>
      <w:r w:rsidR="00D85B34" w:rsidRPr="00794712">
        <w:rPr>
          <w:lang w:val="ru-RU"/>
        </w:rPr>
        <w:t>约16-18）</w:t>
      </w:r>
      <w:r w:rsidR="00C32184" w:rsidRPr="00C32184">
        <w:rPr>
          <w:lang w:val="ru-RU"/>
        </w:rPr>
        <w:t>]</w:t>
      </w:r>
      <w:r w:rsidR="00D85B34" w:rsidRPr="00794712">
        <w:rPr>
          <w:lang w:val="ru-RU"/>
        </w:rPr>
        <w:t>；</w:t>
      </w:r>
      <w:r w:rsidR="00D85B34" w:rsidRPr="00427EEC">
        <w:rPr>
          <w:i/>
          <w:iCs/>
          <w:lang w:val="ru-RU"/>
        </w:rPr>
        <w:t>“我就是门；凡从我进来的，必然得救”</w:t>
      </w:r>
      <w:r w:rsidR="005864AB">
        <w:rPr>
          <w:lang w:val="ru-RU"/>
        </w:rPr>
        <w:t>（</w:t>
      </w:r>
      <w:r w:rsidR="00D85B34" w:rsidRPr="00794712">
        <w:rPr>
          <w:lang w:val="ru-RU"/>
        </w:rPr>
        <w:t>约10</w:t>
      </w:r>
      <w:r w:rsidR="00D85B34">
        <w:rPr>
          <w:lang w:val="ru-RU"/>
        </w:rPr>
        <w:t>:</w:t>
      </w:r>
      <w:r w:rsidR="00D85B34" w:rsidRPr="00794712">
        <w:rPr>
          <w:lang w:val="ru-RU"/>
        </w:rPr>
        <w:t>9）；</w:t>
      </w:r>
      <w:r w:rsidR="00D85B34" w:rsidRPr="00DE078F">
        <w:rPr>
          <w:i/>
          <w:iCs/>
          <w:lang w:val="ru-RU"/>
        </w:rPr>
        <w:t>“我不是凭自己说的，乃是差我来的父，祂已经吩咐我该说什么、该讲什么。我知道祂的诫命就是永生”</w:t>
      </w:r>
      <w:r w:rsidR="00D85B34" w:rsidRPr="00794712">
        <w:rPr>
          <w:lang w:val="ru-RU"/>
        </w:rPr>
        <w:t xml:space="preserve"> （12:49-50），以及 </w:t>
      </w:r>
      <w:r w:rsidR="00A95A76" w:rsidRPr="00A95A76">
        <w:rPr>
          <w:b/>
          <w:lang w:val="ru-RU"/>
        </w:rPr>
        <w:t xml:space="preserve">b) </w:t>
      </w:r>
      <w:r w:rsidR="00D85B34" w:rsidRPr="00794712">
        <w:rPr>
          <w:lang w:val="ru-RU"/>
        </w:rPr>
        <w:t>当祂吩咐使徒们：</w:t>
      </w:r>
      <w:r w:rsidR="00D85B34" w:rsidRPr="00DE078F">
        <w:rPr>
          <w:i/>
          <w:iCs/>
          <w:lang w:val="ru-RU"/>
        </w:rPr>
        <w:t>“你们往普天下去，向万物传福音”</w:t>
      </w:r>
      <w:r w:rsidR="00D85B34" w:rsidRPr="00794712">
        <w:rPr>
          <w:lang w:val="ru-RU"/>
        </w:rPr>
        <w:t>时，又补充道：</w:t>
      </w:r>
      <w:r w:rsidR="00D85B34" w:rsidRPr="00DE078F">
        <w:rPr>
          <w:i/>
          <w:iCs/>
          <w:lang w:val="ru-RU"/>
        </w:rPr>
        <w:t>“信而受洗的，必然得救；不信的，必被定罪”</w:t>
      </w:r>
      <w:r w:rsidR="005864AB">
        <w:rPr>
          <w:lang w:val="ru-RU"/>
        </w:rPr>
        <w:t>（可</w:t>
      </w:r>
      <w:r w:rsidR="00D85B34" w:rsidRPr="00794712">
        <w:rPr>
          <w:lang w:val="ru-RU"/>
        </w:rPr>
        <w:t>16</w:t>
      </w:r>
      <w:r w:rsidR="00D85B34">
        <w:rPr>
          <w:lang w:val="ru-RU"/>
        </w:rPr>
        <w:t>:</w:t>
      </w:r>
      <w:r w:rsidR="00D85B34" w:rsidRPr="00794712">
        <w:rPr>
          <w:lang w:val="ru-RU"/>
        </w:rPr>
        <w:t>15-16）。</w:t>
      </w:r>
    </w:p>
    <w:p w14:paraId="247E7CAD" w14:textId="77777777" w:rsidR="00D85B34" w:rsidRPr="00794712" w:rsidRDefault="00F45CFB" w:rsidP="00D85B34">
      <w:pPr>
        <w:ind w:firstLine="708"/>
        <w:rPr>
          <w:lang w:val="ru-RU"/>
        </w:rPr>
      </w:pPr>
      <w:r w:rsidRPr="00F45CFB">
        <w:rPr>
          <w:b/>
          <w:lang w:val="ru-RU"/>
        </w:rPr>
        <w:t>2）</w:t>
      </w:r>
      <w:r w:rsidR="00D85B34" w:rsidRPr="00794712">
        <w:rPr>
          <w:lang w:val="ru-RU"/>
        </w:rPr>
        <w:t>随后，圣使徒们作证说：</w:t>
      </w:r>
      <w:r w:rsidR="00A95A76" w:rsidRPr="00A95A76">
        <w:rPr>
          <w:b/>
          <w:lang w:val="ru-RU"/>
        </w:rPr>
        <w:t>当——a）</w:t>
      </w:r>
      <w:r w:rsidR="00D85B34" w:rsidRPr="00794712">
        <w:rPr>
          <w:lang w:val="ru-RU"/>
        </w:rPr>
        <w:t>他们教导关于基督的事时：</w:t>
      </w:r>
      <w:r w:rsidR="00D85B34" w:rsidRPr="00DE078F">
        <w:rPr>
          <w:i/>
          <w:iCs/>
          <w:lang w:val="ru-RU"/>
        </w:rPr>
        <w:t>“除了那已经立好的根基——就是耶稣基督——以外，没有人能另立根基”</w:t>
      </w:r>
      <w:r w:rsidR="00D85B34" w:rsidRPr="00794712">
        <w:rPr>
          <w:lang w:val="ru-RU"/>
        </w:rPr>
        <w:t xml:space="preserve"> </w:t>
      </w:r>
      <w:r w:rsidR="00621F17">
        <w:rPr>
          <w:lang w:val="ru-RU"/>
        </w:rPr>
        <w:t>（林</w:t>
      </w:r>
      <w:r w:rsidR="00D85B34" w:rsidRPr="00794712">
        <w:rPr>
          <w:lang w:val="ru-RU"/>
        </w:rPr>
        <w:t>前3</w:t>
      </w:r>
      <w:r w:rsidR="00D85B34">
        <w:rPr>
          <w:lang w:val="ru-RU"/>
        </w:rPr>
        <w:t>:</w:t>
      </w:r>
      <w:r w:rsidR="00D85B34" w:rsidRPr="00794712">
        <w:rPr>
          <w:lang w:val="ru-RU"/>
        </w:rPr>
        <w:t>11），</w:t>
      </w:r>
      <w:r w:rsidR="00D85B34" w:rsidRPr="00DE078F">
        <w:rPr>
          <w:i/>
          <w:iCs/>
          <w:lang w:val="ru-RU"/>
        </w:rPr>
        <w:t>并“除祂以外，别无拯救；因为在天下人间，没有赐下别的名，我们可以靠着得救”</w:t>
      </w:r>
      <w:r w:rsidR="00D85B34" w:rsidRPr="00794712">
        <w:rPr>
          <w:lang w:val="ru-RU"/>
        </w:rPr>
        <w:t>（</w:t>
      </w:r>
      <w:r w:rsidR="00FB2012">
        <w:rPr>
          <w:rFonts w:cs="Cambria Math"/>
          <w:lang w:val="ru-RU"/>
        </w:rPr>
        <w:t>徒</w:t>
      </w:r>
      <w:r w:rsidR="00D85B34" w:rsidRPr="00794712">
        <w:rPr>
          <w:lang w:val="ru-RU"/>
        </w:rPr>
        <w:t>4</w:t>
      </w:r>
      <w:r w:rsidR="00D85B34" w:rsidRPr="00DE078F">
        <w:rPr>
          <w:lang w:val="ru-RU"/>
        </w:rPr>
        <w:t>:</w:t>
      </w:r>
      <w:r w:rsidR="00D85B34" w:rsidRPr="00794712">
        <w:rPr>
          <w:lang w:val="ru-RU"/>
        </w:rPr>
        <w:t>11-12）； 或者：</w:t>
      </w:r>
      <w:r w:rsidR="00D85B34" w:rsidRPr="00DE078F">
        <w:rPr>
          <w:i/>
          <w:iCs/>
          <w:lang w:val="ru-RU"/>
        </w:rPr>
        <w:t>“我们也知道，神的儿子已经来了，并且赐给我们光和智慧，使我们认识那位真神，又使我们住在祂的真儿子耶稣基督里面。祂就是真神，也是永生”</w:t>
      </w:r>
      <w:r w:rsidR="008A3626">
        <w:rPr>
          <w:lang w:val="ru-RU"/>
        </w:rPr>
        <w:t>（约</w:t>
      </w:r>
      <w:r w:rsidR="00D85B34" w:rsidRPr="00794712">
        <w:rPr>
          <w:lang w:val="ru-RU"/>
        </w:rPr>
        <w:t>壹5</w:t>
      </w:r>
      <w:r w:rsidR="00D85B34" w:rsidRPr="00DE078F">
        <w:rPr>
          <w:lang w:val="ru-RU"/>
        </w:rPr>
        <w:t>:</w:t>
      </w:r>
      <w:r w:rsidR="00D85B34" w:rsidRPr="00794712">
        <w:rPr>
          <w:lang w:val="ru-RU"/>
        </w:rPr>
        <w:t>20）；</w:t>
      </w:r>
      <w:r w:rsidR="00A95A76" w:rsidRPr="00A95A76">
        <w:rPr>
          <w:b/>
          <w:lang w:val="ru-RU"/>
        </w:rPr>
        <w:t xml:space="preserve"> b) </w:t>
      </w:r>
      <w:r w:rsidR="00D85B34" w:rsidRPr="00794712">
        <w:rPr>
          <w:lang w:val="ru-RU"/>
        </w:rPr>
        <w:t>将基督的教义称为我们得救的福音（以弗所书 1</w:t>
      </w:r>
      <w:r w:rsidR="00D85B34" w:rsidRPr="00DE078F">
        <w:rPr>
          <w:lang w:val="ru-RU"/>
        </w:rPr>
        <w:t>:</w:t>
      </w:r>
      <w:r w:rsidR="00D85B34" w:rsidRPr="00794712">
        <w:rPr>
          <w:lang w:val="ru-RU"/>
        </w:rPr>
        <w:t>13），称为能拯救我们灵魂的话语（雅各书 1</w:t>
      </w:r>
      <w:r w:rsidR="00D85B34" w:rsidRPr="00DE078F">
        <w:rPr>
          <w:lang w:val="ru-RU"/>
        </w:rPr>
        <w:t>:</w:t>
      </w:r>
      <w:r w:rsidR="00D85B34" w:rsidRPr="00794712">
        <w:rPr>
          <w:lang w:val="ru-RU"/>
        </w:rPr>
        <w:t>21），称为神的权能，这权能“是</w:t>
      </w:r>
      <w:r w:rsidR="00D85B34" w:rsidRPr="00DE078F">
        <w:rPr>
          <w:i/>
          <w:iCs/>
          <w:lang w:val="ru-RU"/>
        </w:rPr>
        <w:t>向一切信的人，先是犹太人，后是希腊人，所显的救恩”</w:t>
      </w:r>
      <w:r w:rsidR="00D85B34" w:rsidRPr="00794712">
        <w:rPr>
          <w:lang w:val="ru-RU"/>
        </w:rPr>
        <w:t xml:space="preserve"> （罗1</w:t>
      </w:r>
      <w:r w:rsidR="00D85B34" w:rsidRPr="00C97C7E">
        <w:rPr>
          <w:lang w:val="ru-RU"/>
        </w:rPr>
        <w:t>:</w:t>
      </w:r>
      <w:r w:rsidR="00D85B34" w:rsidRPr="00794712">
        <w:rPr>
          <w:lang w:val="ru-RU"/>
        </w:rPr>
        <w:t>16）</w:t>
      </w:r>
      <w:r w:rsidR="00A95A76" w:rsidRPr="00A95A76">
        <w:rPr>
          <w:b/>
          <w:lang w:val="ru-RU"/>
        </w:rPr>
        <w:t>，并——c)</w:t>
      </w:r>
      <w:r w:rsidR="00D85B34" w:rsidRPr="00794712">
        <w:rPr>
          <w:lang w:val="ru-RU"/>
        </w:rPr>
        <w:t xml:space="preserve"> 嘱咐基督徒：</w:t>
      </w:r>
      <w:r w:rsidR="00D85B34" w:rsidRPr="00C97C7E">
        <w:rPr>
          <w:i/>
          <w:iCs/>
          <w:lang w:val="ru-RU"/>
        </w:rPr>
        <w:t>“纵使是我们，或是从天上来的天使，若传福音给你们，与我们所传给你们的不同，就当受咒诅”</w:t>
      </w:r>
      <w:r w:rsidR="00D85B34" w:rsidRPr="00794712">
        <w:rPr>
          <w:lang w:val="ru-RU"/>
        </w:rPr>
        <w:t>（加1</w:t>
      </w:r>
      <w:r w:rsidR="00D85B34" w:rsidRPr="00C97C7E">
        <w:rPr>
          <w:lang w:val="ru-RU"/>
        </w:rPr>
        <w:t>:</w:t>
      </w:r>
      <w:r w:rsidR="00D85B34" w:rsidRPr="00794712">
        <w:rPr>
          <w:lang w:val="ru-RU"/>
        </w:rPr>
        <w:t xml:space="preserve">8）； </w:t>
      </w:r>
      <w:r w:rsidR="00D85B34" w:rsidRPr="00C97C7E">
        <w:rPr>
          <w:i/>
          <w:iCs/>
          <w:lang w:val="ru-RU"/>
        </w:rPr>
        <w:t>“凡越过基督的教训不常守着的，就没有神；常守这教训的，就有父又有子。若有人到你们那里，不带这教训，不要接他到家里，也不要问他的安”</w:t>
      </w:r>
      <w:r w:rsidR="00A505BA">
        <w:rPr>
          <w:lang w:val="ru-RU"/>
        </w:rPr>
        <w:t>（《约翰二书》</w:t>
      </w:r>
      <w:r w:rsidR="0087297C">
        <w:rPr>
          <w:lang w:val="ru-RU"/>
        </w:rPr>
        <w:t>1</w:t>
      </w:r>
      <w:r w:rsidR="00D85B34" w:rsidRPr="00C97C7E">
        <w:rPr>
          <w:lang w:val="ru-RU"/>
        </w:rPr>
        <w:t>:</w:t>
      </w:r>
      <w:r w:rsidR="00D85B34" w:rsidRPr="00794712">
        <w:rPr>
          <w:lang w:val="ru-RU"/>
        </w:rPr>
        <w:t>10）。</w:t>
      </w:r>
    </w:p>
    <w:p w14:paraId="2381B4A4" w14:textId="77777777" w:rsidR="00D85B34" w:rsidRDefault="00F45CFB" w:rsidP="00D85B34">
      <w:pPr>
        <w:ind w:firstLine="708"/>
        <w:rPr>
          <w:lang w:val="ru-RU"/>
        </w:rPr>
      </w:pPr>
      <w:r w:rsidRPr="00F45CFB">
        <w:rPr>
          <w:b/>
          <w:lang w:val="ru-RU"/>
        </w:rPr>
        <w:t>3)</w:t>
      </w:r>
      <w:r w:rsidR="00D85B34" w:rsidRPr="00794712">
        <w:rPr>
          <w:lang w:val="ru-RU"/>
        </w:rPr>
        <w:t xml:space="preserve"> 所有圣父和教会导师都一致宣认这一点，称福音律法为救赎的教义、救赎的教条、</w:t>
      </w:r>
      <w:r w:rsidR="008B03A1">
        <w:rPr>
          <w:rStyle w:val="FootnoteReference"/>
          <w:lang w:val="ru-RU"/>
        </w:rPr>
        <w:footnoteReference w:id="333"/>
      </w:r>
      <w:r w:rsidR="00D85B34" w:rsidRPr="00794712">
        <w:rPr>
          <w:lang w:val="ru-RU"/>
        </w:rPr>
        <w:t xml:space="preserve"> ，并断言：若不相信耶稣基督，若不相信祂所传授的一切教义，无论何人、何地、何时，都无法得救。</w:t>
      </w:r>
      <w:r w:rsidR="008B03A1">
        <w:rPr>
          <w:rStyle w:val="FootnoteReference"/>
          <w:lang w:val="ru-RU"/>
        </w:rPr>
        <w:footnoteReference w:id="334"/>
      </w:r>
    </w:p>
    <w:p w14:paraId="41FBCF78" w14:textId="77777777" w:rsidR="00D85B34" w:rsidRDefault="00D85B34" w:rsidP="00D85B34">
      <w:pPr>
        <w:rPr>
          <w:lang w:val="ru-RU"/>
        </w:rPr>
      </w:pPr>
    </w:p>
    <w:p w14:paraId="74530AE7" w14:textId="77777777" w:rsidR="00D85B34" w:rsidRDefault="00D85B34" w:rsidP="00D85B34">
      <w:pPr>
        <w:rPr>
          <w:lang w:val="ru-RU"/>
        </w:rPr>
      </w:pPr>
    </w:p>
    <w:p w14:paraId="30D637BB" w14:textId="77777777" w:rsidR="00D85B34" w:rsidRPr="00794712" w:rsidRDefault="00D85B34" w:rsidP="007B240B">
      <w:pPr>
        <w:pStyle w:val="Heading4"/>
        <w:rPr>
          <w:lang w:val="ru-RU"/>
        </w:rPr>
      </w:pPr>
      <w:bookmarkStart w:id="259" w:name="_Toc133155582"/>
      <w:bookmarkStart w:id="260" w:name="_Toc180664595"/>
      <w:bookmarkStart w:id="261" w:name="_Toc180679216"/>
      <w:bookmarkStart w:id="262" w:name="_Toc180679273"/>
      <w:bookmarkStart w:id="263" w:name="_Toc180679796"/>
      <w:bookmarkStart w:id="264" w:name="_Toc238453413"/>
      <w:bookmarkStart w:id="265" w:name="_Toc238453679"/>
      <w:bookmarkStart w:id="266" w:name="_Toc238466399"/>
      <w:bookmarkStart w:id="267" w:name="_Toc238576495"/>
      <w:r w:rsidRPr="00AA0891">
        <w:t>II</w:t>
      </w:r>
      <w:r w:rsidRPr="00794712">
        <w:rPr>
          <w:lang w:val="ru-RU"/>
        </w:rPr>
        <w:t>. 关于耶稣基督的大祭司职分</w:t>
      </w:r>
      <w:bookmarkEnd w:id="259"/>
      <w:bookmarkEnd w:id="260"/>
      <w:bookmarkEnd w:id="261"/>
      <w:bookmarkEnd w:id="262"/>
      <w:bookmarkEnd w:id="263"/>
      <w:bookmarkEnd w:id="264"/>
      <w:bookmarkEnd w:id="265"/>
      <w:bookmarkEnd w:id="266"/>
      <w:bookmarkEnd w:id="267"/>
    </w:p>
    <w:p w14:paraId="2524C57F" w14:textId="77777777" w:rsidR="00D85B34" w:rsidRDefault="00D85B34" w:rsidP="00D85B34">
      <w:pPr>
        <w:rPr>
          <w:lang w:val="ru-RU"/>
        </w:rPr>
      </w:pPr>
    </w:p>
    <w:p w14:paraId="0EB95455" w14:textId="77777777" w:rsidR="00D85B34" w:rsidRPr="00794712" w:rsidRDefault="00D85B34" w:rsidP="007B240B">
      <w:pPr>
        <w:pStyle w:val="Heading5"/>
        <w:rPr>
          <w:lang w:val="ru-RU"/>
        </w:rPr>
      </w:pPr>
      <w:bookmarkStart w:id="268" w:name="_Toc133155583"/>
      <w:bookmarkStart w:id="269" w:name="_Toc180664596"/>
      <w:bookmarkStart w:id="270" w:name="_Toc180679217"/>
      <w:bookmarkStart w:id="271" w:name="_Toc180679274"/>
      <w:bookmarkStart w:id="272" w:name="_Toc180679797"/>
      <w:bookmarkStart w:id="273" w:name="_Toc238453680"/>
      <w:bookmarkStart w:id="274" w:name="_Toc238576496"/>
      <w:r w:rsidRPr="00794712">
        <w:rPr>
          <w:lang w:val="ru-RU"/>
        </w:rPr>
        <w:t>§149. 与前文的关联、对耶稣基督大祭司职分的理解、此职分的真理及其卓越性</w:t>
      </w:r>
      <w:bookmarkEnd w:id="268"/>
      <w:bookmarkEnd w:id="269"/>
      <w:bookmarkEnd w:id="270"/>
      <w:bookmarkEnd w:id="271"/>
      <w:bookmarkEnd w:id="272"/>
      <w:bookmarkEnd w:id="273"/>
      <w:bookmarkEnd w:id="274"/>
    </w:p>
    <w:p w14:paraId="76E50762" w14:textId="77777777" w:rsidR="00D85B34" w:rsidRPr="00794712" w:rsidRDefault="00D85B34" w:rsidP="00D85B34">
      <w:pPr>
        <w:ind w:firstLine="708"/>
        <w:rPr>
          <w:lang w:val="ru-RU"/>
        </w:rPr>
      </w:pPr>
      <w:r w:rsidRPr="00794712">
        <w:rPr>
          <w:lang w:val="ru-RU"/>
        </w:rPr>
        <w:t>作为先知，基督——救主——只是向我们宣告了救恩，但尚未亲自成就救恩：祂用真神学的光照亮了我们的心智，为自己作见证，表明祂是真正的弥赛亚，降临人间是为了寻找并拯救那些迷失的人</w:t>
      </w:r>
      <w:r w:rsidR="00224D5E">
        <w:rPr>
          <w:lang w:val="ru-RU"/>
        </w:rPr>
        <w:t>（</w:t>
      </w:r>
      <w:r w:rsidRPr="00794712">
        <w:rPr>
          <w:lang w:val="ru-RU"/>
        </w:rPr>
        <w:t>太18</w:t>
      </w:r>
      <w:r w:rsidRPr="0061623A">
        <w:rPr>
          <w:lang w:val="ru-RU"/>
        </w:rPr>
        <w:t>:</w:t>
      </w:r>
      <w:r w:rsidRPr="00794712">
        <w:rPr>
          <w:lang w:val="ru-RU"/>
        </w:rPr>
        <w:t xml:space="preserve">11）； 祂还阐明了将如何拯救我们，我们如何能领受祂的功绩，并为我们指明了通往永生的正道。 </w:t>
      </w:r>
      <w:r w:rsidRPr="00794712">
        <w:rPr>
          <w:lang w:val="ru-RU"/>
        </w:rPr>
        <w:lastRenderedPageBreak/>
        <w:t>但祂确实将我们从罪及其一切后果中拯救出来，确实通过祂的大祭司职分，为我们赢得了永生。我们救主的这一职分在于：祂效法旧约大祭司的职分——他们的主要职责</w:t>
      </w:r>
      <w:r>
        <w:rPr>
          <w:lang w:val="ru-RU"/>
        </w:rPr>
        <w:t>是</w:t>
      </w:r>
      <w:r w:rsidRPr="0061623A">
        <w:rPr>
          <w:i/>
          <w:iCs/>
          <w:lang w:val="ru-RU"/>
        </w:rPr>
        <w:t>“为罪献上礼物和祭物”</w:t>
      </w:r>
      <w:r w:rsidRPr="00794712">
        <w:rPr>
          <w:lang w:val="ru-RU"/>
        </w:rPr>
        <w:t xml:space="preserve"> （希伯来书 5</w:t>
      </w:r>
      <w:r w:rsidRPr="0061623A">
        <w:rPr>
          <w:lang w:val="ru-RU"/>
        </w:rPr>
        <w:t>:</w:t>
      </w:r>
      <w:r w:rsidRPr="00794712">
        <w:rPr>
          <w:lang w:val="ru-RU"/>
        </w:rPr>
        <w:t>1），将祂自己献为赎世之罪的赎罪祭，从而使我们与神和好，救我们脱离罪及其后果，为我们赢得了永恒的福分。</w:t>
      </w:r>
    </w:p>
    <w:p w14:paraId="4B5937E2" w14:textId="77777777" w:rsidR="00D85B34" w:rsidRPr="00794712" w:rsidRDefault="00D85B34" w:rsidP="00D85B34">
      <w:pPr>
        <w:rPr>
          <w:lang w:val="ru-RU"/>
        </w:rPr>
      </w:pPr>
      <w:r w:rsidRPr="00794712">
        <w:rPr>
          <w:lang w:val="ru-RU"/>
        </w:rPr>
        <w:tab/>
        <w:t>关于我们救主大祭司职分的真理——</w:t>
      </w:r>
    </w:p>
    <w:p w14:paraId="38C1A78D"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早在旧约时代，上帝就借着先知大卫之口亲自宣告，对弥赛亚说：</w:t>
      </w:r>
      <w:r w:rsidRPr="002D07F7">
        <w:rPr>
          <w:i/>
          <w:iCs/>
          <w:lang w:val="ru-RU"/>
        </w:rPr>
        <w:t>“你是照着麦基洗德的等次永远为祭司”</w:t>
      </w:r>
      <w:r w:rsidRPr="00794712">
        <w:rPr>
          <w:lang w:val="ru-RU"/>
        </w:rPr>
        <w:t>（诗篇109:4）；</w:t>
      </w:r>
      <w:r w:rsidR="00A95A76" w:rsidRPr="00A95A76">
        <w:rPr>
          <w:b/>
          <w:lang w:val="ru-RU"/>
        </w:rPr>
        <w:t xml:space="preserve"> b)</w:t>
      </w:r>
      <w:r w:rsidRPr="00794712">
        <w:rPr>
          <w:lang w:val="ru-RU"/>
        </w:rPr>
        <w:t xml:space="preserve"> 基督救主亲自作证，将这篇先知性的诗篇归于自己，其中称祂为</w:t>
      </w:r>
      <w:r>
        <w:rPr>
          <w:lang w:val="ru-RU"/>
        </w:rPr>
        <w:t>按麦基洗德</w:t>
      </w:r>
      <w:r w:rsidRPr="00794712">
        <w:rPr>
          <w:lang w:val="ru-RU"/>
        </w:rPr>
        <w:t>等次作永远</w:t>
      </w:r>
      <w:r>
        <w:rPr>
          <w:lang w:val="ru-RU"/>
        </w:rPr>
        <w:t xml:space="preserve">的大祭司 </w:t>
      </w:r>
      <w:r w:rsidR="00FE78E6" w:rsidRPr="00FE78E6">
        <w:rPr>
          <w:lang w:val="ru-RU"/>
        </w:rPr>
        <w:t>[</w:t>
      </w:r>
      <w:r w:rsidR="00224D5E">
        <w:rPr>
          <w:lang w:val="ru-RU"/>
        </w:rPr>
        <w:t>(太</w:t>
      </w:r>
      <w:r w:rsidRPr="00794712">
        <w:rPr>
          <w:lang w:val="ru-RU"/>
        </w:rPr>
        <w:t xml:space="preserve"> 22</w:t>
      </w:r>
      <w:r>
        <w:rPr>
          <w:lang w:val="ru-RU"/>
        </w:rPr>
        <w:t>:</w:t>
      </w:r>
      <w:r w:rsidRPr="00794712">
        <w:rPr>
          <w:lang w:val="ru-RU"/>
        </w:rPr>
        <w:t>44</w:t>
      </w:r>
      <w:r w:rsidR="00FE78E6" w:rsidRPr="00FE78E6">
        <w:rPr>
          <w:lang w:val="ru-RU"/>
        </w:rPr>
        <w:t>)</w:t>
      </w:r>
      <w:r w:rsidRPr="00794712">
        <w:rPr>
          <w:lang w:val="ru-RU"/>
        </w:rPr>
        <w:t>；</w:t>
      </w:r>
      <w:r w:rsidR="00FE78E6" w:rsidRPr="00FE78E6">
        <w:rPr>
          <w:lang w:val="ru-RU"/>
        </w:rPr>
        <w:t>(</w:t>
      </w:r>
      <w:r w:rsidRPr="00794712">
        <w:rPr>
          <w:lang w:val="ru-RU"/>
        </w:rPr>
        <w:t>可 12</w:t>
      </w:r>
      <w:r>
        <w:rPr>
          <w:lang w:val="ru-RU"/>
        </w:rPr>
        <w:t>:</w:t>
      </w:r>
      <w:r w:rsidRPr="00794712">
        <w:rPr>
          <w:lang w:val="ru-RU"/>
        </w:rPr>
        <w:t>36</w:t>
      </w:r>
      <w:r w:rsidR="00FE78E6" w:rsidRPr="00FE78E6">
        <w:rPr>
          <w:lang w:val="ru-RU"/>
        </w:rPr>
        <w:t>)</w:t>
      </w:r>
      <w:r w:rsidRPr="00794712">
        <w:rPr>
          <w:lang w:val="ru-RU"/>
        </w:rPr>
        <w:t>；</w:t>
      </w:r>
      <w:r w:rsidR="0087297C">
        <w:rPr>
          <w:lang w:val="ru-RU"/>
        </w:rPr>
        <w:t xml:space="preserve"> </w:t>
      </w:r>
      <w:r w:rsidR="00FE78E6" w:rsidRPr="00FE78E6">
        <w:rPr>
          <w:lang w:val="ru-RU"/>
        </w:rPr>
        <w:t>(</w:t>
      </w:r>
      <w:r w:rsidR="0087297C">
        <w:rPr>
          <w:lang w:val="ru-RU"/>
        </w:rPr>
        <w:t>路加福音</w:t>
      </w:r>
      <w:r w:rsidRPr="00794712">
        <w:rPr>
          <w:lang w:val="ru-RU"/>
        </w:rPr>
        <w:t xml:space="preserve"> 20</w:t>
      </w:r>
      <w:r>
        <w:rPr>
          <w:lang w:val="ru-RU"/>
        </w:rPr>
        <w:t>:</w:t>
      </w:r>
      <w:r w:rsidRPr="00794712">
        <w:rPr>
          <w:lang w:val="ru-RU"/>
        </w:rPr>
        <w:t>42)</w:t>
      </w:r>
      <w:r w:rsidR="00FE78E6" w:rsidRPr="00FE78E6">
        <w:rPr>
          <w:lang w:val="ru-RU"/>
        </w:rPr>
        <w:t>]</w:t>
      </w:r>
      <w:r w:rsidRPr="00794712">
        <w:rPr>
          <w:lang w:val="ru-RU"/>
        </w:rPr>
        <w:t>；</w:t>
      </w:r>
      <w:r w:rsidR="00A95A76" w:rsidRPr="00A95A76">
        <w:rPr>
          <w:b/>
          <w:lang w:val="ru-RU"/>
        </w:rPr>
        <w:t>c)</w:t>
      </w:r>
      <w:r w:rsidRPr="00794712">
        <w:rPr>
          <w:lang w:val="ru-RU"/>
        </w:rPr>
        <w:t xml:space="preserve"> 最后，圣使徒保罗在《希伯来书》中对此作了详细阐述。在此，他</w:t>
      </w:r>
      <w:r>
        <w:rPr>
          <w:lang w:val="ru-RU"/>
        </w:rPr>
        <w:t xml:space="preserve">—— </w:t>
      </w:r>
    </w:p>
    <w:p w14:paraId="7845ACE1" w14:textId="77777777" w:rsidR="00D85B34" w:rsidRPr="00794712" w:rsidRDefault="00F45CFB" w:rsidP="00D85B34">
      <w:pPr>
        <w:ind w:firstLine="708"/>
        <w:rPr>
          <w:lang w:val="ru-RU"/>
        </w:rPr>
      </w:pPr>
      <w:r w:rsidRPr="00F45CFB">
        <w:rPr>
          <w:b/>
          <w:lang w:val="ru-RU"/>
        </w:rPr>
        <w:t>1)</w:t>
      </w:r>
      <w:r w:rsidR="00D85B34" w:rsidRPr="00794712">
        <w:rPr>
          <w:lang w:val="ru-RU"/>
        </w:rPr>
        <w:t xml:space="preserve"> 明确且多次称耶稣基督为大祭司、圣化者、至高祭司。 例如：</w:t>
      </w:r>
      <w:r w:rsidR="00D85B34" w:rsidRPr="002D07F7">
        <w:rPr>
          <w:i/>
          <w:iCs/>
          <w:lang w:val="ru-RU"/>
        </w:rPr>
        <w:t>“基督并没有自己取大祭司的尊荣，乃是那对他说‘你是我的儿子，我今日生你’的那位所赐的；正如经上又说：‘你是照着麦基洗德的等次永远为祭司’”</w:t>
      </w:r>
      <w:r w:rsidR="00D85B34" w:rsidRPr="00794712">
        <w:rPr>
          <w:lang w:val="ru-RU"/>
        </w:rPr>
        <w:t>（希伯来书 5</w:t>
      </w:r>
      <w:r w:rsidR="00D85B34">
        <w:rPr>
          <w:lang w:val="ru-RU"/>
        </w:rPr>
        <w:t>:</w:t>
      </w:r>
      <w:r w:rsidR="00D85B34" w:rsidRPr="00794712">
        <w:rPr>
          <w:lang w:val="ru-RU"/>
        </w:rPr>
        <w:t xml:space="preserve">5-6）； </w:t>
      </w:r>
      <w:r w:rsidR="00D85B34" w:rsidRPr="002D07F7">
        <w:rPr>
          <w:i/>
          <w:iCs/>
          <w:lang w:val="ru-RU"/>
        </w:rPr>
        <w:t>“要思想那为我们作使者、又作大祭司的耶稣基督”</w:t>
      </w:r>
      <w:r w:rsidR="00D85B34" w:rsidRPr="00794712">
        <w:rPr>
          <w:lang w:val="ru-RU"/>
        </w:rPr>
        <w:t>（</w:t>
      </w:r>
      <w:r w:rsidR="00D85B34">
        <w:rPr>
          <w:lang w:val="ru-RU"/>
        </w:rPr>
        <w:t>希伯来书</w:t>
      </w:r>
      <w:r w:rsidR="00D85B34" w:rsidRPr="00794712">
        <w:rPr>
          <w:lang w:val="ru-RU"/>
        </w:rPr>
        <w:t xml:space="preserve"> 3</w:t>
      </w:r>
      <w:r w:rsidR="00D85B34">
        <w:rPr>
          <w:lang w:val="ru-RU"/>
        </w:rPr>
        <w:t>:</w:t>
      </w:r>
      <w:r w:rsidR="00D85B34" w:rsidRPr="00794712">
        <w:rPr>
          <w:lang w:val="ru-RU"/>
        </w:rPr>
        <w:t>1）；</w:t>
      </w:r>
      <w:r w:rsidR="00D85B34" w:rsidRPr="002D07F7">
        <w:rPr>
          <w:i/>
          <w:iCs/>
          <w:lang w:val="ru-RU"/>
        </w:rPr>
        <w:t>“我们既有这样一位已经穿过诸天的大祭司，就是神的儿子耶稣，就当持守我们的信仰”</w:t>
      </w:r>
      <w:r w:rsidR="00D85B34" w:rsidRPr="00794712">
        <w:rPr>
          <w:lang w:val="ru-RU"/>
        </w:rPr>
        <w:t>（4</w:t>
      </w:r>
      <w:r w:rsidR="00D85B34" w:rsidRPr="002D07F7">
        <w:rPr>
          <w:lang w:val="ru-RU"/>
        </w:rPr>
        <w:t>:</w:t>
      </w:r>
      <w:r w:rsidR="00D85B34" w:rsidRPr="00794712">
        <w:rPr>
          <w:lang w:val="ru-RU"/>
        </w:rPr>
        <w:t>14-16）。</w:t>
      </w:r>
    </w:p>
    <w:p w14:paraId="240619B8" w14:textId="77777777" w:rsidR="00D85B34" w:rsidRPr="00794712" w:rsidRDefault="00F45CFB" w:rsidP="00D85B34">
      <w:pPr>
        <w:ind w:firstLine="708"/>
        <w:rPr>
          <w:lang w:val="ru-RU"/>
        </w:rPr>
      </w:pPr>
      <w:r w:rsidRPr="00F45CFB">
        <w:rPr>
          <w:b/>
          <w:lang w:val="ru-RU"/>
        </w:rPr>
        <w:t>2）</w:t>
      </w:r>
      <w:r w:rsidR="00D85B34" w:rsidRPr="00794712">
        <w:rPr>
          <w:lang w:val="ru-RU"/>
        </w:rPr>
        <w:t>解释了为什么他被称为按麦基洗德等次的大祭司。 这是因为</w:t>
      </w:r>
      <w:r w:rsidR="00D85B34">
        <w:rPr>
          <w:lang w:val="ru-RU"/>
        </w:rPr>
        <w:t>：</w:t>
      </w:r>
      <w:r w:rsidR="00A95A76" w:rsidRPr="00A95A76">
        <w:rPr>
          <w:b/>
          <w:lang w:val="ru-RU"/>
        </w:rPr>
        <w:t>a)</w:t>
      </w:r>
      <w:r w:rsidR="00D85B34" w:rsidRPr="00794712">
        <w:rPr>
          <w:lang w:val="ru-RU"/>
        </w:rPr>
        <w:t xml:space="preserve"> 麦基洗德不仅是至高神的祭司，同时也是撒冷的王——公义与和平之王，他以这种非凡地兼具两种崇高职分的身份，预表了基督这位非凡的大祭司兼君王（希伯来书 7</w:t>
      </w:r>
      <w:r w:rsidR="00D85B34" w:rsidRPr="002D07F7">
        <w:rPr>
          <w:lang w:val="ru-RU"/>
        </w:rPr>
        <w:t>:</w:t>
      </w:r>
      <w:r w:rsidR="00D85B34" w:rsidRPr="00794712">
        <w:rPr>
          <w:lang w:val="ru-RU"/>
        </w:rPr>
        <w:t>2）；</w:t>
      </w:r>
      <w:r w:rsidR="00A95A76" w:rsidRPr="00A95A76">
        <w:rPr>
          <w:b/>
          <w:lang w:val="ru-RU"/>
        </w:rPr>
        <w:t xml:space="preserve"> b)</w:t>
      </w:r>
      <w:r w:rsidR="00D85B34" w:rsidRPr="00794712">
        <w:rPr>
          <w:lang w:val="ru-RU"/>
        </w:rPr>
        <w:t xml:space="preserve"> 因为麦基洗德（既然圣经中既未提及他的家世，也未记载他生命的起始与终结，更未提及他的前任和</w:t>
      </w:r>
      <w:r w:rsidR="00A95A76" w:rsidRPr="00FE78E6">
        <w:rPr>
          <w:bCs/>
          <w:lang w:val="ru-RU"/>
        </w:rPr>
        <w:t>继任者）</w:t>
      </w:r>
      <w:r w:rsidR="00D85B34" w:rsidRPr="00794712">
        <w:rPr>
          <w:lang w:val="ru-RU"/>
        </w:rPr>
        <w:t>，本身就是基督——神之子——的预表，</w:t>
      </w:r>
      <w:r w:rsidR="00D85B34" w:rsidRPr="002D07F7">
        <w:rPr>
          <w:i/>
          <w:iCs/>
          <w:lang w:val="ru-RU"/>
        </w:rPr>
        <w:t>基督永远为祭司</w:t>
      </w:r>
      <w:r w:rsidR="00D85B34" w:rsidRPr="00794712">
        <w:rPr>
          <w:lang w:val="ru-RU"/>
        </w:rPr>
        <w:t>（希伯来书 7</w:t>
      </w:r>
      <w:r w:rsidR="00D85B34" w:rsidRPr="002D07F7">
        <w:rPr>
          <w:lang w:val="ru-RU"/>
        </w:rPr>
        <w:t>:</w:t>
      </w:r>
      <w:r w:rsidR="00D85B34">
        <w:rPr>
          <w:lang w:val="ru-RU"/>
        </w:rPr>
        <w:t>3</w:t>
      </w:r>
      <w:r w:rsidR="00D85B34" w:rsidRPr="00794712">
        <w:rPr>
          <w:lang w:val="ru-RU"/>
        </w:rPr>
        <w:t>）；</w:t>
      </w:r>
      <w:r w:rsidR="00A95A76" w:rsidRPr="00A95A76">
        <w:rPr>
          <w:b/>
          <w:lang w:val="ru-RU"/>
        </w:rPr>
        <w:t xml:space="preserve"> c)</w:t>
      </w:r>
      <w:r w:rsidR="00D85B34" w:rsidRPr="00794712">
        <w:rPr>
          <w:lang w:val="ru-RU"/>
        </w:rPr>
        <w:t xml:space="preserve"> 最后，——因为麦基洗德祭司从亚伯拉罕本人那里收取了十分之一，并赐福给他，借着亚伯拉罕，他也赐福给亚伯拉罕后裔中的所有人，即利未的子孙、旧约时代的祭司，并从他们所有人那里收取了十分之一，</w:t>
      </w:r>
      <w:r w:rsidR="00D85B34">
        <w:rPr>
          <w:lang w:val="ru-RU"/>
        </w:rPr>
        <w:t xml:space="preserve"> </w:t>
      </w:r>
      <w:r w:rsidR="00D85B34" w:rsidRPr="00794712">
        <w:rPr>
          <w:lang w:val="ru-RU"/>
        </w:rPr>
        <w:t>——既然毫无疑问，较小的必蒙较大的祝福：因此，他预表了基督的祭司职分，这职分远胜于旧约的利未祭司职分</w:t>
      </w:r>
      <w:r w:rsidR="00D85B34">
        <w:rPr>
          <w:lang w:val="ru-RU"/>
        </w:rPr>
        <w:t>（希伯来书7:4-10</w:t>
      </w:r>
      <w:r w:rsidR="00D85B34" w:rsidRPr="00794712">
        <w:rPr>
          <w:lang w:val="ru-RU"/>
        </w:rPr>
        <w:t>）。</w:t>
      </w:r>
      <w:r w:rsidR="00A505BA">
        <w:rPr>
          <w:rStyle w:val="FootnoteReference"/>
          <w:lang w:val="ru-RU"/>
        </w:rPr>
        <w:footnoteReference w:id="335"/>
      </w:r>
    </w:p>
    <w:p w14:paraId="19156390" w14:textId="77777777" w:rsidR="00D85B34" w:rsidRPr="00794712" w:rsidRDefault="00F45CFB" w:rsidP="00D85B34">
      <w:pPr>
        <w:ind w:firstLine="708"/>
        <w:rPr>
          <w:lang w:val="ru-RU"/>
        </w:rPr>
      </w:pPr>
      <w:r w:rsidRPr="00F45CFB">
        <w:rPr>
          <w:b/>
          <w:lang w:val="ru-RU"/>
        </w:rPr>
        <w:t>3)</w:t>
      </w:r>
      <w:r w:rsidR="00D85B34" w:rsidRPr="00794712">
        <w:rPr>
          <w:lang w:val="ru-RU"/>
        </w:rPr>
        <w:t xml:space="preserve"> 表明基督的祭司职分优于旧约中按亚伦制度设立的利未祭司职分。 这种优越性体现在</w:t>
      </w:r>
      <w:r w:rsidR="00D85B34">
        <w:rPr>
          <w:lang w:val="ru-RU"/>
        </w:rPr>
        <w:t>：</w:t>
      </w:r>
      <w:r w:rsidR="00A95A76" w:rsidRPr="00A95A76">
        <w:rPr>
          <w:b/>
          <w:lang w:val="ru-RU"/>
        </w:rPr>
        <w:t>a)</w:t>
      </w:r>
      <w:r w:rsidR="00D85B34" w:rsidRPr="00794712">
        <w:rPr>
          <w:lang w:val="ru-RU"/>
        </w:rPr>
        <w:t xml:space="preserve"> 旧约的祭司职分是临时设立的，并未以誓言确立；而基督的祭司职分是不可废除且永恒的，已由神的誓言所确立（</w:t>
      </w:r>
      <w:r w:rsidR="00D85B34">
        <w:rPr>
          <w:lang w:val="ru-RU"/>
        </w:rPr>
        <w:t>希伯来书</w:t>
      </w:r>
      <w:r w:rsidR="00D85B34" w:rsidRPr="00794712">
        <w:rPr>
          <w:lang w:val="ru-RU"/>
        </w:rPr>
        <w:t xml:space="preserve"> 7</w:t>
      </w:r>
      <w:r w:rsidR="00D85B34">
        <w:rPr>
          <w:lang w:val="ru-RU"/>
        </w:rPr>
        <w:t>:</w:t>
      </w:r>
      <w:r w:rsidR="00D85B34" w:rsidRPr="00794712">
        <w:rPr>
          <w:lang w:val="ru-RU"/>
        </w:rPr>
        <w:t>20-21）；</w:t>
      </w:r>
      <w:r w:rsidR="00A95A76" w:rsidRPr="00A95A76">
        <w:rPr>
          <w:b/>
          <w:lang w:val="ru-RU"/>
        </w:rPr>
        <w:t xml:space="preserve"> b)</w:t>
      </w:r>
      <w:r w:rsidR="00D85B34" w:rsidRPr="00794712">
        <w:rPr>
          <w:lang w:val="ru-RU"/>
        </w:rPr>
        <w:t xml:space="preserve"> 旧约的祭司作为人，终将死亡，因此他们的祭司职分会从一人传给另一人；</w:t>
      </w:r>
      <w:r w:rsidR="00D85B34" w:rsidRPr="003E43E7">
        <w:rPr>
          <w:i/>
          <w:iCs/>
          <w:lang w:val="ru-RU"/>
        </w:rPr>
        <w:t>而基督“因永远常存，就拥有永不废去的祭司职分”</w:t>
      </w:r>
      <w:r w:rsidR="00D85B34" w:rsidRPr="00794712">
        <w:rPr>
          <w:lang w:val="ru-RU"/>
        </w:rPr>
        <w:t>（</w:t>
      </w:r>
      <w:r w:rsidR="00D85B34">
        <w:rPr>
          <w:lang w:val="ru-RU"/>
        </w:rPr>
        <w:t>希伯来书 7:</w:t>
      </w:r>
      <w:r w:rsidR="00D85B34" w:rsidRPr="00794712">
        <w:rPr>
          <w:lang w:val="ru-RU"/>
        </w:rPr>
        <w:t>23-24）；</w:t>
      </w:r>
      <w:r w:rsidR="00A95A76" w:rsidRPr="00A95A76">
        <w:rPr>
          <w:b/>
          <w:lang w:val="ru-RU"/>
        </w:rPr>
        <w:t xml:space="preserve"> c)</w:t>
      </w:r>
      <w:r w:rsidR="00D85B34" w:rsidRPr="00794712">
        <w:rPr>
          <w:lang w:val="ru-RU"/>
        </w:rPr>
        <w:t xml:space="preserve"> 旧约的祭司作为有罪的人，既为自己的罪，也为百姓的罪献祭；基督作为全然无罪者，只为 世人的罪献上了一次献祭（</w:t>
      </w:r>
      <w:r w:rsidR="00D85B34">
        <w:rPr>
          <w:lang w:val="ru-RU"/>
        </w:rPr>
        <w:t>希伯来书 7:</w:t>
      </w:r>
      <w:r w:rsidR="00D85B34" w:rsidRPr="00794712">
        <w:rPr>
          <w:lang w:val="ru-RU"/>
        </w:rPr>
        <w:t>26-27）；</w:t>
      </w:r>
      <w:r w:rsidR="00A95A76" w:rsidRPr="00A95A76">
        <w:rPr>
          <w:b/>
          <w:lang w:val="ru-RU"/>
        </w:rPr>
        <w:t xml:space="preserve"> d)</w:t>
      </w:r>
      <w:r w:rsidR="00D85B34" w:rsidRPr="00794712">
        <w:rPr>
          <w:lang w:val="ru-RU"/>
        </w:rPr>
        <w:t xml:space="preserve"> 亚伦一族的祭司日日献祭，而这些祭物仅是洁净祭的预表，本身并不能洁净罪孽（</w:t>
      </w:r>
      <w:r w:rsidR="00D85B34">
        <w:rPr>
          <w:lang w:val="ru-RU"/>
        </w:rPr>
        <w:t>希伯来书</w:t>
      </w:r>
      <w:r w:rsidR="00D85B34" w:rsidRPr="00794712">
        <w:rPr>
          <w:lang w:val="ru-RU"/>
        </w:rPr>
        <w:t xml:space="preserve"> 10</w:t>
      </w:r>
      <w:r w:rsidR="00D85B34">
        <w:rPr>
          <w:lang w:val="ru-RU"/>
        </w:rPr>
        <w:t>:</w:t>
      </w:r>
      <w:r w:rsidR="00D85B34" w:rsidRPr="00794712">
        <w:rPr>
          <w:lang w:val="ru-RU"/>
        </w:rPr>
        <w:t xml:space="preserve">1-11）： </w:t>
      </w:r>
      <w:r w:rsidR="00D85B34" w:rsidRPr="00794712">
        <w:rPr>
          <w:lang w:val="ru-RU"/>
        </w:rPr>
        <w:lastRenderedPageBreak/>
        <w:t>基督</w:t>
      </w:r>
      <w:r w:rsidR="00D85B34">
        <w:rPr>
          <w:lang w:val="ru-RU"/>
        </w:rPr>
        <w:t>仅一次</w:t>
      </w:r>
      <w:r w:rsidR="00D85B34" w:rsidRPr="00794712">
        <w:rPr>
          <w:lang w:val="ru-RU"/>
        </w:rPr>
        <w:t>将自己献上，作为为世人的罪献上的真实、洁净的祭物，并</w:t>
      </w:r>
      <w:r w:rsidR="00D85B34" w:rsidRPr="003E43E7">
        <w:rPr>
          <w:lang w:val="ru-RU"/>
        </w:rPr>
        <w:t xml:space="preserve">借着这一次的献祭，使那些被圣化的人永远得以完全 </w:t>
      </w:r>
      <w:r w:rsidR="00D85B34" w:rsidRPr="00794712">
        <w:rPr>
          <w:lang w:val="ru-RU"/>
        </w:rPr>
        <w:t>[(</w:t>
      </w:r>
      <w:r w:rsidR="00FE78E6">
        <w:rPr>
          <w:lang w:val="ru-RU"/>
        </w:rPr>
        <w:t>希伯来书</w:t>
      </w:r>
      <w:r w:rsidR="00D85B34" w:rsidRPr="00794712">
        <w:rPr>
          <w:lang w:val="ru-RU"/>
        </w:rPr>
        <w:t xml:space="preserve"> 10</w:t>
      </w:r>
      <w:r w:rsidR="00D85B34">
        <w:rPr>
          <w:lang w:val="ru-RU"/>
        </w:rPr>
        <w:t>:</w:t>
      </w:r>
      <w:r w:rsidR="00D85B34" w:rsidRPr="00794712">
        <w:rPr>
          <w:lang w:val="ru-RU"/>
        </w:rPr>
        <w:t>12-14</w:t>
      </w:r>
      <w:r w:rsidR="00FE78E6">
        <w:rPr>
          <w:lang w:val="ru-RU"/>
        </w:rPr>
        <w:t>)</w:t>
      </w:r>
      <w:r w:rsidR="00D85B34" w:rsidRPr="00794712">
        <w:rPr>
          <w:lang w:val="ru-RU"/>
        </w:rPr>
        <w:t>；</w:t>
      </w:r>
      <w:r w:rsidR="00FE78E6">
        <w:rPr>
          <w:lang w:val="ru-RU"/>
        </w:rPr>
        <w:t>(希伯来书</w:t>
      </w:r>
      <w:r w:rsidR="00D85B34" w:rsidRPr="00794712">
        <w:rPr>
          <w:lang w:val="ru-RU"/>
        </w:rPr>
        <w:t xml:space="preserve"> 7</w:t>
      </w:r>
      <w:r w:rsidR="00D85B34">
        <w:rPr>
          <w:lang w:val="ru-RU"/>
        </w:rPr>
        <w:t>:</w:t>
      </w:r>
      <w:r w:rsidR="00D85B34" w:rsidRPr="00794712">
        <w:rPr>
          <w:lang w:val="ru-RU"/>
        </w:rPr>
        <w:t>27</w:t>
      </w:r>
      <w:r w:rsidR="00FE78E6">
        <w:rPr>
          <w:lang w:val="ru-RU"/>
        </w:rPr>
        <w:t>)</w:t>
      </w:r>
      <w:r w:rsidR="00D85B34" w:rsidRPr="00794712">
        <w:rPr>
          <w:lang w:val="ru-RU"/>
        </w:rPr>
        <w:t>；</w:t>
      </w:r>
      <w:r w:rsidR="00B50582">
        <w:rPr>
          <w:lang w:val="ru-RU"/>
        </w:rPr>
        <w:t>(希伯来书</w:t>
      </w:r>
      <w:r w:rsidR="00D85B34" w:rsidRPr="00794712">
        <w:rPr>
          <w:lang w:val="ru-RU"/>
        </w:rPr>
        <w:t xml:space="preserve"> 9</w:t>
      </w:r>
      <w:r w:rsidR="00D85B34">
        <w:rPr>
          <w:lang w:val="ru-RU"/>
        </w:rPr>
        <w:t>:</w:t>
      </w:r>
      <w:r w:rsidR="00D85B34" w:rsidRPr="00794712">
        <w:rPr>
          <w:lang w:val="ru-RU"/>
        </w:rPr>
        <w:t>12-26)</w:t>
      </w:r>
      <w:r w:rsidR="00B50582" w:rsidRPr="00B50582">
        <w:rPr>
          <w:lang w:val="ru-RU"/>
        </w:rPr>
        <w:t>]</w:t>
      </w:r>
      <w:r w:rsidR="00D85B34" w:rsidRPr="00794712">
        <w:rPr>
          <w:lang w:val="ru-RU"/>
        </w:rPr>
        <w:t>。</w:t>
      </w:r>
    </w:p>
    <w:p w14:paraId="64995C3C" w14:textId="77777777" w:rsidR="00D85B34" w:rsidRPr="00794712" w:rsidRDefault="00D85B34" w:rsidP="00D85B34">
      <w:pPr>
        <w:rPr>
          <w:lang w:val="ru-RU"/>
        </w:rPr>
      </w:pPr>
      <w:r w:rsidRPr="00794712">
        <w:rPr>
          <w:lang w:val="ru-RU"/>
        </w:rPr>
        <w:tab/>
        <w:t>遵循上帝之道如此清晰的教导，圣父们和教会的教师们一致承认了基督司祭职的真理。例如：</w:t>
      </w:r>
    </w:p>
    <w:p w14:paraId="6A744A3A" w14:textId="77777777" w:rsidR="00D85B34" w:rsidRPr="002538DD" w:rsidRDefault="00D85B34" w:rsidP="00D85B34">
      <w:pPr>
        <w:rPr>
          <w:lang w:val="ru-RU"/>
        </w:rPr>
      </w:pPr>
      <w:r w:rsidRPr="00794712">
        <w:rPr>
          <w:lang w:val="ru-RU"/>
        </w:rPr>
        <w:tab/>
      </w:r>
      <w:r w:rsidR="00A95A76" w:rsidRPr="00A95A76">
        <w:rPr>
          <w:b/>
          <w:lang w:val="ru-RU"/>
        </w:rPr>
        <w:t xml:space="preserve">a) </w:t>
      </w:r>
      <w:r>
        <w:rPr>
          <w:lang w:val="ru-RU"/>
        </w:rPr>
        <w:t>—</w:t>
      </w:r>
      <w:r w:rsidRPr="00794712">
        <w:rPr>
          <w:lang w:val="ru-RU"/>
        </w:rPr>
        <w:t xml:space="preserve"> 圣波利卡普： “愿我们的主耶稣基督的父上帝，以及那位永恒的大祭司——上帝之子耶稣</w:t>
      </w:r>
      <w:r>
        <w:rPr>
          <w:lang w:val="ru-RU"/>
        </w:rPr>
        <w:t>基督</w:t>
      </w:r>
      <w:r w:rsidRPr="00794712">
        <w:rPr>
          <w:lang w:val="ru-RU"/>
        </w:rPr>
        <w:t>——使你们在信仰与真理中，在一切温柔与无恶、忍耐与宽宏、宽容与贞洁中得以坚固</w:t>
      </w:r>
      <w:r w:rsidRPr="003E43E7">
        <w:rPr>
          <w:lang w:val="ru-RU"/>
        </w:rPr>
        <w:t>；</w:t>
      </w:r>
      <w:r>
        <w:rPr>
          <w:lang w:val="ru-RU"/>
        </w:rPr>
        <w:t>”</w:t>
      </w:r>
      <w:r w:rsidR="00A505BA">
        <w:rPr>
          <w:rStyle w:val="FootnoteReference"/>
          <w:lang w:val="ru-RU"/>
        </w:rPr>
        <w:footnoteReference w:id="336"/>
      </w:r>
      <w:r w:rsidR="00A95A76" w:rsidRPr="00A95A76">
        <w:rPr>
          <w:b/>
          <w:lang w:val="ru-RU"/>
        </w:rPr>
        <w:t xml:space="preserve"> b)</w:t>
      </w:r>
      <w:r w:rsidRPr="00794712">
        <w:rPr>
          <w:lang w:val="ru-RU"/>
        </w:rPr>
        <w:t xml:space="preserve"> 圣格里高利·神学家： “祂既是祭物，也是大祭司；既是祭司，也是上帝；祂将宝血献给上帝，却洁净了</w:t>
      </w:r>
      <w:r>
        <w:rPr>
          <w:lang w:val="ru-RU"/>
        </w:rPr>
        <w:t>整个世界</w:t>
      </w:r>
      <w:r w:rsidRPr="00794712">
        <w:rPr>
          <w:lang w:val="ru-RU"/>
        </w:rPr>
        <w:t>；祂被钉在十字架上，却将罪恶钉在十字架上</w:t>
      </w:r>
      <w:r w:rsidRPr="003E43E7">
        <w:rPr>
          <w:lang w:val="ru-RU"/>
        </w:rPr>
        <w:t>；</w:t>
      </w:r>
      <w:r>
        <w:rPr>
          <w:lang w:val="ru-RU"/>
        </w:rPr>
        <w:t>”</w:t>
      </w:r>
      <w:r w:rsidR="00951BFA">
        <w:rPr>
          <w:rStyle w:val="FootnoteReference"/>
          <w:lang w:val="ru-RU"/>
        </w:rPr>
        <w:footnoteReference w:id="337"/>
      </w:r>
      <w:r w:rsidRPr="00794712">
        <w:rPr>
          <w:lang w:val="ru-RU"/>
        </w:rPr>
        <w:t xml:space="preserve"> “</w:t>
      </w:r>
      <w:r>
        <w:rPr>
          <w:lang w:val="ru-RU"/>
        </w:rPr>
        <w:t>祂是</w:t>
      </w:r>
      <w:r w:rsidRPr="00794712">
        <w:rPr>
          <w:lang w:val="ru-RU"/>
        </w:rPr>
        <w:t>麦基洗德（希伯来书 7</w:t>
      </w:r>
      <w:r w:rsidRPr="00226074">
        <w:rPr>
          <w:lang w:val="ru-RU"/>
        </w:rPr>
        <w:t>:</w:t>
      </w:r>
      <w:r w:rsidRPr="00794712">
        <w:rPr>
          <w:lang w:val="ru-RU"/>
        </w:rPr>
        <w:t>3），按高于我们的本性而言，祂是无母所生；按我们的本性而言</w:t>
      </w:r>
      <w:r>
        <w:rPr>
          <w:lang w:val="ru-RU"/>
        </w:rPr>
        <w:t>，祂是</w:t>
      </w:r>
      <w:r w:rsidRPr="00794712">
        <w:rPr>
          <w:lang w:val="ru-RU"/>
        </w:rPr>
        <w:t>无父所生；因祂从天上降生，故无家谱，正如经上所记：</w:t>
      </w:r>
      <w:r w:rsidRPr="00226074">
        <w:rPr>
          <w:i/>
          <w:iCs/>
          <w:lang w:val="ru-RU"/>
        </w:rPr>
        <w:t>‘谁能述说祂的族谱？’</w:t>
      </w:r>
      <w:r w:rsidRPr="00794712">
        <w:rPr>
          <w:lang w:val="ru-RU"/>
        </w:rPr>
        <w:t xml:space="preserve"> （赛53</w:t>
      </w:r>
      <w:r w:rsidRPr="00226074">
        <w:rPr>
          <w:lang w:val="ru-RU"/>
        </w:rPr>
        <w:t>:</w:t>
      </w:r>
      <w:r w:rsidRPr="00794712">
        <w:rPr>
          <w:lang w:val="ru-RU"/>
        </w:rPr>
        <w:t>8）；祂是撒利玛——即世界——的君王，是公义的君王，也是从那些勇敢对抗邪恶势力之先祖那里收取十分之一的君王</w:t>
      </w:r>
      <w:r w:rsidRPr="00226074">
        <w:rPr>
          <w:lang w:val="ru-RU"/>
        </w:rPr>
        <w:t>；</w:t>
      </w:r>
      <w:r>
        <w:rPr>
          <w:lang w:val="ru-RU"/>
        </w:rPr>
        <w:t>”</w:t>
      </w:r>
      <w:r w:rsidR="00951BFA">
        <w:rPr>
          <w:rStyle w:val="FootnoteReference"/>
          <w:lang w:val="ru-RU"/>
        </w:rPr>
        <w:footnoteReference w:id="338"/>
      </w:r>
      <w:r w:rsidR="00A95A76" w:rsidRPr="00A95A76">
        <w:rPr>
          <w:b/>
          <w:lang w:val="ru-RU"/>
        </w:rPr>
        <w:t xml:space="preserve"> c)</w:t>
      </w:r>
      <w:r w:rsidRPr="00794712">
        <w:rPr>
          <w:lang w:val="ru-RU"/>
        </w:rPr>
        <w:t xml:space="preserve"> 圣埃皮法尼乌斯：“祂被称为大祭司，是因为祂在自己的肉身中将自己献给父，为全人类作祭物； 祂既是祭司，又是祭物，祂为</w:t>
      </w:r>
      <w:r>
        <w:rPr>
          <w:lang w:val="ru-RU"/>
        </w:rPr>
        <w:t>普世</w:t>
      </w:r>
      <w:r w:rsidRPr="00794712">
        <w:rPr>
          <w:lang w:val="ru-RU"/>
        </w:rPr>
        <w:t>施行圣礼，将自己献上</w:t>
      </w:r>
      <w:r w:rsidRPr="00226074">
        <w:rPr>
          <w:lang w:val="ru-RU"/>
        </w:rPr>
        <w:t>；</w:t>
      </w:r>
      <w:r>
        <w:rPr>
          <w:lang w:val="ru-RU"/>
        </w:rPr>
        <w:t>”</w:t>
      </w:r>
      <w:r w:rsidR="00951BFA">
        <w:rPr>
          <w:rStyle w:val="FootnoteReference"/>
          <w:lang w:val="ru-RU"/>
        </w:rPr>
        <w:footnoteReference w:id="339"/>
      </w:r>
      <w:r w:rsidRPr="00794712">
        <w:rPr>
          <w:lang w:val="ru-RU"/>
        </w:rPr>
        <w:t xml:space="preserve"> 并在另一处说：“祂将自己献为祭物，是为了通过为</w:t>
      </w:r>
      <w:r>
        <w:rPr>
          <w:lang w:val="ru-RU"/>
        </w:rPr>
        <w:t>普世</w:t>
      </w:r>
      <w:r w:rsidRPr="00794712">
        <w:rPr>
          <w:lang w:val="ru-RU"/>
        </w:rPr>
        <w:t>献上最完美、最活泼的祭物，废除旧约的献祭； 祂既是祭物，又是献祭，又是祭坛，又是上帝，又是人，又是君王，又是大祭司，又是绵羊，又是羔羊，为了我们，祂成为了一切</w:t>
      </w:r>
      <w:r w:rsidRPr="002538DD">
        <w:rPr>
          <w:lang w:val="ru-RU"/>
        </w:rPr>
        <w:t>。</w:t>
      </w:r>
      <w:r>
        <w:rPr>
          <w:lang w:val="ru-RU"/>
        </w:rPr>
        <w:t>”</w:t>
      </w:r>
      <w:r w:rsidR="00951BFA">
        <w:rPr>
          <w:rStyle w:val="FootnoteReference"/>
          <w:lang w:val="ru-RU"/>
        </w:rPr>
        <w:footnoteReference w:id="340"/>
      </w:r>
      <w:r w:rsidRPr="00794712">
        <w:rPr>
          <w:lang w:val="ru-RU"/>
        </w:rPr>
        <w:t xml:space="preserve"> 教会的其他教师们也持类似的观点</w:t>
      </w:r>
      <w:r w:rsidRPr="002538DD">
        <w:rPr>
          <w:lang w:val="ru-RU"/>
        </w:rPr>
        <w:t>。</w:t>
      </w:r>
      <w:r w:rsidR="00951BFA">
        <w:rPr>
          <w:rStyle w:val="FootnoteReference"/>
          <w:lang w:val="ru-RU"/>
        </w:rPr>
        <w:footnoteReference w:id="341"/>
      </w:r>
    </w:p>
    <w:p w14:paraId="0A508A82" w14:textId="77777777" w:rsidR="00D85B34" w:rsidRDefault="00D85B34" w:rsidP="00D85B34">
      <w:pPr>
        <w:rPr>
          <w:lang w:val="ru-RU"/>
        </w:rPr>
      </w:pPr>
    </w:p>
    <w:p w14:paraId="4EDE653B" w14:textId="77777777" w:rsidR="00D85B34" w:rsidRPr="00794712" w:rsidRDefault="00D85B34" w:rsidP="007B240B">
      <w:pPr>
        <w:pStyle w:val="Heading5"/>
        <w:rPr>
          <w:lang w:val="ru-RU"/>
        </w:rPr>
      </w:pPr>
      <w:bookmarkStart w:id="275" w:name="_Toc133155584"/>
      <w:bookmarkStart w:id="276" w:name="_Toc180664597"/>
      <w:bookmarkStart w:id="277" w:name="_Toc180679218"/>
      <w:bookmarkStart w:id="278" w:name="_Toc180679275"/>
      <w:bookmarkStart w:id="279" w:name="_Toc180679798"/>
      <w:bookmarkStart w:id="280" w:name="_Toc238453681"/>
      <w:bookmarkStart w:id="281" w:name="_Toc238576497"/>
      <w:r w:rsidRPr="00794712">
        <w:rPr>
          <w:lang w:val="ru-RU"/>
        </w:rPr>
        <w:t>§150. 主耶稣是如何履行大祭司职分的</w:t>
      </w:r>
      <w:r w:rsidRPr="00226074">
        <w:rPr>
          <w:lang w:val="ru-RU"/>
        </w:rPr>
        <w:t>？</w:t>
      </w:r>
      <w:r w:rsidRPr="00794712">
        <w:rPr>
          <w:lang w:val="ru-RU"/>
        </w:rPr>
        <w:t>祂耗尽自我的状态</w:t>
      </w:r>
      <w:bookmarkEnd w:id="275"/>
      <w:bookmarkEnd w:id="276"/>
      <w:bookmarkEnd w:id="277"/>
      <w:bookmarkEnd w:id="278"/>
      <w:bookmarkEnd w:id="279"/>
      <w:bookmarkEnd w:id="280"/>
      <w:bookmarkEnd w:id="281"/>
    </w:p>
    <w:p w14:paraId="44DE77A1" w14:textId="77777777" w:rsidR="00D85B34" w:rsidRPr="00794712" w:rsidRDefault="00D85B34" w:rsidP="00D85B34">
      <w:pPr>
        <w:ind w:firstLine="708"/>
        <w:rPr>
          <w:lang w:val="ru-RU"/>
        </w:rPr>
      </w:pPr>
      <w:r w:rsidRPr="00794712">
        <w:rPr>
          <w:lang w:val="ru-RU"/>
        </w:rPr>
        <w:t>为了真正作为赎罪祭献给上帝，为人类的罪孽赎罪，并使我们脱离罪的一切毁灭性后果，救主基督乐意为我们履行两个条件，背负双重的十字架。</w:t>
      </w:r>
    </w:p>
    <w:p w14:paraId="25A0243F" w14:textId="77777777" w:rsidR="00D85B34" w:rsidRPr="00794712" w:rsidRDefault="00D85B34" w:rsidP="00D85B34">
      <w:pPr>
        <w:rPr>
          <w:lang w:val="ru-RU"/>
        </w:rPr>
      </w:pPr>
      <w:r w:rsidRPr="00794712">
        <w:rPr>
          <w:lang w:val="ru-RU"/>
        </w:rPr>
        <w:tab/>
      </w:r>
      <w:r w:rsidRPr="00B50582">
        <w:rPr>
          <w:b/>
          <w:bCs/>
        </w:rPr>
        <w:t>I</w:t>
      </w:r>
      <w:r w:rsidRPr="00B50582">
        <w:rPr>
          <w:b/>
          <w:bCs/>
          <w:lang w:val="ru-RU"/>
        </w:rPr>
        <w:t>.</w:t>
      </w:r>
      <w:r w:rsidRPr="00794712">
        <w:rPr>
          <w:lang w:val="ru-RU"/>
        </w:rPr>
        <w:t xml:space="preserve"> 既然人类——以他们的始祖为代表——没有遵行神的旨意，没有听从造物主的诫命，因而因任性与骄傲而堕落；既然他们随后所犯的每一项罪过，都是对神旨意的新一次违背、新一次悖逆、新一次任性的表现： 因此，神人基督为了向永恒的公义赎清人类的一切罪孽，乐意亲自代替人类，在全部的完整与广度上，完全遵行神的旨意，在祂自己身上彰显出对神旨意最完美的顺服典范，并为了我们而将自己谦卑、降卑到极致。 </w:t>
      </w:r>
      <w:r w:rsidRPr="00226074">
        <w:rPr>
          <w:i/>
          <w:iCs/>
          <w:lang w:val="ru-RU"/>
        </w:rPr>
        <w:t>“燔祭和</w:t>
      </w:r>
      <w:r>
        <w:rPr>
          <w:i/>
          <w:iCs/>
          <w:lang w:val="ru-RU"/>
        </w:rPr>
        <w:t>素祭</w:t>
      </w:r>
      <w:r w:rsidRPr="00794712">
        <w:rPr>
          <w:lang w:val="ru-RU"/>
        </w:rPr>
        <w:t>，</w:t>
      </w:r>
      <w:r>
        <w:rPr>
          <w:i/>
          <w:iCs/>
          <w:lang w:val="ru-RU"/>
        </w:rPr>
        <w:t>祢</w:t>
      </w:r>
      <w:r w:rsidRPr="00226074">
        <w:rPr>
          <w:i/>
          <w:iCs/>
          <w:lang w:val="ru-RU"/>
        </w:rPr>
        <w:t>都不喜悦</w:t>
      </w:r>
      <w:r w:rsidRPr="00794712">
        <w:rPr>
          <w:lang w:val="ru-RU"/>
        </w:rPr>
        <w:t>，”祂进入</w:t>
      </w:r>
      <w:r>
        <w:rPr>
          <w:lang w:val="ru-RU"/>
        </w:rPr>
        <w:t>世界时</w:t>
      </w:r>
      <w:r w:rsidRPr="00794712">
        <w:rPr>
          <w:lang w:val="ru-RU"/>
        </w:rPr>
        <w:t>对天父说</w:t>
      </w:r>
      <w:r w:rsidRPr="00226074">
        <w:rPr>
          <w:i/>
          <w:iCs/>
          <w:lang w:val="ru-RU"/>
        </w:rPr>
        <w:t>，“却为我预备了身体。燔祭和赎罪</w:t>
      </w:r>
      <w:r>
        <w:rPr>
          <w:i/>
          <w:iCs/>
          <w:lang w:val="ru-RU"/>
        </w:rPr>
        <w:t>祭，祢都不</w:t>
      </w:r>
      <w:r w:rsidRPr="00226074">
        <w:rPr>
          <w:i/>
          <w:iCs/>
          <w:lang w:val="ru-RU"/>
        </w:rPr>
        <w:t>喜悦。那时我说：‘看哪，我来了——经上关于我的事，如卷首所记——为要遵行祢的旨意，神啊</w:t>
      </w:r>
      <w:r w:rsidRPr="00794712">
        <w:rPr>
          <w:lang w:val="ru-RU"/>
        </w:rPr>
        <w:t>。’”（希伯来书 10</w:t>
      </w:r>
      <w:r w:rsidRPr="00226074">
        <w:rPr>
          <w:lang w:val="ru-RU"/>
        </w:rPr>
        <w:t>:</w:t>
      </w:r>
      <w:r w:rsidRPr="00794712">
        <w:rPr>
          <w:lang w:val="ru-RU"/>
        </w:rPr>
        <w:t>5-7）。 随后</w:t>
      </w:r>
      <w:r w:rsidRPr="00226074">
        <w:rPr>
          <w:i/>
          <w:iCs/>
          <w:lang w:val="ru-RU"/>
        </w:rPr>
        <w:t>，“祂本有神的形像，不以自己与神同等为强夺的；反倒虚己，取了奴仆的形像，成为人的样式；</w:t>
      </w:r>
      <w:r w:rsidRPr="00226074">
        <w:rPr>
          <w:i/>
          <w:iCs/>
          <w:lang w:val="ru-RU"/>
        </w:rPr>
        <w:lastRenderedPageBreak/>
        <w:t>既有人的样子，就自己卑微，存心顺服，以至于死，且死在十字架上”</w:t>
      </w:r>
      <w:r w:rsidR="001973A6">
        <w:rPr>
          <w:lang w:val="ru-RU"/>
        </w:rPr>
        <w:t>（腓立比书</w:t>
      </w:r>
      <w:r w:rsidRPr="00794712">
        <w:rPr>
          <w:lang w:val="ru-RU"/>
        </w:rPr>
        <w:t xml:space="preserve"> 2</w:t>
      </w:r>
      <w:r w:rsidRPr="00226074">
        <w:rPr>
          <w:lang w:val="ru-RU"/>
        </w:rPr>
        <w:t>:</w:t>
      </w:r>
      <w:r w:rsidRPr="00794712">
        <w:rPr>
          <w:lang w:val="ru-RU"/>
        </w:rPr>
        <w:t>6-8）。 这是我们的救主为我们背负的第一座十字架，是祂为我们自愿牺牲的十字架，是祂最深切的谦卑，是祂对神旨意无条件的顺服与顺从。</w:t>
      </w:r>
    </w:p>
    <w:p w14:paraId="0B9B46AD" w14:textId="77777777" w:rsidR="00D85B34" w:rsidRPr="00794712" w:rsidRDefault="00D85B34" w:rsidP="00D85B34">
      <w:pPr>
        <w:rPr>
          <w:lang w:val="ru-RU"/>
        </w:rPr>
      </w:pPr>
      <w:r w:rsidRPr="00794712">
        <w:rPr>
          <w:lang w:val="ru-RU"/>
        </w:rPr>
        <w:tab/>
      </w:r>
      <w:r w:rsidRPr="00565F97">
        <w:rPr>
          <w:b/>
          <w:bCs/>
        </w:rPr>
        <w:t>II</w:t>
      </w:r>
      <w:r w:rsidRPr="00565F97">
        <w:rPr>
          <w:b/>
          <w:bCs/>
          <w:lang w:val="ru-RU"/>
        </w:rPr>
        <w:t>.</w:t>
      </w:r>
      <w:r w:rsidRPr="00794712">
        <w:rPr>
          <w:lang w:val="ru-RU"/>
        </w:rPr>
        <w:t xml:space="preserve"> 由于人类在伊甸园中的首次犯罪以及此后所犯的一切罪孽，理应招致上帝的愤怒，因而遭受了诅咒以及其他无数的灾难与苦难——这些都是罪恶不可避免的后果： 因此，神人基督为了使人类脱离这一切灾祸与苦难，乐意从人类身上将上帝的全部忿怒担在自己身上</w:t>
      </w:r>
      <w:r>
        <w:rPr>
          <w:lang w:val="ru-RU"/>
        </w:rPr>
        <w:t>，</w:t>
      </w:r>
      <w:r w:rsidRPr="00794712">
        <w:rPr>
          <w:lang w:val="ru-RU"/>
        </w:rPr>
        <w:t>为我们成为咒诅（加拉太书 3</w:t>
      </w:r>
      <w:r w:rsidRPr="00AA3FEF">
        <w:rPr>
          <w:lang w:val="ru-RU"/>
        </w:rPr>
        <w:t>:</w:t>
      </w:r>
      <w:r w:rsidRPr="00794712">
        <w:rPr>
          <w:lang w:val="ru-RU"/>
        </w:rPr>
        <w:t xml:space="preserve">13），并为我们承受了我们因自己的不法行为所应得的一切。 </w:t>
      </w:r>
      <w:r w:rsidRPr="00AA3FEF">
        <w:rPr>
          <w:i/>
          <w:iCs/>
          <w:lang w:val="ru-RU"/>
        </w:rPr>
        <w:t>“祂担当了 我们的软弱，背负了我们的疾病；我们却以为祂是受神击打、受惩罚、受羞辱的。但祂因我们的过犯受创，因我们的罪孽受苦；世人的刑罚临到祂身上，我们因祂的鞭伤得医治。</w:t>
      </w:r>
      <w:r>
        <w:rPr>
          <w:i/>
          <w:iCs/>
          <w:lang w:val="ru-RU"/>
        </w:rPr>
        <w:t xml:space="preserve"> </w:t>
      </w:r>
      <w:r w:rsidRPr="00AA3FEF">
        <w:rPr>
          <w:i/>
          <w:iCs/>
          <w:lang w:val="ru-RU"/>
        </w:rPr>
        <w:t>我们都如羊走迷，各人偏行己路；耶和华却使我们众人的罪孽都归在他身上</w:t>
      </w:r>
      <w:r w:rsidRPr="00794712">
        <w:rPr>
          <w:lang w:val="ru-RU"/>
        </w:rPr>
        <w:t>”（赛53:4-6）。这是我们救主第二座十字架，是祂自愿受苦的十字架，是祂那难以言喻的病痛、折磨与悲伤，祂为我们这些罪人而尝尽了这一切。</w:t>
      </w:r>
    </w:p>
    <w:p w14:paraId="5EF320C1" w14:textId="77777777" w:rsidR="00D85B34" w:rsidRPr="00794712" w:rsidRDefault="00D85B34" w:rsidP="00D85B34">
      <w:pPr>
        <w:rPr>
          <w:lang w:val="ru-RU"/>
        </w:rPr>
      </w:pPr>
      <w:r w:rsidRPr="00794712">
        <w:rPr>
          <w:lang w:val="ru-RU"/>
        </w:rPr>
        <w:tab/>
        <w:t>因此，耶稣基督的大祭司职分涵盖了祂在世上的整个生命历程——从祂在母腹中受孕的那一刻起，直到在十字架上受死；从祂对天父说的第一句话：</w:t>
      </w:r>
      <w:r w:rsidRPr="00226074">
        <w:rPr>
          <w:i/>
          <w:iCs/>
          <w:lang w:val="ru-RU"/>
        </w:rPr>
        <w:t>“看哪，我来了</w:t>
      </w:r>
      <w:r w:rsidRPr="00AA3FEF">
        <w:rPr>
          <w:i/>
          <w:iCs/>
          <w:lang w:val="ru-RU"/>
        </w:rPr>
        <w:t>……</w:t>
      </w:r>
      <w:r w:rsidRPr="00226074">
        <w:rPr>
          <w:i/>
          <w:iCs/>
          <w:lang w:val="ru-RU"/>
        </w:rPr>
        <w:t>要成就你的旨意，神啊</w:t>
      </w:r>
      <w:r w:rsidRPr="00794712">
        <w:rPr>
          <w:lang w:val="ru-RU"/>
        </w:rPr>
        <w:t>”，直到最后那句：</w:t>
      </w:r>
      <w:r w:rsidRPr="00AA3FEF">
        <w:rPr>
          <w:i/>
          <w:iCs/>
          <w:lang w:val="ru-RU"/>
        </w:rPr>
        <w:t>“成了！</w:t>
      </w:r>
      <w:r>
        <w:rPr>
          <w:i/>
          <w:iCs/>
          <w:lang w:val="ru-RU"/>
        </w:rPr>
        <w:t>……</w:t>
      </w:r>
      <w:r w:rsidRPr="00AA3FEF">
        <w:rPr>
          <w:i/>
          <w:iCs/>
          <w:lang w:val="ru-RU"/>
        </w:rPr>
        <w:t>父啊，我将我的灵交在你手里”</w:t>
      </w:r>
      <w:r w:rsidRPr="00794712">
        <w:rPr>
          <w:lang w:val="ru-RU"/>
        </w:rPr>
        <w:t xml:space="preserve"> </w:t>
      </w:r>
      <w:r w:rsidR="005864AB">
        <w:rPr>
          <w:lang w:val="ru-RU"/>
        </w:rPr>
        <w:t>（</w:t>
      </w:r>
      <w:r w:rsidRPr="00794712">
        <w:rPr>
          <w:lang w:val="ru-RU"/>
        </w:rPr>
        <w:t>约19</w:t>
      </w:r>
      <w:r w:rsidRPr="002538DD">
        <w:rPr>
          <w:lang w:val="ru-RU"/>
        </w:rPr>
        <w:t>:</w:t>
      </w:r>
      <w:r w:rsidRPr="00794712">
        <w:rPr>
          <w:lang w:val="ru-RU"/>
        </w:rPr>
        <w:t>30；路23</w:t>
      </w:r>
      <w:r w:rsidRPr="002538DD">
        <w:rPr>
          <w:lang w:val="ru-RU"/>
        </w:rPr>
        <w:t>:</w:t>
      </w:r>
      <w:r w:rsidRPr="00794712">
        <w:rPr>
          <w:lang w:val="ru-RU"/>
        </w:rPr>
        <w:t>46）。在这段通常被称为我们救主“卑微”或“耗尽”的时期里，祂始终背负着自己那份特殊的十字架——即自我牺牲、谦卑、顺服的十字架，以及受苦与悲痛的十字架。 在这整个过程中，祂始终是向神为我们的罪献上的赎罪祭。特别是，我们救主的至高祭司事奉：</w:t>
      </w:r>
    </w:p>
    <w:p w14:paraId="303C7803" w14:textId="77777777" w:rsidR="00D85B34" w:rsidRPr="00794712" w:rsidRDefault="00F45CFB" w:rsidP="00D85B34">
      <w:pPr>
        <w:ind w:firstLine="708"/>
        <w:rPr>
          <w:lang w:val="ru-RU"/>
        </w:rPr>
      </w:pPr>
      <w:r w:rsidRPr="00F45CFB">
        <w:rPr>
          <w:b/>
          <w:lang w:val="ru-RU"/>
        </w:rPr>
        <w:t>1)</w:t>
      </w:r>
      <w:r w:rsidR="00D85B34" w:rsidRPr="00794712">
        <w:rPr>
          <w:lang w:val="ru-RU"/>
        </w:rPr>
        <w:t xml:space="preserve"> 始于祂降</w:t>
      </w:r>
      <w:r w:rsidR="00D85B34">
        <w:rPr>
          <w:lang w:val="ru-RU"/>
        </w:rPr>
        <w:t>临世</w:t>
      </w:r>
      <w:r w:rsidR="00D85B34" w:rsidRPr="00794712">
        <w:rPr>
          <w:lang w:val="ru-RU"/>
        </w:rPr>
        <w:t>间并道成肉身之时：</w:t>
      </w:r>
      <w:r w:rsidR="00A95A76" w:rsidRPr="00A95A76">
        <w:rPr>
          <w:b/>
          <w:lang w:val="ru-RU"/>
        </w:rPr>
        <w:t>——a)</w:t>
      </w:r>
      <w:r w:rsidR="00D85B34" w:rsidRPr="00794712">
        <w:rPr>
          <w:lang w:val="ru-RU"/>
        </w:rPr>
        <w:t xml:space="preserve"> 祂</w:t>
      </w:r>
      <w:r w:rsidR="00D85B34">
        <w:rPr>
          <w:lang w:val="ru-RU"/>
        </w:rPr>
        <w:t>降临世间</w:t>
      </w:r>
      <w:r w:rsidR="00D85B34" w:rsidRPr="00794712">
        <w:rPr>
          <w:lang w:val="ru-RU"/>
        </w:rPr>
        <w:t>本身就是一种顺服，是对天父旨意的顺从，祂曾对天父说：</w:t>
      </w:r>
      <w:r w:rsidR="00D85B34" w:rsidRPr="00226074">
        <w:rPr>
          <w:i/>
          <w:iCs/>
          <w:lang w:val="ru-RU"/>
        </w:rPr>
        <w:t>“燔祭和祭物</w:t>
      </w:r>
      <w:r w:rsidR="00D85B34">
        <w:rPr>
          <w:i/>
          <w:iCs/>
          <w:lang w:val="ru-RU"/>
        </w:rPr>
        <w:t>，祢</w:t>
      </w:r>
      <w:r w:rsidR="00D85B34" w:rsidRPr="00226074">
        <w:rPr>
          <w:i/>
          <w:iCs/>
          <w:lang w:val="ru-RU"/>
        </w:rPr>
        <w:t>并未为我预备</w:t>
      </w:r>
      <w:r w:rsidR="00D85B34" w:rsidRPr="00AA3FEF">
        <w:rPr>
          <w:i/>
          <w:iCs/>
          <w:lang w:val="ru-RU"/>
        </w:rPr>
        <w:t>……</w:t>
      </w:r>
      <w:r w:rsidR="00D85B34" w:rsidRPr="00226074">
        <w:rPr>
          <w:i/>
          <w:iCs/>
          <w:lang w:val="ru-RU"/>
        </w:rPr>
        <w:t>看哪，我来了，正如经上关于我的记载，要成就祢的旨意，神啊”</w:t>
      </w:r>
      <w:r w:rsidR="00D85B34" w:rsidRPr="00794712">
        <w:rPr>
          <w:lang w:val="ru-RU"/>
        </w:rPr>
        <w:t xml:space="preserve"> （希伯来书 10</w:t>
      </w:r>
      <w:r w:rsidR="00D85B34" w:rsidRPr="00226074">
        <w:rPr>
          <w:lang w:val="ru-RU"/>
        </w:rPr>
        <w:t>:</w:t>
      </w:r>
      <w:r w:rsidR="00D85B34" w:rsidRPr="00794712">
        <w:rPr>
          <w:lang w:val="ru-RU"/>
        </w:rPr>
        <w:t>5-7）；</w:t>
      </w:r>
      <w:r w:rsidR="00A95A76" w:rsidRPr="00A95A76">
        <w:rPr>
          <w:b/>
          <w:lang w:val="ru-RU"/>
        </w:rPr>
        <w:t xml:space="preserve">b) </w:t>
      </w:r>
      <w:r w:rsidR="00D85B34" w:rsidRPr="00794712">
        <w:rPr>
          <w:lang w:val="ru-RU"/>
        </w:rPr>
        <w:t>在道成肉身时，祂无限地耗尽了自己，或者用使徒的话说，</w:t>
      </w:r>
      <w:r w:rsidR="00D85B34" w:rsidRPr="00A06D43">
        <w:rPr>
          <w:i/>
          <w:iCs/>
          <w:lang w:val="ru-RU"/>
        </w:rPr>
        <w:t>是“谦卑自己</w:t>
      </w:r>
      <w:r w:rsidR="00D85B34" w:rsidRPr="00794712">
        <w:rPr>
          <w:lang w:val="ru-RU"/>
        </w:rPr>
        <w:t>”，虽然祂本是神，</w:t>
      </w:r>
      <w:r w:rsidR="00D85B34" w:rsidRPr="00A06D43">
        <w:rPr>
          <w:i/>
          <w:iCs/>
          <w:lang w:val="ru-RU"/>
        </w:rPr>
        <w:t>却“取了奴仆的形像，成为人的样式，外貌也像人一样”</w:t>
      </w:r>
      <w:r w:rsidR="001973A6">
        <w:rPr>
          <w:lang w:val="ru-RU"/>
        </w:rPr>
        <w:t>（腓立比书</w:t>
      </w:r>
      <w:r w:rsidR="00D85B34" w:rsidRPr="00794712">
        <w:rPr>
          <w:lang w:val="ru-RU"/>
        </w:rPr>
        <w:t xml:space="preserve"> 2</w:t>
      </w:r>
      <w:r w:rsidR="00D85B34" w:rsidRPr="00A06D43">
        <w:rPr>
          <w:lang w:val="ru-RU"/>
        </w:rPr>
        <w:t>:</w:t>
      </w:r>
      <w:r w:rsidR="00D85B34" w:rsidRPr="00794712">
        <w:rPr>
          <w:lang w:val="ru-RU"/>
        </w:rPr>
        <w:t xml:space="preserve">7）； </w:t>
      </w:r>
      <w:r w:rsidR="00A95A76" w:rsidRPr="00A95A76">
        <w:rPr>
          <w:b/>
          <w:lang w:val="ru-RU"/>
        </w:rPr>
        <w:t>以及——c)</w:t>
      </w:r>
      <w:r w:rsidR="00D85B34" w:rsidRPr="00794712">
        <w:rPr>
          <w:lang w:val="ru-RU"/>
        </w:rPr>
        <w:t xml:space="preserve"> 祂一成肉身，便已承担了世人的罪孽，为我们作了诅咒，并</w:t>
      </w:r>
      <w:r w:rsidR="00D85B34" w:rsidRPr="00A06D43">
        <w:rPr>
          <w:lang w:val="ru-RU"/>
        </w:rPr>
        <w:t>担当了我们的疾病</w:t>
      </w:r>
      <w:r w:rsidR="00D85B34" w:rsidRPr="00794712">
        <w:rPr>
          <w:lang w:val="ru-RU"/>
        </w:rPr>
        <w:t>（赛53</w:t>
      </w:r>
      <w:r w:rsidR="00D85B34" w:rsidRPr="00A06D43">
        <w:rPr>
          <w:lang w:val="ru-RU"/>
        </w:rPr>
        <w:t>:</w:t>
      </w:r>
      <w:r w:rsidR="00D85B34" w:rsidRPr="00794712">
        <w:rPr>
          <w:lang w:val="ru-RU"/>
        </w:rPr>
        <w:t>3）。</w:t>
      </w:r>
      <w:r w:rsidR="00951BFA">
        <w:rPr>
          <w:rStyle w:val="FootnoteReference"/>
          <w:lang w:val="ru-RU"/>
        </w:rPr>
        <w:footnoteReference w:id="342"/>
      </w:r>
    </w:p>
    <w:p w14:paraId="1AD4D426" w14:textId="77777777" w:rsidR="00D85B34" w:rsidRPr="00794712" w:rsidRDefault="00F45CFB" w:rsidP="00D85B34">
      <w:pPr>
        <w:ind w:firstLine="708"/>
        <w:rPr>
          <w:lang w:val="ru-RU"/>
        </w:rPr>
      </w:pPr>
      <w:r w:rsidRPr="00F45CFB">
        <w:rPr>
          <w:b/>
          <w:lang w:val="ru-RU"/>
        </w:rPr>
        <w:t>2)</w:t>
      </w:r>
      <w:r w:rsidR="00D85B34" w:rsidRPr="00794712">
        <w:rPr>
          <w:lang w:val="ru-RU"/>
        </w:rPr>
        <w:t xml:space="preserve"> 贯穿了祂从出生到死亡的整个尘世生涯。 祂的一生</w:t>
      </w:r>
      <w:r w:rsidR="00D85B34">
        <w:rPr>
          <w:lang w:val="ru-RU"/>
        </w:rPr>
        <w:t>——是一场</w:t>
      </w:r>
      <w:r w:rsidR="00D85B34" w:rsidRPr="00794712">
        <w:rPr>
          <w:lang w:val="ru-RU"/>
        </w:rPr>
        <w:t>统一而连绵不绝的壮举，彰显了祂的谦卑、对上帝旨意的顺服，以及所经历的苦难与悲伤。祂由圣母所生，这位圣母虽至洁至圣，却贫穷无名；而且祂诞生于马厩，被安放在饲料槽中。 数日后，遵照摩西律法，祂承受了割礼之苦，此时</w:t>
      </w:r>
      <w:r w:rsidR="00D85B34">
        <w:rPr>
          <w:lang w:val="ru-RU"/>
        </w:rPr>
        <w:t>便已被列在恶人之中</w:t>
      </w:r>
      <w:r w:rsidR="00D85B34" w:rsidRPr="00794712">
        <w:rPr>
          <w:lang w:val="ru-RU"/>
        </w:rPr>
        <w:t>（赛53</w:t>
      </w:r>
      <w:r w:rsidR="00D85B34">
        <w:rPr>
          <w:lang w:val="ru-RU"/>
        </w:rPr>
        <w:t>:</w:t>
      </w:r>
      <w:r w:rsidR="00D85B34" w:rsidRPr="00794712">
        <w:rPr>
          <w:lang w:val="ru-RU"/>
        </w:rPr>
        <w:t>12）。不久，祂遭受希律王的迫害，逃往埃及，却因此无辜地导致数千名婴孩丧生。 从埃及返回后，祂定居于一个极其不起眼的小镇——拿撒勒，并在世人眼中隐居了约三十年，住在祂名义上的父亲——一位木匠——的家中，并与他一同劳作。 在开始公开传道之前，祂——这世界的救主和主——</w:t>
      </w:r>
      <w:r w:rsidR="00D85B34" w:rsidRPr="00794712">
        <w:rPr>
          <w:lang w:val="ru-RU"/>
        </w:rPr>
        <w:lastRenderedPageBreak/>
        <w:t>前去接受祂的仆人约翰的洗礼，为</w:t>
      </w:r>
      <w:r w:rsidR="00D85B34" w:rsidRPr="00A06D43">
        <w:rPr>
          <w:i/>
          <w:iCs/>
          <w:lang w:val="ru-RU"/>
        </w:rPr>
        <w:t>要成就一切的义</w:t>
      </w:r>
      <w:r w:rsidR="00224D5E">
        <w:rPr>
          <w:lang w:val="ru-RU"/>
        </w:rPr>
        <w:t>（</w:t>
      </w:r>
      <w:r w:rsidR="00D85B34" w:rsidRPr="00794712">
        <w:rPr>
          <w:lang w:val="ru-RU"/>
        </w:rPr>
        <w:t>太3</w:t>
      </w:r>
      <w:r w:rsidR="00D85B34">
        <w:rPr>
          <w:lang w:val="ru-RU"/>
        </w:rPr>
        <w:t>:</w:t>
      </w:r>
      <w:r w:rsidR="00D85B34" w:rsidRPr="00794712">
        <w:rPr>
          <w:lang w:val="ru-RU"/>
        </w:rPr>
        <w:t>15），并再次被归入不法之徒之中；祂自愿忍受了四十天的禁食，甚至承受了魔鬼的试探。 就任后，约三年半的时间里，祂行着事工，但并非凭自己的意愿，而是遵行天父的旨意，并作见证说：</w:t>
      </w:r>
      <w:r w:rsidR="00D85B34" w:rsidRPr="0063587C">
        <w:rPr>
          <w:i/>
          <w:iCs/>
          <w:lang w:val="ru-RU"/>
        </w:rPr>
        <w:t>“我从天上降下来，不是要按自己的意思行，乃是要按那差我来者的意思行”</w:t>
      </w:r>
      <w:r w:rsidR="005864AB">
        <w:rPr>
          <w:lang w:val="ru-RU"/>
        </w:rPr>
        <w:t>（</w:t>
      </w:r>
      <w:r w:rsidR="00D85B34" w:rsidRPr="00794712">
        <w:rPr>
          <w:lang w:val="ru-RU"/>
        </w:rPr>
        <w:t>约6</w:t>
      </w:r>
      <w:r w:rsidR="00D85B34" w:rsidRPr="0063587C">
        <w:rPr>
          <w:lang w:val="ru-RU"/>
        </w:rPr>
        <w:t>:</w:t>
      </w:r>
      <w:r w:rsidR="00D85B34" w:rsidRPr="00794712">
        <w:rPr>
          <w:lang w:val="ru-RU"/>
        </w:rPr>
        <w:t xml:space="preserve">38）； </w:t>
      </w:r>
      <w:r w:rsidR="00D85B34" w:rsidRPr="0063587C">
        <w:rPr>
          <w:i/>
          <w:iCs/>
          <w:lang w:val="ru-RU"/>
        </w:rPr>
        <w:t>“我的食物就是遵行差我来者的旨意，作成祂的工”</w:t>
      </w:r>
      <w:r w:rsidR="005864AB">
        <w:rPr>
          <w:lang w:val="ru-RU"/>
        </w:rPr>
        <w:t>（</w:t>
      </w:r>
      <w:r w:rsidR="00D85B34" w:rsidRPr="00794712">
        <w:rPr>
          <w:lang w:val="ru-RU"/>
        </w:rPr>
        <w:t>约4</w:t>
      </w:r>
      <w:r w:rsidR="00D85B34">
        <w:rPr>
          <w:lang w:val="ru-RU"/>
        </w:rPr>
        <w:t>:</w:t>
      </w:r>
      <w:r w:rsidR="00D85B34" w:rsidRPr="00794712">
        <w:rPr>
          <w:lang w:val="ru-RU"/>
        </w:rPr>
        <w:t>34）；</w:t>
      </w:r>
      <w:r w:rsidR="00D85B34" w:rsidRPr="0063587C">
        <w:rPr>
          <w:i/>
          <w:iCs/>
          <w:lang w:val="ru-RU"/>
        </w:rPr>
        <w:t>“叫世人知道我爱父，并且我怎样遵行父所吩咐的，我也照样行”</w:t>
      </w:r>
      <w:r w:rsidR="005864AB">
        <w:rPr>
          <w:lang w:val="ru-RU"/>
        </w:rPr>
        <w:t>（约</w:t>
      </w:r>
      <w:r w:rsidR="00D85B34" w:rsidRPr="00794712">
        <w:rPr>
          <w:lang w:val="ru-RU"/>
        </w:rPr>
        <w:t>14</w:t>
      </w:r>
      <w:r w:rsidR="00D85B34">
        <w:rPr>
          <w:lang w:val="ru-RU"/>
        </w:rPr>
        <w:t>:</w:t>
      </w:r>
      <w:r w:rsidR="00D85B34" w:rsidRPr="00794712">
        <w:rPr>
          <w:lang w:val="ru-RU"/>
        </w:rPr>
        <w:t>31）。 祂传道，但所传的正是父所吩咐的：</w:t>
      </w:r>
      <w:r w:rsidR="00D85B34" w:rsidRPr="0063587C">
        <w:rPr>
          <w:i/>
          <w:iCs/>
          <w:lang w:val="ru-RU"/>
        </w:rPr>
        <w:t>“我的教训不是我的，乃是差我来的父的”</w:t>
      </w:r>
      <w:r w:rsidR="005864AB">
        <w:rPr>
          <w:lang w:val="ru-RU"/>
        </w:rPr>
        <w:t>（</w:t>
      </w:r>
      <w:r w:rsidR="00D85B34" w:rsidRPr="00794712">
        <w:rPr>
          <w:lang w:val="ru-RU"/>
        </w:rPr>
        <w:t>约7</w:t>
      </w:r>
      <w:r w:rsidR="00D85B34" w:rsidRPr="0063587C">
        <w:rPr>
          <w:lang w:val="ru-RU"/>
        </w:rPr>
        <w:t>:</w:t>
      </w:r>
      <w:r w:rsidR="00D85B34" w:rsidRPr="00794712">
        <w:rPr>
          <w:lang w:val="ru-RU"/>
        </w:rPr>
        <w:t>16）；</w:t>
      </w:r>
      <w:r w:rsidR="00D85B34" w:rsidRPr="0063587C">
        <w:rPr>
          <w:i/>
          <w:iCs/>
          <w:lang w:val="ru-RU"/>
        </w:rPr>
        <w:t>“我不是凭自己说的，乃是差我来的父，祂已经吩咐我该说什么，该讲什么”</w:t>
      </w:r>
      <w:r w:rsidR="00D85B34" w:rsidRPr="00794712">
        <w:rPr>
          <w:lang w:val="ru-RU"/>
        </w:rPr>
        <w:t xml:space="preserve"> </w:t>
      </w:r>
      <w:r w:rsidR="005864AB">
        <w:rPr>
          <w:lang w:val="ru-RU"/>
        </w:rPr>
        <w:t>（</w:t>
      </w:r>
      <w:r w:rsidR="00D85B34" w:rsidRPr="00794712">
        <w:rPr>
          <w:lang w:val="ru-RU"/>
        </w:rPr>
        <w:t>《</w:t>
      </w:r>
      <w:r w:rsidR="005864AB">
        <w:rPr>
          <w:lang w:val="ru-RU"/>
        </w:rPr>
        <w:t>约翰福音</w:t>
      </w:r>
      <w:r w:rsidR="00D85B34" w:rsidRPr="00794712">
        <w:rPr>
          <w:lang w:val="ru-RU"/>
        </w:rPr>
        <w:t>》12</w:t>
      </w:r>
      <w:r w:rsidR="00D85B34">
        <w:rPr>
          <w:lang w:val="ru-RU"/>
        </w:rPr>
        <w:t>:</w:t>
      </w:r>
      <w:r w:rsidR="00D85B34" w:rsidRPr="00794712">
        <w:rPr>
          <w:lang w:val="ru-RU"/>
        </w:rPr>
        <w:t>49）。祂亲自遵守摩西的律法，而祂来正是为了用更完美的新律法取代它。祂关心同胞的启蒙，带着讲道走遍他们的城邑和村庄——而祂</w:t>
      </w:r>
      <w:r w:rsidR="00D85B34" w:rsidRPr="0063587C">
        <w:rPr>
          <w:i/>
          <w:iCs/>
          <w:lang w:val="ru-RU"/>
        </w:rPr>
        <w:t>自己却无处安歇</w:t>
      </w:r>
      <w:r w:rsidR="000A57C3">
        <w:rPr>
          <w:lang w:val="ru-RU"/>
        </w:rPr>
        <w:t>（《马太福音</w:t>
      </w:r>
      <w:r w:rsidR="00D85B34" w:rsidRPr="00794712">
        <w:rPr>
          <w:lang w:val="ru-RU"/>
        </w:rPr>
        <w:t>》8</w:t>
      </w:r>
      <w:r w:rsidR="00D85B34">
        <w:rPr>
          <w:lang w:val="ru-RU"/>
        </w:rPr>
        <w:t>:</w:t>
      </w:r>
      <w:r w:rsidR="00D85B34" w:rsidRPr="00794712">
        <w:rPr>
          <w:lang w:val="ru-RU"/>
        </w:rPr>
        <w:t>20）。 祂以所有的教导和神迹行善（使徒行传 10</w:t>
      </w:r>
      <w:r w:rsidR="00D85B34">
        <w:rPr>
          <w:lang w:val="ru-RU"/>
        </w:rPr>
        <w:t>:</w:t>
      </w:r>
      <w:r w:rsidR="00D85B34" w:rsidRPr="00794712">
        <w:rPr>
          <w:lang w:val="ru-RU"/>
        </w:rPr>
        <w:t>38）</w:t>
      </w:r>
      <w:r w:rsidR="00D85B34">
        <w:rPr>
          <w:lang w:val="ru-RU"/>
        </w:rPr>
        <w:t>，</w:t>
      </w:r>
      <w:r w:rsidR="00D85B34" w:rsidRPr="00794712">
        <w:rPr>
          <w:lang w:val="ru-RU"/>
        </w:rPr>
        <w:t xml:space="preserve">——而祂自己却只从他人那里遭受恶待：人们不信祂的教导；将祂的神迹归因于别西卜的力量；用隐秘的嫉妒、仇恨、诽谤和责难来迫害祂，甚至不止一次企图夺取祂的性命。 甚至在他最亲近的十二门徒之中——他与他们相处最为密切——他也始终目睹并忍受着自己未来的背叛者。我们救主这充满艰辛的一生， 正是他大祭司事奉的壮举；他所经历的一切耗竭，其目的全在于我们的永恒救赎。 </w:t>
      </w:r>
      <w:r w:rsidR="00D85B34" w:rsidRPr="00D646E2">
        <w:rPr>
          <w:i/>
          <w:iCs/>
          <w:lang w:val="ru-RU"/>
        </w:rPr>
        <w:t>“祂在肉身的日子里，曾大声呼求，流着眼泪，向那能救祂脱离死亡的全能者献上祷告和恳求；因祂的虔敬，祂的祷告便蒙应允； 虽然祂是儿子，却因所受的苦难学会了顺从；既得以完全，就为凡顺从祂的人成了永恒救恩的根源，被神照着麦基洗德的等次立为大祭司”</w:t>
      </w:r>
      <w:r w:rsidR="00D85B34" w:rsidRPr="00794712">
        <w:rPr>
          <w:lang w:val="ru-RU"/>
        </w:rPr>
        <w:t>（来5</w:t>
      </w:r>
      <w:r w:rsidR="00D85B34">
        <w:rPr>
          <w:lang w:val="ru-RU"/>
        </w:rPr>
        <w:t>:</w:t>
      </w:r>
      <w:r w:rsidR="00D85B34" w:rsidRPr="00794712">
        <w:rPr>
          <w:lang w:val="ru-RU"/>
        </w:rPr>
        <w:t>7-10）。</w:t>
      </w:r>
      <w:r w:rsidR="00951BFA">
        <w:rPr>
          <w:rStyle w:val="FootnoteReference"/>
          <w:lang w:val="ru-RU"/>
        </w:rPr>
        <w:footnoteReference w:id="343"/>
      </w:r>
    </w:p>
    <w:p w14:paraId="71DB6D19" w14:textId="77777777" w:rsidR="00D85B34" w:rsidRPr="00BD6C1B" w:rsidRDefault="00F45CFB" w:rsidP="00D85B34">
      <w:pPr>
        <w:ind w:firstLine="708"/>
        <w:rPr>
          <w:lang w:val="ru-RU"/>
        </w:rPr>
      </w:pPr>
      <w:r w:rsidRPr="00F45CFB">
        <w:rPr>
          <w:b/>
          <w:lang w:val="ru-RU"/>
        </w:rPr>
        <w:t>3)</w:t>
      </w:r>
      <w:r w:rsidR="00D85B34" w:rsidRPr="00794712">
        <w:rPr>
          <w:lang w:val="ru-RU"/>
        </w:rPr>
        <w:t xml:space="preserve"> 最后，这一切在他被钉十字架的死亡</w:t>
      </w:r>
      <w:r w:rsidR="00D85B34" w:rsidRPr="00AA0891">
        <w:t>中</w:t>
      </w:r>
      <w:r w:rsidR="00D85B34" w:rsidRPr="0097554A">
        <w:rPr>
          <w:lang w:val="ru-RU"/>
        </w:rPr>
        <w:t>，</w:t>
      </w:r>
      <w:r w:rsidR="00D85B34" w:rsidRPr="00AA0891">
        <w:t>连同其</w:t>
      </w:r>
      <w:r w:rsidR="00D85B34" w:rsidRPr="00794712">
        <w:rPr>
          <w:lang w:val="ru-RU"/>
        </w:rPr>
        <w:t>先前的和伴随的种种境遇，得以完全成就。因为在这里，我们救主的谦卑、他对神旨意的顺服，以及他的受苦与悲痛，都已达到了至高的境界。 在这里，祂确实显为</w:t>
      </w:r>
      <w:r w:rsidR="00D85B34">
        <w:rPr>
          <w:lang w:val="ru-RU"/>
        </w:rPr>
        <w:t>比世人</w:t>
      </w:r>
      <w:r w:rsidR="00D85B34" w:rsidRPr="00794712">
        <w:rPr>
          <w:lang w:val="ru-RU"/>
        </w:rPr>
        <w:t>更受轻视、更被贬抑（赛53</w:t>
      </w:r>
      <w:r w:rsidR="00D85B34" w:rsidRPr="00D646E2">
        <w:rPr>
          <w:lang w:val="ru-RU"/>
        </w:rPr>
        <w:t>:</w:t>
      </w:r>
      <w:r w:rsidR="00D85B34" w:rsidRPr="00794712">
        <w:rPr>
          <w:lang w:val="ru-RU"/>
        </w:rPr>
        <w:t>3）：在这里，祂已为我们喝尽了上帝忿怒的杯</w:t>
      </w:r>
      <w:r w:rsidR="005864AB">
        <w:rPr>
          <w:lang w:val="ru-RU"/>
        </w:rPr>
        <w:t>（约</w:t>
      </w:r>
      <w:r w:rsidR="00D85B34" w:rsidRPr="00794712">
        <w:rPr>
          <w:lang w:val="ru-RU"/>
        </w:rPr>
        <w:t>18</w:t>
      </w:r>
      <w:r w:rsidR="00D85B34">
        <w:rPr>
          <w:lang w:val="ru-RU"/>
        </w:rPr>
        <w:t>:</w:t>
      </w:r>
      <w:r w:rsidR="00D85B34" w:rsidRPr="00794712">
        <w:rPr>
          <w:lang w:val="ru-RU"/>
        </w:rPr>
        <w:t>11），并承受了地狱般的病痛（赛53</w:t>
      </w:r>
      <w:r w:rsidR="00D85B34">
        <w:rPr>
          <w:lang w:val="ru-RU"/>
        </w:rPr>
        <w:t>:</w:t>
      </w:r>
      <w:r w:rsidR="00D85B34" w:rsidRPr="00794712">
        <w:rPr>
          <w:lang w:val="ru-RU"/>
        </w:rPr>
        <w:t>12）。在这里，作为大祭司， 祂确实将自己钉在十字架上，作为为世人的罪向神献上的赎罪祭，并用祂纯洁的宝血救赎了我们（</w:t>
      </w:r>
      <w:r w:rsidR="0087297C">
        <w:rPr>
          <w:lang w:val="ru-RU"/>
        </w:rPr>
        <w:t>彼得</w:t>
      </w:r>
      <w:r w:rsidR="00D85B34" w:rsidRPr="00794712">
        <w:rPr>
          <w:lang w:val="ru-RU"/>
        </w:rPr>
        <w:t>前书1</w:t>
      </w:r>
      <w:r w:rsidR="00D85B34">
        <w:rPr>
          <w:lang w:val="ru-RU"/>
        </w:rPr>
        <w:t>:</w:t>
      </w:r>
      <w:r w:rsidR="00D85B34" w:rsidRPr="00794712">
        <w:rPr>
          <w:lang w:val="ru-RU"/>
        </w:rPr>
        <w:t>19），因此，祂的道成肉身及其整个尘世生活，仅仅是为这一伟大的献祭所做的准备，并可视为祂逐步迈向这一献祭的过程。 正因如此，在神的话语和教会的教义中（《东正教信条》第一卷，对</w:t>
      </w:r>
      <w:r w:rsidR="001B763B" w:rsidRPr="001F503F">
        <w:rPr>
          <w:lang w:val="ru-RU"/>
        </w:rPr>
        <w:t>第47个</w:t>
      </w:r>
      <w:r w:rsidR="00D85B34" w:rsidRPr="00794712">
        <w:rPr>
          <w:lang w:val="ru-RU"/>
        </w:rPr>
        <w:t>问题的回答</w:t>
      </w:r>
      <w:r w:rsidR="001B763B" w:rsidRPr="001F503F">
        <w:rPr>
          <w:lang w:val="ru-RU"/>
        </w:rPr>
        <w:t>）</w:t>
      </w:r>
      <w:r w:rsidR="00D85B34" w:rsidRPr="00794712">
        <w:rPr>
          <w:lang w:val="ru-RU"/>
        </w:rPr>
        <w:t>都表明</w:t>
      </w:r>
      <w:r w:rsidR="00B5069A" w:rsidRPr="00BD6C1B">
        <w:rPr>
          <w:lang w:val="ru-RU"/>
        </w:rPr>
        <w:t>——</w:t>
      </w:r>
    </w:p>
    <w:p w14:paraId="09F55A3C" w14:textId="77777777" w:rsidR="00D85B34" w:rsidRPr="00794712" w:rsidRDefault="00D85B34" w:rsidP="00D85B34">
      <w:pPr>
        <w:ind w:firstLine="708"/>
        <w:rPr>
          <w:lang w:val="ru-RU"/>
        </w:rPr>
      </w:pPr>
    </w:p>
    <w:p w14:paraId="249376E8" w14:textId="77777777" w:rsidR="00D85B34" w:rsidRPr="00794712" w:rsidRDefault="00D85B34" w:rsidP="007B240B">
      <w:pPr>
        <w:pStyle w:val="Heading5"/>
        <w:rPr>
          <w:lang w:val="ru-RU"/>
        </w:rPr>
      </w:pPr>
      <w:bookmarkStart w:id="282" w:name="_Toc133155585"/>
      <w:bookmarkStart w:id="283" w:name="_Toc180664598"/>
      <w:bookmarkStart w:id="284" w:name="_Toc180679219"/>
      <w:bookmarkStart w:id="285" w:name="_Toc180679276"/>
      <w:bookmarkStart w:id="286" w:name="_Toc180679799"/>
      <w:bookmarkStart w:id="287" w:name="_Toc238453682"/>
      <w:bookmarkStart w:id="288" w:name="_Toc238576498"/>
      <w:r w:rsidRPr="00794712">
        <w:rPr>
          <w:lang w:val="ru-RU"/>
        </w:rPr>
        <w:t>§151</w:t>
      </w:r>
      <w:r>
        <w:rPr>
          <w:lang w:val="ru-RU"/>
        </w:rPr>
        <w:t>.</w:t>
      </w:r>
      <w:r w:rsidRPr="00794712">
        <w:rPr>
          <w:lang w:val="ru-RU"/>
        </w:rPr>
        <w:t xml:space="preserve"> 特别是耶稣基督的死，作为为我们献上的赎罪祭</w:t>
      </w:r>
      <w:bookmarkEnd w:id="282"/>
      <w:bookmarkEnd w:id="283"/>
      <w:bookmarkEnd w:id="284"/>
      <w:bookmarkEnd w:id="285"/>
      <w:bookmarkEnd w:id="286"/>
      <w:bookmarkEnd w:id="287"/>
      <w:bookmarkEnd w:id="288"/>
    </w:p>
    <w:p w14:paraId="48456438" w14:textId="77777777" w:rsidR="00D85B34" w:rsidRPr="00794712" w:rsidRDefault="00F45CFB" w:rsidP="00D85B34">
      <w:pPr>
        <w:ind w:firstLine="708"/>
        <w:rPr>
          <w:lang w:val="ru-RU"/>
        </w:rPr>
      </w:pPr>
      <w:r w:rsidRPr="00F45CFB">
        <w:rPr>
          <w:b/>
          <w:lang w:val="ru-RU"/>
        </w:rPr>
        <w:t>1)</w:t>
      </w:r>
      <w:r w:rsidR="00D85B34" w:rsidRPr="00794712">
        <w:rPr>
          <w:lang w:val="ru-RU"/>
        </w:rPr>
        <w:t xml:space="preserve"> 这一至关重要的真理早已在旧约的预表和预言中被预示。例如，摩西遵照神的命令在旷野中竖起的铜蛇，凡被致命毒蛇咬伤后仰望它的人，都能因此免于死亡，</w:t>
      </w:r>
      <w:r w:rsidR="00D85B34">
        <w:rPr>
          <w:lang w:val="ru-RU"/>
        </w:rPr>
        <w:t xml:space="preserve"> </w:t>
      </w:r>
      <w:r w:rsidR="00D85B34" w:rsidRPr="00794712">
        <w:rPr>
          <w:lang w:val="ru-RU"/>
        </w:rPr>
        <w:t>——</w:t>
      </w:r>
      <w:r w:rsidR="00D85B34" w:rsidRPr="00AB65B8">
        <w:rPr>
          <w:i/>
          <w:iCs/>
          <w:lang w:val="ru-RU"/>
        </w:rPr>
        <w:lastRenderedPageBreak/>
        <w:t>预示着“人子必须被举起来，叫一切信他的不至灭亡，反得永生”</w:t>
      </w:r>
      <w:r w:rsidR="001B763B" w:rsidRPr="001B763B">
        <w:rPr>
          <w:lang w:val="ru-RU"/>
        </w:rPr>
        <w:t>[</w:t>
      </w:r>
      <w:r w:rsidR="005864AB">
        <w:rPr>
          <w:lang w:val="ru-RU"/>
        </w:rPr>
        <w:t>(</w:t>
      </w:r>
      <w:r w:rsidR="00D85B34" w:rsidRPr="00794712">
        <w:rPr>
          <w:lang w:val="ru-RU"/>
        </w:rPr>
        <w:t>约3</w:t>
      </w:r>
      <w:r w:rsidR="00D85B34" w:rsidRPr="00AB65B8">
        <w:rPr>
          <w:lang w:val="ru-RU"/>
        </w:rPr>
        <w:t>:</w:t>
      </w:r>
      <w:r w:rsidR="00D85B34" w:rsidRPr="00794712">
        <w:rPr>
          <w:lang w:val="ru-RU"/>
        </w:rPr>
        <w:t>14-15</w:t>
      </w:r>
      <w:r w:rsidR="001B763B" w:rsidRPr="001B763B">
        <w:rPr>
          <w:lang w:val="ru-RU"/>
        </w:rPr>
        <w:t>)</w:t>
      </w:r>
      <w:r w:rsidR="00D85B34" w:rsidRPr="00794712">
        <w:rPr>
          <w:lang w:val="ru-RU"/>
        </w:rPr>
        <w:t>；</w:t>
      </w:r>
      <w:r w:rsidR="001B763B" w:rsidRPr="001B763B">
        <w:rPr>
          <w:lang w:val="ru-RU"/>
        </w:rPr>
        <w:t>(</w:t>
      </w:r>
      <w:r w:rsidR="00D85B34" w:rsidRPr="00794712">
        <w:rPr>
          <w:lang w:val="ru-RU"/>
        </w:rPr>
        <w:t>民21</w:t>
      </w:r>
      <w:r w:rsidR="00D85B34" w:rsidRPr="00AB65B8">
        <w:rPr>
          <w:lang w:val="ru-RU"/>
        </w:rPr>
        <w:t>:</w:t>
      </w:r>
      <w:r w:rsidR="00D85B34" w:rsidRPr="00794712">
        <w:rPr>
          <w:lang w:val="ru-RU"/>
        </w:rPr>
        <w:t>8-9)</w:t>
      </w:r>
      <w:r w:rsidR="001B763B" w:rsidRPr="001B763B">
        <w:rPr>
          <w:lang w:val="ru-RU"/>
        </w:rPr>
        <w:t>]</w:t>
      </w:r>
      <w:r w:rsidR="00D85B34" w:rsidRPr="00794712">
        <w:rPr>
          <w:lang w:val="ru-RU"/>
        </w:rPr>
        <w:t>。 所有为洁净人的罪而献上的祭牲之血，特别是那在埃及使以色列的长子免遭死亡天使之剑的逾越节羔羊之血； 大祭司每年一次带着</w:t>
      </w:r>
      <w:r w:rsidR="00D85B34">
        <w:rPr>
          <w:lang w:val="ru-RU"/>
        </w:rPr>
        <w:t>山羊或公牛</w:t>
      </w:r>
      <w:r w:rsidR="00D85B34" w:rsidRPr="00794712">
        <w:rPr>
          <w:lang w:val="ru-RU"/>
        </w:rPr>
        <w:t>的血进入至圣所，为全体百姓的罪在洁净所洒血</w:t>
      </w:r>
      <w:r w:rsidR="00D85B34">
        <w:rPr>
          <w:lang w:val="ru-RU"/>
        </w:rPr>
        <w:t>——</w:t>
      </w:r>
      <w:r w:rsidR="00D85B34" w:rsidRPr="00794712">
        <w:rPr>
          <w:lang w:val="ru-RU"/>
        </w:rPr>
        <w:t>这一切都清楚地向神的子民表明，要使全人类真正得洁净，所用的将是那自创世以来</w:t>
      </w:r>
      <w:r w:rsidR="00D85B34">
        <w:rPr>
          <w:lang w:val="ru-RU"/>
        </w:rPr>
        <w:t>就被宰杀的</w:t>
      </w:r>
      <w:r w:rsidR="00D85B34" w:rsidRPr="00794712">
        <w:rPr>
          <w:lang w:val="ru-RU"/>
        </w:rPr>
        <w:t xml:space="preserve">羔羊的血 </w:t>
      </w:r>
      <w:r w:rsidR="001B763B" w:rsidRPr="001B763B">
        <w:rPr>
          <w:lang w:val="ru-RU"/>
        </w:rPr>
        <w:t>[</w:t>
      </w:r>
      <w:r w:rsidR="00D85B34" w:rsidRPr="00794712">
        <w:rPr>
          <w:lang w:val="ru-RU"/>
        </w:rPr>
        <w:t>(</w:t>
      </w:r>
      <w:r w:rsidR="00D85B34">
        <w:rPr>
          <w:lang w:val="ru-RU"/>
        </w:rPr>
        <w:t>来</w:t>
      </w:r>
      <w:r w:rsidR="00D85B34" w:rsidRPr="00794712">
        <w:rPr>
          <w:lang w:val="ru-RU"/>
        </w:rPr>
        <w:t xml:space="preserve"> 9</w:t>
      </w:r>
      <w:r w:rsidR="00D85B34">
        <w:rPr>
          <w:lang w:val="ru-RU"/>
        </w:rPr>
        <w:t>:</w:t>
      </w:r>
      <w:r w:rsidR="00D85B34" w:rsidRPr="00794712">
        <w:rPr>
          <w:lang w:val="ru-RU"/>
        </w:rPr>
        <w:t>11-12</w:t>
      </w:r>
      <w:r w:rsidR="00D85B34">
        <w:rPr>
          <w:lang w:val="ru-RU"/>
        </w:rPr>
        <w:t>,</w:t>
      </w:r>
      <w:r w:rsidR="00D85B34" w:rsidRPr="00794712">
        <w:rPr>
          <w:lang w:val="ru-RU"/>
        </w:rPr>
        <w:t>24</w:t>
      </w:r>
      <w:r w:rsidR="001B763B" w:rsidRPr="001B763B">
        <w:rPr>
          <w:lang w:val="ru-RU"/>
        </w:rPr>
        <w:t>)</w:t>
      </w:r>
      <w:r w:rsidR="00D85B34" w:rsidRPr="00794712">
        <w:rPr>
          <w:lang w:val="ru-RU"/>
        </w:rPr>
        <w:t>；</w:t>
      </w:r>
      <w:r w:rsidR="001B763B" w:rsidRPr="001B763B">
        <w:rPr>
          <w:rFonts w:cs="Cambria Math"/>
          <w:lang w:val="ru-RU"/>
        </w:rPr>
        <w:t>(</w:t>
      </w:r>
      <w:r w:rsidR="001B763B">
        <w:rPr>
          <w:lang w:val="ru-RU"/>
        </w:rPr>
        <w:t>来</w:t>
      </w:r>
      <w:r w:rsidR="00D85B34" w:rsidRPr="00794712">
        <w:rPr>
          <w:lang w:val="ru-RU"/>
        </w:rPr>
        <w:t xml:space="preserve"> 10</w:t>
      </w:r>
      <w:r w:rsidR="00D85B34">
        <w:rPr>
          <w:lang w:val="ru-RU"/>
        </w:rPr>
        <w:t>:</w:t>
      </w:r>
      <w:r w:rsidR="00D85B34" w:rsidRPr="00794712">
        <w:rPr>
          <w:lang w:val="ru-RU"/>
        </w:rPr>
        <w:t>11-12</w:t>
      </w:r>
      <w:r w:rsidR="001B763B" w:rsidRPr="001B763B">
        <w:rPr>
          <w:lang w:val="ru-RU"/>
        </w:rPr>
        <w:t>)</w:t>
      </w:r>
      <w:r w:rsidR="00D85B34" w:rsidRPr="00794712">
        <w:rPr>
          <w:lang w:val="ru-RU"/>
        </w:rPr>
        <w:t>；</w:t>
      </w:r>
      <w:r w:rsidR="001B763B" w:rsidRPr="001B763B">
        <w:rPr>
          <w:lang w:val="ru-RU"/>
        </w:rPr>
        <w:t>(</w:t>
      </w:r>
      <w:r w:rsidR="00E070F3">
        <w:rPr>
          <w:lang w:val="ru-RU"/>
        </w:rPr>
        <w:t>林前</w:t>
      </w:r>
      <w:r w:rsidR="00D85B34" w:rsidRPr="00794712">
        <w:rPr>
          <w:lang w:val="ru-RU"/>
        </w:rPr>
        <w:t xml:space="preserve"> 5</w:t>
      </w:r>
      <w:r w:rsidR="00D85B34">
        <w:rPr>
          <w:lang w:val="ru-RU"/>
        </w:rPr>
        <w:t>:</w:t>
      </w:r>
      <w:r w:rsidR="00D85B34" w:rsidRPr="00794712">
        <w:rPr>
          <w:lang w:val="ru-RU"/>
        </w:rPr>
        <w:t>7</w:t>
      </w:r>
      <w:r w:rsidR="001B763B" w:rsidRPr="001B763B">
        <w:rPr>
          <w:lang w:val="ru-RU"/>
        </w:rPr>
        <w:t>)</w:t>
      </w:r>
      <w:r w:rsidR="00D85B34" w:rsidRPr="00794712">
        <w:rPr>
          <w:lang w:val="ru-RU"/>
        </w:rPr>
        <w:t>；</w:t>
      </w:r>
      <w:r w:rsidR="001B763B" w:rsidRPr="001B763B">
        <w:rPr>
          <w:lang w:val="ru-RU"/>
        </w:rPr>
        <w:t>(</w:t>
      </w:r>
      <w:r w:rsidR="00D85B34" w:rsidRPr="00794712">
        <w:rPr>
          <w:lang w:val="ru-RU"/>
        </w:rPr>
        <w:t>启 5</w:t>
      </w:r>
      <w:r w:rsidR="00D85B34">
        <w:rPr>
          <w:lang w:val="ru-RU"/>
        </w:rPr>
        <w:t>:</w:t>
      </w:r>
      <w:r w:rsidR="00D85B34" w:rsidRPr="00794712">
        <w:rPr>
          <w:lang w:val="ru-RU"/>
        </w:rPr>
        <w:t>12)</w:t>
      </w:r>
      <w:r w:rsidR="001B763B" w:rsidRPr="001B763B">
        <w:rPr>
          <w:lang w:val="ru-RU"/>
        </w:rPr>
        <w:t>]</w:t>
      </w:r>
      <w:r w:rsidR="00D85B34" w:rsidRPr="00794712">
        <w:rPr>
          <w:lang w:val="ru-RU"/>
        </w:rPr>
        <w:t>。 至于旧约的预言，在此只需回顾以赛亚先知关于弥赛亚所作的那段最重要且最清晰的预言：</w:t>
      </w:r>
      <w:r w:rsidR="00D85B34" w:rsidRPr="00AB65B8">
        <w:rPr>
          <w:i/>
          <w:iCs/>
          <w:lang w:val="ru-RU"/>
        </w:rPr>
        <w:t>“他因我们的过犯受创，因我们的罪孽受苦；因他受的刑罚，我们得平安；因他受的鞭伤，我们得医治。 我们都如羊走迷，各人偏行己路；耶和华却使我们众人的罪孽都归在他身上。他虽受苦，却甘心顺服，并不开口；他像羊被牵到宰杀之地……因我百姓的过犯，他受了</w:t>
      </w:r>
      <w:r w:rsidR="00D85B34">
        <w:rPr>
          <w:lang w:val="ru-RU"/>
        </w:rPr>
        <w:t>刑罚……</w:t>
      </w:r>
      <w:r w:rsidR="00D85B34" w:rsidRPr="00794712">
        <w:rPr>
          <w:lang w:val="ru-RU"/>
        </w:rPr>
        <w:t xml:space="preserve"> </w:t>
      </w:r>
      <w:r w:rsidR="00D85B34" w:rsidRPr="00504DDC">
        <w:rPr>
          <w:i/>
          <w:iCs/>
          <w:lang w:val="ru-RU"/>
        </w:rPr>
        <w:t xml:space="preserve">祂的灵魂被交于死地，与罪人一同列名，祂担当了许多人的罪孽，因他们的过犯被交出 </w:t>
      </w:r>
      <w:r w:rsidR="001B763B" w:rsidRPr="001B763B">
        <w:rPr>
          <w:lang w:val="ru-RU"/>
        </w:rPr>
        <w:t>[</w:t>
      </w:r>
      <w:r w:rsidR="00D85B34" w:rsidRPr="00794712">
        <w:rPr>
          <w:lang w:val="ru-RU"/>
        </w:rPr>
        <w:t>(</w:t>
      </w:r>
      <w:r w:rsidR="00D85B34">
        <w:rPr>
          <w:lang w:val="ru-RU"/>
        </w:rPr>
        <w:t>赛 53:</w:t>
      </w:r>
      <w:r w:rsidR="00D85B34" w:rsidRPr="00794712">
        <w:rPr>
          <w:lang w:val="ru-RU"/>
        </w:rPr>
        <w:t>5-12</w:t>
      </w:r>
      <w:r w:rsidR="001B763B" w:rsidRPr="001B763B">
        <w:rPr>
          <w:lang w:val="ru-RU"/>
        </w:rPr>
        <w:t>)</w:t>
      </w:r>
      <w:r w:rsidR="00D85B34" w:rsidRPr="00794712">
        <w:rPr>
          <w:lang w:val="ru-RU"/>
        </w:rPr>
        <w:t>；</w:t>
      </w:r>
      <w:r w:rsidR="001B763B" w:rsidRPr="001B763B">
        <w:rPr>
          <w:lang w:val="ru-RU"/>
        </w:rPr>
        <w:t>(</w:t>
      </w:r>
      <w:r w:rsidR="00D85B34" w:rsidRPr="00794712">
        <w:rPr>
          <w:lang w:val="ru-RU"/>
        </w:rPr>
        <w:t>但 9</w:t>
      </w:r>
      <w:r w:rsidR="00D85B34">
        <w:rPr>
          <w:lang w:val="ru-RU"/>
        </w:rPr>
        <w:t>:</w:t>
      </w:r>
      <w:r w:rsidR="00D85B34" w:rsidRPr="00794712">
        <w:rPr>
          <w:lang w:val="ru-RU"/>
        </w:rPr>
        <w:t>24</w:t>
      </w:r>
      <w:r w:rsidR="001B763B" w:rsidRPr="001B763B">
        <w:rPr>
          <w:lang w:val="ru-RU"/>
        </w:rPr>
        <w:t>)</w:t>
      </w:r>
      <w:r w:rsidR="00D85B34" w:rsidRPr="00794712">
        <w:rPr>
          <w:lang w:val="ru-RU"/>
        </w:rPr>
        <w:t>；</w:t>
      </w:r>
      <w:r w:rsidR="001B763B" w:rsidRPr="001B763B">
        <w:rPr>
          <w:lang w:val="ru-RU"/>
        </w:rPr>
        <w:t>(</w:t>
      </w:r>
      <w:r w:rsidR="00D85B34" w:rsidRPr="00794712">
        <w:rPr>
          <w:lang w:val="ru-RU"/>
        </w:rPr>
        <w:t>诗 21</w:t>
      </w:r>
      <w:r w:rsidR="00D85B34">
        <w:rPr>
          <w:lang w:val="ru-RU"/>
        </w:rPr>
        <w:t>:</w:t>
      </w:r>
      <w:r w:rsidR="00D85B34" w:rsidRPr="00794712">
        <w:rPr>
          <w:lang w:val="ru-RU"/>
        </w:rPr>
        <w:t>17-18)</w:t>
      </w:r>
      <w:r w:rsidR="001B763B" w:rsidRPr="001B763B">
        <w:rPr>
          <w:lang w:val="ru-RU"/>
        </w:rPr>
        <w:t>]</w:t>
      </w:r>
      <w:r w:rsidR="00D85B34">
        <w:rPr>
          <w:lang w:val="ru-RU"/>
        </w:rPr>
        <w:t>。</w:t>
      </w:r>
    </w:p>
    <w:p w14:paraId="29228C31"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圣施洗约翰曾宣扬这一真理：当他看见耶稣前来接受洗礼时，当着众人的面说：</w:t>
      </w:r>
      <w:r w:rsidR="00D85B34" w:rsidRPr="00504DDC">
        <w:rPr>
          <w:i/>
          <w:iCs/>
          <w:lang w:val="ru-RU"/>
        </w:rPr>
        <w:t>“看哪，神的羔羊，除去世人罪孽的”</w:t>
      </w:r>
      <w:r w:rsidR="005864AB">
        <w:rPr>
          <w:lang w:val="ru-RU"/>
        </w:rPr>
        <w:t>（约</w:t>
      </w:r>
      <w:r w:rsidR="00D85B34" w:rsidRPr="00794712">
        <w:rPr>
          <w:lang w:val="ru-RU"/>
        </w:rPr>
        <w:t>1</w:t>
      </w:r>
      <w:r w:rsidR="00D85B34" w:rsidRPr="00504DDC">
        <w:rPr>
          <w:lang w:val="ru-RU"/>
        </w:rPr>
        <w:t>:</w:t>
      </w:r>
      <w:r w:rsidR="00D85B34" w:rsidRPr="00794712">
        <w:rPr>
          <w:lang w:val="ru-RU"/>
        </w:rPr>
        <w:t>29）。 称祂为“羔羊”，既表达了祂的无辜与甘愿受死； 称祂为“神的羔羊”，表明祂是蒙神拣选并蒙神喜悦的；称祂为“除去世人罪孽的羔羊”，则指向旧约中为世人的罪被献祭的羔羊，并宣告新约的羔羊将为全人类的罪被献上。</w:t>
      </w:r>
    </w:p>
    <w:p w14:paraId="2D68F118" w14:textId="77777777" w:rsidR="00D85B34" w:rsidRPr="00794712" w:rsidRDefault="00F45CFB" w:rsidP="00D85B34">
      <w:pPr>
        <w:ind w:firstLine="708"/>
        <w:rPr>
          <w:lang w:val="ru-RU"/>
        </w:rPr>
      </w:pPr>
      <w:r w:rsidRPr="00F45CFB">
        <w:rPr>
          <w:b/>
          <w:lang w:val="ru-RU"/>
        </w:rPr>
        <w:t>3)</w:t>
      </w:r>
      <w:r w:rsidR="00D85B34" w:rsidRPr="00794712">
        <w:rPr>
          <w:lang w:val="ru-RU"/>
        </w:rPr>
        <w:t xml:space="preserve"> 救主基督本人多次见证了这一真理。在谈到祂降临世上的目的时，祂说：</w:t>
      </w:r>
      <w:r w:rsidR="00D85B34" w:rsidRPr="00181D97">
        <w:rPr>
          <w:i/>
          <w:iCs/>
          <w:lang w:val="ru-RU"/>
        </w:rPr>
        <w:t>“人子来，并不是要受人的服事，乃是要服事人，并且要舍命，作多人的赎价”</w:t>
      </w:r>
      <w:r w:rsidR="000A57C3">
        <w:rPr>
          <w:lang w:val="ru-RU"/>
        </w:rPr>
        <w:t>（太</w:t>
      </w:r>
      <w:r w:rsidR="00D85B34" w:rsidRPr="00794712">
        <w:rPr>
          <w:lang w:val="ru-RU"/>
        </w:rPr>
        <w:t>20</w:t>
      </w:r>
      <w:r w:rsidR="00D85B34" w:rsidRPr="00181D97">
        <w:rPr>
          <w:lang w:val="ru-RU"/>
        </w:rPr>
        <w:t>:</w:t>
      </w:r>
      <w:r w:rsidR="00D85B34" w:rsidRPr="00794712">
        <w:rPr>
          <w:lang w:val="ru-RU"/>
        </w:rPr>
        <w:t>28）。 祂自称是道之羊群中唯一真正的牧人，说道：</w:t>
      </w:r>
      <w:r w:rsidR="00D85B34" w:rsidRPr="00181D97">
        <w:rPr>
          <w:i/>
          <w:iCs/>
          <w:lang w:val="ru-RU"/>
        </w:rPr>
        <w:t>“好牧人为羊舍命……我是好牧人……我为羊舍命”</w:t>
      </w:r>
      <w:r w:rsidR="005864AB">
        <w:rPr>
          <w:lang w:val="ru-RU"/>
        </w:rPr>
        <w:t>（约</w:t>
      </w:r>
      <w:r w:rsidR="00D85B34" w:rsidRPr="00794712">
        <w:rPr>
          <w:lang w:val="ru-RU"/>
        </w:rPr>
        <w:t>10</w:t>
      </w:r>
      <w:r w:rsidR="00D85B34" w:rsidRPr="00181D97">
        <w:rPr>
          <w:lang w:val="ru-RU"/>
        </w:rPr>
        <w:t>:</w:t>
      </w:r>
      <w:r w:rsidR="00D85B34" w:rsidRPr="00794712">
        <w:rPr>
          <w:lang w:val="ru-RU"/>
        </w:rPr>
        <w:t>11-15）。 在向犹太人预告设立 圣体圣血圣事时，祂特别指出：</w:t>
      </w:r>
      <w:r w:rsidR="00D85B34" w:rsidRPr="00181D97">
        <w:rPr>
          <w:i/>
          <w:iCs/>
          <w:lang w:val="ru-RU"/>
        </w:rPr>
        <w:t>“我是从天上降下来的活粮；吃这粮的人必永远活着；我所要赐的粮，就是我的肉，我将把它献出，为使世人得生命”</w:t>
      </w:r>
      <w:r w:rsidR="005864AB">
        <w:rPr>
          <w:lang w:val="ru-RU"/>
        </w:rPr>
        <w:t>（</w:t>
      </w:r>
      <w:r w:rsidR="00D85B34" w:rsidRPr="00794712">
        <w:rPr>
          <w:lang w:val="ru-RU"/>
        </w:rPr>
        <w:t>约6</w:t>
      </w:r>
      <w:r w:rsidR="00D85B34" w:rsidRPr="00181D97">
        <w:rPr>
          <w:lang w:val="ru-RU"/>
        </w:rPr>
        <w:t>:</w:t>
      </w:r>
      <w:r w:rsidR="00D85B34" w:rsidRPr="00794712">
        <w:rPr>
          <w:lang w:val="ru-RU"/>
        </w:rPr>
        <w:t>51）。 而在设立这一救赎圣事之时，主将饼递给门徒时说：</w:t>
      </w:r>
      <w:r w:rsidR="00D85B34" w:rsidRPr="00181D97">
        <w:rPr>
          <w:i/>
          <w:iCs/>
          <w:lang w:val="ru-RU"/>
        </w:rPr>
        <w:t>“这是我的身体，为</w:t>
      </w:r>
      <w:r w:rsidR="00D85B34">
        <w:rPr>
          <w:i/>
          <w:iCs/>
          <w:lang w:val="ru-RU"/>
        </w:rPr>
        <w:t>你们</w:t>
      </w:r>
      <w:r w:rsidR="00D85B34" w:rsidRPr="00181D97">
        <w:rPr>
          <w:i/>
          <w:iCs/>
          <w:lang w:val="ru-RU"/>
        </w:rPr>
        <w:t>而舍的”</w:t>
      </w:r>
      <w:r w:rsidR="00D85B34" w:rsidRPr="00794712">
        <w:rPr>
          <w:lang w:val="ru-RU"/>
        </w:rPr>
        <w:t xml:space="preserve"> </w:t>
      </w:r>
      <w:r w:rsidR="008A3626">
        <w:rPr>
          <w:lang w:val="ru-RU"/>
        </w:rPr>
        <w:t>（路加福音</w:t>
      </w:r>
      <w:r w:rsidR="00D85B34" w:rsidRPr="00794712">
        <w:rPr>
          <w:lang w:val="ru-RU"/>
        </w:rPr>
        <w:t xml:space="preserve"> 22</w:t>
      </w:r>
      <w:r w:rsidR="00D85B34" w:rsidRPr="00181D97">
        <w:rPr>
          <w:lang w:val="ru-RU"/>
        </w:rPr>
        <w:t>:</w:t>
      </w:r>
      <w:r w:rsidR="00D85B34" w:rsidRPr="00794712">
        <w:rPr>
          <w:lang w:val="ru-RU"/>
        </w:rPr>
        <w:t>19），随后递上杯时，又说：</w:t>
      </w:r>
      <w:r w:rsidR="00D85B34" w:rsidRPr="00181D97">
        <w:rPr>
          <w:i/>
          <w:iCs/>
          <w:lang w:val="ru-RU"/>
        </w:rPr>
        <w:t>“这是我立新约的血，为多人流出来，使罪得赦”</w:t>
      </w:r>
      <w:r w:rsidR="000A57C3">
        <w:rPr>
          <w:lang w:val="ru-RU"/>
        </w:rPr>
        <w:t>（马太福音</w:t>
      </w:r>
      <w:r w:rsidR="00D85B34" w:rsidRPr="00794712">
        <w:rPr>
          <w:lang w:val="ru-RU"/>
        </w:rPr>
        <w:t xml:space="preserve"> 26</w:t>
      </w:r>
      <w:r w:rsidR="00D85B34" w:rsidRPr="00181D97">
        <w:rPr>
          <w:lang w:val="ru-RU"/>
        </w:rPr>
        <w:t>:</w:t>
      </w:r>
      <w:r w:rsidR="00D85B34" w:rsidRPr="00794712">
        <w:rPr>
          <w:lang w:val="ru-RU"/>
        </w:rPr>
        <w:t>28）。 最后，祂确实为世人的罪尝了死味，复活后，就开启了门徒</w:t>
      </w:r>
      <w:r w:rsidR="00D85B34" w:rsidRPr="00107DE2">
        <w:rPr>
          <w:i/>
          <w:iCs/>
          <w:lang w:val="ru-RU"/>
        </w:rPr>
        <w:t>“悟经的智慧”。 他对他们说：‘经上这样记着：基督必须受这些苦，第三天从死里复活，并且要奉他的名向万民传悔改和赦罪的道’”</w:t>
      </w:r>
      <w:r w:rsidR="008A3626">
        <w:rPr>
          <w:lang w:val="ru-RU"/>
        </w:rPr>
        <w:t>（路加</w:t>
      </w:r>
      <w:r w:rsidR="00D85B34" w:rsidRPr="00794712">
        <w:rPr>
          <w:lang w:val="ru-RU"/>
        </w:rPr>
        <w:t>福音24</w:t>
      </w:r>
      <w:r w:rsidR="00D85B34" w:rsidRPr="00107DE2">
        <w:rPr>
          <w:lang w:val="ru-RU"/>
        </w:rPr>
        <w:t>:</w:t>
      </w:r>
      <w:r w:rsidR="00D85B34" w:rsidRPr="00794712">
        <w:rPr>
          <w:lang w:val="ru-RU"/>
        </w:rPr>
        <w:t>46-47）。</w:t>
      </w:r>
    </w:p>
    <w:p w14:paraId="2DF5EF86" w14:textId="77777777" w:rsidR="00D85B34" w:rsidRPr="00794712" w:rsidRDefault="00F45CFB" w:rsidP="00D85B34">
      <w:pPr>
        <w:ind w:firstLine="708"/>
        <w:rPr>
          <w:lang w:val="ru-RU"/>
        </w:rPr>
      </w:pPr>
      <w:r w:rsidRPr="00F45CFB">
        <w:rPr>
          <w:b/>
          <w:lang w:val="ru-RU"/>
        </w:rPr>
        <w:t>4)</w:t>
      </w:r>
      <w:r w:rsidR="00D85B34" w:rsidRPr="00794712">
        <w:rPr>
          <w:lang w:val="ru-RU"/>
        </w:rPr>
        <w:t xml:space="preserve"> 圣使徒们传扬了这一真理。使徒约翰在提及该亚法就耶稣基督向犹太人提出的建议</w:t>
      </w:r>
      <w:r w:rsidR="00D85B34" w:rsidRPr="00107DE2">
        <w:rPr>
          <w:i/>
          <w:iCs/>
          <w:lang w:val="ru-RU"/>
        </w:rPr>
        <w:t>时——“一个人为百姓死，比让整个民族灭亡更好”</w:t>
      </w:r>
      <w:r w:rsidR="005864AB">
        <w:rPr>
          <w:lang w:val="ru-RU"/>
        </w:rPr>
        <w:t>（</w:t>
      </w:r>
      <w:r w:rsidR="00D85B34" w:rsidRPr="00794712">
        <w:rPr>
          <w:lang w:val="ru-RU"/>
        </w:rPr>
        <w:t>约11</w:t>
      </w:r>
      <w:r w:rsidR="00D85B34" w:rsidRPr="00107DE2">
        <w:rPr>
          <w:lang w:val="ru-RU"/>
        </w:rPr>
        <w:t>:</w:t>
      </w:r>
      <w:r w:rsidR="00D85B34" w:rsidRPr="00794712">
        <w:rPr>
          <w:lang w:val="ru-RU"/>
        </w:rPr>
        <w:t xml:space="preserve">50），接着补充道： </w:t>
      </w:r>
      <w:r w:rsidR="00D85B34" w:rsidRPr="00107DE2">
        <w:rPr>
          <w:i/>
          <w:iCs/>
          <w:lang w:val="ru-RU"/>
        </w:rPr>
        <w:t>“他这话不是凭自己说的，而是那年作大祭司的，预言耶稣要为百姓而死，不仅为百姓，还要把散居各地的上帝的儿女都聚集起来”</w:t>
      </w:r>
      <w:r w:rsidR="005864AB">
        <w:rPr>
          <w:lang w:val="ru-RU"/>
        </w:rPr>
        <w:t>（约</w:t>
      </w:r>
      <w:r w:rsidR="00D85B34" w:rsidRPr="00794712">
        <w:rPr>
          <w:lang w:val="ru-RU"/>
        </w:rPr>
        <w:t>11</w:t>
      </w:r>
      <w:r w:rsidR="00D85B34" w:rsidRPr="00107DE2">
        <w:rPr>
          <w:lang w:val="ru-RU"/>
        </w:rPr>
        <w:t>:51-52</w:t>
      </w:r>
      <w:r w:rsidR="00D85B34" w:rsidRPr="00794712">
        <w:rPr>
          <w:lang w:val="ru-RU"/>
        </w:rPr>
        <w:t>）。 他在书信中也说：</w:t>
      </w:r>
      <w:r w:rsidR="00D85B34" w:rsidRPr="00107DE2">
        <w:rPr>
          <w:i/>
          <w:iCs/>
          <w:lang w:val="ru-RU"/>
        </w:rPr>
        <w:t>“耶稣基督的血——</w:t>
      </w:r>
      <w:bookmarkStart w:id="289" w:name="_Hlk128112637"/>
      <w:r w:rsidR="00D85B34" w:rsidRPr="00107DE2">
        <w:rPr>
          <w:i/>
          <w:iCs/>
          <w:lang w:val="ru-RU"/>
        </w:rPr>
        <w:t xml:space="preserve"> 祂的儿子——洗净我们一切的罪”</w:t>
      </w:r>
      <w:r w:rsidR="008A3626">
        <w:rPr>
          <w:lang w:val="ru-RU"/>
        </w:rPr>
        <w:t>（约翰一书1</w:t>
      </w:r>
      <w:r w:rsidR="00D85B34" w:rsidRPr="00107DE2">
        <w:rPr>
          <w:lang w:val="ru-RU"/>
        </w:rPr>
        <w:t>:</w:t>
      </w:r>
      <w:r w:rsidR="00D85B34" w:rsidRPr="00794712">
        <w:rPr>
          <w:lang w:val="ru-RU"/>
        </w:rPr>
        <w:t>7）； 而在《启示录》中则记载，二十四位长老俯伏在羔羊面前</w:t>
      </w:r>
      <w:r w:rsidR="00D85B34" w:rsidRPr="00107DE2">
        <w:rPr>
          <w:i/>
          <w:iCs/>
          <w:lang w:val="ru-RU"/>
        </w:rPr>
        <w:t>，“唱着新歌，说：‘你配拿那书卷，配揭开那书卷上的印，因为你曾被杀，用自己的血从各族、各方、各民、各族中，把我们赎回来归给神’”</w:t>
      </w:r>
      <w:r w:rsidR="00D85B34" w:rsidRPr="00794712">
        <w:rPr>
          <w:lang w:val="ru-RU"/>
        </w:rPr>
        <w:t xml:space="preserve"> （</w:t>
      </w:r>
      <w:r w:rsidR="00D85B34">
        <w:rPr>
          <w:lang w:val="ru-RU"/>
        </w:rPr>
        <w:t>启</w:t>
      </w:r>
      <w:r w:rsidR="00D85B34" w:rsidRPr="00794712">
        <w:rPr>
          <w:lang w:val="ru-RU"/>
        </w:rPr>
        <w:t>5</w:t>
      </w:r>
      <w:r w:rsidR="00D85B34">
        <w:rPr>
          <w:lang w:val="ru-RU"/>
        </w:rPr>
        <w:t>:</w:t>
      </w:r>
      <w:r w:rsidR="00D85B34" w:rsidRPr="00794712">
        <w:rPr>
          <w:lang w:val="ru-RU"/>
        </w:rPr>
        <w:t>9；1</w:t>
      </w:r>
      <w:r w:rsidR="00D85B34">
        <w:rPr>
          <w:lang w:val="ru-RU"/>
        </w:rPr>
        <w:t>:</w:t>
      </w:r>
      <w:r w:rsidR="00D85B34" w:rsidRPr="00794712">
        <w:rPr>
          <w:lang w:val="ru-RU"/>
        </w:rPr>
        <w:t>5）。使徒彼得嘱咐基督徒：</w:t>
      </w:r>
      <w:r w:rsidR="00D85B34" w:rsidRPr="00107DE2">
        <w:rPr>
          <w:i/>
          <w:iCs/>
          <w:lang w:val="ru-RU"/>
        </w:rPr>
        <w:t>“你们要敬畏地度过你们寄居的日子，要知道，你们不是用会朽坏的银子或金子，从你们祖先传给你们的那虚空的生活中赎回的，而是用基督宝贵的血，如同无瑕疵、无玷污的羔羊的血”</w:t>
      </w:r>
      <w:r w:rsidR="00D85B34" w:rsidRPr="00794712">
        <w:rPr>
          <w:lang w:val="ru-RU"/>
        </w:rPr>
        <w:t xml:space="preserve"> （</w:t>
      </w:r>
      <w:r w:rsidR="0087297C">
        <w:rPr>
          <w:lang w:val="ru-RU"/>
        </w:rPr>
        <w:t>彼得前书</w:t>
      </w:r>
      <w:r w:rsidR="00D85B34" w:rsidRPr="00107DE2">
        <w:rPr>
          <w:lang w:val="ru-RU"/>
        </w:rPr>
        <w:t xml:space="preserve"> </w:t>
      </w:r>
      <w:r w:rsidR="00D85B34" w:rsidRPr="00794712">
        <w:rPr>
          <w:lang w:val="ru-RU"/>
        </w:rPr>
        <w:t>1</w:t>
      </w:r>
      <w:r w:rsidR="00D85B34" w:rsidRPr="00107DE2">
        <w:rPr>
          <w:lang w:val="ru-RU"/>
        </w:rPr>
        <w:t>:</w:t>
      </w:r>
      <w:r w:rsidR="00D85B34" w:rsidRPr="00794712">
        <w:rPr>
          <w:lang w:val="ru-RU"/>
        </w:rPr>
        <w:t>17-19）。</w:t>
      </w:r>
      <w:r w:rsidR="00D85B34" w:rsidRPr="00107DE2">
        <w:rPr>
          <w:i/>
          <w:iCs/>
          <w:lang w:val="ru-RU"/>
        </w:rPr>
        <w:t>“基督为我们受苦，给我们留了榜样，叫我们跟随他的脚踪</w:t>
      </w:r>
      <w:r w:rsidR="00D85B34" w:rsidRPr="00327884">
        <w:rPr>
          <w:i/>
          <w:iCs/>
          <w:lang w:val="ru-RU"/>
        </w:rPr>
        <w:t>……他亲自用自己的身体把我们的罪担在十字架上，使我们脱离罪恶，活出公义的生命；你们因他的鞭伤而得医治”</w:t>
      </w:r>
      <w:r w:rsidR="00D85B34" w:rsidRPr="00794712">
        <w:rPr>
          <w:lang w:val="ru-RU"/>
        </w:rPr>
        <w:t xml:space="preserve"> （</w:t>
      </w:r>
      <w:r w:rsidR="0087297C">
        <w:rPr>
          <w:lang w:val="ru-RU"/>
        </w:rPr>
        <w:t>彼得前书</w:t>
      </w:r>
      <w:r w:rsidR="00D85B34" w:rsidRPr="00794712">
        <w:rPr>
          <w:lang w:val="ru-RU"/>
        </w:rPr>
        <w:t xml:space="preserve"> 2</w:t>
      </w:r>
      <w:r w:rsidR="00D85B34" w:rsidRPr="00327884">
        <w:rPr>
          <w:lang w:val="ru-RU"/>
        </w:rPr>
        <w:t>:</w:t>
      </w:r>
      <w:r w:rsidR="00D85B34" w:rsidRPr="00794712">
        <w:rPr>
          <w:lang w:val="ru-RU"/>
        </w:rPr>
        <w:t>21-24）。</w:t>
      </w:r>
      <w:r w:rsidR="00D85B34" w:rsidRPr="00327884">
        <w:rPr>
          <w:i/>
          <w:iCs/>
          <w:lang w:val="ru-RU"/>
        </w:rPr>
        <w:t>“基督曾一次为我们的罪受苦，就是义的代替不义的，为要引我们到神面前”</w:t>
      </w:r>
      <w:r w:rsidR="00D85B34" w:rsidRPr="00794712">
        <w:rPr>
          <w:lang w:val="ru-RU"/>
        </w:rPr>
        <w:t>（</w:t>
      </w:r>
      <w:r w:rsidR="0087297C">
        <w:rPr>
          <w:lang w:val="ru-RU"/>
        </w:rPr>
        <w:t>彼得前书</w:t>
      </w:r>
      <w:r w:rsidR="00D85B34" w:rsidRPr="00794712">
        <w:rPr>
          <w:lang w:val="ru-RU"/>
        </w:rPr>
        <w:t xml:space="preserve"> </w:t>
      </w:r>
      <w:r w:rsidR="00D85B34" w:rsidRPr="00794712">
        <w:rPr>
          <w:lang w:val="ru-RU"/>
        </w:rPr>
        <w:lastRenderedPageBreak/>
        <w:t>3</w:t>
      </w:r>
      <w:r w:rsidR="00D85B34">
        <w:rPr>
          <w:lang w:val="ru-RU"/>
        </w:rPr>
        <w:t>:</w:t>
      </w:r>
      <w:r w:rsidR="00D85B34" w:rsidRPr="00794712">
        <w:rPr>
          <w:lang w:val="ru-RU"/>
        </w:rPr>
        <w:t>18）。 但在书信中，使徒保罗比任何人都更频繁地重申这一真理：</w:t>
      </w:r>
      <w:r w:rsidR="00D85B34" w:rsidRPr="00327884">
        <w:rPr>
          <w:i/>
          <w:iCs/>
          <w:lang w:val="ru-RU"/>
        </w:rPr>
        <w:t>“我当初传给你们的，也是我自己所领受的，就是基督照着圣经所说的，为我们的罪死了”</w:t>
      </w:r>
      <w:r w:rsidR="00621F17">
        <w:rPr>
          <w:lang w:val="ru-RU"/>
        </w:rPr>
        <w:t>（林</w:t>
      </w:r>
      <w:r w:rsidR="00D85B34" w:rsidRPr="00794712">
        <w:rPr>
          <w:lang w:val="ru-RU"/>
        </w:rPr>
        <w:t>前15</w:t>
      </w:r>
      <w:r w:rsidR="00D85B34">
        <w:rPr>
          <w:lang w:val="ru-RU"/>
        </w:rPr>
        <w:t>:</w:t>
      </w:r>
      <w:r w:rsidR="00D85B34" w:rsidRPr="00794712">
        <w:rPr>
          <w:lang w:val="ru-RU"/>
        </w:rPr>
        <w:t xml:space="preserve">3）； </w:t>
      </w:r>
      <w:r w:rsidR="00D85B34" w:rsidRPr="00327884">
        <w:rPr>
          <w:i/>
          <w:iCs/>
          <w:lang w:val="ru-RU"/>
        </w:rPr>
        <w:t>“基督爱我们，为我们把自己献给神，当作馨香的祭”</w:t>
      </w:r>
      <w:r w:rsidR="00D85B34" w:rsidRPr="00794712">
        <w:rPr>
          <w:lang w:val="ru-RU"/>
        </w:rPr>
        <w:t>（以弗所书 5</w:t>
      </w:r>
      <w:r w:rsidR="00D85B34" w:rsidRPr="00327884">
        <w:rPr>
          <w:lang w:val="ru-RU"/>
        </w:rPr>
        <w:t>:</w:t>
      </w:r>
      <w:r w:rsidR="00D85B34" w:rsidRPr="00794712">
        <w:rPr>
          <w:lang w:val="ru-RU"/>
        </w:rPr>
        <w:t>2）；</w:t>
      </w:r>
      <w:r w:rsidR="00D85B34" w:rsidRPr="00327884">
        <w:rPr>
          <w:i/>
          <w:iCs/>
          <w:lang w:val="ru-RU"/>
        </w:rPr>
        <w:t>“基督只一次将自己献上，便为许多人赎了罪”</w:t>
      </w:r>
      <w:r w:rsidR="00D85B34" w:rsidRPr="00794712">
        <w:rPr>
          <w:lang w:val="ru-RU"/>
        </w:rPr>
        <w:t>（希伯来书 9</w:t>
      </w:r>
      <w:r w:rsidR="00D85B34" w:rsidRPr="00327884">
        <w:rPr>
          <w:lang w:val="ru-RU"/>
        </w:rPr>
        <w:t>:</w:t>
      </w:r>
      <w:r w:rsidR="00D85B34" w:rsidRPr="00794712">
        <w:rPr>
          <w:lang w:val="ru-RU"/>
        </w:rPr>
        <w:t xml:space="preserve">28）； </w:t>
      </w:r>
      <w:r w:rsidR="00D85B34" w:rsidRPr="00327884">
        <w:rPr>
          <w:i/>
          <w:iCs/>
          <w:lang w:val="ru-RU"/>
        </w:rPr>
        <w:t>“祂为我们的罪被交出，为我们的称义复活了”</w:t>
      </w:r>
      <w:r w:rsidR="00D85B34" w:rsidRPr="00794712">
        <w:rPr>
          <w:lang w:val="ru-RU"/>
        </w:rPr>
        <w:t>（罗4</w:t>
      </w:r>
      <w:r w:rsidR="00D85B34" w:rsidRPr="00327884">
        <w:rPr>
          <w:lang w:val="ru-RU"/>
        </w:rPr>
        <w:t>:</w:t>
      </w:r>
      <w:r w:rsidR="00D85B34" w:rsidRPr="00794712">
        <w:rPr>
          <w:lang w:val="ru-RU"/>
        </w:rPr>
        <w:t>25）；</w:t>
      </w:r>
      <w:r w:rsidR="00D85B34" w:rsidRPr="00327884">
        <w:rPr>
          <w:i/>
          <w:iCs/>
          <w:lang w:val="ru-RU"/>
        </w:rPr>
        <w:t>“神将祂设立为赎罪祭，是凭着祂的血，借着信，为要显明祂的公义，因为祂曾宽恕了先前所犯的罪”</w:t>
      </w:r>
      <w:r w:rsidR="00D85B34" w:rsidRPr="00794712">
        <w:rPr>
          <w:lang w:val="ru-RU"/>
        </w:rPr>
        <w:t>（</w:t>
      </w:r>
      <w:r w:rsidR="00D85B34">
        <w:rPr>
          <w:lang w:val="ru-RU"/>
        </w:rPr>
        <w:t>罗</w:t>
      </w:r>
      <w:r w:rsidR="00D85B34" w:rsidRPr="00794712">
        <w:rPr>
          <w:lang w:val="ru-RU"/>
        </w:rPr>
        <w:t>3</w:t>
      </w:r>
      <w:r w:rsidR="00D85B34">
        <w:rPr>
          <w:lang w:val="ru-RU"/>
        </w:rPr>
        <w:t>:</w:t>
      </w:r>
      <w:r w:rsidR="00D85B34" w:rsidRPr="00794712">
        <w:rPr>
          <w:lang w:val="ru-RU"/>
        </w:rPr>
        <w:t>25）。</w:t>
      </w:r>
      <w:bookmarkEnd w:id="289"/>
    </w:p>
    <w:p w14:paraId="4EF2BE4C" w14:textId="77777777" w:rsidR="00D85B34" w:rsidRPr="00794712" w:rsidRDefault="00D85B34" w:rsidP="00D85B34">
      <w:pPr>
        <w:rPr>
          <w:lang w:val="ru-RU"/>
        </w:rPr>
      </w:pPr>
      <w:r>
        <w:rPr>
          <w:lang w:val="ru-RU"/>
        </w:rPr>
        <w:tab/>
      </w:r>
      <w:r w:rsidR="001B763B" w:rsidRPr="001B763B">
        <w:rPr>
          <w:b/>
          <w:bCs/>
          <w:lang w:val="ru-RU"/>
        </w:rPr>
        <w:t>5</w:t>
      </w:r>
      <w:r w:rsidRPr="001B763B">
        <w:rPr>
          <w:b/>
          <w:bCs/>
          <w:lang w:val="ru-RU"/>
        </w:rPr>
        <w:t>)</w:t>
      </w:r>
      <w:r w:rsidRPr="00794712">
        <w:rPr>
          <w:lang w:val="ru-RU"/>
        </w:rPr>
        <w:t xml:space="preserve"> 圣公会一直秉持这一真理，这可从以下方面看出：</w:t>
      </w:r>
      <w:r w:rsidR="00A95A76" w:rsidRPr="00A95A76">
        <w:rPr>
          <w:b/>
          <w:lang w:val="ru-RU"/>
        </w:rPr>
        <w:t xml:space="preserve">a) </w:t>
      </w:r>
      <w:r w:rsidRPr="00794712">
        <w:rPr>
          <w:lang w:val="ru-RU"/>
        </w:rPr>
        <w:t>《尼西亚-君士坦丁堡信经》中，它教导我们信：“惟独一位主耶稣基督，神的儿子……为我们的缘故成为人，为我们的救恩从天降下……并为我们被钉在十字架上……；</w:t>
      </w:r>
      <w:r w:rsidR="00A95A76" w:rsidRPr="00A95A76">
        <w:rPr>
          <w:b/>
          <w:lang w:val="ru-RU"/>
        </w:rPr>
        <w:t xml:space="preserve"> b)</w:t>
      </w:r>
      <w:r w:rsidRPr="00794712">
        <w:rPr>
          <w:lang w:val="ru-RU"/>
        </w:rPr>
        <w:t xml:space="preserve"> 亚他那修信经中，其中写道：“唯有一位基督</w:t>
      </w:r>
      <w:r>
        <w:rPr>
          <w:lang w:val="ru-RU"/>
        </w:rPr>
        <w:t>，</w:t>
      </w:r>
      <w:r w:rsidRPr="00794712">
        <w:rPr>
          <w:lang w:val="ru-RU"/>
        </w:rPr>
        <w:t>为我们的救恩而受苦</w:t>
      </w:r>
      <w:r>
        <w:rPr>
          <w:lang w:val="ru-RU"/>
        </w:rPr>
        <w:t>”，</w:t>
      </w:r>
      <w:r w:rsidRPr="00794712">
        <w:rPr>
          <w:lang w:val="ru-RU"/>
        </w:rPr>
        <w:t>以及</w:t>
      </w:r>
      <w:r w:rsidR="00A95A76" w:rsidRPr="00A95A76">
        <w:rPr>
          <w:b/>
          <w:lang w:val="ru-RU"/>
        </w:rPr>
        <w:t>——c)</w:t>
      </w:r>
      <w:r w:rsidRPr="0097554A">
        <w:rPr>
          <w:lang w:val="ru-RU"/>
        </w:rPr>
        <w:t xml:space="preserve"> </w:t>
      </w:r>
      <w:r w:rsidRPr="00AA0891">
        <w:t>其</w:t>
      </w:r>
      <w:r w:rsidRPr="00794712">
        <w:rPr>
          <w:lang w:val="ru-RU"/>
        </w:rPr>
        <w:t>教师们的见证，例如：</w:t>
      </w:r>
    </w:p>
    <w:p w14:paraId="517B428C" w14:textId="77777777" w:rsidR="00D85B34" w:rsidRPr="00794712" w:rsidRDefault="00D85B34" w:rsidP="00D85B34">
      <w:pPr>
        <w:rPr>
          <w:lang w:val="ru-RU"/>
        </w:rPr>
      </w:pPr>
      <w:r w:rsidRPr="00794712">
        <w:rPr>
          <w:lang w:val="ru-RU"/>
        </w:rPr>
        <w:tab/>
        <w:t>使徒时代的圣徒：</w:t>
      </w:r>
      <w:r w:rsidR="00A95A76" w:rsidRPr="00A95A76">
        <w:rPr>
          <w:b/>
          <w:lang w:val="ru-RU"/>
        </w:rPr>
        <w:t>a)</w:t>
      </w:r>
      <w:r w:rsidRPr="00794712">
        <w:rPr>
          <w:lang w:val="ru-RU"/>
        </w:rPr>
        <w:t xml:space="preserve"> 圣巴拿巴：“我们要相信，神的儿子只能为我们受苦……；为了我们的罪，他甘愿将圣灵的器皿献为祭物</w:t>
      </w:r>
      <w:r w:rsidRPr="003A2843">
        <w:rPr>
          <w:lang w:val="ru-RU"/>
        </w:rPr>
        <w:t>；</w:t>
      </w:r>
      <w:r>
        <w:rPr>
          <w:lang w:val="ru-RU"/>
        </w:rPr>
        <w:t>”</w:t>
      </w:r>
      <w:r w:rsidR="00951BFA">
        <w:rPr>
          <w:rStyle w:val="FootnoteReference"/>
          <w:lang w:val="ru-RU"/>
        </w:rPr>
        <w:footnoteReference w:id="344"/>
      </w:r>
    </w:p>
    <w:p w14:paraId="00B4E601"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罗马的圣克莱门特：“让我们仰望主耶稣基督，祂的宝血是为我们而流的……；让我们仔细凝视基督的宝血，并思考：当祂的宝血为我们的救赎而倾流，使全世界都获得了悔改的恩典时，这宝血在神面前是何等宝贵</w:t>
      </w:r>
      <w:r w:rsidRPr="003A2843">
        <w:rPr>
          <w:lang w:val="ru-RU"/>
        </w:rPr>
        <w:t>；</w:t>
      </w:r>
      <w:r>
        <w:rPr>
          <w:lang w:val="ru-RU"/>
        </w:rPr>
        <w:t>”</w:t>
      </w:r>
      <w:r w:rsidR="00911E4B">
        <w:rPr>
          <w:rStyle w:val="FootnoteReference"/>
          <w:lang w:val="ru-RU"/>
        </w:rPr>
        <w:footnoteReference w:id="345"/>
      </w:r>
      <w:r w:rsidR="00A95A76" w:rsidRPr="00A95A76">
        <w:rPr>
          <w:b/>
          <w:lang w:val="ru-RU"/>
        </w:rPr>
        <w:t xml:space="preserve"> c) </w:t>
      </w:r>
      <w:r w:rsidRPr="00794712">
        <w:rPr>
          <w:lang w:val="ru-RU"/>
        </w:rPr>
        <w:t>伊格纳提乌斯·神承者：“基督为你们而死，使你们因信靠祂的死，得以从死亡中得救</w:t>
      </w:r>
      <w:r w:rsidRPr="003A2843">
        <w:rPr>
          <w:lang w:val="ru-RU"/>
        </w:rPr>
        <w:t>；</w:t>
      </w:r>
      <w:r>
        <w:rPr>
          <w:lang w:val="ru-RU"/>
        </w:rPr>
        <w:t>”</w:t>
      </w:r>
      <w:r w:rsidR="00911E4B">
        <w:rPr>
          <w:rStyle w:val="FootnoteReference"/>
          <w:lang w:val="ru-RU"/>
        </w:rPr>
        <w:footnoteReference w:id="346"/>
      </w:r>
      <w:r w:rsidR="00A95A76" w:rsidRPr="00A95A76">
        <w:rPr>
          <w:b/>
          <w:lang w:val="ru-RU"/>
        </w:rPr>
        <w:t xml:space="preserve"> d)</w:t>
      </w:r>
      <w:r w:rsidRPr="00794712">
        <w:rPr>
          <w:lang w:val="ru-RU"/>
        </w:rPr>
        <w:t xml:space="preserve"> 圣波利卡普：“祂为我们的罪承受了死亡……；祂为我们承受了一切，使我们能在祂里面活着</w:t>
      </w:r>
      <w:r w:rsidRPr="003A2843">
        <w:rPr>
          <w:lang w:val="ru-RU"/>
        </w:rPr>
        <w:t>；</w:t>
      </w:r>
      <w:r>
        <w:rPr>
          <w:lang w:val="ru-RU"/>
        </w:rPr>
        <w:t>”</w:t>
      </w:r>
      <w:r w:rsidR="00911E4B">
        <w:rPr>
          <w:rStyle w:val="FootnoteReference"/>
          <w:lang w:val="ru-RU"/>
        </w:rPr>
        <w:footnoteReference w:id="347"/>
      </w:r>
    </w:p>
    <w:p w14:paraId="36E8727B" w14:textId="77777777" w:rsidR="00D85B34" w:rsidRPr="00794712" w:rsidRDefault="00D85B34" w:rsidP="00D85B34">
      <w:pPr>
        <w:rPr>
          <w:lang w:val="ru-RU"/>
        </w:rPr>
      </w:pPr>
      <w:r w:rsidRPr="00794712">
        <w:rPr>
          <w:lang w:val="ru-RU"/>
        </w:rPr>
        <w:tab/>
        <w:t>二、三世纪的教师们：</w:t>
      </w:r>
      <w:r w:rsidRPr="00AA0891">
        <w:t>a</w:t>
      </w:r>
      <w:r w:rsidRPr="00794712">
        <w:rPr>
          <w:lang w:val="ru-RU"/>
        </w:rPr>
        <w:t>) 圣殉道者尤斯丁：</w:t>
      </w:r>
      <w:r>
        <w:rPr>
          <w:lang w:val="ru-RU"/>
        </w:rPr>
        <w:t>“</w:t>
      </w:r>
      <w:r w:rsidRPr="00794712">
        <w:rPr>
          <w:lang w:val="ru-RU"/>
        </w:rPr>
        <w:t>（基督）遵照天父的旨意，为了拯救信靠祂的人而成为人，并甘受屈辱与苦难，为要借着死亡与复活战胜死亡</w:t>
      </w:r>
      <w:r w:rsidRPr="003A2843">
        <w:rPr>
          <w:lang w:val="ru-RU"/>
        </w:rPr>
        <w:t>；</w:t>
      </w:r>
      <w:r>
        <w:rPr>
          <w:lang w:val="ru-RU"/>
        </w:rPr>
        <w:t>”</w:t>
      </w:r>
      <w:r w:rsidR="00911E4B">
        <w:rPr>
          <w:rStyle w:val="FootnoteReference"/>
          <w:lang w:val="ru-RU"/>
        </w:rPr>
        <w:footnoteReference w:id="348"/>
      </w:r>
      <w:r w:rsidR="00A95A76" w:rsidRPr="00A95A76">
        <w:rPr>
          <w:b/>
          <w:lang w:val="ru-RU"/>
        </w:rPr>
        <w:t xml:space="preserve"> b)</w:t>
      </w:r>
      <w:r w:rsidRPr="00794712">
        <w:rPr>
          <w:lang w:val="ru-RU"/>
        </w:rPr>
        <w:t xml:space="preserve"> 圣伊雷内乌斯： </w:t>
      </w:r>
      <w:r>
        <w:rPr>
          <w:lang w:val="ru-RU"/>
        </w:rPr>
        <w:t>“</w:t>
      </w:r>
      <w:r w:rsidRPr="00794712">
        <w:rPr>
          <w:lang w:val="ru-RU"/>
        </w:rPr>
        <w:t>基督用祂的宝血赎了我们，将祂的灵魂 献上，为的是我们的灵魂；将祂的肉体献上，为的是我们的肉体</w:t>
      </w:r>
      <w:r w:rsidRPr="003A2843">
        <w:rPr>
          <w:lang w:val="ru-RU"/>
        </w:rPr>
        <w:t>；</w:t>
      </w:r>
      <w:r>
        <w:rPr>
          <w:lang w:val="ru-RU"/>
        </w:rPr>
        <w:t>”</w:t>
      </w:r>
      <w:r w:rsidR="00911E4B">
        <w:rPr>
          <w:rStyle w:val="FootnoteReference"/>
          <w:lang w:val="ru-RU"/>
        </w:rPr>
        <w:footnoteReference w:id="349"/>
      </w:r>
      <w:r w:rsidR="00A95A76" w:rsidRPr="00A95A76">
        <w:rPr>
          <w:b/>
          <w:lang w:val="ru-RU"/>
        </w:rPr>
        <w:t xml:space="preserve"> c)</w:t>
      </w:r>
      <w:r w:rsidRPr="00794712">
        <w:rPr>
          <w:lang w:val="ru-RU"/>
        </w:rPr>
        <w:t xml:space="preserve"> 特土良：“基督乐意从肉身降生于肉身，为要借着祂的降生改变我们的出生，并借着祂的死亡摧毁我们的死亡</w:t>
      </w:r>
      <w:r w:rsidRPr="003A2843">
        <w:rPr>
          <w:lang w:val="ru-RU"/>
        </w:rPr>
        <w:t>；</w:t>
      </w:r>
      <w:r>
        <w:rPr>
          <w:lang w:val="ru-RU"/>
        </w:rPr>
        <w:t>”</w:t>
      </w:r>
      <w:r w:rsidR="00911E4B">
        <w:rPr>
          <w:rStyle w:val="FootnoteReference"/>
          <w:lang w:val="ru-RU"/>
        </w:rPr>
        <w:footnoteReference w:id="350"/>
      </w:r>
      <w:r w:rsidR="00A95A76" w:rsidRPr="00A95A76">
        <w:rPr>
          <w:b/>
          <w:lang w:val="ru-RU"/>
        </w:rPr>
        <w:t xml:space="preserve"> d)</w:t>
      </w:r>
      <w:r w:rsidRPr="00794712">
        <w:rPr>
          <w:lang w:val="ru-RU"/>
        </w:rPr>
        <w:t xml:space="preserve"> 圣基普里安： “基督赐予你们这份恩典，将祂仁慈的恩赐传给了我们，借着十字架战胜了死亡，用祂的宝血赎回了信徒，使人与天父和好，并借着天上的重生使人复活</w:t>
      </w:r>
      <w:r w:rsidRPr="00070775">
        <w:rPr>
          <w:lang w:val="ru-RU"/>
        </w:rPr>
        <w:t>；</w:t>
      </w:r>
      <w:r>
        <w:rPr>
          <w:lang w:val="ru-RU"/>
        </w:rPr>
        <w:t>”</w:t>
      </w:r>
      <w:r w:rsidR="00911E4B">
        <w:rPr>
          <w:rStyle w:val="FootnoteReference"/>
          <w:lang w:val="ru-RU"/>
        </w:rPr>
        <w:footnoteReference w:id="351"/>
      </w:r>
    </w:p>
    <w:p w14:paraId="0E7CA26B" w14:textId="77777777" w:rsidR="00D85B34" w:rsidRPr="00794712" w:rsidRDefault="00D85B34" w:rsidP="00D85B34">
      <w:pPr>
        <w:rPr>
          <w:lang w:val="ru-RU"/>
        </w:rPr>
      </w:pPr>
      <w:r w:rsidRPr="00794712">
        <w:rPr>
          <w:lang w:val="ru-RU"/>
        </w:rPr>
        <w:tab/>
        <w:t>四世纪的教师们：</w:t>
      </w:r>
      <w:r w:rsidR="00A95A76" w:rsidRPr="00A95A76">
        <w:rPr>
          <w:b/>
          <w:lang w:val="ru-RU"/>
        </w:rPr>
        <w:t>a)</w:t>
      </w:r>
      <w:r w:rsidRPr="00794712">
        <w:rPr>
          <w:lang w:val="ru-RU"/>
        </w:rPr>
        <w:t xml:space="preserve"> 凯撒利亚的优西比乌：“祂的救赎工程一直延续到死亡，凡愿探究者，皆可发现不止一个，而是许多原因：第一，是为了使祂对死人活人拥有主权；第二，是为了祂为我们受苦，并作为我们的誓约，洗净我们的罪； 第三，是为了完成神圣的献祭，并为整个</w:t>
      </w:r>
      <w:r>
        <w:rPr>
          <w:lang w:val="ru-RU"/>
        </w:rPr>
        <w:t>世界</w:t>
      </w:r>
      <w:r w:rsidRPr="00794712">
        <w:rPr>
          <w:lang w:val="ru-RU"/>
        </w:rPr>
        <w:t>向那超乎万有的上帝献上伟大的祭物</w:t>
      </w:r>
      <w:r w:rsidRPr="00070775">
        <w:rPr>
          <w:lang w:val="ru-RU"/>
        </w:rPr>
        <w:t>；</w:t>
      </w:r>
      <w:r>
        <w:rPr>
          <w:lang w:val="ru-RU"/>
        </w:rPr>
        <w:t>”</w:t>
      </w:r>
      <w:r w:rsidR="00911E4B">
        <w:rPr>
          <w:rStyle w:val="FootnoteReference"/>
          <w:lang w:val="ru-RU"/>
        </w:rPr>
        <w:footnoteReference w:id="352"/>
      </w:r>
      <w:r w:rsidR="00A95A76" w:rsidRPr="00A95A76">
        <w:rPr>
          <w:b/>
          <w:lang w:val="ru-RU"/>
        </w:rPr>
        <w:t xml:space="preserve"> b)</w:t>
      </w:r>
      <w:r w:rsidRPr="00794712">
        <w:rPr>
          <w:lang w:val="ru-RU"/>
        </w:rPr>
        <w:t xml:space="preserve"> </w:t>
      </w:r>
      <w:r w:rsidRPr="00794712">
        <w:rPr>
          <w:lang w:val="ru-RU"/>
        </w:rPr>
        <w:lastRenderedPageBreak/>
        <w:t>圣格里高利·神学家： “基督被称为救赎</w:t>
      </w:r>
      <w:r w:rsidR="00621F17">
        <w:rPr>
          <w:lang w:val="ru-RU"/>
        </w:rPr>
        <w:t>（林前</w:t>
      </w:r>
      <w:r w:rsidRPr="00794712">
        <w:rPr>
          <w:lang w:val="ru-RU"/>
        </w:rPr>
        <w:t>1</w:t>
      </w:r>
      <w:r w:rsidRPr="00070775">
        <w:rPr>
          <w:lang w:val="ru-RU"/>
        </w:rPr>
        <w:t>:</w:t>
      </w:r>
      <w:r w:rsidRPr="00794712">
        <w:rPr>
          <w:lang w:val="ru-RU"/>
        </w:rPr>
        <w:t>30），因为祂释放了被罪所捆绑的我们，因为祂为我们舍己作赎价，为整个宇宙献上洁净的祭物</w:t>
      </w:r>
      <w:r w:rsidRPr="00070775">
        <w:rPr>
          <w:lang w:val="ru-RU"/>
        </w:rPr>
        <w:t>；</w:t>
      </w:r>
      <w:r>
        <w:rPr>
          <w:lang w:val="ru-RU"/>
        </w:rPr>
        <w:t>”</w:t>
      </w:r>
      <w:r w:rsidR="00911E4B">
        <w:rPr>
          <w:rStyle w:val="FootnoteReference"/>
          <w:lang w:val="ru-RU"/>
        </w:rPr>
        <w:footnoteReference w:id="353"/>
      </w:r>
      <w:r w:rsidR="00A95A76" w:rsidRPr="00A95A76">
        <w:rPr>
          <w:b/>
          <w:lang w:val="ru-RU"/>
        </w:rPr>
        <w:t xml:space="preserve"> c) </w:t>
      </w:r>
      <w:r w:rsidRPr="00794712">
        <w:rPr>
          <w:lang w:val="ru-RU"/>
        </w:rPr>
        <w:t>伊拉里乌斯：“当祂为我们的罪献上自己时，祂就救赎了我们；祂以自己的宝血、自己的受难、自己的死亡、自己的复活救赎了我们</w:t>
      </w:r>
      <w:r w:rsidRPr="00070775">
        <w:rPr>
          <w:lang w:val="ru-RU"/>
        </w:rPr>
        <w:t>；</w:t>
      </w:r>
      <w:r>
        <w:rPr>
          <w:lang w:val="ru-RU"/>
        </w:rPr>
        <w:t>”</w:t>
      </w:r>
      <w:r w:rsidR="00911E4B">
        <w:rPr>
          <w:rStyle w:val="FootnoteReference"/>
          <w:lang w:val="ru-RU"/>
        </w:rPr>
        <w:footnoteReference w:id="354"/>
      </w:r>
      <w:r w:rsidR="00A95A76" w:rsidRPr="00A95A76">
        <w:rPr>
          <w:b/>
          <w:lang w:val="ru-RU"/>
        </w:rPr>
        <w:t xml:space="preserve"> d)</w:t>
      </w:r>
      <w:r w:rsidRPr="00794712">
        <w:rPr>
          <w:lang w:val="ru-RU"/>
        </w:rPr>
        <w:t xml:space="preserve"> 圣安布罗斯：“先知的宝血无法救赎我们，彼得或保罗也未能救赎我们； 唯有那位既是神又是人者，才能以祂的死亡赎回我们，这是普通人永远无法做到的</w:t>
      </w:r>
      <w:r w:rsidRPr="00070775">
        <w:rPr>
          <w:lang w:val="ru-RU"/>
        </w:rPr>
        <w:t>；</w:t>
      </w:r>
      <w:r>
        <w:rPr>
          <w:lang w:val="ru-RU"/>
        </w:rPr>
        <w:t>”</w:t>
      </w:r>
      <w:r w:rsidR="00AC34FC">
        <w:rPr>
          <w:rStyle w:val="FootnoteReference"/>
          <w:lang w:val="ru-RU"/>
        </w:rPr>
        <w:footnoteReference w:id="355"/>
      </w:r>
      <w:r w:rsidR="00A95A76" w:rsidRPr="00A95A76">
        <w:rPr>
          <w:b/>
          <w:lang w:val="ru-RU"/>
        </w:rPr>
        <w:t xml:space="preserve"> d)</w:t>
      </w:r>
      <w:r w:rsidRPr="00794712">
        <w:rPr>
          <w:lang w:val="ru-RU"/>
        </w:rPr>
        <w:t xml:space="preserve"> 圣以弗所·西里尔：“无私的主为我们受苦，唯一的无罪者为我们被钉十字架……； 我们的救主基督为我们这些不义之人被交于死地</w:t>
      </w:r>
      <w:r w:rsidRPr="00070775">
        <w:rPr>
          <w:lang w:val="ru-RU"/>
        </w:rPr>
        <w:t>；</w:t>
      </w:r>
      <w:r>
        <w:rPr>
          <w:lang w:val="ru-RU"/>
        </w:rPr>
        <w:t>”</w:t>
      </w:r>
      <w:r w:rsidR="00AC34FC">
        <w:rPr>
          <w:rStyle w:val="FootnoteReference"/>
          <w:lang w:val="ru-RU"/>
        </w:rPr>
        <w:footnoteReference w:id="356"/>
      </w:r>
      <w:r w:rsidR="00A95A76" w:rsidRPr="00A95A76">
        <w:rPr>
          <w:b/>
          <w:lang w:val="ru-RU"/>
        </w:rPr>
        <w:t xml:space="preserve"> e) </w:t>
      </w:r>
      <w:r w:rsidRPr="00794712">
        <w:rPr>
          <w:lang w:val="ru-RU"/>
        </w:rPr>
        <w:t>大瓦西里：“人能找到什么如此珍贵之物，以赎回自己的灵魂？但有一样东西，其价值等同于全人类的总和，它被作为赎回我们灵魂的代价：那就是我们主耶稣基督那圣洁而宝贵的宝血，祂为我们所有人倾洒了这宝血</w:t>
      </w:r>
      <w:r>
        <w:rPr>
          <w:lang w:val="ru-RU"/>
        </w:rPr>
        <w:t>。”</w:t>
      </w:r>
      <w:r w:rsidR="00AC34FC">
        <w:rPr>
          <w:rStyle w:val="FootnoteReference"/>
          <w:lang w:val="ru-RU"/>
        </w:rPr>
        <w:footnoteReference w:id="357"/>
      </w:r>
    </w:p>
    <w:p w14:paraId="5E6F979E" w14:textId="77777777" w:rsidR="00D85B34" w:rsidRDefault="00D85B34" w:rsidP="00D85B34">
      <w:pPr>
        <w:rPr>
          <w:lang w:val="ru-RU"/>
        </w:rPr>
      </w:pPr>
      <w:r w:rsidRPr="00794712">
        <w:rPr>
          <w:lang w:val="ru-RU"/>
        </w:rPr>
        <w:tab/>
        <w:t>在阐述基督为我们而死的赎罪之义时，古代教会导师们常常会尽可能地解释，为何我们的救主要在十字架上为我们而死，而非以其他方式死去。其中最重要的解释可见于圣亚他那修的以下言论。 “倘若我们当中有人——并非出于好辩，而是出于寻求真理的愿望——问道：</w:t>
      </w:r>
      <w:r>
        <w:rPr>
          <w:lang w:val="ru-RU"/>
        </w:rPr>
        <w:t>‘</w:t>
      </w:r>
      <w:r w:rsidRPr="00794712">
        <w:rPr>
          <w:lang w:val="ru-RU"/>
        </w:rPr>
        <w:t>为什么主没有承受其他任何一种死亡，而是承受了十字架之死？</w:t>
      </w:r>
      <w:r>
        <w:rPr>
          <w:lang w:val="ru-RU"/>
        </w:rPr>
        <w:t>’</w:t>
      </w:r>
      <w:r w:rsidRPr="00794712">
        <w:rPr>
          <w:lang w:val="ru-RU"/>
        </w:rPr>
        <w:t>那么，他应当知道，正是这种死亡，而非其他任何死亡，才能拯救我们，而主正是为了我们的救赎才承受了这种死亡。 因为，如果祂来是为了亲自承担那加在我们身上的咒诅；那么，如果祂不承受那受咒诅的死亡，又如何能成为咒诅呢？而这种死亡正是十字架上的死亡：</w:t>
      </w:r>
      <w:r w:rsidRPr="006527FD">
        <w:rPr>
          <w:i/>
          <w:iCs/>
          <w:lang w:val="ru-RU"/>
        </w:rPr>
        <w:t>“因为经上记着：‘凡挂在木头上都是被咒诅的’</w:t>
      </w:r>
      <w:r w:rsidRPr="00794712">
        <w:rPr>
          <w:lang w:val="ru-RU"/>
        </w:rPr>
        <w:t xml:space="preserve"> （加拉太书 3</w:t>
      </w:r>
      <w:r w:rsidRPr="006527FD">
        <w:rPr>
          <w:lang w:val="ru-RU"/>
        </w:rPr>
        <w:t>:</w:t>
      </w:r>
      <w:r w:rsidRPr="00794712">
        <w:rPr>
          <w:lang w:val="ru-RU"/>
        </w:rPr>
        <w:t>13）。其次，若主的死是众人的赎罪，若借此拆毁了</w:t>
      </w:r>
      <w:r>
        <w:rPr>
          <w:lang w:val="ru-RU"/>
        </w:rPr>
        <w:t>中间的隔断</w:t>
      </w:r>
      <w:r w:rsidRPr="00794712">
        <w:rPr>
          <w:lang w:val="ru-RU"/>
        </w:rPr>
        <w:t>，并成就了</w:t>
      </w:r>
      <w:r>
        <w:rPr>
          <w:lang w:val="ru-RU"/>
        </w:rPr>
        <w:t>万民的</w:t>
      </w:r>
      <w:r w:rsidRPr="00794712">
        <w:rPr>
          <w:lang w:val="ru-RU"/>
        </w:rPr>
        <w:t>呼召（以弗所书 2</w:t>
      </w:r>
      <w:r w:rsidRPr="006527FD">
        <w:rPr>
          <w:lang w:val="ru-RU"/>
        </w:rPr>
        <w:t>:</w:t>
      </w:r>
      <w:r w:rsidRPr="00794712">
        <w:rPr>
          <w:lang w:val="ru-RU"/>
        </w:rPr>
        <w:t>14）：那么，若祂没有被钉在十字架上，祂又如何能将我们召到父那里去呢？ 因为唯有在十字架上，才能张开双臂而死。因此，主必须承受十字架之死，并在十字架上张开双臂，以便用一只手将旧约子民吸引到自己那里</w:t>
      </w:r>
      <w:r>
        <w:rPr>
          <w:lang w:val="ru-RU"/>
        </w:rPr>
        <w:t>，用</w:t>
      </w:r>
      <w:r w:rsidRPr="00794712">
        <w:rPr>
          <w:lang w:val="ru-RU"/>
        </w:rPr>
        <w:t>另一只</w:t>
      </w:r>
      <w:r>
        <w:rPr>
          <w:lang w:val="ru-RU"/>
        </w:rPr>
        <w:t>手</w:t>
      </w:r>
      <w:r w:rsidRPr="00794712">
        <w:rPr>
          <w:lang w:val="ru-RU"/>
        </w:rPr>
        <w:t>吸引外邦人，从而将两者在祂自己里面联合起来。 祂自己曾预言过这一点，当时祂要说明将以何种死亡来救赎众人：</w:t>
      </w:r>
      <w:r w:rsidRPr="006527FD">
        <w:rPr>
          <w:i/>
          <w:iCs/>
          <w:lang w:val="ru-RU"/>
        </w:rPr>
        <w:t>“我若从地上被举起来，就要吸引万人归向我”</w:t>
      </w:r>
      <w:r w:rsidR="005864AB">
        <w:rPr>
          <w:lang w:val="ru-RU"/>
        </w:rPr>
        <w:t>（约</w:t>
      </w:r>
      <w:r w:rsidRPr="00794712">
        <w:rPr>
          <w:lang w:val="ru-RU"/>
        </w:rPr>
        <w:t>12</w:t>
      </w:r>
      <w:r w:rsidRPr="006527FD">
        <w:rPr>
          <w:lang w:val="ru-RU"/>
        </w:rPr>
        <w:t>:</w:t>
      </w:r>
      <w:r w:rsidRPr="00794712">
        <w:rPr>
          <w:lang w:val="ru-RU"/>
        </w:rPr>
        <w:t>32）。 此外：我们族类的仇敌——魔鬼，从天上坠落之后，便在空中游荡，统治着那些与他一样悖逆的恶魔，并通过它们，时而用幻象迷惑那些受其欺骗的人，时而又竭尽全力给那些奔向高处的人制造各种障碍； 使徒保罗如此描述他，称其为</w:t>
      </w:r>
      <w:r w:rsidRPr="006527FD">
        <w:rPr>
          <w:i/>
          <w:iCs/>
          <w:lang w:val="ru-RU"/>
        </w:rPr>
        <w:t>“掌管空中权势的王子，如今在悖逆之子中运行”</w:t>
      </w:r>
      <w:r w:rsidRPr="00794712">
        <w:rPr>
          <w:lang w:val="ru-RU"/>
        </w:rPr>
        <w:t>（以弗所书 2</w:t>
      </w:r>
      <w:r w:rsidRPr="006527FD">
        <w:rPr>
          <w:lang w:val="ru-RU"/>
        </w:rPr>
        <w:t>:</w:t>
      </w:r>
      <w:r w:rsidRPr="00794712">
        <w:rPr>
          <w:lang w:val="ru-RU"/>
        </w:rPr>
        <w:t>2）。 因此，主降临的目的，正是为了 推翻魔鬼，清除空气中的邪恶，并为我们开辟通往天国的自由之路，正如使徒所言，是“穿过幔子”，即祂自己的肉体（希伯来书 10</w:t>
      </w:r>
      <w:r>
        <w:rPr>
          <w:lang w:val="ru-RU"/>
        </w:rPr>
        <w:t>:</w:t>
      </w:r>
      <w:r w:rsidRPr="00794712">
        <w:rPr>
          <w:lang w:val="ru-RU"/>
        </w:rPr>
        <w:t>21）；而祂唯有通过死亡才能做到这一点。 但除了在空中——即在十字架上——</w:t>
      </w:r>
      <w:r w:rsidRPr="00794712">
        <w:rPr>
          <w:lang w:val="ru-RU"/>
        </w:rPr>
        <w:lastRenderedPageBreak/>
        <w:t>完成的死亡之外，还有什么别的死亡方式呢？因为只有被钉在十字架上的人，才是在空中死去。因此，主承受十字架之死绝非无故：祂被高举在十字架上，便从空中驱除了魔鬼的诡计。</w:t>
      </w:r>
      <w:r>
        <w:rPr>
          <w:lang w:val="ru-RU"/>
        </w:rPr>
        <w:t>”</w:t>
      </w:r>
      <w:r w:rsidR="00AC34FC">
        <w:rPr>
          <w:rStyle w:val="FootnoteReference"/>
          <w:lang w:val="ru-RU"/>
        </w:rPr>
        <w:footnoteReference w:id="358"/>
      </w:r>
    </w:p>
    <w:p w14:paraId="7A1883CD" w14:textId="77777777" w:rsidR="00D85B34" w:rsidRPr="00794712" w:rsidRDefault="00D85B34" w:rsidP="00D85B34">
      <w:pPr>
        <w:rPr>
          <w:lang w:val="ru-RU"/>
        </w:rPr>
      </w:pPr>
    </w:p>
    <w:p w14:paraId="198555E6" w14:textId="77777777" w:rsidR="00D85B34" w:rsidRPr="00794712" w:rsidRDefault="00D85B34" w:rsidP="007B240B">
      <w:pPr>
        <w:pStyle w:val="Heading5"/>
        <w:rPr>
          <w:lang w:val="ru-RU"/>
        </w:rPr>
      </w:pPr>
      <w:bookmarkStart w:id="290" w:name="_Toc133155586"/>
      <w:bookmarkStart w:id="291" w:name="_Toc180664599"/>
      <w:bookmarkStart w:id="292" w:name="_Toc180679220"/>
      <w:bookmarkStart w:id="293" w:name="_Toc180679277"/>
      <w:bookmarkStart w:id="294" w:name="_Toc180679800"/>
      <w:bookmarkStart w:id="295" w:name="_Toc238453683"/>
      <w:bookmarkStart w:id="296" w:name="_Toc238576499"/>
      <w:r w:rsidRPr="00794712">
        <w:rPr>
          <w:lang w:val="ru-RU"/>
        </w:rPr>
        <w:t>§152. 上帝的话语中关于耶稣基督之死为我们赎罪的详尽描述</w:t>
      </w:r>
      <w:bookmarkEnd w:id="290"/>
      <w:bookmarkEnd w:id="291"/>
      <w:bookmarkEnd w:id="292"/>
      <w:bookmarkEnd w:id="293"/>
      <w:bookmarkEnd w:id="294"/>
      <w:bookmarkEnd w:id="295"/>
      <w:bookmarkEnd w:id="296"/>
    </w:p>
    <w:p w14:paraId="2B3D06F0" w14:textId="77777777" w:rsidR="00D85B34" w:rsidRPr="00794712" w:rsidRDefault="00D85B34" w:rsidP="00D85B34">
      <w:pPr>
        <w:ind w:firstLine="708"/>
        <w:rPr>
          <w:lang w:val="ru-RU"/>
        </w:rPr>
      </w:pPr>
      <w:r w:rsidRPr="00794712">
        <w:rPr>
          <w:lang w:val="ru-RU"/>
        </w:rPr>
        <w:t>为了更清晰地展现基督之死所成就的伟大救赎大业，上帝的话语在不同章节中对此进行了描述，一方面指出主使我们脱离了哪些邪恶，另一方面说明祂为我们赢得了哪些恩惠。</w:t>
      </w:r>
    </w:p>
    <w:p w14:paraId="5F3FE95F" w14:textId="77777777" w:rsidR="00D85B34" w:rsidRPr="00794712" w:rsidRDefault="00F45CFB" w:rsidP="00D85B34">
      <w:pPr>
        <w:ind w:firstLine="708"/>
        <w:rPr>
          <w:lang w:val="ru-RU"/>
        </w:rPr>
      </w:pPr>
      <w:r w:rsidRPr="00F45CFB">
        <w:rPr>
          <w:b/>
          <w:lang w:val="ru-RU"/>
        </w:rPr>
        <w:t xml:space="preserve">1) </w:t>
      </w:r>
      <w:r w:rsidR="00D85B34" w:rsidRPr="00794712">
        <w:rPr>
          <w:lang w:val="ru-RU"/>
        </w:rPr>
        <w:t>我们曾是罪人，因此在神面前是不洁净的：基督用祂的宝血洗净了我们的罪。</w:t>
      </w:r>
      <w:r w:rsidR="00D85B34" w:rsidRPr="00AD5561">
        <w:rPr>
          <w:i/>
          <w:iCs/>
          <w:lang w:val="ru-RU"/>
        </w:rPr>
        <w:t>“神儿子的血——就是耶稣基督的血——洗净我们一切的罪”</w:t>
      </w:r>
      <w:r w:rsidR="008A3626">
        <w:rPr>
          <w:lang w:val="ru-RU"/>
        </w:rPr>
        <w:t>（约壹</w:t>
      </w:r>
      <w:r w:rsidR="00D85B34" w:rsidRPr="00794712">
        <w:rPr>
          <w:lang w:val="ru-RU"/>
        </w:rPr>
        <w:t>1</w:t>
      </w:r>
      <w:r w:rsidR="00D85B34" w:rsidRPr="00AD5561">
        <w:rPr>
          <w:lang w:val="ru-RU"/>
        </w:rPr>
        <w:t>:</w:t>
      </w:r>
      <w:r w:rsidR="00D85B34" w:rsidRPr="00794712">
        <w:rPr>
          <w:lang w:val="ru-RU"/>
        </w:rPr>
        <w:t xml:space="preserve">7）； </w:t>
      </w:r>
      <w:r w:rsidR="00D85B34" w:rsidRPr="00AD5561">
        <w:rPr>
          <w:i/>
          <w:iCs/>
          <w:lang w:val="ru-RU"/>
        </w:rPr>
        <w:t>“若公牛和山羊的血，以及母牛犊的灰，借着洒血，能使被玷污的人成圣，使身体洁净，那么，基督的血岂不更能洁净我们的良心，使我们脱离死行，去事奉那活着、真实的上帝吗？”</w:t>
      </w:r>
      <w:r w:rsidR="00D85B34" w:rsidRPr="00794712">
        <w:rPr>
          <w:lang w:val="ru-RU"/>
        </w:rPr>
        <w:t xml:space="preserve"> </w:t>
      </w:r>
      <w:r w:rsidR="001B763B" w:rsidRPr="001B763B">
        <w:rPr>
          <w:lang w:val="ru-RU"/>
        </w:rPr>
        <w:t>[</w:t>
      </w:r>
      <w:r w:rsidR="00D85B34" w:rsidRPr="00794712">
        <w:rPr>
          <w:lang w:val="ru-RU"/>
        </w:rPr>
        <w:t>(希伯来书 9</w:t>
      </w:r>
      <w:r w:rsidR="00D85B34" w:rsidRPr="00AD5561">
        <w:rPr>
          <w:lang w:val="ru-RU"/>
        </w:rPr>
        <w:t>:</w:t>
      </w:r>
      <w:r w:rsidR="00D85B34" w:rsidRPr="00794712">
        <w:rPr>
          <w:lang w:val="ru-RU"/>
        </w:rPr>
        <w:t>13-14</w:t>
      </w:r>
      <w:r w:rsidR="001B763B" w:rsidRPr="001B763B">
        <w:rPr>
          <w:lang w:val="ru-RU"/>
        </w:rPr>
        <w:t>)</w:t>
      </w:r>
      <w:r w:rsidR="00D85B34" w:rsidRPr="00794712">
        <w:rPr>
          <w:lang w:val="ru-RU"/>
        </w:rPr>
        <w:t>；</w:t>
      </w:r>
      <w:r w:rsidR="001B763B" w:rsidRPr="001B763B">
        <w:rPr>
          <w:lang w:val="ru-RU"/>
        </w:rPr>
        <w:t>(</w:t>
      </w:r>
      <w:r w:rsidR="0087297C">
        <w:rPr>
          <w:lang w:val="ru-RU"/>
        </w:rPr>
        <w:t>路加福音</w:t>
      </w:r>
      <w:r w:rsidR="00D85B34" w:rsidRPr="00794712">
        <w:rPr>
          <w:lang w:val="ru-RU"/>
        </w:rPr>
        <w:t xml:space="preserve"> 24</w:t>
      </w:r>
      <w:r w:rsidR="00D85B34" w:rsidRPr="00AD5561">
        <w:rPr>
          <w:lang w:val="ru-RU"/>
        </w:rPr>
        <w:t>:</w:t>
      </w:r>
      <w:r w:rsidR="00D85B34" w:rsidRPr="00794712">
        <w:rPr>
          <w:lang w:val="ru-RU"/>
        </w:rPr>
        <w:t>47</w:t>
      </w:r>
      <w:r w:rsidR="001B763B" w:rsidRPr="001B763B">
        <w:rPr>
          <w:lang w:val="ru-RU"/>
        </w:rPr>
        <w:t>)</w:t>
      </w:r>
      <w:r w:rsidR="00D85B34" w:rsidRPr="00794712">
        <w:rPr>
          <w:lang w:val="ru-RU"/>
        </w:rPr>
        <w:t>；</w:t>
      </w:r>
      <w:r w:rsidR="001B763B" w:rsidRPr="001B763B">
        <w:rPr>
          <w:lang w:val="ru-RU"/>
        </w:rPr>
        <w:t>(</w:t>
      </w:r>
      <w:r w:rsidR="00D85B34" w:rsidRPr="00794712">
        <w:rPr>
          <w:lang w:val="ru-RU"/>
        </w:rPr>
        <w:t>提多书 2</w:t>
      </w:r>
      <w:r w:rsidR="00D85B34" w:rsidRPr="0080709D">
        <w:rPr>
          <w:lang w:val="ru-RU"/>
        </w:rPr>
        <w:t>:</w:t>
      </w:r>
      <w:r w:rsidR="00D85B34" w:rsidRPr="00794712">
        <w:rPr>
          <w:lang w:val="ru-RU"/>
        </w:rPr>
        <w:t>11-14</w:t>
      </w:r>
      <w:r w:rsidR="001B763B" w:rsidRPr="001B763B">
        <w:rPr>
          <w:lang w:val="ru-RU"/>
        </w:rPr>
        <w:t>)</w:t>
      </w:r>
      <w:r w:rsidR="00D85B34" w:rsidRPr="00794712">
        <w:rPr>
          <w:lang w:val="ru-RU"/>
        </w:rPr>
        <w:t>；</w:t>
      </w:r>
      <w:r w:rsidR="001B763B" w:rsidRPr="001B763B">
        <w:rPr>
          <w:lang w:val="ru-RU"/>
        </w:rPr>
        <w:t>(</w:t>
      </w:r>
      <w:r w:rsidR="00D85B34" w:rsidRPr="00794712">
        <w:rPr>
          <w:lang w:val="ru-RU"/>
        </w:rPr>
        <w:t>希伯来书 1</w:t>
      </w:r>
      <w:r w:rsidR="00D85B34" w:rsidRPr="0080709D">
        <w:rPr>
          <w:lang w:val="ru-RU"/>
        </w:rPr>
        <w:t>:</w:t>
      </w:r>
      <w:r w:rsidR="00D85B34" w:rsidRPr="00794712">
        <w:rPr>
          <w:lang w:val="ru-RU"/>
        </w:rPr>
        <w:t>2</w:t>
      </w:r>
      <w:r w:rsidR="001B763B" w:rsidRPr="001B763B">
        <w:rPr>
          <w:lang w:val="ru-RU"/>
        </w:rPr>
        <w:t>)</w:t>
      </w:r>
      <w:r w:rsidR="00D85B34" w:rsidRPr="00794712">
        <w:rPr>
          <w:lang w:val="ru-RU"/>
        </w:rPr>
        <w:t>；</w:t>
      </w:r>
      <w:r w:rsidR="001B763B" w:rsidRPr="001B763B">
        <w:rPr>
          <w:lang w:val="ru-RU"/>
        </w:rPr>
        <w:t>(</w:t>
      </w:r>
      <w:r w:rsidR="00D85B34" w:rsidRPr="00794712">
        <w:rPr>
          <w:lang w:val="ru-RU"/>
        </w:rPr>
        <w:t>启示录 1</w:t>
      </w:r>
      <w:r w:rsidR="00D85B34" w:rsidRPr="0080709D">
        <w:rPr>
          <w:lang w:val="ru-RU"/>
        </w:rPr>
        <w:t>:</w:t>
      </w:r>
      <w:r w:rsidR="00D85B34" w:rsidRPr="00794712">
        <w:rPr>
          <w:lang w:val="ru-RU"/>
        </w:rPr>
        <w:t>5)</w:t>
      </w:r>
      <w:r w:rsidR="001B763B" w:rsidRPr="001B763B">
        <w:rPr>
          <w:lang w:val="ru-RU"/>
        </w:rPr>
        <w:t>]</w:t>
      </w:r>
      <w:r w:rsidR="00D85B34" w:rsidRPr="00794712">
        <w:rPr>
          <w:lang w:val="ru-RU"/>
        </w:rPr>
        <w:t>。</w:t>
      </w:r>
    </w:p>
    <w:p w14:paraId="31E8C697"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我们曾因罪在神面前有罪，受祂的咒诅，承受刑罚：基督用祂的宝血作为赎价，将我们从罪的定罪、咒诅和刑罚中救赎出来，使我们得以蒙神公义的救赎。 </w:t>
      </w:r>
      <w:r w:rsidR="00D85B34" w:rsidRPr="0080709D">
        <w:rPr>
          <w:i/>
          <w:iCs/>
          <w:lang w:val="ru-RU"/>
        </w:rPr>
        <w:t>“人子来，并不是要受人的服事，乃是要服事人，并且要舍命，作多人的赎价（λύτρον——代价、赎金）”</w:t>
      </w:r>
      <w:r w:rsidR="00224D5E">
        <w:rPr>
          <w:lang w:val="ru-RU"/>
        </w:rPr>
        <w:t>（太</w:t>
      </w:r>
      <w:r w:rsidR="00D85B34" w:rsidRPr="00794712">
        <w:rPr>
          <w:lang w:val="ru-RU"/>
        </w:rPr>
        <w:t xml:space="preserve"> 20</w:t>
      </w:r>
      <w:r w:rsidR="00D85B34" w:rsidRPr="0080709D">
        <w:rPr>
          <w:lang w:val="ru-RU"/>
        </w:rPr>
        <w:t>:</w:t>
      </w:r>
      <w:r w:rsidR="00D85B34" w:rsidRPr="00794712">
        <w:rPr>
          <w:lang w:val="ru-RU"/>
        </w:rPr>
        <w:t>28）。</w:t>
      </w:r>
      <w:r w:rsidR="00D85B34" w:rsidRPr="0080709D">
        <w:rPr>
          <w:i/>
          <w:iCs/>
          <w:lang w:val="ru-RU"/>
        </w:rPr>
        <w:t>“我们在祂里面，藉着祂的血，得了赎罪，罪过得以赦免”</w:t>
      </w:r>
      <w:r w:rsidR="001B763B" w:rsidRPr="001B763B">
        <w:rPr>
          <w:lang w:val="ru-RU"/>
        </w:rPr>
        <w:t>[</w:t>
      </w:r>
      <w:r w:rsidR="00D85B34" w:rsidRPr="00794712">
        <w:rPr>
          <w:lang w:val="ru-RU"/>
        </w:rPr>
        <w:t>(西 1</w:t>
      </w:r>
      <w:r w:rsidR="00D85B34" w:rsidRPr="0080709D">
        <w:rPr>
          <w:lang w:val="ru-RU"/>
        </w:rPr>
        <w:t>:</w:t>
      </w:r>
      <w:r w:rsidR="00D85B34" w:rsidRPr="00794712">
        <w:rPr>
          <w:lang w:val="ru-RU"/>
        </w:rPr>
        <w:t>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弗 1</w:t>
      </w:r>
      <w:r w:rsidR="00D85B34" w:rsidRPr="0080709D">
        <w:rPr>
          <w:lang w:val="ru-RU"/>
        </w:rPr>
        <w:t>:</w:t>
      </w:r>
      <w:r w:rsidR="00D85B34" w:rsidRPr="00794712">
        <w:rPr>
          <w:lang w:val="ru-RU"/>
        </w:rPr>
        <w:t>7）</w:t>
      </w:r>
      <w:r w:rsidR="001B763B" w:rsidRPr="00BD6C1B">
        <w:rPr>
          <w:lang w:val="ru-RU"/>
        </w:rPr>
        <w:t>]</w:t>
      </w:r>
      <w:r w:rsidR="00D85B34" w:rsidRPr="00794712">
        <w:rPr>
          <w:lang w:val="ru-RU"/>
        </w:rPr>
        <w:t xml:space="preserve">。 </w:t>
      </w:r>
      <w:r w:rsidR="00D85B34" w:rsidRPr="0080709D">
        <w:rPr>
          <w:i/>
          <w:iCs/>
          <w:lang w:val="ru-RU"/>
        </w:rPr>
        <w:t>“你们要敬畏地度过你们寄居的日子，知道你们不是用会朽坏的银子或金子赎回</w:t>
      </w:r>
      <w:r w:rsidR="00D85B34" w:rsidRPr="00794712">
        <w:rPr>
          <w:lang w:val="ru-RU"/>
        </w:rPr>
        <w:t>（</w:t>
      </w:r>
      <w:r w:rsidR="00D85B34" w:rsidRPr="00AA0891">
        <w:t>έλυτρώθητε</w:t>
      </w:r>
      <w:r w:rsidR="00D85B34" w:rsidRPr="00794712">
        <w:rPr>
          <w:lang w:val="ru-RU"/>
        </w:rPr>
        <w:t xml:space="preserve"> 被赎回）</w:t>
      </w:r>
      <w:r w:rsidR="00D85B34" w:rsidRPr="0080709D">
        <w:rPr>
          <w:i/>
          <w:iCs/>
          <w:lang w:val="ru-RU"/>
        </w:rPr>
        <w:t>的，脱离了你们祖先所传给你们的虚空生活，而是用基督宝血赎回的，祂是无瑕疵、无玷污的羔羊</w:t>
      </w:r>
      <w:r w:rsidR="00D85B34" w:rsidRPr="00794712">
        <w:rPr>
          <w:lang w:val="ru-RU"/>
        </w:rPr>
        <w:t>”（</w:t>
      </w:r>
      <w:r w:rsidR="0087297C">
        <w:rPr>
          <w:lang w:val="ru-RU"/>
        </w:rPr>
        <w:t>彼得前书</w:t>
      </w:r>
      <w:r w:rsidR="00D85B34" w:rsidRPr="00794712">
        <w:rPr>
          <w:lang w:val="ru-RU"/>
        </w:rPr>
        <w:t xml:space="preserve"> 1</w:t>
      </w:r>
      <w:r w:rsidR="00D85B34" w:rsidRPr="0080709D">
        <w:rPr>
          <w:lang w:val="ru-RU"/>
        </w:rPr>
        <w:t>:</w:t>
      </w:r>
      <w:r w:rsidR="00D85B34" w:rsidRPr="00794712">
        <w:rPr>
          <w:lang w:val="ru-RU"/>
        </w:rPr>
        <w:t xml:space="preserve">17-19）。 </w:t>
      </w:r>
      <w:r w:rsidR="00D85B34" w:rsidRPr="0080709D">
        <w:rPr>
          <w:i/>
          <w:iCs/>
          <w:lang w:val="ru-RU"/>
        </w:rPr>
        <w:t xml:space="preserve">“基督救赎了我们脱离律法的咒诅，因为祂成了我们的咒诅” </w:t>
      </w:r>
      <w:r w:rsidR="001B763B" w:rsidRPr="00BD6C1B">
        <w:rPr>
          <w:lang w:val="ru-RU"/>
        </w:rPr>
        <w:t>[</w:t>
      </w:r>
      <w:r w:rsidR="00D85B34" w:rsidRPr="00794712">
        <w:rPr>
          <w:lang w:val="ru-RU"/>
        </w:rPr>
        <w:t>(加拉太书 3</w:t>
      </w:r>
      <w:r w:rsidR="00D85B34" w:rsidRPr="0080709D">
        <w:rPr>
          <w:lang w:val="ru-RU"/>
        </w:rPr>
        <w:t>:</w:t>
      </w:r>
      <w:r w:rsidR="00D85B34" w:rsidRPr="00794712">
        <w:rPr>
          <w:lang w:val="ru-RU"/>
        </w:rPr>
        <w:t>13</w:t>
      </w:r>
      <w:r w:rsidR="001B763B" w:rsidRPr="00BD6C1B">
        <w:rPr>
          <w:lang w:val="ru-RU"/>
        </w:rPr>
        <w:t>)</w:t>
      </w:r>
      <w:r w:rsidR="00D85B34" w:rsidRPr="00794712">
        <w:rPr>
          <w:lang w:val="ru-RU"/>
        </w:rPr>
        <w:t>。</w:t>
      </w:r>
      <w:r w:rsidR="001B763B" w:rsidRPr="00BD6C1B">
        <w:rPr>
          <w:lang w:val="ru-RU"/>
        </w:rPr>
        <w:t>(</w:t>
      </w:r>
      <w:r w:rsidR="00E070F3">
        <w:rPr>
          <w:lang w:val="ru-RU"/>
        </w:rPr>
        <w:t>哥林多前书</w:t>
      </w:r>
      <w:r w:rsidR="00D85B34" w:rsidRPr="00794712">
        <w:rPr>
          <w:lang w:val="ru-RU"/>
        </w:rPr>
        <w:t xml:space="preserve"> 6</w:t>
      </w:r>
      <w:r w:rsidR="00D85B34" w:rsidRPr="007F36DF">
        <w:rPr>
          <w:lang w:val="ru-RU"/>
        </w:rPr>
        <w:t>:</w:t>
      </w:r>
      <w:r w:rsidR="00D85B34" w:rsidRPr="00794712">
        <w:rPr>
          <w:lang w:val="ru-RU"/>
        </w:rPr>
        <w:t>20</w:t>
      </w:r>
      <w:r w:rsidR="001B763B" w:rsidRPr="00BD6C1B">
        <w:rPr>
          <w:lang w:val="ru-RU"/>
        </w:rPr>
        <w:t>)</w:t>
      </w:r>
      <w:r w:rsidR="00D85B34" w:rsidRPr="00794712">
        <w:rPr>
          <w:lang w:val="ru-RU"/>
        </w:rPr>
        <w:t>；</w:t>
      </w:r>
      <w:r w:rsidR="001B763B" w:rsidRPr="00BD6C1B">
        <w:rPr>
          <w:rFonts w:cs="Cambria Math"/>
          <w:lang w:val="ru-RU"/>
        </w:rPr>
        <w:t>(</w:t>
      </w:r>
      <w:r w:rsidR="001B763B">
        <w:rPr>
          <w:rFonts w:cs="Cambria Math"/>
          <w:lang w:val="ru-RU"/>
        </w:rPr>
        <w:t>哥林多前书</w:t>
      </w:r>
      <w:r w:rsidR="00D85B34" w:rsidRPr="00794712">
        <w:rPr>
          <w:lang w:val="ru-RU"/>
        </w:rPr>
        <w:t xml:space="preserve"> 7</w:t>
      </w:r>
      <w:r w:rsidR="00D85B34" w:rsidRPr="007F36DF">
        <w:rPr>
          <w:lang w:val="ru-RU"/>
        </w:rPr>
        <w:t>:</w:t>
      </w:r>
      <w:r w:rsidR="00D85B34" w:rsidRPr="00794712">
        <w:rPr>
          <w:lang w:val="ru-RU"/>
        </w:rPr>
        <w:t>28</w:t>
      </w:r>
      <w:r w:rsidR="001B763B">
        <w:rPr>
          <w:lang w:val="ru-RU"/>
        </w:rPr>
        <w:t>)</w:t>
      </w:r>
      <w:r w:rsidR="00D85B34" w:rsidRPr="00794712">
        <w:rPr>
          <w:lang w:val="ru-RU"/>
        </w:rPr>
        <w:t>；</w:t>
      </w:r>
      <w:r w:rsidR="001B763B">
        <w:rPr>
          <w:lang w:val="ru-RU"/>
        </w:rPr>
        <w:t>(</w:t>
      </w:r>
      <w:r w:rsidR="00D85B34" w:rsidRPr="00794712">
        <w:rPr>
          <w:lang w:val="ru-RU"/>
        </w:rPr>
        <w:t>加拉太书 1</w:t>
      </w:r>
      <w:r w:rsidR="00D85B34" w:rsidRPr="007F36DF">
        <w:rPr>
          <w:lang w:val="ru-RU"/>
        </w:rPr>
        <w:t>:</w:t>
      </w:r>
      <w:r w:rsidR="00D85B34" w:rsidRPr="00794712">
        <w:rPr>
          <w:lang w:val="ru-RU"/>
        </w:rPr>
        <w:t>4</w:t>
      </w:r>
      <w:r w:rsidR="001B763B">
        <w:rPr>
          <w:lang w:val="ru-RU"/>
        </w:rPr>
        <w:t>)</w:t>
      </w:r>
      <w:r w:rsidR="00D85B34" w:rsidRPr="00794712">
        <w:rPr>
          <w:lang w:val="ru-RU"/>
        </w:rPr>
        <w:t>；</w:t>
      </w:r>
      <w:r w:rsidR="001B763B">
        <w:rPr>
          <w:lang w:val="ru-RU"/>
        </w:rPr>
        <w:t>(</w:t>
      </w:r>
      <w:r w:rsidR="00D85B34" w:rsidRPr="00794712">
        <w:rPr>
          <w:lang w:val="ru-RU"/>
        </w:rPr>
        <w:t>提摩太前书 2</w:t>
      </w:r>
      <w:r w:rsidR="00D85B34" w:rsidRPr="007F36DF">
        <w:rPr>
          <w:lang w:val="ru-RU"/>
        </w:rPr>
        <w:t>:</w:t>
      </w:r>
      <w:r w:rsidR="00D85B34" w:rsidRPr="00794712">
        <w:rPr>
          <w:lang w:val="ru-RU"/>
        </w:rPr>
        <w:t>5-6</w:t>
      </w:r>
      <w:r w:rsidR="001B763B">
        <w:rPr>
          <w:lang w:val="ru-RU"/>
        </w:rPr>
        <w:t>)</w:t>
      </w:r>
      <w:r w:rsidR="00D85B34" w:rsidRPr="00794712">
        <w:rPr>
          <w:lang w:val="ru-RU"/>
        </w:rPr>
        <w:t xml:space="preserve">； </w:t>
      </w:r>
      <w:r w:rsidR="001B763B">
        <w:rPr>
          <w:lang w:val="ru-RU"/>
        </w:rPr>
        <w:t>（</w:t>
      </w:r>
      <w:r w:rsidR="00D85B34" w:rsidRPr="00794712">
        <w:rPr>
          <w:lang w:val="ru-RU"/>
        </w:rPr>
        <w:t>提多书 2</w:t>
      </w:r>
      <w:r w:rsidR="00D85B34" w:rsidRPr="007F36DF">
        <w:rPr>
          <w:lang w:val="ru-RU"/>
        </w:rPr>
        <w:t>:</w:t>
      </w:r>
      <w:r w:rsidR="00D85B34" w:rsidRPr="00794712">
        <w:rPr>
          <w:lang w:val="ru-RU"/>
        </w:rPr>
        <w:t>14）</w:t>
      </w:r>
      <w:r w:rsidR="001B763B" w:rsidRPr="00BD6C1B">
        <w:rPr>
          <w:lang w:val="ru-RU"/>
        </w:rPr>
        <w:t>]</w:t>
      </w:r>
      <w:r w:rsidR="00D85B34" w:rsidRPr="00794712">
        <w:rPr>
          <w:lang w:val="ru-RU"/>
        </w:rPr>
        <w:t>。</w:t>
      </w:r>
    </w:p>
    <w:p w14:paraId="4A1769F8" w14:textId="77777777" w:rsidR="00D85B34" w:rsidRPr="00794712" w:rsidRDefault="00F45CFB" w:rsidP="00D85B34">
      <w:pPr>
        <w:ind w:firstLine="708"/>
        <w:rPr>
          <w:lang w:val="ru-RU"/>
        </w:rPr>
      </w:pPr>
      <w:r w:rsidRPr="00F45CFB">
        <w:rPr>
          <w:b/>
          <w:lang w:val="ru-RU"/>
        </w:rPr>
        <w:t>3)</w:t>
      </w:r>
      <w:r w:rsidR="00D85B34" w:rsidRPr="00794712">
        <w:rPr>
          <w:lang w:val="ru-RU"/>
        </w:rPr>
        <w:t xml:space="preserve"> 因我们的罪，我们曾是神的仇敌：基督借着自己的死使我们与神和好。</w:t>
      </w:r>
      <w:r w:rsidR="00D85B34" w:rsidRPr="007F36DF">
        <w:rPr>
          <w:i/>
          <w:iCs/>
          <w:lang w:val="ru-RU"/>
        </w:rPr>
        <w:t>“父神喜悦叫一切的丰盛都住在祂（</w:t>
      </w:r>
      <w:r w:rsidR="00A95A76" w:rsidRPr="00A95A76">
        <w:rPr>
          <w:b/>
          <w:i/>
          <w:iCs/>
          <w:lang w:val="ru-RU"/>
        </w:rPr>
        <w:t>基督）</w:t>
      </w:r>
      <w:r w:rsidR="00D85B34" w:rsidRPr="007F36DF">
        <w:rPr>
          <w:i/>
          <w:iCs/>
          <w:lang w:val="ru-RU"/>
        </w:rPr>
        <w:t>里面，又借着祂使万有与自己和好，无论是地上的，还是天上的，都借着祂在十字架上的宝血，使它们与神和好。</w:t>
      </w:r>
      <w:r w:rsidR="00D85B34">
        <w:rPr>
          <w:i/>
          <w:iCs/>
          <w:lang w:val="ru-RU"/>
        </w:rPr>
        <w:t xml:space="preserve"> </w:t>
      </w:r>
      <w:r w:rsidR="00D85B34" w:rsidRPr="007F36DF">
        <w:rPr>
          <w:i/>
          <w:iCs/>
          <w:lang w:val="ru-RU"/>
        </w:rPr>
        <w:t>“你们从前与神隔绝，因着恶行，是他的仇敌；如今却借着他在肉身中所受的死，使你们与神和好，要把你们引到他面前，使你们成为圣洁、毫无瑕疵、无可指摘的人”</w:t>
      </w:r>
      <w:r w:rsidR="00D85B34" w:rsidRPr="00794712">
        <w:rPr>
          <w:lang w:val="ru-RU"/>
        </w:rPr>
        <w:t>（西1</w:t>
      </w:r>
      <w:r w:rsidR="00D85B34" w:rsidRPr="007F36DF">
        <w:rPr>
          <w:lang w:val="ru-RU"/>
        </w:rPr>
        <w:t>:</w:t>
      </w:r>
      <w:r w:rsidR="00D85B34" w:rsidRPr="00794712">
        <w:rPr>
          <w:lang w:val="ru-RU"/>
        </w:rPr>
        <w:t xml:space="preserve">19-22）。 </w:t>
      </w:r>
      <w:r w:rsidR="00D85B34" w:rsidRPr="007F36DF">
        <w:rPr>
          <w:i/>
          <w:iCs/>
          <w:lang w:val="ru-RU"/>
        </w:rPr>
        <w:t>“我们既在敌对的时候，因祂儿子的死与神和好，如今既已和好，就更要因祂的生命得救了”</w:t>
      </w:r>
      <w:r w:rsidR="001B763B" w:rsidRPr="001B763B">
        <w:rPr>
          <w:lang w:val="ru-RU"/>
        </w:rPr>
        <w:t>[</w:t>
      </w:r>
      <w:r w:rsidR="00D85B34" w:rsidRPr="00794712">
        <w:rPr>
          <w:lang w:val="ru-RU"/>
        </w:rPr>
        <w:t>(罗 5</w:t>
      </w:r>
      <w:r w:rsidR="00D85B34" w:rsidRPr="007F36DF">
        <w:rPr>
          <w:lang w:val="ru-RU"/>
        </w:rPr>
        <w:t>:</w:t>
      </w:r>
      <w:r w:rsidR="00D85B34" w:rsidRPr="00794712">
        <w:rPr>
          <w:lang w:val="ru-RU"/>
        </w:rPr>
        <w:t>10</w:t>
      </w:r>
      <w:r w:rsidR="001B763B">
        <w:rPr>
          <w:lang w:val="ru-RU"/>
        </w:rPr>
        <w:t>)</w:t>
      </w:r>
      <w:r w:rsidR="00D85B34" w:rsidRPr="00794712">
        <w:rPr>
          <w:lang w:val="ru-RU"/>
        </w:rPr>
        <w:t>；</w:t>
      </w:r>
      <w:r w:rsidR="001B763B">
        <w:rPr>
          <w:lang w:val="ru-RU"/>
        </w:rPr>
        <w:t>(</w:t>
      </w:r>
      <w:r w:rsidR="00E070F3">
        <w:rPr>
          <w:lang w:val="ru-RU"/>
        </w:rPr>
        <w:t>林后</w:t>
      </w:r>
      <w:r w:rsidR="00D85B34" w:rsidRPr="00794712">
        <w:rPr>
          <w:lang w:val="ru-RU"/>
        </w:rPr>
        <w:t xml:space="preserve"> 5</w:t>
      </w:r>
      <w:r w:rsidR="00D85B34" w:rsidRPr="007F36DF">
        <w:rPr>
          <w:lang w:val="ru-RU"/>
        </w:rPr>
        <w:t>:</w:t>
      </w:r>
      <w:r w:rsidR="00D85B34" w:rsidRPr="00794712">
        <w:rPr>
          <w:lang w:val="ru-RU"/>
        </w:rPr>
        <w:t>19</w:t>
      </w:r>
      <w:r w:rsidR="001B763B">
        <w:rPr>
          <w:lang w:val="ru-RU"/>
        </w:rPr>
        <w:t>)</w:t>
      </w:r>
      <w:r w:rsidR="00D85B34" w:rsidRPr="00794712">
        <w:rPr>
          <w:lang w:val="ru-RU"/>
        </w:rPr>
        <w:t>；</w:t>
      </w:r>
      <w:r w:rsidR="001B763B">
        <w:rPr>
          <w:lang w:val="ru-RU"/>
        </w:rPr>
        <w:t>(</w:t>
      </w:r>
      <w:r w:rsidR="00D85B34" w:rsidRPr="00794712">
        <w:rPr>
          <w:lang w:val="ru-RU"/>
        </w:rPr>
        <w:t>弗 2</w:t>
      </w:r>
      <w:r w:rsidR="00D85B34" w:rsidRPr="007F36DF">
        <w:rPr>
          <w:lang w:val="ru-RU"/>
        </w:rPr>
        <w:t>:</w:t>
      </w:r>
      <w:r w:rsidR="00D85B34" w:rsidRPr="00794712">
        <w:rPr>
          <w:lang w:val="ru-RU"/>
        </w:rPr>
        <w:t>16)</w:t>
      </w:r>
      <w:r w:rsidR="001B763B" w:rsidRPr="001B763B">
        <w:rPr>
          <w:lang w:val="ru-RU"/>
        </w:rPr>
        <w:t>]</w:t>
      </w:r>
      <w:r w:rsidR="00D85B34" w:rsidRPr="00794712">
        <w:rPr>
          <w:lang w:val="ru-RU"/>
        </w:rPr>
        <w:t>。</w:t>
      </w:r>
    </w:p>
    <w:p w14:paraId="7F49242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我们曾是罪的奴隶（罗 6</w:t>
      </w:r>
      <w:r w:rsidR="00D85B34" w:rsidRPr="007F36DF">
        <w:rPr>
          <w:lang w:val="ru-RU"/>
        </w:rPr>
        <w:t>:</w:t>
      </w:r>
      <w:r w:rsidR="00D85B34" w:rsidRPr="00794712">
        <w:rPr>
          <w:lang w:val="ru-RU"/>
        </w:rPr>
        <w:t xml:space="preserve">20），是魔鬼的俘虏 </w:t>
      </w:r>
      <w:r w:rsidR="001B763B" w:rsidRPr="001B763B">
        <w:rPr>
          <w:lang w:val="ru-RU"/>
        </w:rPr>
        <w:t>[</w:t>
      </w:r>
      <w:r w:rsidR="0018763E">
        <w:rPr>
          <w:lang w:val="ru-RU"/>
        </w:rPr>
        <w:t>(提后</w:t>
      </w:r>
      <w:r w:rsidR="00D85B34" w:rsidRPr="00794712">
        <w:rPr>
          <w:lang w:val="ru-RU"/>
        </w:rPr>
        <w:t xml:space="preserve"> 2</w:t>
      </w:r>
      <w:r w:rsidR="00D85B34" w:rsidRPr="007F36DF">
        <w:rPr>
          <w:lang w:val="ru-RU"/>
        </w:rPr>
        <w:t>:</w:t>
      </w:r>
      <w:r w:rsidR="00D85B34" w:rsidRPr="00794712">
        <w:rPr>
          <w:lang w:val="ru-RU"/>
        </w:rPr>
        <w:t>26</w:t>
      </w:r>
      <w:r w:rsidR="001B763B" w:rsidRPr="001B763B">
        <w:rPr>
          <w:lang w:val="ru-RU"/>
        </w:rPr>
        <w:t>)</w:t>
      </w:r>
      <w:r w:rsidR="00D85B34" w:rsidRPr="00794712">
        <w:rPr>
          <w:lang w:val="ru-RU"/>
        </w:rPr>
        <w:t>；</w:t>
      </w:r>
      <w:r w:rsidR="001B763B" w:rsidRPr="001B763B">
        <w:rPr>
          <w:lang w:val="ru-RU"/>
        </w:rPr>
        <w:t>(</w:t>
      </w:r>
      <w:r w:rsidR="0087297C">
        <w:rPr>
          <w:lang w:val="ru-RU"/>
        </w:rPr>
        <w:t>约</w:t>
      </w:r>
      <w:r w:rsidR="00D85B34" w:rsidRPr="00794712">
        <w:rPr>
          <w:lang w:val="ru-RU"/>
        </w:rPr>
        <w:t xml:space="preserve"> 12</w:t>
      </w:r>
      <w:r w:rsidR="00D85B34" w:rsidRPr="007F36DF">
        <w:rPr>
          <w:lang w:val="ru-RU"/>
        </w:rPr>
        <w:t>:</w:t>
      </w:r>
      <w:r w:rsidR="00D85B34" w:rsidRPr="00794712">
        <w:rPr>
          <w:lang w:val="ru-RU"/>
        </w:rPr>
        <w:t>31)</w:t>
      </w:r>
      <w:r w:rsidR="001B763B" w:rsidRPr="001B763B">
        <w:rPr>
          <w:lang w:val="ru-RU"/>
        </w:rPr>
        <w:t>]</w:t>
      </w:r>
      <w:r w:rsidR="00D85B34" w:rsidRPr="00794712">
        <w:rPr>
          <w:lang w:val="ru-RU"/>
        </w:rPr>
        <w:t>，被判处死刑（创 3</w:t>
      </w:r>
      <w:r w:rsidR="00D85B34" w:rsidRPr="007F36DF">
        <w:rPr>
          <w:lang w:val="ru-RU"/>
        </w:rPr>
        <w:t>:</w:t>
      </w:r>
      <w:r w:rsidR="00D85B34" w:rsidRPr="00794712">
        <w:rPr>
          <w:lang w:val="ru-RU"/>
        </w:rPr>
        <w:t>19）： 基督使我们脱离了罪的奴役，从魔鬼的权势下拯救出来，并借着祂的死使我们免于死亡。</w:t>
      </w:r>
      <w:r w:rsidR="00D85B34" w:rsidRPr="00EE6695">
        <w:rPr>
          <w:i/>
          <w:iCs/>
          <w:lang w:val="ru-RU"/>
        </w:rPr>
        <w:t>“祂为我们舍己，要救我们脱离一切不法的事，又洁净祂自己，作祂自己的子民，热心行善”</w:t>
      </w:r>
      <w:r w:rsidR="00D85B34" w:rsidRPr="00794712">
        <w:rPr>
          <w:lang w:val="ru-RU"/>
        </w:rPr>
        <w:t>（提多书 2</w:t>
      </w:r>
      <w:r w:rsidR="00D85B34" w:rsidRPr="007F36DF">
        <w:rPr>
          <w:lang w:val="ru-RU"/>
        </w:rPr>
        <w:t>:</w:t>
      </w:r>
      <w:r w:rsidR="00D85B34" w:rsidRPr="00794712">
        <w:rPr>
          <w:lang w:val="ru-RU"/>
        </w:rPr>
        <w:t xml:space="preserve">14）。 </w:t>
      </w:r>
      <w:r w:rsidR="00D85B34" w:rsidRPr="00EE6695">
        <w:rPr>
          <w:i/>
          <w:iCs/>
          <w:lang w:val="ru-RU"/>
        </w:rPr>
        <w:t>“儿女既同有血肉之躯，祂也照样亲自成了血肉之躯，为要借着死，使那掌死权的——就是魔鬼——失去能力，并要拯救那些一生因惧怕死亡而受奴役的人”</w:t>
      </w:r>
      <w:r w:rsidR="00D85B34" w:rsidRPr="00794712">
        <w:rPr>
          <w:lang w:val="ru-RU"/>
        </w:rPr>
        <w:t>（希伯来书 2</w:t>
      </w:r>
      <w:r w:rsidR="00D85B34" w:rsidRPr="00EE6695">
        <w:rPr>
          <w:lang w:val="ru-RU"/>
        </w:rPr>
        <w:t>:</w:t>
      </w:r>
      <w:r w:rsidR="00D85B34" w:rsidRPr="00794712">
        <w:rPr>
          <w:lang w:val="ru-RU"/>
        </w:rPr>
        <w:t xml:space="preserve">14-15）。 </w:t>
      </w:r>
      <w:r w:rsidR="00D85B34" w:rsidRPr="00EE6695">
        <w:rPr>
          <w:i/>
          <w:iCs/>
          <w:lang w:val="ru-RU"/>
        </w:rPr>
        <w:lastRenderedPageBreak/>
        <w:t>“……用教义废除了那针对我们的、曾反对我们的债据，并将它从中间撤去，钉在十字架上；祂剥夺了执政的、掌权的权势，公开羞辱了他们，借着自己得胜了他们”</w:t>
      </w:r>
      <w:r w:rsidR="00D85B34" w:rsidRPr="00794712">
        <w:rPr>
          <w:lang w:val="ru-RU"/>
        </w:rPr>
        <w:t>（歌罗西书 2</w:t>
      </w:r>
      <w:r w:rsidR="00D85B34" w:rsidRPr="00EE6695">
        <w:rPr>
          <w:lang w:val="ru-RU"/>
        </w:rPr>
        <w:t>:</w:t>
      </w:r>
      <w:r w:rsidR="00D85B34" w:rsidRPr="00794712">
        <w:rPr>
          <w:lang w:val="ru-RU"/>
        </w:rPr>
        <w:t xml:space="preserve">14-15）。 </w:t>
      </w:r>
      <w:r w:rsidR="00D85B34" w:rsidRPr="00EE6695">
        <w:rPr>
          <w:i/>
          <w:iCs/>
          <w:lang w:val="ru-RU"/>
        </w:rPr>
        <w:t>“正如在亚当里众人都死了，照样在基督里众人也都要复活”</w:t>
      </w:r>
      <w:r w:rsidR="00621F17">
        <w:rPr>
          <w:lang w:val="ru-RU"/>
        </w:rPr>
        <w:t>（林前15</w:t>
      </w:r>
      <w:r w:rsidR="00D85B34" w:rsidRPr="00EE6695">
        <w:rPr>
          <w:lang w:val="ru-RU"/>
        </w:rPr>
        <w:t>:</w:t>
      </w:r>
      <w:r w:rsidR="00D85B34" w:rsidRPr="00794712">
        <w:rPr>
          <w:lang w:val="ru-RU"/>
        </w:rPr>
        <w:t>22）。</w:t>
      </w:r>
    </w:p>
    <w:p w14:paraId="33FC32C6" w14:textId="77777777" w:rsidR="00D85B34" w:rsidRPr="00794712" w:rsidRDefault="00D85B34" w:rsidP="00D85B34">
      <w:pPr>
        <w:rPr>
          <w:lang w:val="ru-RU"/>
        </w:rPr>
      </w:pPr>
      <w:r w:rsidRPr="00794712">
        <w:rPr>
          <w:lang w:val="ru-RU"/>
        </w:rPr>
        <w:tab/>
        <w:t>主耶稣借着祂的死，将我们从罪及其一切致命的后果中拯救出来，同时为我们赢得了最伟大的恩典。</w:t>
      </w:r>
    </w:p>
    <w:p w14:paraId="6D34AAAC" w14:textId="77777777" w:rsidR="00D85B34" w:rsidRPr="00794712" w:rsidRDefault="00F45CFB" w:rsidP="00D85B34">
      <w:pPr>
        <w:ind w:firstLine="708"/>
        <w:rPr>
          <w:lang w:val="ru-RU"/>
        </w:rPr>
      </w:pPr>
      <w:r w:rsidRPr="00F45CFB">
        <w:rPr>
          <w:b/>
          <w:lang w:val="ru-RU"/>
        </w:rPr>
        <w:t>5)</w:t>
      </w:r>
      <w:r w:rsidR="00D85B34" w:rsidRPr="00794712">
        <w:rPr>
          <w:lang w:val="ru-RU"/>
        </w:rPr>
        <w:t xml:space="preserve"> 祂用自己的血立了新约，使我们与神和好。</w:t>
      </w:r>
      <w:r w:rsidR="00D85B34" w:rsidRPr="003C6ED8">
        <w:rPr>
          <w:i/>
          <w:iCs/>
          <w:lang w:val="ru-RU"/>
        </w:rPr>
        <w:t xml:space="preserve">“因此，祂是新约的中保，为要借着祂的死，赎去第一约所犯的罪，使那些蒙召得着永恒基业的人，得以领受所应许的” </w:t>
      </w:r>
      <w:r w:rsidR="00D85B34" w:rsidRPr="00794712">
        <w:rPr>
          <w:lang w:val="ru-RU"/>
        </w:rPr>
        <w:t>[(来 9</w:t>
      </w:r>
      <w:r w:rsidR="00D85B34" w:rsidRPr="003C6ED8">
        <w:rPr>
          <w:lang w:val="ru-RU"/>
        </w:rPr>
        <w:t>:</w:t>
      </w:r>
      <w:r w:rsidR="00D85B34" w:rsidRPr="00794712">
        <w:rPr>
          <w:lang w:val="ru-RU"/>
        </w:rPr>
        <w:t>15</w:t>
      </w:r>
      <w:r w:rsidR="001F503F" w:rsidRPr="001F503F">
        <w:rPr>
          <w:lang w:val="ru-RU"/>
        </w:rPr>
        <w:t>)</w:t>
      </w:r>
      <w:r w:rsidR="00D85B34" w:rsidRPr="00794712">
        <w:rPr>
          <w:lang w:val="ru-RU"/>
        </w:rPr>
        <w:t xml:space="preserve">； </w:t>
      </w:r>
      <w:r w:rsidR="001F503F" w:rsidRPr="001F503F">
        <w:rPr>
          <w:lang w:val="ru-RU"/>
        </w:rPr>
        <w:t>(</w:t>
      </w:r>
      <w:r w:rsidR="00D85B34" w:rsidRPr="00794712">
        <w:rPr>
          <w:lang w:val="ru-RU"/>
        </w:rPr>
        <w:t>12</w:t>
      </w:r>
      <w:r w:rsidR="00D85B34" w:rsidRPr="003C6ED8">
        <w:rPr>
          <w:lang w:val="ru-RU"/>
        </w:rPr>
        <w:t>:</w:t>
      </w:r>
      <w:r w:rsidR="00D85B34" w:rsidRPr="00794712">
        <w:rPr>
          <w:lang w:val="ru-RU"/>
        </w:rPr>
        <w:t>24)</w:t>
      </w:r>
      <w:r w:rsidR="001F503F" w:rsidRPr="001F503F">
        <w:rPr>
          <w:lang w:val="ru-RU"/>
        </w:rPr>
        <w:t>]</w:t>
      </w:r>
      <w:r w:rsidR="00D85B34" w:rsidRPr="00794712">
        <w:rPr>
          <w:lang w:val="ru-RU"/>
        </w:rPr>
        <w:t>。</w:t>
      </w:r>
      <w:r w:rsidR="00D85B34" w:rsidRPr="003C6ED8">
        <w:rPr>
          <w:i/>
          <w:iCs/>
          <w:lang w:val="ru-RU"/>
        </w:rPr>
        <w:t>如今，你们（</w:t>
      </w:r>
      <w:r w:rsidR="00D85B34">
        <w:rPr>
          <w:i/>
          <w:iCs/>
          <w:lang w:val="ru-RU"/>
        </w:rPr>
        <w:t>外邦人）</w:t>
      </w:r>
      <w:r w:rsidR="00D85B34" w:rsidRPr="003C6ED8">
        <w:rPr>
          <w:i/>
          <w:iCs/>
          <w:lang w:val="ru-RU"/>
        </w:rPr>
        <w:t>在基督耶稣里，虽然从前与神隔绝</w:t>
      </w:r>
      <w:r w:rsidR="00D85B34" w:rsidRPr="00794712">
        <w:rPr>
          <w:lang w:val="ru-RU"/>
        </w:rPr>
        <w:t>，</w:t>
      </w:r>
      <w:r w:rsidR="00D85B34" w:rsidRPr="003C6ED8">
        <w:rPr>
          <w:i/>
          <w:iCs/>
          <w:lang w:val="ru-RU"/>
        </w:rPr>
        <w:t>但因着基督的血</w:t>
      </w:r>
      <w:r w:rsidR="00D85B34" w:rsidRPr="00794712">
        <w:rPr>
          <w:lang w:val="ru-RU"/>
        </w:rPr>
        <w:t>，</w:t>
      </w:r>
      <w:r w:rsidR="00D85B34" w:rsidRPr="003C6ED8">
        <w:rPr>
          <w:i/>
          <w:iCs/>
          <w:lang w:val="ru-RU"/>
        </w:rPr>
        <w:t>已经与神亲近</w:t>
      </w:r>
      <w:r w:rsidR="00D85B34" w:rsidRPr="00794712">
        <w:rPr>
          <w:lang w:val="ru-RU"/>
        </w:rPr>
        <w:t>了</w:t>
      </w:r>
      <w:r w:rsidR="00D85B34" w:rsidRPr="003C6ED8">
        <w:rPr>
          <w:i/>
          <w:iCs/>
          <w:lang w:val="ru-RU"/>
        </w:rPr>
        <w:t>……因为我们两类人，都是藉着祂，在同一位圣灵里，得以进到父面前</w:t>
      </w:r>
      <w:r w:rsidR="00D85B34" w:rsidRPr="00794712">
        <w:rPr>
          <w:lang w:val="ru-RU"/>
        </w:rPr>
        <w:t>（以弗所书 2</w:t>
      </w:r>
      <w:r w:rsidR="00D85B34" w:rsidRPr="003C6ED8">
        <w:rPr>
          <w:lang w:val="ru-RU"/>
        </w:rPr>
        <w:t>:</w:t>
      </w:r>
      <w:r w:rsidR="00D85B34" w:rsidRPr="00794712">
        <w:rPr>
          <w:lang w:val="ru-RU"/>
        </w:rPr>
        <w:t>13-18）。</w:t>
      </w:r>
    </w:p>
    <w:p w14:paraId="18847309" w14:textId="77777777" w:rsidR="00D85B34" w:rsidRPr="00794712" w:rsidRDefault="00F45CFB" w:rsidP="00D85B34">
      <w:pPr>
        <w:ind w:firstLine="708"/>
        <w:rPr>
          <w:lang w:val="ru-RU"/>
        </w:rPr>
      </w:pPr>
      <w:r w:rsidRPr="00F45CFB">
        <w:rPr>
          <w:b/>
          <w:lang w:val="ru-RU"/>
        </w:rPr>
        <w:t>6)</w:t>
      </w:r>
      <w:r w:rsidR="00D85B34" w:rsidRPr="00794712">
        <w:rPr>
          <w:lang w:val="ru-RU"/>
        </w:rPr>
        <w:t xml:space="preserve"> 祂使我们成为神的儿女，并使我们与祂同为后嗣。</w:t>
      </w:r>
      <w:r w:rsidR="00D85B34" w:rsidRPr="003C6ED8">
        <w:rPr>
          <w:i/>
          <w:iCs/>
          <w:lang w:val="ru-RU"/>
        </w:rPr>
        <w:t>“及至时候满足，神就差遣祂的[独生]子，由女人所生，且生在律法之下，要把律法之下的人赎出来，叫我们得着儿子的名分”</w:t>
      </w:r>
      <w:r w:rsidR="00D85B34" w:rsidRPr="00794712">
        <w:rPr>
          <w:lang w:val="ru-RU"/>
        </w:rPr>
        <w:t>（加拉太书 4</w:t>
      </w:r>
      <w:r w:rsidR="00D85B34" w:rsidRPr="003C6ED8">
        <w:rPr>
          <w:lang w:val="ru-RU"/>
        </w:rPr>
        <w:t>:</w:t>
      </w:r>
      <w:r w:rsidR="00D85B34" w:rsidRPr="00794712">
        <w:rPr>
          <w:lang w:val="ru-RU"/>
        </w:rPr>
        <w:t xml:space="preserve">4-5）。 </w:t>
      </w:r>
      <w:r w:rsidR="00D85B34" w:rsidRPr="003C6ED8">
        <w:rPr>
          <w:i/>
          <w:iCs/>
          <w:lang w:val="ru-RU"/>
        </w:rPr>
        <w:t>“这样，你们不再是外人和客旅，而是与圣徒同为国民，是神家里的人了”</w:t>
      </w:r>
      <w:r w:rsidR="001F503F" w:rsidRPr="001F503F">
        <w:rPr>
          <w:lang w:val="ru-RU"/>
        </w:rPr>
        <w:t>[</w:t>
      </w:r>
      <w:r w:rsidR="00D85B34" w:rsidRPr="00794712">
        <w:rPr>
          <w:lang w:val="ru-RU"/>
        </w:rPr>
        <w:t>(以弗所书 2</w:t>
      </w:r>
      <w:r w:rsidR="00D85B34" w:rsidRPr="003C6ED8">
        <w:rPr>
          <w:lang w:val="ru-RU"/>
        </w:rPr>
        <w:t>:</w:t>
      </w:r>
      <w:r w:rsidR="00D85B34" w:rsidRPr="00794712">
        <w:rPr>
          <w:lang w:val="ru-RU"/>
        </w:rPr>
        <w:t>19</w:t>
      </w:r>
      <w:r w:rsidR="001F503F" w:rsidRPr="001F503F">
        <w:rPr>
          <w:lang w:val="ru-RU"/>
        </w:rPr>
        <w:t>)</w:t>
      </w:r>
      <w:r w:rsidR="00D85B34" w:rsidRPr="00794712">
        <w:rPr>
          <w:lang w:val="ru-RU"/>
        </w:rPr>
        <w:t>；参见</w:t>
      </w:r>
      <w:r w:rsidR="001F503F" w:rsidRPr="001F503F">
        <w:rPr>
          <w:lang w:val="ru-RU"/>
        </w:rPr>
        <w:t>(</w:t>
      </w:r>
      <w:r w:rsidR="0087297C">
        <w:rPr>
          <w:lang w:val="ru-RU"/>
        </w:rPr>
        <w:t>彼得后书</w:t>
      </w:r>
      <w:r w:rsidR="00D85B34" w:rsidRPr="00794712">
        <w:rPr>
          <w:lang w:val="ru-RU"/>
        </w:rPr>
        <w:t xml:space="preserve"> 1</w:t>
      </w:r>
      <w:r w:rsidR="00D85B34" w:rsidRPr="003C6ED8">
        <w:rPr>
          <w:lang w:val="ru-RU"/>
        </w:rPr>
        <w:t>:</w:t>
      </w:r>
      <w:r w:rsidR="00D85B34" w:rsidRPr="00794712">
        <w:rPr>
          <w:lang w:val="ru-RU"/>
        </w:rPr>
        <w:t>4)</w:t>
      </w:r>
      <w:r w:rsidR="001F503F" w:rsidRPr="00BD6C1B">
        <w:rPr>
          <w:lang w:val="ru-RU"/>
        </w:rPr>
        <w:t>]</w:t>
      </w:r>
      <w:r w:rsidR="00D85B34" w:rsidRPr="00794712">
        <w:rPr>
          <w:lang w:val="ru-RU"/>
        </w:rPr>
        <w:t>。</w:t>
      </w:r>
    </w:p>
    <w:p w14:paraId="2C3DDF23" w14:textId="77777777" w:rsidR="00D85B34" w:rsidRPr="00794712" w:rsidRDefault="001B763B" w:rsidP="00D85B34">
      <w:pPr>
        <w:ind w:firstLine="708"/>
        <w:rPr>
          <w:lang w:val="ru-RU"/>
        </w:rPr>
      </w:pPr>
      <w:r w:rsidRPr="001B763B">
        <w:rPr>
          <w:b/>
          <w:lang w:val="ru-RU"/>
        </w:rPr>
        <w:t>7)</w:t>
      </w:r>
      <w:r w:rsidR="00D85B34" w:rsidRPr="00794712">
        <w:rPr>
          <w:lang w:val="ru-RU"/>
        </w:rPr>
        <w:t xml:space="preserve"> 祂借着自己的死，赐给我们成为义人和圣洁的途径。</w:t>
      </w:r>
      <w:r w:rsidR="00D85B34" w:rsidRPr="003C6ED8">
        <w:rPr>
          <w:i/>
          <w:iCs/>
          <w:lang w:val="ru-RU"/>
        </w:rPr>
        <w:t>“祂亲自用自己的身体把我们的罪担在十字架上，使我们脱离罪恶，为要叫我们活出公义的生命”</w:t>
      </w:r>
      <w:r w:rsidR="00D85B34" w:rsidRPr="00794712">
        <w:rPr>
          <w:lang w:val="ru-RU"/>
        </w:rPr>
        <w:t>（</w:t>
      </w:r>
      <w:r w:rsidR="0087297C">
        <w:rPr>
          <w:lang w:val="ru-RU"/>
        </w:rPr>
        <w:t>彼得前书</w:t>
      </w:r>
      <w:r w:rsidR="00D85B34" w:rsidRPr="00794712">
        <w:rPr>
          <w:lang w:val="ru-RU"/>
        </w:rPr>
        <w:t xml:space="preserve"> 2</w:t>
      </w:r>
      <w:r w:rsidR="00D85B34" w:rsidRPr="003C6ED8">
        <w:rPr>
          <w:lang w:val="ru-RU"/>
        </w:rPr>
        <w:t>:</w:t>
      </w:r>
      <w:r w:rsidR="00D85B34" w:rsidRPr="00794712">
        <w:rPr>
          <w:lang w:val="ru-RU"/>
        </w:rPr>
        <w:t xml:space="preserve">24）。 </w:t>
      </w:r>
      <w:r w:rsidR="00D85B34" w:rsidRPr="003C6ED8">
        <w:rPr>
          <w:i/>
          <w:iCs/>
          <w:lang w:val="ru-RU"/>
        </w:rPr>
        <w:t>“基督爱教会，为教会舍己，要用水藉着道把教会洗净，成为圣洁，好把教会献给自己，作荣耀的教会，毫无玷污、皱纹等类，乃是圣洁没有瑕疵的”</w:t>
      </w:r>
      <w:r w:rsidR="00D85B34" w:rsidRPr="00794712">
        <w:rPr>
          <w:lang w:val="ru-RU"/>
        </w:rPr>
        <w:t>（以弗所书</w:t>
      </w:r>
      <w:r w:rsidR="00D85B34" w:rsidRPr="003C6ED8">
        <w:rPr>
          <w:lang w:val="ru-RU"/>
        </w:rPr>
        <w:t xml:space="preserve"> 5:</w:t>
      </w:r>
      <w:r w:rsidR="00D85B34" w:rsidRPr="00794712">
        <w:rPr>
          <w:lang w:val="ru-RU"/>
        </w:rPr>
        <w:t>25-27）。</w:t>
      </w:r>
      <w:r w:rsidR="00D85B34" w:rsidRPr="003C6ED8">
        <w:rPr>
          <w:i/>
          <w:iCs/>
          <w:lang w:val="ru-RU"/>
        </w:rPr>
        <w:t>“你们从前与神隔绝，因着恶行是他的仇敌，如今却借着他在肉身中所受的死，使你们与神和好，要把你们引到他面前，成为圣洁、毫无瑕疵、无可指摘的人</w:t>
      </w:r>
      <w:r w:rsidR="00D85B34" w:rsidRPr="00794712">
        <w:rPr>
          <w:lang w:val="ru-RU"/>
        </w:rPr>
        <w:t>”（歌罗西书 1</w:t>
      </w:r>
      <w:r w:rsidR="00D85B34" w:rsidRPr="005E7517">
        <w:rPr>
          <w:lang w:val="ru-RU"/>
        </w:rPr>
        <w:t>:</w:t>
      </w:r>
      <w:r w:rsidR="00D85B34" w:rsidRPr="00794712">
        <w:rPr>
          <w:lang w:val="ru-RU"/>
        </w:rPr>
        <w:t>21-22；提多书 2</w:t>
      </w:r>
      <w:r w:rsidR="00D85B34" w:rsidRPr="005E7517">
        <w:rPr>
          <w:lang w:val="ru-RU"/>
        </w:rPr>
        <w:t>:</w:t>
      </w:r>
      <w:r w:rsidR="00D85B34" w:rsidRPr="00794712">
        <w:rPr>
          <w:lang w:val="ru-RU"/>
        </w:rPr>
        <w:t>14）。</w:t>
      </w:r>
    </w:p>
    <w:p w14:paraId="5CA60466" w14:textId="77777777" w:rsidR="00D85B34" w:rsidRPr="00794712" w:rsidRDefault="001B763B" w:rsidP="00D85B34">
      <w:pPr>
        <w:ind w:firstLine="708"/>
        <w:rPr>
          <w:lang w:val="ru-RU"/>
        </w:rPr>
      </w:pPr>
      <w:r w:rsidRPr="001B763B">
        <w:rPr>
          <w:b/>
          <w:lang w:val="ru-RU"/>
        </w:rPr>
        <w:t>8)</w:t>
      </w:r>
      <w:r w:rsidR="00D85B34" w:rsidRPr="00794712">
        <w:rPr>
          <w:lang w:val="ru-RU"/>
        </w:rPr>
        <w:t xml:space="preserve"> 祂借着自己的死为我们赢得了永生和永恒的荣耀</w:t>
      </w:r>
      <w:r w:rsidR="00D85B34" w:rsidRPr="005E7517">
        <w:rPr>
          <w:i/>
          <w:iCs/>
          <w:lang w:val="ru-RU"/>
        </w:rPr>
        <w:t>。“摩西在旷野怎样举蛇，人子也必照样被举起来，叫一切信祂的都不至灭亡，反得永生”</w:t>
      </w:r>
      <w:r w:rsidR="005864AB">
        <w:rPr>
          <w:lang w:val="ru-RU"/>
        </w:rPr>
        <w:t>（</w:t>
      </w:r>
      <w:r w:rsidR="00D85B34" w:rsidRPr="00794712">
        <w:rPr>
          <w:lang w:val="ru-RU"/>
        </w:rPr>
        <w:t>约3</w:t>
      </w:r>
      <w:r w:rsidR="00D85B34" w:rsidRPr="005E7517">
        <w:rPr>
          <w:lang w:val="ru-RU"/>
        </w:rPr>
        <w:t>:</w:t>
      </w:r>
      <w:r w:rsidR="00D85B34" w:rsidRPr="00794712">
        <w:rPr>
          <w:lang w:val="ru-RU"/>
        </w:rPr>
        <w:t xml:space="preserve">14-15）。 </w:t>
      </w:r>
      <w:r w:rsidR="00D85B34" w:rsidRPr="005E7517">
        <w:rPr>
          <w:i/>
          <w:iCs/>
          <w:lang w:val="ru-RU"/>
        </w:rPr>
        <w:t>“因为我们作仇敌的时候，尚且借着祂儿子的死与神和好，既已和好，就更要因祂的生命得救了”</w:t>
      </w:r>
      <w:r w:rsidR="00D85B34" w:rsidRPr="00794712">
        <w:rPr>
          <w:lang w:val="ru-RU"/>
        </w:rPr>
        <w:t>（罗马书 5</w:t>
      </w:r>
      <w:r w:rsidR="00D85B34" w:rsidRPr="005E7517">
        <w:rPr>
          <w:lang w:val="ru-RU"/>
        </w:rPr>
        <w:t>:</w:t>
      </w:r>
      <w:r w:rsidR="00D85B34" w:rsidRPr="00794712">
        <w:rPr>
          <w:lang w:val="ru-RU"/>
        </w:rPr>
        <w:t xml:space="preserve">10）。 </w:t>
      </w:r>
      <w:r w:rsidR="00D85B34" w:rsidRPr="005E7517">
        <w:rPr>
          <w:i/>
          <w:iCs/>
          <w:lang w:val="ru-RU"/>
        </w:rPr>
        <w:t>“因为那为万物所预备的、万物都从祂而来的，祂要领许多儿子进入荣耀，就当借着受苦成全他们得救的元首”</w:t>
      </w:r>
      <w:r w:rsidR="00D85B34" w:rsidRPr="00794712">
        <w:rPr>
          <w:lang w:val="ru-RU"/>
        </w:rPr>
        <w:t>（希伯来书 2</w:t>
      </w:r>
      <w:r w:rsidR="00D85B34" w:rsidRPr="005E7517">
        <w:rPr>
          <w:lang w:val="ru-RU"/>
        </w:rPr>
        <w:t>:</w:t>
      </w:r>
      <w:r w:rsidR="00D85B34" w:rsidRPr="00794712">
        <w:rPr>
          <w:lang w:val="ru-RU"/>
        </w:rPr>
        <w:t>10）。</w:t>
      </w:r>
    </w:p>
    <w:p w14:paraId="6803B038" w14:textId="77777777" w:rsidR="00D85B34" w:rsidRPr="00794712" w:rsidRDefault="00D85B34" w:rsidP="00D85B34">
      <w:pPr>
        <w:rPr>
          <w:lang w:val="ru-RU"/>
        </w:rPr>
      </w:pPr>
      <w:r w:rsidRPr="00794712">
        <w:rPr>
          <w:lang w:val="ru-RU"/>
        </w:rPr>
        <w:tab/>
        <w:t>鉴于我们主借着祂的死为我们成就了这一切，祂自己在圣经中被称为耶稣，即救主（</w:t>
      </w:r>
      <w:r w:rsidRPr="00AA0891">
        <w:t>σωτήρ</w:t>
      </w:r>
      <w:r w:rsidRPr="00794712">
        <w:rPr>
          <w:lang w:val="ru-RU"/>
        </w:rPr>
        <w:t xml:space="preserve">），因为祂拯救了我们，使我们脱离了罪以及罪所带来的一切后果 </w:t>
      </w:r>
      <w:r w:rsidR="000A57C3">
        <w:rPr>
          <w:lang w:val="ru-RU"/>
        </w:rPr>
        <w:t>[(太</w:t>
      </w:r>
      <w:r w:rsidRPr="00794712">
        <w:rPr>
          <w:lang w:val="ru-RU"/>
        </w:rPr>
        <w:t xml:space="preserve"> 1</w:t>
      </w:r>
      <w:r w:rsidRPr="005E7517">
        <w:rPr>
          <w:lang w:val="ru-RU"/>
        </w:rPr>
        <w:t>:</w:t>
      </w:r>
      <w:r w:rsidRPr="00794712">
        <w:rPr>
          <w:lang w:val="ru-RU"/>
        </w:rPr>
        <w:t>21</w:t>
      </w:r>
      <w:r w:rsidR="00B258FC" w:rsidRPr="00B258FC">
        <w:rPr>
          <w:lang w:val="ru-RU"/>
        </w:rPr>
        <w:t>)</w:t>
      </w:r>
      <w:r w:rsidRPr="00794712">
        <w:rPr>
          <w:lang w:val="ru-RU"/>
        </w:rPr>
        <w:t>；</w:t>
      </w:r>
      <w:r w:rsidR="00B258FC" w:rsidRPr="00B258FC">
        <w:rPr>
          <w:lang w:val="ru-RU"/>
        </w:rPr>
        <w:t>(</w:t>
      </w:r>
      <w:r w:rsidR="0087297C">
        <w:rPr>
          <w:lang w:val="ru-RU"/>
        </w:rPr>
        <w:t>路</w:t>
      </w:r>
      <w:r w:rsidRPr="00794712">
        <w:rPr>
          <w:lang w:val="ru-RU"/>
        </w:rPr>
        <w:t xml:space="preserve"> 2</w:t>
      </w:r>
      <w:r w:rsidRPr="005E7517">
        <w:rPr>
          <w:lang w:val="ru-RU"/>
        </w:rPr>
        <w:t>:</w:t>
      </w:r>
      <w:r w:rsidRPr="00794712">
        <w:rPr>
          <w:lang w:val="ru-RU"/>
        </w:rPr>
        <w:t>11</w:t>
      </w:r>
      <w:r w:rsidR="00B258FC" w:rsidRPr="00B258FC">
        <w:rPr>
          <w:lang w:val="ru-RU"/>
        </w:rPr>
        <w:t>)</w:t>
      </w:r>
      <w:r w:rsidRPr="00794712">
        <w:rPr>
          <w:lang w:val="ru-RU"/>
        </w:rPr>
        <w:t xml:space="preserve">； </w:t>
      </w:r>
      <w:r w:rsidR="00B258FC" w:rsidRPr="00B258FC">
        <w:rPr>
          <w:lang w:val="ru-RU"/>
        </w:rPr>
        <w:t>(</w:t>
      </w:r>
      <w:r w:rsidRPr="00794712">
        <w:rPr>
          <w:lang w:val="ru-RU"/>
        </w:rPr>
        <w:t>提多书 2</w:t>
      </w:r>
      <w:r w:rsidRPr="005E7517">
        <w:rPr>
          <w:lang w:val="ru-RU"/>
        </w:rPr>
        <w:t>:</w:t>
      </w:r>
      <w:r w:rsidRPr="00794712">
        <w:rPr>
          <w:lang w:val="ru-RU"/>
        </w:rPr>
        <w:t>13-14</w:t>
      </w:r>
      <w:r w:rsidR="00B258FC" w:rsidRPr="00B258FC">
        <w:rPr>
          <w:lang w:val="ru-RU"/>
        </w:rPr>
        <w:t>)</w:t>
      </w:r>
      <w:r w:rsidRPr="00794712">
        <w:rPr>
          <w:lang w:val="ru-RU"/>
        </w:rPr>
        <w:t>；</w:t>
      </w:r>
      <w:r w:rsidR="00B258FC" w:rsidRPr="00B258FC">
        <w:rPr>
          <w:lang w:val="ru-RU"/>
        </w:rPr>
        <w:t>(</w:t>
      </w:r>
      <w:r w:rsidRPr="00794712">
        <w:rPr>
          <w:lang w:val="ru-RU"/>
        </w:rPr>
        <w:t>使徒行传 5</w:t>
      </w:r>
      <w:r w:rsidRPr="005E7517">
        <w:rPr>
          <w:lang w:val="ru-RU"/>
        </w:rPr>
        <w:t>:</w:t>
      </w:r>
      <w:r w:rsidRPr="00794712">
        <w:rPr>
          <w:lang w:val="ru-RU"/>
        </w:rPr>
        <w:t>31)</w:t>
      </w:r>
      <w:r w:rsidR="00B258FC" w:rsidRPr="00B258FC">
        <w:rPr>
          <w:lang w:val="ru-RU"/>
        </w:rPr>
        <w:t>]</w:t>
      </w:r>
      <w:r w:rsidRPr="00794712">
        <w:rPr>
          <w:lang w:val="ru-RU"/>
        </w:rPr>
        <w:t>；代求者或中保（</w:t>
      </w:r>
      <w:r w:rsidRPr="00AA0891">
        <w:t>Μεσίτης</w:t>
      </w:r>
      <w:r w:rsidRPr="00794712">
        <w:rPr>
          <w:lang w:val="ru-RU"/>
        </w:rPr>
        <w:t xml:space="preserve">），因为祂使我们与神和好并重新联合 </w:t>
      </w:r>
      <w:r w:rsidR="00B258FC" w:rsidRPr="00B258FC">
        <w:rPr>
          <w:lang w:val="ru-RU"/>
        </w:rPr>
        <w:t>[</w:t>
      </w:r>
      <w:r w:rsidR="00621F17">
        <w:rPr>
          <w:lang w:val="ru-RU"/>
        </w:rPr>
        <w:t>(提摩太前书</w:t>
      </w:r>
      <w:r w:rsidRPr="00794712">
        <w:rPr>
          <w:lang w:val="ru-RU"/>
        </w:rPr>
        <w:t xml:space="preserve"> 2</w:t>
      </w:r>
      <w:r w:rsidRPr="005E7517">
        <w:rPr>
          <w:lang w:val="ru-RU"/>
        </w:rPr>
        <w:t>:</w:t>
      </w:r>
      <w:r w:rsidRPr="00794712">
        <w:rPr>
          <w:lang w:val="ru-RU"/>
        </w:rPr>
        <w:t>5</w:t>
      </w:r>
      <w:r w:rsidR="00B258FC" w:rsidRPr="00B258FC">
        <w:rPr>
          <w:lang w:val="ru-RU"/>
        </w:rPr>
        <w:t>)</w:t>
      </w:r>
      <w:r w:rsidRPr="00794712">
        <w:rPr>
          <w:lang w:val="ru-RU"/>
        </w:rPr>
        <w:t>；</w:t>
      </w:r>
      <w:r w:rsidR="00B258FC" w:rsidRPr="00B258FC">
        <w:rPr>
          <w:lang w:val="ru-RU"/>
        </w:rPr>
        <w:t>(</w:t>
      </w:r>
      <w:r w:rsidRPr="00794712">
        <w:rPr>
          <w:lang w:val="ru-RU"/>
        </w:rPr>
        <w:t>希伯来书 8</w:t>
      </w:r>
      <w:r w:rsidRPr="005E7517">
        <w:rPr>
          <w:lang w:val="ru-RU"/>
        </w:rPr>
        <w:t>:</w:t>
      </w:r>
      <w:r w:rsidRPr="00794712">
        <w:rPr>
          <w:lang w:val="ru-RU"/>
        </w:rPr>
        <w:t>6</w:t>
      </w:r>
      <w:r w:rsidR="00B258FC" w:rsidRPr="00B258FC">
        <w:rPr>
          <w:lang w:val="ru-RU"/>
        </w:rPr>
        <w:t>)</w:t>
      </w:r>
      <w:r w:rsidRPr="00794712">
        <w:rPr>
          <w:lang w:val="ru-RU"/>
        </w:rPr>
        <w:t>；</w:t>
      </w:r>
      <w:r w:rsidR="00B258FC" w:rsidRPr="00B258FC">
        <w:rPr>
          <w:rFonts w:cs="Cambria Math"/>
          <w:lang w:val="ru-RU"/>
        </w:rPr>
        <w:t>(</w:t>
      </w:r>
      <w:r w:rsidR="00B258FC" w:rsidRPr="00794712">
        <w:rPr>
          <w:lang w:val="ru-RU"/>
        </w:rPr>
        <w:t>希伯来书</w:t>
      </w:r>
      <w:r w:rsidRPr="00794712">
        <w:rPr>
          <w:lang w:val="ru-RU"/>
        </w:rPr>
        <w:t xml:space="preserve"> 9</w:t>
      </w:r>
      <w:r w:rsidRPr="005E7517">
        <w:rPr>
          <w:lang w:val="ru-RU"/>
        </w:rPr>
        <w:t>:</w:t>
      </w:r>
      <w:r w:rsidRPr="00794712">
        <w:rPr>
          <w:lang w:val="ru-RU"/>
        </w:rPr>
        <w:t>15</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希伯来书</w:t>
      </w:r>
      <w:r w:rsidRPr="00794712">
        <w:rPr>
          <w:lang w:val="ru-RU"/>
        </w:rPr>
        <w:t xml:space="preserve"> 12</w:t>
      </w:r>
      <w:r w:rsidRPr="005E7517">
        <w:rPr>
          <w:lang w:val="ru-RU"/>
        </w:rPr>
        <w:t>:</w:t>
      </w:r>
      <w:r w:rsidRPr="00794712">
        <w:rPr>
          <w:lang w:val="ru-RU"/>
        </w:rPr>
        <w:t>24)</w:t>
      </w:r>
      <w:r w:rsidR="00B258FC" w:rsidRPr="00B258FC">
        <w:rPr>
          <w:lang w:val="ru-RU"/>
        </w:rPr>
        <w:t>]</w:t>
      </w:r>
      <w:r w:rsidRPr="00794712">
        <w:rPr>
          <w:lang w:val="ru-RU"/>
        </w:rPr>
        <w:t>；大祭司（</w:t>
      </w:r>
      <w:r w:rsidRPr="00AA0891">
        <w:t>Aρχιερεύς</w:t>
      </w:r>
      <w:r w:rsidRPr="00794712">
        <w:rPr>
          <w:lang w:val="ru-RU"/>
        </w:rPr>
        <w:t xml:space="preserve">），因为祂在十字架上为我们献上自己为祭，并借着这赎罪祭，为我们赢得了脱离一切邪恶的救赎和永恒的福分 </w:t>
      </w:r>
      <w:r w:rsidR="00336C89" w:rsidRPr="00336C89">
        <w:rPr>
          <w:lang w:val="ru-RU"/>
        </w:rPr>
        <w:t>[</w:t>
      </w:r>
      <w:r w:rsidRPr="00794712">
        <w:rPr>
          <w:lang w:val="ru-RU"/>
        </w:rPr>
        <w:t>(希伯来书 2</w:t>
      </w:r>
      <w:r w:rsidRPr="005E7517">
        <w:rPr>
          <w:lang w:val="ru-RU"/>
        </w:rPr>
        <w:t>:</w:t>
      </w:r>
      <w:r w:rsidRPr="00794712">
        <w:rPr>
          <w:lang w:val="ru-RU"/>
        </w:rPr>
        <w:t>17</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希伯来书</w:t>
      </w:r>
      <w:r w:rsidRPr="00794712">
        <w:rPr>
          <w:lang w:val="ru-RU"/>
        </w:rPr>
        <w:t xml:space="preserve"> 4</w:t>
      </w:r>
      <w:r w:rsidRPr="005E7517">
        <w:rPr>
          <w:lang w:val="ru-RU"/>
        </w:rPr>
        <w:t>:</w:t>
      </w:r>
      <w:r w:rsidRPr="00794712">
        <w:rPr>
          <w:lang w:val="ru-RU"/>
        </w:rPr>
        <w:t>14</w:t>
      </w:r>
      <w:r w:rsidR="00B258FC" w:rsidRPr="00B258FC">
        <w:rPr>
          <w:lang w:val="ru-RU"/>
        </w:rPr>
        <w:t>）</w:t>
      </w:r>
      <w:r w:rsidRPr="00794712">
        <w:rPr>
          <w:lang w:val="ru-RU"/>
        </w:rPr>
        <w:t>；</w:t>
      </w:r>
      <w:r w:rsidR="00B258FC" w:rsidRPr="00B258FC">
        <w:rPr>
          <w:rFonts w:cs="Cambria Math"/>
          <w:lang w:val="ru-RU"/>
        </w:rPr>
        <w:t>（</w:t>
      </w:r>
      <w:r w:rsidR="00B258FC" w:rsidRPr="00794712">
        <w:rPr>
          <w:lang w:val="ru-RU"/>
        </w:rPr>
        <w:t>希伯来书</w:t>
      </w:r>
      <w:r w:rsidRPr="00794712">
        <w:rPr>
          <w:lang w:val="ru-RU"/>
        </w:rPr>
        <w:t xml:space="preserve"> 5</w:t>
      </w:r>
      <w:r w:rsidRPr="005E7517">
        <w:rPr>
          <w:lang w:val="ru-RU"/>
        </w:rPr>
        <w:t>:</w:t>
      </w:r>
      <w:r w:rsidRPr="00794712">
        <w:rPr>
          <w:lang w:val="ru-RU"/>
        </w:rPr>
        <w:t>9-10 等</w:t>
      </w:r>
      <w:r w:rsidR="00336C89" w:rsidRPr="00336C89">
        <w:rPr>
          <w:lang w:val="ru-RU"/>
        </w:rPr>
        <w:t>）]</w:t>
      </w:r>
      <w:r w:rsidRPr="00794712">
        <w:rPr>
          <w:lang w:val="ru-RU"/>
        </w:rPr>
        <w:t>； 新约的担保者（</w:t>
      </w:r>
      <w:r w:rsidRPr="00AA0891">
        <w:t>Ἐγγυος</w:t>
      </w:r>
      <w:r w:rsidRPr="00794712">
        <w:rPr>
          <w:lang w:val="ru-RU"/>
        </w:rPr>
        <w:t>）（希伯来书 7</w:t>
      </w:r>
      <w:r w:rsidRPr="005E7517">
        <w:rPr>
          <w:lang w:val="ru-RU"/>
        </w:rPr>
        <w:t>:</w:t>
      </w:r>
      <w:r w:rsidRPr="00794712">
        <w:rPr>
          <w:lang w:val="ru-RU"/>
        </w:rPr>
        <w:t>22），因为</w:t>
      </w:r>
      <w:r w:rsidRPr="005E7517">
        <w:rPr>
          <w:i/>
          <w:iCs/>
          <w:lang w:val="ru-RU"/>
        </w:rPr>
        <w:t>祂</w:t>
      </w:r>
      <w:r w:rsidRPr="00794712">
        <w:rPr>
          <w:lang w:val="ru-RU"/>
        </w:rPr>
        <w:t>以自己的死偿还了我们在神面前因罪所欠的债</w:t>
      </w:r>
      <w:r w:rsidRPr="005E7517">
        <w:rPr>
          <w:i/>
          <w:iCs/>
          <w:lang w:val="ru-RU"/>
        </w:rPr>
        <w:t>，“涂抹了那写在律法上的、针对我们的债据，并把它从中间取下来，钉在十字架上”</w:t>
      </w:r>
      <w:r w:rsidRPr="00794712">
        <w:rPr>
          <w:lang w:val="ru-RU"/>
        </w:rPr>
        <w:t>（歌罗西书 2</w:t>
      </w:r>
      <w:r w:rsidRPr="005E7517">
        <w:rPr>
          <w:lang w:val="ru-RU"/>
        </w:rPr>
        <w:t>:</w:t>
      </w:r>
      <w:r w:rsidRPr="00794712">
        <w:rPr>
          <w:lang w:val="ru-RU"/>
        </w:rPr>
        <w:t>14）。</w:t>
      </w:r>
    </w:p>
    <w:p w14:paraId="708C3526" w14:textId="77777777" w:rsidR="00D85B34" w:rsidRDefault="00D85B34" w:rsidP="00D85B34">
      <w:pPr>
        <w:rPr>
          <w:lang w:val="ru-RU"/>
        </w:rPr>
      </w:pPr>
      <w:r w:rsidRPr="00794712">
        <w:rPr>
          <w:lang w:val="ru-RU"/>
        </w:rPr>
        <w:tab/>
      </w:r>
    </w:p>
    <w:p w14:paraId="4DDFE6B8" w14:textId="77777777" w:rsidR="00D85B34" w:rsidRPr="00794712" w:rsidRDefault="00D85B34" w:rsidP="007B240B">
      <w:pPr>
        <w:pStyle w:val="Heading5"/>
        <w:rPr>
          <w:lang w:val="ru-RU"/>
        </w:rPr>
      </w:pPr>
      <w:bookmarkStart w:id="297" w:name="_Toc133155587"/>
      <w:bookmarkStart w:id="298" w:name="_Toc180664600"/>
      <w:bookmarkStart w:id="299" w:name="_Toc180679221"/>
      <w:bookmarkStart w:id="300" w:name="_Toc180679278"/>
      <w:bookmarkStart w:id="301" w:name="_Toc180679801"/>
      <w:bookmarkStart w:id="302" w:name="_Toc238453684"/>
      <w:bookmarkStart w:id="303" w:name="_Toc238576500"/>
      <w:r w:rsidRPr="00794712">
        <w:rPr>
          <w:lang w:val="ru-RU"/>
        </w:rPr>
        <w:t>§153. 揭示耶稣基督之死作为我们得赎的途径</w:t>
      </w:r>
      <w:bookmarkEnd w:id="297"/>
      <w:bookmarkEnd w:id="298"/>
      <w:bookmarkEnd w:id="299"/>
      <w:bookmarkEnd w:id="300"/>
      <w:bookmarkEnd w:id="301"/>
      <w:bookmarkEnd w:id="302"/>
      <w:bookmarkEnd w:id="303"/>
    </w:p>
    <w:p w14:paraId="21A2FAAF" w14:textId="77777777" w:rsidR="00D85B34" w:rsidRPr="00101CE5" w:rsidRDefault="00D85B34" w:rsidP="00D85B34">
      <w:pPr>
        <w:ind w:firstLine="708"/>
        <w:rPr>
          <w:lang w:val="ru-RU"/>
        </w:rPr>
      </w:pPr>
      <w:r w:rsidRPr="00794712">
        <w:rPr>
          <w:lang w:val="ru-RU"/>
        </w:rPr>
        <w:t>我们因耶稣基督之死而得救赎的全部奥秘在于：祂代替我们，用自己的宝血偿还了债务，并完全满足了上帝的公义，以赦免我们的罪——</w:t>
      </w:r>
      <w:r w:rsidRPr="00794712">
        <w:rPr>
          <w:lang w:val="ru-RU"/>
        </w:rPr>
        <w:lastRenderedPageBreak/>
        <w:t>这是我们自己无力偿还的；换言之</w:t>
      </w:r>
      <w:r>
        <w:rPr>
          <w:lang w:val="ru-RU"/>
        </w:rPr>
        <w:t>，</w:t>
      </w:r>
      <w:r w:rsidRPr="00794712">
        <w:rPr>
          <w:lang w:val="ru-RU"/>
        </w:rPr>
        <w:t>祂代替我们，完成了并承受了一切为赦免我们的罪所必需的一切。 总的来说，在神的公义审判面前，由一人代替另一人，或由一人代替另一人或多人来偿还道德债务的可能性，必须被常识所认可：</w:t>
      </w:r>
      <w:r w:rsidR="00A95A76" w:rsidRPr="00A95A76">
        <w:rPr>
          <w:b/>
          <w:lang w:val="ru-RU"/>
        </w:rPr>
        <w:t xml:space="preserve">a) </w:t>
      </w:r>
      <w:r w:rsidRPr="00794712">
        <w:rPr>
          <w:lang w:val="ru-RU"/>
        </w:rPr>
        <w:t>当这种替代符合神的旨意，并得到至高立法者和审判者本人的同意时；</w:t>
      </w:r>
      <w:r w:rsidR="00A95A76" w:rsidRPr="00A95A76">
        <w:rPr>
          <w:b/>
          <w:lang w:val="ru-RU"/>
        </w:rPr>
        <w:t xml:space="preserve"> b) </w:t>
      </w:r>
      <w:r w:rsidRPr="00794712">
        <w:rPr>
          <w:lang w:val="ru-RU"/>
        </w:rPr>
        <w:t>当那个自愿代其他无力偿还的债务人承担债务的人，自身在神面前并不负有同样的债务时；</w:t>
      </w:r>
      <w:r w:rsidR="00A95A76" w:rsidRPr="00A95A76">
        <w:rPr>
          <w:b/>
          <w:lang w:val="ru-RU"/>
        </w:rPr>
        <w:t xml:space="preserve">c) </w:t>
      </w:r>
      <w:r w:rsidRPr="00794712">
        <w:rPr>
          <w:lang w:val="ru-RU"/>
        </w:rPr>
        <w:t>当他自愿决定履行审判者所提出的一切债务要求时；</w:t>
      </w:r>
      <w:r>
        <w:rPr>
          <w:lang w:val="ru-RU"/>
        </w:rPr>
        <w:t>以及</w:t>
      </w:r>
      <w:r w:rsidR="00A95A76" w:rsidRPr="00A95A76">
        <w:rPr>
          <w:b/>
          <w:lang w:val="ru-RU"/>
        </w:rPr>
        <w:t>——d)</w:t>
      </w:r>
      <w:r w:rsidRPr="00794712">
        <w:rPr>
          <w:lang w:val="ru-RU"/>
        </w:rPr>
        <w:t xml:space="preserve"> 最后，当他确实付出了足以完全清偿该债务的代价时。 所有这些条件——我们从救主的事例中汲取并加以概括——在他为我们所成就的伟大壮举中得到了完全的实现。而且</w:t>
      </w:r>
      <w:r w:rsidRPr="00101CE5">
        <w:rPr>
          <w:lang w:val="ru-RU"/>
        </w:rPr>
        <w:t xml:space="preserve">—— </w:t>
      </w:r>
    </w:p>
    <w:p w14:paraId="0477DD40" w14:textId="77777777" w:rsidR="00D85B34" w:rsidRPr="00794712" w:rsidRDefault="00F45CFB" w:rsidP="00D85B34">
      <w:pPr>
        <w:ind w:firstLine="708"/>
        <w:rPr>
          <w:lang w:val="ru-RU"/>
        </w:rPr>
      </w:pPr>
      <w:r w:rsidRPr="00F45CFB">
        <w:rPr>
          <w:b/>
          <w:lang w:val="ru-RU"/>
        </w:rPr>
        <w:t>1)</w:t>
      </w:r>
      <w:r w:rsidR="00D85B34" w:rsidRPr="00794712">
        <w:rPr>
          <w:lang w:val="ru-RU"/>
        </w:rPr>
        <w:t xml:space="preserve"> 主耶稣是按照祂的父——我们至高审判官——的旨意和许可，为我们忍受了苦难与死亡。 正因如此，祂——神的儿子——降临人间，并非要成就自己的旨意，而是要成就差遣祂的父的旨意</w:t>
      </w:r>
      <w:r w:rsidR="005864AB">
        <w:rPr>
          <w:lang w:val="ru-RU"/>
        </w:rPr>
        <w:t>（</w:t>
      </w:r>
      <w:r w:rsidR="00D85B34" w:rsidRPr="00794712">
        <w:rPr>
          <w:lang w:val="ru-RU"/>
        </w:rPr>
        <w:t>约6</w:t>
      </w:r>
      <w:r w:rsidR="00D85B34" w:rsidRPr="00101CE5">
        <w:rPr>
          <w:lang w:val="ru-RU"/>
        </w:rPr>
        <w:t>:</w:t>
      </w:r>
      <w:r w:rsidR="00D85B34" w:rsidRPr="00794712">
        <w:rPr>
          <w:lang w:val="ru-RU"/>
        </w:rPr>
        <w:t>38）；祂在整个地上生命中，所做的一切，都只为成就父的旨意</w:t>
      </w:r>
      <w:r w:rsidR="005864AB">
        <w:rPr>
          <w:lang w:val="ru-RU"/>
        </w:rPr>
        <w:t>（</w:t>
      </w:r>
      <w:r w:rsidR="00D85B34" w:rsidRPr="00794712">
        <w:rPr>
          <w:lang w:val="ru-RU"/>
        </w:rPr>
        <w:t>约4</w:t>
      </w:r>
      <w:r w:rsidR="00D85B34" w:rsidRPr="00101CE5">
        <w:rPr>
          <w:lang w:val="ru-RU"/>
        </w:rPr>
        <w:t>:</w:t>
      </w:r>
      <w:r w:rsidR="00D85B34" w:rsidRPr="00794712">
        <w:rPr>
          <w:lang w:val="ru-RU"/>
        </w:rPr>
        <w:t>34）。 最后，当祂临近死亡，在最剧烈的 痛苦之中，于客西马尼园向父神祷告说：</w:t>
      </w:r>
      <w:r w:rsidR="00D85B34" w:rsidRPr="00101CE5">
        <w:rPr>
          <w:i/>
          <w:iCs/>
          <w:lang w:val="ru-RU"/>
        </w:rPr>
        <w:t>“我的父啊！倘若可行，求祢叫这杯离开我，”</w:t>
      </w:r>
      <w:r w:rsidR="00D85B34" w:rsidRPr="00794712">
        <w:rPr>
          <w:lang w:val="ru-RU"/>
        </w:rPr>
        <w:t>随即又补充道：</w:t>
      </w:r>
      <w:r w:rsidR="00D85B34" w:rsidRPr="00101CE5">
        <w:rPr>
          <w:i/>
          <w:iCs/>
          <w:lang w:val="ru-RU"/>
        </w:rPr>
        <w:t>“然而，不要照我的意思，只要照祢的意思”</w:t>
      </w:r>
      <w:r w:rsidR="00D85B34" w:rsidRPr="00794712">
        <w:rPr>
          <w:lang w:val="ru-RU"/>
        </w:rPr>
        <w:t xml:space="preserve"> </w:t>
      </w:r>
      <w:r w:rsidR="00224D5E">
        <w:rPr>
          <w:lang w:val="ru-RU"/>
        </w:rPr>
        <w:t>（太</w:t>
      </w:r>
      <w:r w:rsidR="00D85B34" w:rsidRPr="00794712">
        <w:rPr>
          <w:lang w:val="ru-RU"/>
        </w:rPr>
        <w:t>26</w:t>
      </w:r>
      <w:r w:rsidR="00D85B34" w:rsidRPr="00101CE5">
        <w:rPr>
          <w:lang w:val="ru-RU"/>
        </w:rPr>
        <w:t>:</w:t>
      </w:r>
      <w:r w:rsidR="00D85B34" w:rsidRPr="00794712">
        <w:rPr>
          <w:lang w:val="ru-RU"/>
        </w:rPr>
        <w:t>39）</w:t>
      </w:r>
      <w:r w:rsidR="00D85B34" w:rsidRPr="00101CE5">
        <w:rPr>
          <w:i/>
          <w:iCs/>
          <w:lang w:val="ru-RU"/>
        </w:rPr>
        <w:t>，“然而，不要照我的意思，只要照你的意思”</w:t>
      </w:r>
      <w:r w:rsidR="008A3626">
        <w:rPr>
          <w:lang w:val="ru-RU"/>
        </w:rPr>
        <w:t>（路</w:t>
      </w:r>
      <w:r w:rsidR="00D85B34" w:rsidRPr="00794712">
        <w:rPr>
          <w:lang w:val="ru-RU"/>
        </w:rPr>
        <w:t>22</w:t>
      </w:r>
      <w:r w:rsidR="00D85B34" w:rsidRPr="00101CE5">
        <w:rPr>
          <w:lang w:val="ru-RU"/>
        </w:rPr>
        <w:t>:</w:t>
      </w:r>
      <w:r w:rsidR="00D85B34" w:rsidRPr="00794712">
        <w:rPr>
          <w:lang w:val="ru-RU"/>
        </w:rPr>
        <w:t>42）。随后，祂确实在十字架上为我们喝尽了上帝忿怒的整杯。 另一方面，神的道清楚地教导说，圣父</w:t>
      </w:r>
      <w:r w:rsidR="00D85B34" w:rsidRPr="00101CE5">
        <w:rPr>
          <w:i/>
          <w:iCs/>
          <w:lang w:val="ru-RU"/>
        </w:rPr>
        <w:t>自己“连自己的儿子尚且不爱惜，为我们众人舍了祂”</w:t>
      </w:r>
      <w:r w:rsidR="00D85B34" w:rsidRPr="00794712">
        <w:rPr>
          <w:lang w:val="ru-RU"/>
        </w:rPr>
        <w:t>（罗8</w:t>
      </w:r>
      <w:r w:rsidR="00D85B34" w:rsidRPr="00101CE5">
        <w:rPr>
          <w:lang w:val="ru-RU"/>
        </w:rPr>
        <w:t>:</w:t>
      </w:r>
      <w:r w:rsidR="00D85B34" w:rsidRPr="00794712">
        <w:rPr>
          <w:lang w:val="ru-RU"/>
        </w:rPr>
        <w:t>32）；</w:t>
      </w:r>
      <w:r w:rsidR="00D85B34" w:rsidRPr="00101CE5">
        <w:rPr>
          <w:i/>
          <w:iCs/>
          <w:lang w:val="ru-RU"/>
        </w:rPr>
        <w:t>“神将祂设立为赎罪祭，是凭着祂的血，借着信，要显明祂的义，因为祂曾宽恕了先前所犯的罪”</w:t>
      </w:r>
      <w:r w:rsidR="00D85B34" w:rsidRPr="00794712">
        <w:rPr>
          <w:lang w:val="ru-RU"/>
        </w:rPr>
        <w:t xml:space="preserve"> （</w:t>
      </w:r>
      <w:r w:rsidR="00D85B34">
        <w:rPr>
          <w:lang w:val="ru-RU"/>
        </w:rPr>
        <w:t>罗</w:t>
      </w:r>
      <w:r w:rsidR="00D85B34" w:rsidRPr="00794712">
        <w:rPr>
          <w:lang w:val="ru-RU"/>
        </w:rPr>
        <w:t>3</w:t>
      </w:r>
      <w:r w:rsidR="00D85B34" w:rsidRPr="00101CE5">
        <w:rPr>
          <w:lang w:val="ru-RU"/>
        </w:rPr>
        <w:t>:</w:t>
      </w:r>
      <w:r w:rsidR="00D85B34" w:rsidRPr="00794712">
        <w:rPr>
          <w:lang w:val="ru-RU"/>
        </w:rPr>
        <w:t>25）</w:t>
      </w:r>
      <w:r w:rsidR="00D85B34" w:rsidRPr="00101CE5">
        <w:rPr>
          <w:i/>
          <w:iCs/>
          <w:lang w:val="ru-RU"/>
        </w:rPr>
        <w:t>，“因为父神喜悦叫一切的丰盛都住在祂里面，又借着祂使万有与自己和好，无论是地上的，还是天上的，都借着祂在十字架上所流的血，与神和好了”</w:t>
      </w:r>
      <w:r w:rsidR="00D85B34" w:rsidRPr="00794712">
        <w:rPr>
          <w:lang w:val="ru-RU"/>
        </w:rPr>
        <w:t>（西1</w:t>
      </w:r>
      <w:r w:rsidR="00D85B34" w:rsidRPr="00101CE5">
        <w:rPr>
          <w:lang w:val="ru-RU"/>
        </w:rPr>
        <w:t>:</w:t>
      </w:r>
      <w:r w:rsidR="00D85B34" w:rsidRPr="00794712">
        <w:rPr>
          <w:lang w:val="ru-RU"/>
        </w:rPr>
        <w:t>19-20）。</w:t>
      </w:r>
    </w:p>
    <w:p w14:paraId="056F9348" w14:textId="77777777" w:rsidR="00D85B34" w:rsidRPr="00794712" w:rsidRDefault="00F45CFB" w:rsidP="00D85B34">
      <w:pPr>
        <w:ind w:firstLine="708"/>
        <w:rPr>
          <w:lang w:val="ru-RU"/>
        </w:rPr>
      </w:pPr>
      <w:r w:rsidRPr="00F45CFB">
        <w:rPr>
          <w:b/>
          <w:lang w:val="ru-RU"/>
        </w:rPr>
        <w:t>2)</w:t>
      </w:r>
      <w:r w:rsidR="00D85B34" w:rsidRPr="00794712">
        <w:rPr>
          <w:lang w:val="ru-RU"/>
        </w:rPr>
        <w:t xml:space="preserve"> 主耶稣为我们的罪受苦并死，祂自己却是全然无罪、无辜的，因此，在神面前，祂完全无需承担这一道德义务。 “使徒说：</w:t>
      </w:r>
      <w:r w:rsidR="00D85B34">
        <w:rPr>
          <w:i/>
          <w:iCs/>
          <w:lang w:val="ru-RU"/>
        </w:rPr>
        <w:t>‘神</w:t>
      </w:r>
      <w:r w:rsidR="00D85B34" w:rsidRPr="005E30C6">
        <w:rPr>
          <w:i/>
          <w:iCs/>
          <w:lang w:val="ru-RU"/>
        </w:rPr>
        <w:t>使那无罪的，替我们成为罪，好叫我们在祂里面成为神的义’”</w:t>
      </w:r>
      <w:r w:rsidR="00D85B34" w:rsidRPr="00794712">
        <w:rPr>
          <w:lang w:val="ru-RU"/>
        </w:rPr>
        <w:t>（林后5</w:t>
      </w:r>
      <w:r w:rsidR="00D85B34">
        <w:rPr>
          <w:lang w:val="ru-RU"/>
        </w:rPr>
        <w:t>:</w:t>
      </w:r>
      <w:r w:rsidR="00D85B34" w:rsidRPr="00794712">
        <w:rPr>
          <w:lang w:val="ru-RU"/>
        </w:rPr>
        <w:t>21）。</w:t>
      </w:r>
      <w:r w:rsidR="00D85B34" w:rsidRPr="005E30C6">
        <w:rPr>
          <w:i/>
          <w:iCs/>
          <w:lang w:val="ru-RU"/>
        </w:rPr>
        <w:t>“我们的大祭司也应当是这样的： 圣洁、无邪、无瑕、与罪人隔绝、被高举在诸天之上；祂不像那些大祭司，每天先为自己的罪、再为百姓的罪献祭，因为祂只一次将自己献为祭，就成就了这一切”</w:t>
      </w:r>
      <w:r w:rsidR="00D85B34" w:rsidRPr="00794712">
        <w:rPr>
          <w:lang w:val="ru-RU"/>
        </w:rPr>
        <w:t xml:space="preserve"> （希伯来书 7</w:t>
      </w:r>
      <w:r w:rsidR="00D85B34" w:rsidRPr="005E30C6">
        <w:rPr>
          <w:lang w:val="ru-RU"/>
        </w:rPr>
        <w:t>:</w:t>
      </w:r>
      <w:r w:rsidR="00D85B34" w:rsidRPr="00794712">
        <w:rPr>
          <w:lang w:val="ru-RU"/>
        </w:rPr>
        <w:t>26-27）。祂</w:t>
      </w:r>
      <w:r w:rsidR="00D85B34" w:rsidRPr="005E30C6">
        <w:rPr>
          <w:i/>
          <w:iCs/>
          <w:lang w:val="ru-RU"/>
        </w:rPr>
        <w:t>“藉着圣灵，将自己无瑕疵地献给神”</w:t>
      </w:r>
      <w:r w:rsidR="00D85B34" w:rsidRPr="00794712">
        <w:rPr>
          <w:lang w:val="ru-RU"/>
        </w:rPr>
        <w:t xml:space="preserve"> （</w:t>
      </w:r>
      <w:r w:rsidR="00D85B34">
        <w:rPr>
          <w:lang w:val="ru-RU"/>
        </w:rPr>
        <w:t>希伯来书</w:t>
      </w:r>
      <w:r w:rsidR="00D85B34" w:rsidRPr="00794712">
        <w:rPr>
          <w:lang w:val="ru-RU"/>
        </w:rPr>
        <w:t xml:space="preserve"> 9</w:t>
      </w:r>
      <w:r w:rsidR="00D85B34" w:rsidRPr="005E30C6">
        <w:rPr>
          <w:lang w:val="ru-RU"/>
        </w:rPr>
        <w:t>:</w:t>
      </w:r>
      <w:r w:rsidR="00D85B34" w:rsidRPr="00794712">
        <w:rPr>
          <w:lang w:val="ru-RU"/>
        </w:rPr>
        <w:t>14）</w:t>
      </w:r>
      <w:r w:rsidR="00D85B34" w:rsidRPr="005E30C6">
        <w:rPr>
          <w:i/>
          <w:iCs/>
          <w:lang w:val="ru-RU"/>
        </w:rPr>
        <w:t>，“为要领我们到神面前，祂曾为我们的罪受过一次苦，就是那义的，为不义的人受苦”</w:t>
      </w:r>
      <w:r w:rsidR="00D85B34" w:rsidRPr="00794712">
        <w:rPr>
          <w:lang w:val="ru-RU"/>
        </w:rPr>
        <w:t>（</w:t>
      </w:r>
      <w:r w:rsidR="0087297C">
        <w:rPr>
          <w:lang w:val="ru-RU"/>
        </w:rPr>
        <w:t>彼得前书</w:t>
      </w:r>
      <w:r w:rsidR="00D85B34" w:rsidRPr="00794712">
        <w:rPr>
          <w:lang w:val="ru-RU"/>
        </w:rPr>
        <w:t xml:space="preserve"> 3</w:t>
      </w:r>
      <w:r w:rsidR="00D85B34">
        <w:rPr>
          <w:lang w:val="ru-RU"/>
        </w:rPr>
        <w:t>:</w:t>
      </w:r>
      <w:r w:rsidR="00D85B34" w:rsidRPr="00794712">
        <w:rPr>
          <w:lang w:val="ru-RU"/>
        </w:rPr>
        <w:t>18），正因如此</w:t>
      </w:r>
      <w:r w:rsidR="00D85B34" w:rsidRPr="005E30C6">
        <w:rPr>
          <w:i/>
          <w:iCs/>
          <w:lang w:val="ru-RU"/>
        </w:rPr>
        <w:t>，“祂救赎了我们脱离律法的咒诅，因为祂成了我们的咒诅”</w:t>
      </w:r>
      <w:r w:rsidR="00D85B34" w:rsidRPr="00794712">
        <w:rPr>
          <w:lang w:val="ru-RU"/>
        </w:rPr>
        <w:t>（加拉太书 3</w:t>
      </w:r>
      <w:r w:rsidR="00D85B34" w:rsidRPr="005E30C6">
        <w:rPr>
          <w:lang w:val="ru-RU"/>
        </w:rPr>
        <w:t>:</w:t>
      </w:r>
      <w:r w:rsidR="00D85B34" w:rsidRPr="00794712">
        <w:rPr>
          <w:lang w:val="ru-RU"/>
        </w:rPr>
        <w:t>13）。</w:t>
      </w:r>
    </w:p>
    <w:p w14:paraId="2471D905" w14:textId="77777777" w:rsidR="00D85B34" w:rsidRPr="00794712" w:rsidRDefault="00F45CFB" w:rsidP="00D85B34">
      <w:pPr>
        <w:ind w:firstLine="708"/>
        <w:rPr>
          <w:lang w:val="ru-RU"/>
        </w:rPr>
      </w:pPr>
      <w:r w:rsidRPr="00F45CFB">
        <w:rPr>
          <w:b/>
          <w:lang w:val="ru-RU"/>
        </w:rPr>
        <w:t>3）</w:t>
      </w:r>
      <w:r w:rsidR="00D85B34" w:rsidRPr="00794712">
        <w:rPr>
          <w:lang w:val="ru-RU"/>
        </w:rPr>
        <w:t>主耶稣完全是自愿地为我们承受了苦难和死亡——正因如此，这些才得以蒙天上的审判者喜悦。</w:t>
      </w:r>
      <w:r w:rsidR="00D85B34" w:rsidRPr="00190BCD">
        <w:rPr>
          <w:i/>
          <w:iCs/>
          <w:lang w:val="ru-RU"/>
        </w:rPr>
        <w:t>“父爱我</w:t>
      </w:r>
      <w:r w:rsidR="00D85B34" w:rsidRPr="00794712">
        <w:rPr>
          <w:lang w:val="ru-RU"/>
        </w:rPr>
        <w:t>，</w:t>
      </w:r>
      <w:r w:rsidR="00D85B34" w:rsidRPr="00190BCD">
        <w:rPr>
          <w:i/>
          <w:iCs/>
          <w:lang w:val="ru-RU"/>
        </w:rPr>
        <w:t>是因为我将我的生命舍去，好再取回来</w:t>
      </w:r>
      <w:r w:rsidR="00D85B34" w:rsidRPr="00794712">
        <w:rPr>
          <w:lang w:val="ru-RU"/>
        </w:rPr>
        <w:t>，”救主基督说</w:t>
      </w:r>
      <w:r w:rsidR="00D85B34" w:rsidRPr="00190BCD">
        <w:rPr>
          <w:i/>
          <w:iCs/>
          <w:lang w:val="ru-RU"/>
        </w:rPr>
        <w:t>，“没有人从我手里夺去，是我自己舍去的。 我有权柄舍去，也有权柄再取回来</w:t>
      </w:r>
      <w:r w:rsidR="005864AB">
        <w:rPr>
          <w:lang w:val="ru-RU"/>
        </w:rPr>
        <w:t>”（约</w:t>
      </w:r>
      <w:r w:rsidR="00D85B34" w:rsidRPr="00794712">
        <w:rPr>
          <w:lang w:val="ru-RU"/>
        </w:rPr>
        <w:t>10</w:t>
      </w:r>
      <w:r w:rsidR="00D85B34" w:rsidRPr="00190BCD">
        <w:rPr>
          <w:lang w:val="ru-RU"/>
        </w:rPr>
        <w:t>:</w:t>
      </w:r>
      <w:r w:rsidR="00D85B34" w:rsidRPr="00794712">
        <w:rPr>
          <w:lang w:val="ru-RU"/>
        </w:rPr>
        <w:t>17-18）。后来，当确实到了</w:t>
      </w:r>
      <w:r w:rsidR="00D85B34">
        <w:rPr>
          <w:lang w:val="ru-RU"/>
        </w:rPr>
        <w:t>为羊群</w:t>
      </w:r>
      <w:r w:rsidR="00D85B34" w:rsidRPr="00794712">
        <w:rPr>
          <w:lang w:val="ru-RU"/>
        </w:rPr>
        <w:t>舍命的时候，祂自愿来到耶路撒冷，尽管事先就知道自己将在那里被出卖、被凌辱并被钉在十字架上</w:t>
      </w:r>
      <w:r w:rsidR="00224D5E">
        <w:rPr>
          <w:lang w:val="ru-RU"/>
        </w:rPr>
        <w:t>（太</w:t>
      </w:r>
      <w:r w:rsidR="00D85B34" w:rsidRPr="00794712">
        <w:rPr>
          <w:lang w:val="ru-RU"/>
        </w:rPr>
        <w:t>20</w:t>
      </w:r>
      <w:r w:rsidR="00D85B34">
        <w:rPr>
          <w:lang w:val="ru-RU"/>
        </w:rPr>
        <w:t>:</w:t>
      </w:r>
      <w:r w:rsidR="00D85B34" w:rsidRPr="00794712">
        <w:rPr>
          <w:lang w:val="ru-RU"/>
        </w:rPr>
        <w:t>18）； 祂自愿来到客西马尼园，尽管预见背叛者犹大将与同党一同出现在那里</w:t>
      </w:r>
      <w:r w:rsidR="00224D5E">
        <w:rPr>
          <w:lang w:val="ru-RU"/>
        </w:rPr>
        <w:t>（马太福音</w:t>
      </w:r>
      <w:r w:rsidR="00D85B34" w:rsidRPr="00794712">
        <w:rPr>
          <w:lang w:val="ru-RU"/>
        </w:rPr>
        <w:t xml:space="preserve"> 26</w:t>
      </w:r>
      <w:r w:rsidR="00D85B34">
        <w:rPr>
          <w:lang w:val="ru-RU"/>
        </w:rPr>
        <w:t>:</w:t>
      </w:r>
      <w:r w:rsidR="00D85B34" w:rsidRPr="00794712">
        <w:rPr>
          <w:lang w:val="ru-RU"/>
        </w:rPr>
        <w:t>30-31）； 祂自愿将自己交在祭司长的手下，尽管祂只需说一句</w:t>
      </w:r>
      <w:r w:rsidR="00D85B34">
        <w:rPr>
          <w:i/>
          <w:iCs/>
          <w:lang w:val="ru-RU"/>
        </w:rPr>
        <w:t>“我就是</w:t>
      </w:r>
      <w:r w:rsidR="00D85B34" w:rsidRPr="00794712">
        <w:rPr>
          <w:lang w:val="ru-RU"/>
        </w:rPr>
        <w:t>”，就能使所有人倒在地上</w:t>
      </w:r>
      <w:r w:rsidR="005864AB">
        <w:rPr>
          <w:lang w:val="ru-RU"/>
        </w:rPr>
        <w:t>（约</w:t>
      </w:r>
      <w:r w:rsidR="00D85B34" w:rsidRPr="00794712">
        <w:rPr>
          <w:lang w:val="ru-RU"/>
        </w:rPr>
        <w:t>18</w:t>
      </w:r>
      <w:r w:rsidR="00D85B34">
        <w:rPr>
          <w:lang w:val="ru-RU"/>
        </w:rPr>
        <w:t>:</w:t>
      </w:r>
      <w:r w:rsidR="00D85B34" w:rsidRPr="00794712">
        <w:rPr>
          <w:lang w:val="ru-RU"/>
        </w:rPr>
        <w:t>6），而且如果祂愿意，本可以召来</w:t>
      </w:r>
      <w:r w:rsidR="00D85B34">
        <w:rPr>
          <w:lang w:val="ru-RU"/>
        </w:rPr>
        <w:t>十二</w:t>
      </w:r>
      <w:r w:rsidR="00D85B34" w:rsidRPr="00794712">
        <w:rPr>
          <w:lang w:val="ru-RU"/>
        </w:rPr>
        <w:t>军团的天使来保护自己</w:t>
      </w:r>
      <w:r w:rsidR="00224D5E">
        <w:rPr>
          <w:lang w:val="ru-RU"/>
        </w:rPr>
        <w:t>（太</w:t>
      </w:r>
      <w:r w:rsidR="00D85B34" w:rsidRPr="00794712">
        <w:rPr>
          <w:lang w:val="ru-RU"/>
        </w:rPr>
        <w:t>26</w:t>
      </w:r>
      <w:r w:rsidR="00D85B34">
        <w:rPr>
          <w:lang w:val="ru-RU"/>
        </w:rPr>
        <w:t>:</w:t>
      </w:r>
      <w:r w:rsidR="00D85B34" w:rsidRPr="00794712">
        <w:rPr>
          <w:lang w:val="ru-RU"/>
        </w:rPr>
        <w:t>53）。 圣使徒们也教导说，基督</w:t>
      </w:r>
      <w:r w:rsidR="00D85B34" w:rsidRPr="006E13EB">
        <w:rPr>
          <w:i/>
          <w:iCs/>
          <w:lang w:val="ru-RU"/>
        </w:rPr>
        <w:t>“亲自用祂的身体将我们的罪担在十字架上”</w:t>
      </w:r>
      <w:r w:rsidR="00D85B34" w:rsidRPr="00794712">
        <w:rPr>
          <w:lang w:val="ru-RU"/>
        </w:rPr>
        <w:t xml:space="preserve"> （</w:t>
      </w:r>
      <w:r w:rsidR="0087297C">
        <w:rPr>
          <w:lang w:val="ru-RU"/>
        </w:rPr>
        <w:t>彼得前书</w:t>
      </w:r>
      <w:r w:rsidR="00D85B34" w:rsidRPr="00794712">
        <w:rPr>
          <w:lang w:val="ru-RU"/>
        </w:rPr>
        <w:t xml:space="preserve"> </w:t>
      </w:r>
      <w:r w:rsidR="00D85B34" w:rsidRPr="00794712">
        <w:rPr>
          <w:lang w:val="ru-RU"/>
        </w:rPr>
        <w:lastRenderedPageBreak/>
        <w:t>2</w:t>
      </w:r>
      <w:r w:rsidR="00D85B34">
        <w:rPr>
          <w:lang w:val="ru-RU"/>
        </w:rPr>
        <w:t>:</w:t>
      </w:r>
      <w:r w:rsidR="00D85B34" w:rsidRPr="00794712">
        <w:rPr>
          <w:lang w:val="ru-RU"/>
        </w:rPr>
        <w:t>24），并教导说：</w:t>
      </w:r>
      <w:r w:rsidR="00D85B34" w:rsidRPr="006E13EB">
        <w:rPr>
          <w:i/>
          <w:iCs/>
          <w:lang w:val="ru-RU"/>
        </w:rPr>
        <w:t>“基督爱我们，为我们把自己献给神，作为馨香的祭……他爱教会，为教会舍己”</w:t>
      </w:r>
      <w:r w:rsidR="00D85B34" w:rsidRPr="00794712">
        <w:rPr>
          <w:lang w:val="ru-RU"/>
        </w:rPr>
        <w:t>（以弗所书 5</w:t>
      </w:r>
      <w:r w:rsidR="00D85B34" w:rsidRPr="006E13EB">
        <w:rPr>
          <w:lang w:val="ru-RU"/>
        </w:rPr>
        <w:t>:</w:t>
      </w:r>
      <w:r w:rsidR="00D85B34" w:rsidRPr="00794712">
        <w:rPr>
          <w:lang w:val="ru-RU"/>
        </w:rPr>
        <w:t>2）。</w:t>
      </w:r>
    </w:p>
    <w:p w14:paraId="3E9F6092" w14:textId="77777777" w:rsidR="00D85B34" w:rsidRPr="00794712" w:rsidRDefault="00F45CFB" w:rsidP="00D85B34">
      <w:pPr>
        <w:ind w:firstLine="708"/>
        <w:rPr>
          <w:lang w:val="ru-RU"/>
        </w:rPr>
      </w:pPr>
      <w:r w:rsidRPr="00F45CFB">
        <w:rPr>
          <w:b/>
          <w:lang w:val="ru-RU"/>
        </w:rPr>
        <w:t>4)</w:t>
      </w:r>
      <w:r w:rsidR="00D85B34" w:rsidRPr="00794712">
        <w:rPr>
          <w:lang w:val="ru-RU"/>
        </w:rPr>
        <w:t xml:space="preserve"> 主耶稣借着祂的受难与死亡，为我们向神的公义付上了赎价，这赎价不仅完全、充分地偿还了我们的债务，而且远超所需；因此，祂不仅救赎了我们脱离罪恶，更为我们赢得了永恒的福分。</w:t>
      </w:r>
    </w:p>
    <w:p w14:paraId="03488D05"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主耶稣为我们的债务付上了完全且充分的代价。 我们在神面前的这一债务，在于我们没有遵行本应遵行的祂的旨意，并因自己的悖逆无穷无尽地冒犯了我们的造物主，因此被祂定罪，必受苦难与死亡——这是罪不可避免的后果，也是对罪的公义报应，正如圣经所言： </w:t>
      </w:r>
      <w:r w:rsidRPr="00A36879">
        <w:rPr>
          <w:i/>
          <w:iCs/>
          <w:lang w:val="ru-RU"/>
        </w:rPr>
        <w:t>“罪既已犯，就生出死来”</w:t>
      </w:r>
      <w:r w:rsidRPr="00794712">
        <w:rPr>
          <w:lang w:val="ru-RU"/>
        </w:rPr>
        <w:t>（雅各书 1</w:t>
      </w:r>
      <w:r w:rsidRPr="00A36879">
        <w:rPr>
          <w:lang w:val="ru-RU"/>
        </w:rPr>
        <w:t>:</w:t>
      </w:r>
      <w:r w:rsidRPr="00794712">
        <w:rPr>
          <w:lang w:val="ru-RU"/>
        </w:rPr>
        <w:t>15）；</w:t>
      </w:r>
      <w:r w:rsidRPr="00A36879">
        <w:rPr>
          <w:i/>
          <w:iCs/>
          <w:lang w:val="ru-RU"/>
        </w:rPr>
        <w:t>“罪的工价就是死”</w:t>
      </w:r>
      <w:r w:rsidRPr="00794712">
        <w:rPr>
          <w:lang w:val="ru-RU"/>
        </w:rPr>
        <w:t>（罗马书 6</w:t>
      </w:r>
      <w:r w:rsidRPr="00A36879">
        <w:rPr>
          <w:lang w:val="ru-RU"/>
        </w:rPr>
        <w:t>:</w:t>
      </w:r>
      <w:r w:rsidRPr="00794712">
        <w:rPr>
          <w:lang w:val="ru-RU"/>
        </w:rPr>
        <w:t>23； 创世记 2</w:t>
      </w:r>
      <w:r w:rsidRPr="00A36879">
        <w:rPr>
          <w:lang w:val="ru-RU"/>
        </w:rPr>
        <w:t>:</w:t>
      </w:r>
      <w:r w:rsidRPr="00794712">
        <w:rPr>
          <w:lang w:val="ru-RU"/>
        </w:rPr>
        <w:t>17）。但主耶稣在祂整个地上的一生中，特别是通过十字架上的受难与死亡，完全且彻底地为我们成就了神的旨意；那时，祂的自我牺牲、谦卑以及顺服天父的旨意都达到了至高无上的境界</w:t>
      </w:r>
      <w:r w:rsidR="001973A6">
        <w:rPr>
          <w:lang w:val="ru-RU"/>
        </w:rPr>
        <w:t>（腓立比书</w:t>
      </w:r>
      <w:r w:rsidRPr="00794712">
        <w:rPr>
          <w:lang w:val="ru-RU"/>
        </w:rPr>
        <w:t xml:space="preserve"> 2</w:t>
      </w:r>
      <w:r w:rsidRPr="00A36879">
        <w:rPr>
          <w:lang w:val="ru-RU"/>
        </w:rPr>
        <w:t>:</w:t>
      </w:r>
      <w:r w:rsidRPr="00794712">
        <w:rPr>
          <w:lang w:val="ru-RU"/>
        </w:rPr>
        <w:t xml:space="preserve">8）； 祂为我们全然且完全地取悦了我们的造物主；祂为我们全然且完全地承受了我们因一切罪孽所应得的苦难与死亡。因为虽然祂按着人性为我们受苦并死去，但这人性在受苦之时仍与祂的神性不可分割地联合在一起，正是道成肉身之神的独有人性。 虽然祂独自为整个人类——其中包含数百万的人——受苦并死去；但祂是神圣的位格，不仅所有的人，甚至所有受造物加起来，在尊贵上都无法与祂相提并论。 虽然祂为我们成就了神的旨意，且仅在三十三年半的时间里顺服了神；虽然祂为我们受苦并死了一次； 但作为神圣位格，祂对上帝旨意的这种顺服，以及祂所经历的苦难与死亡，无疑能够 抵消我们无数次违背上帝旨意的行为，以及我们所有数不胜数的苦难与死亡——无论是暂时的还是永恒的。 上帝不可能对这为我们的罪所献的牺牲感到不满意：因为作出赎罪的正是上帝 </w:t>
      </w:r>
      <w:r w:rsidR="00336C89" w:rsidRPr="00336C89">
        <w:rPr>
          <w:lang w:val="ru-RU"/>
        </w:rPr>
        <w:t>[</w:t>
      </w:r>
      <w:r w:rsidRPr="00794712">
        <w:rPr>
          <w:lang w:val="ru-RU"/>
        </w:rPr>
        <w:t>(希伯来书 5</w:t>
      </w:r>
      <w:r w:rsidRPr="00A36879">
        <w:rPr>
          <w:lang w:val="ru-RU"/>
        </w:rPr>
        <w:t>:</w:t>
      </w:r>
      <w:r w:rsidRPr="00794712">
        <w:rPr>
          <w:lang w:val="ru-RU"/>
        </w:rPr>
        <w:t>8-10</w:t>
      </w:r>
      <w:r w:rsidR="00336C89" w:rsidRPr="00336C89">
        <w:rPr>
          <w:lang w:val="ru-RU"/>
        </w:rPr>
        <w:t>)</w:t>
      </w:r>
      <w:r w:rsidRPr="00794712">
        <w:rPr>
          <w:lang w:val="ru-RU"/>
        </w:rPr>
        <w:t>；</w:t>
      </w:r>
      <w:r w:rsidR="00336C89" w:rsidRPr="00336C89">
        <w:rPr>
          <w:rFonts w:cs="Cambria Math"/>
          <w:lang w:val="ru-RU"/>
        </w:rPr>
        <w:t>(</w:t>
      </w:r>
      <w:r w:rsidR="00336C89" w:rsidRPr="00794712">
        <w:rPr>
          <w:lang w:val="ru-RU"/>
        </w:rPr>
        <w:t>希伯来书</w:t>
      </w:r>
      <w:r w:rsidRPr="00794712">
        <w:rPr>
          <w:lang w:val="ru-RU"/>
        </w:rPr>
        <w:t xml:space="preserve"> 9</w:t>
      </w:r>
      <w:r w:rsidRPr="00A36879">
        <w:rPr>
          <w:lang w:val="ru-RU"/>
        </w:rPr>
        <w:t>:</w:t>
      </w:r>
      <w:r w:rsidRPr="00794712">
        <w:rPr>
          <w:lang w:val="ru-RU"/>
        </w:rPr>
        <w:t>27-28</w:t>
      </w:r>
      <w:r w:rsidR="00336C89" w:rsidRPr="00336C89">
        <w:rPr>
          <w:lang w:val="ru-RU"/>
        </w:rPr>
        <w:t>)</w:t>
      </w:r>
      <w:r w:rsidRPr="00794712">
        <w:rPr>
          <w:lang w:val="ru-RU"/>
        </w:rPr>
        <w:t>；</w:t>
      </w:r>
      <w:r w:rsidR="00336C89" w:rsidRPr="00336C89">
        <w:rPr>
          <w:rFonts w:cs="Cambria Math"/>
          <w:lang w:val="ru-RU"/>
        </w:rPr>
        <w:t>(</w:t>
      </w:r>
      <w:r w:rsidR="00336C89">
        <w:rPr>
          <w:rFonts w:cs="Cambria Math"/>
          <w:lang w:val="ru-RU"/>
        </w:rPr>
        <w:t>希伯来书</w:t>
      </w:r>
      <w:r w:rsidRPr="00794712">
        <w:rPr>
          <w:lang w:val="ru-RU"/>
        </w:rPr>
        <w:t xml:space="preserve"> 10</w:t>
      </w:r>
      <w:r w:rsidRPr="00A36879">
        <w:rPr>
          <w:lang w:val="ru-RU"/>
        </w:rPr>
        <w:t>:</w:t>
      </w:r>
      <w:r w:rsidRPr="00794712">
        <w:rPr>
          <w:lang w:val="ru-RU"/>
        </w:rPr>
        <w:t>12-14)</w:t>
      </w:r>
      <w:r w:rsidR="00336C89" w:rsidRPr="00336C89">
        <w:rPr>
          <w:lang w:val="ru-RU"/>
        </w:rPr>
        <w:t>]</w:t>
      </w:r>
      <w:r w:rsidRPr="00794712">
        <w:rPr>
          <w:lang w:val="ru-RU"/>
        </w:rPr>
        <w:t>。 许多圣父和教会导师都表达并阐释了这些思想，例如：</w:t>
      </w:r>
    </w:p>
    <w:p w14:paraId="1156B357" w14:textId="77777777" w:rsidR="00D85B34" w:rsidRPr="00794712" w:rsidRDefault="00D85B34" w:rsidP="00D85B34">
      <w:pPr>
        <w:rPr>
          <w:lang w:val="ru-RU"/>
        </w:rPr>
      </w:pPr>
      <w:r w:rsidRPr="00794712">
        <w:rPr>
          <w:lang w:val="ru-RU"/>
        </w:rPr>
        <w:tab/>
        <w:t>那位写下《致迪奥尼修斯书》的使徒； “神将祂自己的儿子交出来，作为我们的赎价（</w:t>
      </w:r>
      <w:r w:rsidRPr="00AA0891">
        <w:t>λοτρον</w:t>
      </w:r>
      <w:r w:rsidRPr="00794712">
        <w:rPr>
          <w:lang w:val="ru-RU"/>
        </w:rPr>
        <w:t>），将圣者交为不义之人的赎价，将义者交为不义之人的赎价，将无辜者交为有罪之人的赎价，将不朽者交为必朽之人的赎价，将不死者交为必死之人的赎价。因为除了祂的义，还有什么能遮盖我们的罪呢？</w:t>
      </w:r>
    </w:p>
    <w:p w14:paraId="462ABEC3" w14:textId="77777777" w:rsidR="00D85B34" w:rsidRPr="00794712" w:rsidRDefault="00D85B34" w:rsidP="00D85B34">
      <w:pPr>
        <w:rPr>
          <w:lang w:val="ru-RU"/>
        </w:rPr>
      </w:pPr>
      <w:r w:rsidRPr="00794712">
        <w:rPr>
          <w:lang w:val="ru-RU"/>
        </w:rPr>
        <w:tab/>
        <w:t>除了独一的上帝之子，还有谁能使我们这些不法之人称义</w:t>
      </w:r>
      <w:r w:rsidRPr="00A36879">
        <w:rPr>
          <w:lang w:val="ru-RU"/>
        </w:rPr>
        <w:t>呢？</w:t>
      </w:r>
      <w:r>
        <w:rPr>
          <w:lang w:val="ru-RU"/>
        </w:rPr>
        <w:t>”</w:t>
      </w:r>
      <w:r w:rsidR="00FF2DD0">
        <w:rPr>
          <w:rStyle w:val="FootnoteReference"/>
          <w:lang w:val="ru-RU"/>
        </w:rPr>
        <w:footnoteReference w:id="359"/>
      </w:r>
    </w:p>
    <w:p w14:paraId="70E52B7C" w14:textId="77777777" w:rsidR="00D85B34" w:rsidRPr="00794712" w:rsidRDefault="00D85B34" w:rsidP="00D85B34">
      <w:pPr>
        <w:rPr>
          <w:lang w:val="ru-RU"/>
        </w:rPr>
      </w:pPr>
      <w:r w:rsidRPr="00794712">
        <w:rPr>
          <w:lang w:val="ru-RU"/>
        </w:rPr>
        <w:tab/>
        <w:t>圣爱任纽：“在第一亚当里，我们因未遵守祂的诫命而触怒了（上帝）；而在第二亚当里，我们又因顺服祂甚至至死，而与祂和好。因为我们所欠的债，除了那位我们在起初违背了祂诫命的，别无他人。</w:t>
      </w:r>
      <w:r>
        <w:rPr>
          <w:lang w:val="ru-RU"/>
        </w:rPr>
        <w:t>”</w:t>
      </w:r>
      <w:r w:rsidR="00FF2DD0">
        <w:rPr>
          <w:rStyle w:val="FootnoteReference"/>
          <w:lang w:val="ru-RU"/>
        </w:rPr>
        <w:footnoteReference w:id="360"/>
      </w:r>
    </w:p>
    <w:p w14:paraId="22C21C6D" w14:textId="77777777" w:rsidR="00D85B34" w:rsidRPr="00794712" w:rsidRDefault="00D85B34" w:rsidP="00D85B34">
      <w:pPr>
        <w:rPr>
          <w:lang w:val="ru-RU"/>
        </w:rPr>
      </w:pPr>
      <w:r w:rsidRPr="00794712">
        <w:rPr>
          <w:lang w:val="ru-RU"/>
        </w:rPr>
        <w:tab/>
        <w:t xml:space="preserve">圣基里尔·耶路撒冷：“我们因罪而成为仇敌；而上帝已定罪人必死。那么，这两者中该如何抉择：是按公义处死罪人，还是出于仁爱而违背定旨？但请留意上帝的智慧：祂既保全了定旨的真理，也彰显了仁爱的力量。 </w:t>
      </w:r>
      <w:r w:rsidRPr="00A36879">
        <w:rPr>
          <w:i/>
          <w:iCs/>
          <w:lang w:val="ru-RU"/>
        </w:rPr>
        <w:t>“祂亲自用自己的身体将我们的罪担在十字架上，使我们脱离罪恶，为要使我们活出公义”</w:t>
      </w:r>
      <w:r w:rsidRPr="00794712">
        <w:rPr>
          <w:lang w:val="ru-RU"/>
        </w:rPr>
        <w:t>（</w:t>
      </w:r>
      <w:r w:rsidR="0087297C">
        <w:rPr>
          <w:lang w:val="ru-RU"/>
        </w:rPr>
        <w:t>彼得前书</w:t>
      </w:r>
      <w:r w:rsidRPr="00794712">
        <w:rPr>
          <w:lang w:val="ru-RU"/>
        </w:rPr>
        <w:t xml:space="preserve"> </w:t>
      </w:r>
      <w:r w:rsidRPr="00794712">
        <w:rPr>
          <w:lang w:val="ru-RU"/>
        </w:rPr>
        <w:lastRenderedPageBreak/>
        <w:t>2</w:t>
      </w:r>
      <w:r w:rsidRPr="00A36879">
        <w:rPr>
          <w:lang w:val="ru-RU"/>
        </w:rPr>
        <w:t>:</w:t>
      </w:r>
      <w:r w:rsidRPr="00794712">
        <w:rPr>
          <w:lang w:val="ru-RU"/>
        </w:rPr>
        <w:t>24）。</w:t>
      </w:r>
      <w:r w:rsidR="009F28D2">
        <w:rPr>
          <w:rStyle w:val="FootnoteReference"/>
          <w:lang w:val="ru-RU"/>
        </w:rPr>
        <w:footnoteReference w:id="361"/>
      </w:r>
      <w:r w:rsidRPr="00794712">
        <w:rPr>
          <w:lang w:val="ru-RU"/>
        </w:rPr>
        <w:t xml:space="preserve"> “不要惊讶于整个</w:t>
      </w:r>
      <w:r>
        <w:rPr>
          <w:lang w:val="ru-RU"/>
        </w:rPr>
        <w:t>世界</w:t>
      </w:r>
      <w:r w:rsidRPr="00794712">
        <w:rPr>
          <w:lang w:val="ru-RU"/>
        </w:rPr>
        <w:t>都得到了救赎：因为那位为</w:t>
      </w:r>
      <w:r>
        <w:rPr>
          <w:lang w:val="ru-RU"/>
        </w:rPr>
        <w:t>世界</w:t>
      </w:r>
      <w:r w:rsidRPr="00794712">
        <w:rPr>
          <w:lang w:val="ru-RU"/>
        </w:rPr>
        <w:t>而死的人，并非普通人，而是上帝的独生子。 亚当这一人的罪，足以使世界陷入死亡。既然</w:t>
      </w:r>
      <w:r w:rsidRPr="00C201FE">
        <w:rPr>
          <w:lang w:val="ru-RU"/>
        </w:rPr>
        <w:t>因一人的过犯</w:t>
      </w:r>
      <w:r w:rsidRPr="00794712">
        <w:rPr>
          <w:lang w:val="ru-RU"/>
        </w:rPr>
        <w:t>（罗5</w:t>
      </w:r>
      <w:r w:rsidRPr="00C201FE">
        <w:rPr>
          <w:lang w:val="ru-RU"/>
        </w:rPr>
        <w:t>:</w:t>
      </w:r>
      <w:r w:rsidR="001B763B" w:rsidRPr="001F503F">
        <w:rPr>
          <w:bCs/>
          <w:lang w:val="ru-RU"/>
        </w:rPr>
        <w:t>17）</w:t>
      </w:r>
      <w:r w:rsidRPr="00794712">
        <w:rPr>
          <w:lang w:val="ru-RU"/>
        </w:rPr>
        <w:t>，死亡在世界上作了王</w:t>
      </w:r>
      <w:r>
        <w:rPr>
          <w:lang w:val="ru-RU"/>
        </w:rPr>
        <w:t>——</w:t>
      </w:r>
      <w:r w:rsidRPr="00794712">
        <w:rPr>
          <w:lang w:val="ru-RU"/>
        </w:rPr>
        <w:t>那么，因那一位的义，生命岂不更要作王吗？ 既然当年因吃那树上的果子而被逐出乐园，那么如今信徒岂不更容易借着耶稣这棵树进入乐园吗？既然最初由尘土所造的人带来了普世的死亡，那么那位用尘土创造他、且自己就是生命的神，岂不能赐下永生吗？ 如果非尼哈因嫉妒而杀死那个作恶的人，从而平息了神的忿怒</w:t>
      </w:r>
      <w:r w:rsidR="009F28D2">
        <w:rPr>
          <w:lang w:val="ru-RU"/>
        </w:rPr>
        <w:t>（民</w:t>
      </w:r>
      <w:r w:rsidRPr="00794712">
        <w:rPr>
          <w:lang w:val="ru-RU"/>
        </w:rPr>
        <w:t>数记25</w:t>
      </w:r>
      <w:r w:rsidRPr="00C201FE">
        <w:rPr>
          <w:lang w:val="ru-RU"/>
        </w:rPr>
        <w:t>:</w:t>
      </w:r>
      <w:r w:rsidRPr="00794712">
        <w:rPr>
          <w:lang w:val="ru-RU"/>
        </w:rPr>
        <w:t>8）：那么耶稣，并非杀死他人，而是将自己献上作为赎价，难道不能</w:t>
      </w:r>
      <w:r>
        <w:rPr>
          <w:lang w:val="ru-RU"/>
        </w:rPr>
        <w:t>平息</w:t>
      </w:r>
      <w:r w:rsidRPr="00794712">
        <w:rPr>
          <w:lang w:val="ru-RU"/>
        </w:rPr>
        <w:t>对人类的忿怒</w:t>
      </w:r>
      <w:r>
        <w:rPr>
          <w:lang w:val="ru-RU"/>
        </w:rPr>
        <w:t>吗？”</w:t>
      </w:r>
      <w:r w:rsidR="009F28D2">
        <w:rPr>
          <w:lang w:val="ru-RU"/>
        </w:rPr>
        <w:t>（提摩太后书2:6）。</w:t>
      </w:r>
      <w:r w:rsidR="009F28D2">
        <w:rPr>
          <w:rStyle w:val="FootnoteReference"/>
          <w:lang w:val="ru-RU"/>
        </w:rPr>
        <w:footnoteReference w:id="362"/>
      </w:r>
    </w:p>
    <w:p w14:paraId="0BC93620" w14:textId="77777777" w:rsidR="00D85B34" w:rsidRPr="00794712" w:rsidRDefault="00D85B34" w:rsidP="00D85B34">
      <w:pPr>
        <w:rPr>
          <w:lang w:val="ru-RU"/>
        </w:rPr>
      </w:pPr>
      <w:r w:rsidRPr="00794712">
        <w:rPr>
          <w:lang w:val="ru-RU"/>
        </w:rPr>
        <w:tab/>
        <w:t>大圣亚法纳西：“既然最终所有的人都必须偿还自己的债务（而这笔债务在于，所有的人都该死，这正是耶稣基督降临人间的首要原因）： 因此，祂通过自己的作为证明了自己的神性，最终为全人类献上了牺牲，将自己身体的圣殿交于死亡，以便借此一方面使所有人免于罪责，从古老的罪孽中得释放；另一方面——彰显自己作为死亡的征服者，并使自己身体的不朽成为普世复活的开端……死亡是必要的； 为全人类而死是必然的，因为必须偿还压在全人类身上的共同债务。为此，按其本性本是永生的道，取了必死的肉身，以便将其作为自己的肉身，为全人类献上为祭，并借着这肉身为众人承受死亡</w:t>
      </w:r>
      <w:r>
        <w:rPr>
          <w:lang w:val="ru-RU"/>
        </w:rPr>
        <w:t>。”</w:t>
      </w:r>
      <w:r w:rsidR="009F28D2">
        <w:rPr>
          <w:rStyle w:val="FootnoteReference"/>
          <w:lang w:val="ru-RU"/>
        </w:rPr>
        <w:footnoteReference w:id="363"/>
      </w:r>
    </w:p>
    <w:p w14:paraId="412E29C4" w14:textId="77777777" w:rsidR="00D85B34" w:rsidRPr="00794712" w:rsidRDefault="00D85B34" w:rsidP="00D85B34">
      <w:pPr>
        <w:rPr>
          <w:lang w:val="ru-RU"/>
        </w:rPr>
      </w:pPr>
      <w:r w:rsidRPr="00794712">
        <w:rPr>
          <w:lang w:val="ru-RU"/>
        </w:rPr>
        <w:tab/>
        <w:t>圣格里高利·神学家：“我们每一项债务都由那位高过我们者分别偿还；一个新的奥秘由此显明——上帝对因悖逆而堕落之人的仁爱眷顾。 为此有童贞女的诞生，为此有马槽与伯利恒；诞生代替受造，童贞女代替妻子，伯利恒代替伊甸园，马槽代替乐园，微小可见之物代替伟大隐秘之物…… 为此，耶稣接受洗礼和来自上天的见证；为此，他禁食，经历试探，并战胜了那得胜者。为此，恶魔被驱逐，疾病得医治，传道的伟大使命托付给微小之人，并由他们成就……为此，树换树，手换手； 那勇敢张开的手，为那放纵张开的手；那被钉在十字架上的手，为那任性的手；那将世界两端合而为一的手，为那将亚当逐出乐园的手（ ）。为此，被钉上十字架是为那堕落，苦胆是为那品尝，荆棘冠冕是为那微薄的统治，死亡是为那死亡</w:t>
      </w:r>
      <w:r>
        <w:rPr>
          <w:lang w:val="ru-RU"/>
        </w:rPr>
        <w:t>。”</w:t>
      </w:r>
      <w:r w:rsidR="00372947">
        <w:rPr>
          <w:rStyle w:val="FootnoteReference"/>
          <w:lang w:val="ru-RU"/>
        </w:rPr>
        <w:footnoteReference w:id="364"/>
      </w:r>
    </w:p>
    <w:p w14:paraId="23050A43" w14:textId="77777777" w:rsidR="00D85B34" w:rsidRPr="00794712" w:rsidRDefault="00D85B34" w:rsidP="00D85B34">
      <w:pPr>
        <w:rPr>
          <w:lang w:val="ru-RU"/>
        </w:rPr>
      </w:pPr>
      <w:r w:rsidRPr="00794712">
        <w:rPr>
          <w:lang w:val="ru-RU"/>
        </w:rPr>
        <w:tab/>
        <w:t>亚历山大的克利门特、</w:t>
      </w:r>
      <w:r w:rsidR="00372947">
        <w:rPr>
          <w:rStyle w:val="FootnoteReference"/>
          <w:lang w:val="ru-RU"/>
        </w:rPr>
        <w:footnoteReference w:id="365"/>
      </w:r>
      <w:r w:rsidRPr="00794712">
        <w:rPr>
          <w:lang w:val="ru-RU"/>
        </w:rPr>
        <w:t xml:space="preserve"> 安布罗斯、</w:t>
      </w:r>
      <w:r w:rsidR="00372947">
        <w:rPr>
          <w:rStyle w:val="FootnoteReference"/>
          <w:lang w:val="ru-RU"/>
        </w:rPr>
        <w:footnoteReference w:id="366"/>
      </w:r>
      <w:r w:rsidRPr="00794712">
        <w:rPr>
          <w:lang w:val="ru-RU"/>
        </w:rPr>
        <w:t xml:space="preserve"> 尼西亚的格里高利、</w:t>
      </w:r>
      <w:r w:rsidR="00372947">
        <w:rPr>
          <w:rStyle w:val="FootnoteReference"/>
          <w:lang w:val="ru-RU"/>
        </w:rPr>
        <w:footnoteReference w:id="367"/>
      </w:r>
      <w:r w:rsidRPr="00794712">
        <w:rPr>
          <w:lang w:val="ru-RU"/>
        </w:rPr>
        <w:t xml:space="preserve"> 约翰·金口、</w:t>
      </w:r>
      <w:r w:rsidR="00372947">
        <w:rPr>
          <w:rStyle w:val="FootnoteReference"/>
          <w:lang w:val="ru-RU"/>
        </w:rPr>
        <w:footnoteReference w:id="368"/>
      </w:r>
      <w:r w:rsidRPr="00794712">
        <w:rPr>
          <w:lang w:val="ru-RU"/>
        </w:rPr>
        <w:t xml:space="preserve"> 奥古斯丁</w:t>
      </w:r>
      <w:r w:rsidR="00372947">
        <w:rPr>
          <w:rStyle w:val="FootnoteReference"/>
          <w:lang w:val="ru-RU"/>
        </w:rPr>
        <w:footnoteReference w:id="369"/>
      </w:r>
      <w:r w:rsidRPr="00794712">
        <w:rPr>
          <w:lang w:val="ru-RU"/>
        </w:rPr>
        <w:t xml:space="preserve"> 等人也持同样观点。</w:t>
      </w:r>
      <w:r w:rsidR="00372947">
        <w:rPr>
          <w:rStyle w:val="FootnoteReference"/>
          <w:lang w:val="ru-RU"/>
        </w:rPr>
        <w:footnoteReference w:id="370"/>
      </w:r>
    </w:p>
    <w:p w14:paraId="13677FD0"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主耶稣为我们付出了远超所需的代价。 因为无论全人类的罪孽多么巨大、多么众多，但它们在性质和数量上终究是有限的；而耶稣基督——这位神圣且无限之位格——的自我牺牲、受难与死亡，在永恒公义的审判面前，无论从哪个方面来看，都必然具有无穷无尽的价值</w:t>
      </w:r>
      <w:r w:rsidRPr="00794712">
        <w:rPr>
          <w:lang w:val="ru-RU"/>
        </w:rPr>
        <w:lastRenderedPageBreak/>
        <w:t>。 因此，无论我们的罪过对至高无上的神所造成的冒犯多么巨大、多么深重，但耶稣基督为这些罪所作的赎罪，却要大得多。正因如此，祂不仅用自己无价的宝血完全偿清了我们的债务，更借此为我们赎买了、赢得了永恒的福分。 圣使徒清楚地宣讲了这一真理，他说：</w:t>
      </w:r>
      <w:r w:rsidRPr="00312162">
        <w:rPr>
          <w:i/>
          <w:iCs/>
          <w:lang w:val="ru-RU"/>
        </w:rPr>
        <w:t>“若因一人的过犯，许多人便死了，那么，更何况上帝的恩典，以及因那一位人——耶稣基督——的恩典所赐的恩赐，岂不更丰盛地临到许多人</w:t>
      </w:r>
      <w:r>
        <w:rPr>
          <w:i/>
          <w:iCs/>
          <w:lang w:val="ru-RU"/>
        </w:rPr>
        <w:t xml:space="preserve">…… </w:t>
      </w:r>
      <w:r w:rsidRPr="00794712">
        <w:rPr>
          <w:lang w:val="ru-RU"/>
        </w:rPr>
        <w:t xml:space="preserve"> </w:t>
      </w:r>
      <w:r w:rsidRPr="00742655">
        <w:rPr>
          <w:i/>
          <w:iCs/>
          <w:lang w:val="ru-RU"/>
        </w:rPr>
        <w:t xml:space="preserve">因为若因一人的过犯，死就借着那一人作了王，那么，那些领受丰盛恩典和义之恩赐的人，就更要因那一位耶稣基督在生命中作王了” </w:t>
      </w:r>
      <w:r w:rsidRPr="00794712">
        <w:rPr>
          <w:lang w:val="ru-RU"/>
        </w:rPr>
        <w:t>[(罗 5</w:t>
      </w:r>
      <w:r w:rsidRPr="00742655">
        <w:rPr>
          <w:lang w:val="ru-RU"/>
        </w:rPr>
        <w:t>:</w:t>
      </w:r>
      <w:r w:rsidRPr="00794712">
        <w:rPr>
          <w:lang w:val="ru-RU"/>
        </w:rPr>
        <w:t>15-17</w:t>
      </w:r>
      <w:r w:rsidR="00336C89">
        <w:rPr>
          <w:lang w:val="ru-RU"/>
        </w:rPr>
        <w:t>)</w:t>
      </w:r>
      <w:r w:rsidRPr="00794712">
        <w:rPr>
          <w:lang w:val="ru-RU"/>
        </w:rPr>
        <w:t>；</w:t>
      </w:r>
      <w:r w:rsidR="00336C89">
        <w:rPr>
          <w:lang w:val="ru-RU"/>
        </w:rPr>
        <w:t>(罗</w:t>
      </w:r>
      <w:r w:rsidRPr="00794712">
        <w:rPr>
          <w:lang w:val="ru-RU"/>
        </w:rPr>
        <w:t xml:space="preserve"> 8</w:t>
      </w:r>
      <w:r w:rsidRPr="00742655">
        <w:rPr>
          <w:lang w:val="ru-RU"/>
        </w:rPr>
        <w:t>:</w:t>
      </w:r>
      <w:r w:rsidRPr="00794712">
        <w:rPr>
          <w:lang w:val="ru-RU"/>
        </w:rPr>
        <w:t>32)</w:t>
      </w:r>
      <w:r w:rsidR="00336C89" w:rsidRPr="00336C89">
        <w:rPr>
          <w:lang w:val="ru-RU"/>
        </w:rPr>
        <w:t>]</w:t>
      </w:r>
      <w:r w:rsidRPr="00794712">
        <w:rPr>
          <w:lang w:val="ru-RU"/>
        </w:rPr>
        <w:t>。圣父们也曾如此宣讲：</w:t>
      </w:r>
    </w:p>
    <w:p w14:paraId="049F0F61" w14:textId="77777777" w:rsidR="00D85B34" w:rsidRPr="00794712" w:rsidRDefault="00D85B34" w:rsidP="00D85B34">
      <w:pPr>
        <w:rPr>
          <w:lang w:val="ru-RU"/>
        </w:rPr>
      </w:pPr>
      <w:r w:rsidRPr="00794712">
        <w:rPr>
          <w:lang w:val="ru-RU"/>
        </w:rPr>
        <w:tab/>
        <w:t>耶路撒冷的圣西里尔：“为我们而死的那位绝非微不足道；那羔羊并非属世的；那人并非平凡；祂不仅是天使，更是道成肉身的上帝。罪人的不法之举并不如那位为他们而死之人的公义重要。 我们所犯的罪，远不及那位为我们舍命者所成就的公义；祂在愿意之时舍弃了自己的灵魂，又在愿意之时将其收回。</w:t>
      </w:r>
      <w:r>
        <w:rPr>
          <w:lang w:val="ru-RU"/>
        </w:rPr>
        <w:t>”</w:t>
      </w:r>
      <w:r w:rsidR="00372947">
        <w:rPr>
          <w:rStyle w:val="FootnoteReference"/>
          <w:lang w:val="ru-RU"/>
        </w:rPr>
        <w:footnoteReference w:id="371"/>
      </w:r>
    </w:p>
    <w:p w14:paraId="651DB448" w14:textId="77777777" w:rsidR="00D85B34" w:rsidRPr="00794712" w:rsidRDefault="00D85B34" w:rsidP="00D85B34">
      <w:pPr>
        <w:rPr>
          <w:lang w:val="ru-RU"/>
        </w:rPr>
      </w:pPr>
      <w:r w:rsidRPr="00794712">
        <w:rPr>
          <w:lang w:val="ru-RU"/>
        </w:rPr>
        <w:tab/>
        <w:t>圣约翰·金口：“试想，有人欠债主十个奥沃拉</w:t>
      </w:r>
      <w:r>
        <w:rPr>
          <w:lang w:val="ru-RU"/>
        </w:rPr>
        <w:t>（小钱）</w:t>
      </w:r>
      <w:r w:rsidRPr="00794712">
        <w:rPr>
          <w:lang w:val="ru-RU"/>
        </w:rPr>
        <w:t>，债主不仅将欠债人关进监狱，甚至连他的妻子、儿女和仆人都一并关押； 但另一个人来了，他不仅偿还了那十奥沃拉，还额外赠送了一万塔兰特黄金，将囚犯带进王宫，安排他坐在最尊贵的席位上，给予他无尽的荣誉和嘉奖；那时，那位出借十奥沃拉的人甚至会忘记这笔债务。我们所经历的正是如此！ 基督所付出的，远比我们所欠的要多得多；祂的偿还与我们的债务相比，就像无边无际的大海与一滴水相比。 因此，人啊，当你目睹如此丰盛的恩典时，切莫心存疑虑；当整片恩典之海倾注在死亡与罪恶的火花之上将其熄灭时，也无需好奇这火花是如何被扑灭的</w:t>
      </w:r>
      <w:r>
        <w:rPr>
          <w:lang w:val="ru-RU"/>
        </w:rPr>
        <w:t>。”</w:t>
      </w:r>
      <w:r w:rsidR="00372947">
        <w:rPr>
          <w:rStyle w:val="FootnoteReference"/>
          <w:lang w:val="ru-RU"/>
        </w:rPr>
        <w:footnoteReference w:id="372"/>
      </w:r>
    </w:p>
    <w:p w14:paraId="3F9A2944" w14:textId="77777777" w:rsidR="00D85B34" w:rsidRPr="00794712" w:rsidRDefault="00D85B34" w:rsidP="00D85B34">
      <w:pPr>
        <w:rPr>
          <w:lang w:val="ru-RU"/>
        </w:rPr>
      </w:pPr>
      <w:r w:rsidRPr="00794712">
        <w:rPr>
          <w:lang w:val="ru-RU"/>
        </w:rPr>
        <w:tab/>
        <w:t>正因如此，我们才相信，我们救主的受难与死亡不仅具有为我们赎罪、偿还债务的意义，</w:t>
      </w:r>
      <w:r w:rsidR="00372947">
        <w:rPr>
          <w:rStyle w:val="FootnoteReference"/>
          <w:lang w:val="ru-RU"/>
        </w:rPr>
        <w:footnoteReference w:id="373"/>
      </w:r>
      <w:r w:rsidRPr="00794712">
        <w:rPr>
          <w:lang w:val="ru-RU"/>
        </w:rPr>
        <w:t xml:space="preserve"> ，更具有在永恒公义的审判面前最伟大的功德，正因 ，上帝</w:t>
      </w:r>
      <w:r>
        <w:rPr>
          <w:lang w:val="ru-RU"/>
        </w:rPr>
        <w:t>将一切恩赐都赐予了</w:t>
      </w:r>
      <w:r w:rsidRPr="00794712">
        <w:rPr>
          <w:lang w:val="ru-RU"/>
        </w:rPr>
        <w:t>我们（罗8</w:t>
      </w:r>
      <w:r>
        <w:rPr>
          <w:lang w:val="ru-RU"/>
        </w:rPr>
        <w:t>:</w:t>
      </w:r>
      <w:r w:rsidRPr="00794712">
        <w:rPr>
          <w:lang w:val="ru-RU"/>
        </w:rPr>
        <w:t>32）。 或者，用东正教教理问答的话来说：“祂（即耶稣</w:t>
      </w:r>
      <w:r w:rsidR="00A95A76" w:rsidRPr="001F503F">
        <w:rPr>
          <w:lang w:val="ru-RU"/>
        </w:rPr>
        <w:t>基督）</w:t>
      </w:r>
      <w:r w:rsidRPr="00794712">
        <w:rPr>
          <w:lang w:val="ru-RU"/>
        </w:rPr>
        <w:t>为我们自愿承受的苦难和十字架上的死亡，作为无罪的、兼具神性与人性者，具有无穷的价值和尊严， 既是对因罪而定我们死罪的上帝公义的完全满足，也是无与伦比的功绩，使祂有权在不冒犯公义的前提</w:t>
      </w:r>
      <w:r w:rsidRPr="00794712">
        <w:rPr>
          <w:lang w:val="ru-RU"/>
        </w:rPr>
        <w:lastRenderedPageBreak/>
        <w:t>下，赐予我们这些罪人罪的赦免，以及战胜罪恶与死亡</w:t>
      </w:r>
      <w:r>
        <w:rPr>
          <w:lang w:val="ru-RU"/>
        </w:rPr>
        <w:t>的恩典”</w:t>
      </w:r>
      <w:r w:rsidRPr="00794712">
        <w:rPr>
          <w:lang w:val="ru-RU"/>
        </w:rPr>
        <w:t>（</w:t>
      </w:r>
      <w:r w:rsidRPr="00AA0891">
        <w:t>第四</w:t>
      </w:r>
      <w:r w:rsidRPr="00794712">
        <w:rPr>
          <w:lang w:val="ru-RU"/>
        </w:rPr>
        <w:t>章，第54页，莫斯科，1840年）。</w:t>
      </w:r>
    </w:p>
    <w:p w14:paraId="182DD9E4" w14:textId="77777777" w:rsidR="00D85B34" w:rsidRDefault="00D85B34" w:rsidP="00D85B34">
      <w:pPr>
        <w:rPr>
          <w:lang w:val="ru-RU"/>
        </w:rPr>
      </w:pPr>
    </w:p>
    <w:p w14:paraId="320CBE8B" w14:textId="77777777" w:rsidR="00D85B34" w:rsidRPr="00794712" w:rsidRDefault="00D85B34" w:rsidP="007B240B">
      <w:pPr>
        <w:pStyle w:val="Heading5"/>
        <w:rPr>
          <w:lang w:val="ru-RU"/>
        </w:rPr>
      </w:pPr>
      <w:bookmarkStart w:id="304" w:name="_Toc133155588"/>
      <w:bookmarkStart w:id="305" w:name="_Toc180664601"/>
      <w:bookmarkStart w:id="306" w:name="_Toc180679222"/>
      <w:bookmarkStart w:id="307" w:name="_Toc180679279"/>
      <w:bookmarkStart w:id="308" w:name="_Toc180679802"/>
      <w:bookmarkStart w:id="309" w:name="_Toc238453685"/>
      <w:bookmarkStart w:id="310" w:name="_Toc238576501"/>
      <w:r w:rsidRPr="00794712">
        <w:rPr>
          <w:lang w:val="ru-RU"/>
        </w:rPr>
        <w:t>§154. 基督受难赎罪之功的广泛性</w:t>
      </w:r>
      <w:bookmarkEnd w:id="304"/>
      <w:bookmarkEnd w:id="305"/>
      <w:bookmarkEnd w:id="306"/>
      <w:bookmarkEnd w:id="307"/>
      <w:bookmarkEnd w:id="308"/>
      <w:bookmarkEnd w:id="309"/>
      <w:bookmarkEnd w:id="310"/>
    </w:p>
    <w:p w14:paraId="2DF6B59C" w14:textId="77777777" w:rsidR="00D85B34" w:rsidRPr="00794712" w:rsidRDefault="00D85B34" w:rsidP="00D85B34">
      <w:pPr>
        <w:ind w:firstLine="708"/>
        <w:rPr>
          <w:lang w:val="ru-RU"/>
        </w:rPr>
      </w:pPr>
      <w:r w:rsidRPr="00794712">
        <w:rPr>
          <w:lang w:val="ru-RU"/>
        </w:rPr>
        <w:t>救主基督在十字架上为我们献上的牺牲，是一项包罗万象的牺牲。</w:t>
      </w:r>
      <w:r w:rsidRPr="00AA0891">
        <w:t>其</w:t>
      </w:r>
      <w:r w:rsidRPr="00794712">
        <w:rPr>
          <w:lang w:val="ru-RU"/>
        </w:rPr>
        <w:t>力量与功效延伸至：</w:t>
      </w:r>
    </w:p>
    <w:p w14:paraId="6CA1F6B7" w14:textId="77777777" w:rsidR="00D85B34" w:rsidRPr="00794712" w:rsidRDefault="00F45CFB" w:rsidP="00D85B34">
      <w:pPr>
        <w:ind w:firstLine="708"/>
        <w:rPr>
          <w:lang w:val="ru-RU"/>
        </w:rPr>
      </w:pPr>
      <w:r w:rsidRPr="00F45CFB">
        <w:rPr>
          <w:b/>
          <w:lang w:val="ru-RU"/>
        </w:rPr>
        <w:t>1)</w:t>
      </w:r>
      <w:r w:rsidR="00D85B34" w:rsidRPr="00794712">
        <w:rPr>
          <w:lang w:val="ru-RU"/>
        </w:rPr>
        <w:t xml:space="preserve"> 涵盖所有的人。救主本人就是这样教导的，他说祂</w:t>
      </w:r>
      <w:r w:rsidR="00D85B34" w:rsidRPr="0054376C">
        <w:rPr>
          <w:i/>
          <w:iCs/>
          <w:lang w:val="ru-RU"/>
        </w:rPr>
        <w:t>“来是要寻找并拯救失丧的人”</w:t>
      </w:r>
      <w:r w:rsidR="00336C89" w:rsidRPr="00336C89">
        <w:rPr>
          <w:lang w:val="ru-RU"/>
        </w:rPr>
        <w:t>[</w:t>
      </w:r>
      <w:r w:rsidR="000A57C3">
        <w:rPr>
          <w:lang w:val="ru-RU"/>
        </w:rPr>
        <w:t>（太</w:t>
      </w:r>
      <w:r w:rsidR="00D85B34" w:rsidRPr="00794712">
        <w:rPr>
          <w:lang w:val="ru-RU"/>
        </w:rPr>
        <w:t>18</w:t>
      </w:r>
      <w:r w:rsidR="00D85B34">
        <w:rPr>
          <w:lang w:val="ru-RU"/>
        </w:rPr>
        <w:t>:</w:t>
      </w:r>
      <w:r w:rsidR="00D85B34" w:rsidRPr="00794712">
        <w:rPr>
          <w:lang w:val="ru-RU"/>
        </w:rPr>
        <w:t>11</w:t>
      </w:r>
      <w:r w:rsidR="00336C89" w:rsidRPr="00336C89">
        <w:rPr>
          <w:lang w:val="ru-RU"/>
        </w:rPr>
        <w:t>）</w:t>
      </w:r>
      <w:r w:rsidR="00D85B34" w:rsidRPr="00794712">
        <w:rPr>
          <w:lang w:val="ru-RU"/>
        </w:rPr>
        <w:t>；</w:t>
      </w:r>
      <w:r w:rsidR="00D85B34">
        <w:rPr>
          <w:lang w:val="ru-RU"/>
        </w:rPr>
        <w:t xml:space="preserve"> </w:t>
      </w:r>
      <w:r w:rsidR="00336C89" w:rsidRPr="00336C89">
        <w:rPr>
          <w:lang w:val="ru-RU"/>
        </w:rPr>
        <w:t>（</w:t>
      </w:r>
      <w:r w:rsidR="00336C89">
        <w:rPr>
          <w:lang w:val="ru-RU"/>
        </w:rPr>
        <w:t>太</w:t>
      </w:r>
      <w:r w:rsidR="00D85B34" w:rsidRPr="00794712">
        <w:rPr>
          <w:lang w:val="ru-RU"/>
        </w:rPr>
        <w:t>9</w:t>
      </w:r>
      <w:r w:rsidR="00D85B34">
        <w:rPr>
          <w:lang w:val="ru-RU"/>
        </w:rPr>
        <w:t>:</w:t>
      </w:r>
      <w:r w:rsidR="00D85B34" w:rsidRPr="00794712">
        <w:rPr>
          <w:lang w:val="ru-RU"/>
        </w:rPr>
        <w:t>13）</w:t>
      </w:r>
      <w:r w:rsidR="00336C89" w:rsidRPr="00336C89">
        <w:rPr>
          <w:lang w:val="ru-RU"/>
        </w:rPr>
        <w:t>]</w:t>
      </w:r>
      <w:r w:rsidR="00D85B34" w:rsidRPr="00794712">
        <w:rPr>
          <w:lang w:val="ru-RU"/>
        </w:rPr>
        <w:t>——而所有的人都属于这一类；祂将自己的身体献上，为要</w:t>
      </w:r>
      <w:r w:rsidR="00D85B34" w:rsidRPr="0054376C">
        <w:rPr>
          <w:lang w:val="ru-RU"/>
        </w:rPr>
        <w:t>赐给世界生命</w:t>
      </w:r>
      <w:r w:rsidR="005864AB">
        <w:rPr>
          <w:lang w:val="ru-RU"/>
        </w:rPr>
        <w:t>（</w:t>
      </w:r>
      <w:r w:rsidR="00D85B34" w:rsidRPr="00794712">
        <w:rPr>
          <w:lang w:val="ru-RU"/>
        </w:rPr>
        <w:t>约6</w:t>
      </w:r>
      <w:r w:rsidR="00D85B34" w:rsidRPr="00FC59FB">
        <w:rPr>
          <w:lang w:val="ru-RU"/>
        </w:rPr>
        <w:t>:</w:t>
      </w:r>
      <w:r w:rsidR="00D85B34" w:rsidRPr="00794712">
        <w:rPr>
          <w:lang w:val="ru-RU"/>
        </w:rPr>
        <w:t>51），并且</w:t>
      </w:r>
      <w:r w:rsidR="00D85B34" w:rsidRPr="00FC59FB">
        <w:rPr>
          <w:i/>
          <w:iCs/>
          <w:lang w:val="ru-RU"/>
        </w:rPr>
        <w:t>“神爱世人，甚至将祂的独生子赐给他们，叫一切信祂的，不至灭亡，反得永生”</w:t>
      </w:r>
      <w:r w:rsidR="00D85B34" w:rsidRPr="00794712">
        <w:rPr>
          <w:lang w:val="ru-RU"/>
        </w:rPr>
        <w:t xml:space="preserve"> </w:t>
      </w:r>
      <w:r w:rsidR="005864AB">
        <w:rPr>
          <w:lang w:val="ru-RU"/>
        </w:rPr>
        <w:t>（约</w:t>
      </w:r>
      <w:r w:rsidR="00D85B34" w:rsidRPr="00794712">
        <w:rPr>
          <w:lang w:val="ru-RU"/>
        </w:rPr>
        <w:t>3</w:t>
      </w:r>
      <w:r w:rsidR="00D85B34" w:rsidRPr="002538DD">
        <w:rPr>
          <w:lang w:val="ru-RU"/>
        </w:rPr>
        <w:t>:</w:t>
      </w:r>
      <w:r w:rsidR="00D85B34" w:rsidRPr="00794712">
        <w:rPr>
          <w:lang w:val="ru-RU"/>
        </w:rPr>
        <w:t>16）。圣使徒们也是这样教导的，他们称耶稣基督为：</w:t>
      </w:r>
    </w:p>
    <w:p w14:paraId="1C82AA8B"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为所有人代求。</w:t>
      </w:r>
      <w:r w:rsidRPr="00FC59FB">
        <w:rPr>
          <w:i/>
          <w:iCs/>
          <w:lang w:val="ru-RU"/>
        </w:rPr>
        <w:t xml:space="preserve">“因为这是好的，在我们的救主上帝面前蒙悦纳；祂愿意万人得救，并且明白真道。因为只有一位上帝，在上帝和人之间也只有一位中保，就是人基督耶稣，祂为赎万人而舍己” </w:t>
      </w:r>
      <w:r w:rsidR="00336C89" w:rsidRPr="00336C89">
        <w:rPr>
          <w:lang w:val="ru-RU"/>
        </w:rPr>
        <w:t>[</w:t>
      </w:r>
      <w:r w:rsidR="00621F17">
        <w:rPr>
          <w:lang w:val="ru-RU"/>
        </w:rPr>
        <w:t>(提摩太前书</w:t>
      </w:r>
      <w:r w:rsidRPr="00794712">
        <w:rPr>
          <w:lang w:val="ru-RU"/>
        </w:rPr>
        <w:t xml:space="preserve"> 2</w:t>
      </w:r>
      <w:r w:rsidRPr="00FC59FB">
        <w:rPr>
          <w:lang w:val="ru-RU"/>
        </w:rPr>
        <w:t>:</w:t>
      </w:r>
      <w:r w:rsidRPr="00794712">
        <w:rPr>
          <w:lang w:val="ru-RU"/>
        </w:rPr>
        <w:t>3-6</w:t>
      </w:r>
      <w:r w:rsidR="00336C89" w:rsidRPr="00336C89">
        <w:rPr>
          <w:lang w:val="ru-RU"/>
        </w:rPr>
        <w:t>)</w:t>
      </w:r>
      <w:r w:rsidRPr="00794712">
        <w:rPr>
          <w:lang w:val="ru-RU"/>
        </w:rPr>
        <w:t xml:space="preserve">； </w:t>
      </w:r>
      <w:r w:rsidR="00336C89" w:rsidRPr="00336C89">
        <w:rPr>
          <w:lang w:val="ru-RU"/>
        </w:rPr>
        <w:t>（</w:t>
      </w:r>
      <w:r w:rsidRPr="00794712">
        <w:rPr>
          <w:lang w:val="ru-RU"/>
        </w:rPr>
        <w:t>罗3</w:t>
      </w:r>
      <w:r w:rsidRPr="00A13C14">
        <w:rPr>
          <w:lang w:val="ru-RU"/>
        </w:rPr>
        <w:t>:</w:t>
      </w:r>
      <w:r w:rsidRPr="00794712">
        <w:rPr>
          <w:lang w:val="ru-RU"/>
        </w:rPr>
        <w:t>28-30）</w:t>
      </w:r>
      <w:r w:rsidR="00336C89" w:rsidRPr="00BD6C1B">
        <w:rPr>
          <w:lang w:val="ru-RU"/>
        </w:rPr>
        <w:t>]</w:t>
      </w:r>
      <w:r w:rsidRPr="00794712">
        <w:rPr>
          <w:lang w:val="ru-RU"/>
        </w:rPr>
        <w:t>。</w:t>
      </w:r>
    </w:p>
    <w:p w14:paraId="5BD544E0"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世界的救主。</w:t>
      </w:r>
      <w:r w:rsidRPr="00A13C14">
        <w:rPr>
          <w:i/>
          <w:iCs/>
          <w:lang w:val="ru-RU"/>
        </w:rPr>
        <w:t>“祂为我们的罪作了赎罪祭，不仅为我们的罪，也为全世界的罪”</w:t>
      </w:r>
      <w:r w:rsidR="008A3626">
        <w:rPr>
          <w:lang w:val="ru-RU"/>
        </w:rPr>
        <w:t>（约壹</w:t>
      </w:r>
      <w:r w:rsidRPr="00794712">
        <w:rPr>
          <w:lang w:val="ru-RU"/>
        </w:rPr>
        <w:t xml:space="preserve"> 2</w:t>
      </w:r>
      <w:r w:rsidRPr="00A13C14">
        <w:rPr>
          <w:lang w:val="ru-RU"/>
        </w:rPr>
        <w:t>:</w:t>
      </w:r>
      <w:r w:rsidRPr="00794712">
        <w:rPr>
          <w:lang w:val="ru-RU"/>
        </w:rPr>
        <w:t>2）。</w:t>
      </w:r>
      <w:r w:rsidRPr="00A13C14">
        <w:rPr>
          <w:i/>
          <w:iCs/>
          <w:lang w:val="ru-RU"/>
        </w:rPr>
        <w:t>“我们也看见了，并且作见证：父差遣了祂的儿子作世人的救主”</w:t>
      </w:r>
      <w:r w:rsidR="008A3626">
        <w:rPr>
          <w:lang w:val="ru-RU"/>
        </w:rPr>
        <w:t>（约壹</w:t>
      </w:r>
      <w:r w:rsidRPr="00794712">
        <w:rPr>
          <w:lang w:val="ru-RU"/>
        </w:rPr>
        <w:t xml:space="preserve"> 4</w:t>
      </w:r>
      <w:r w:rsidRPr="00A13C14">
        <w:rPr>
          <w:lang w:val="ru-RU"/>
        </w:rPr>
        <w:t>:</w:t>
      </w:r>
      <w:r w:rsidRPr="00794712">
        <w:rPr>
          <w:lang w:val="ru-RU"/>
        </w:rPr>
        <w:t>14）。</w:t>
      </w:r>
    </w:p>
    <w:p w14:paraId="1FC02FED" w14:textId="77777777" w:rsidR="00D85B34" w:rsidRPr="00794712" w:rsidRDefault="00D85B34" w:rsidP="00D85B34">
      <w:pPr>
        <w:rPr>
          <w:lang w:val="ru-RU"/>
        </w:rPr>
      </w:pPr>
    </w:p>
    <w:p w14:paraId="2AFB55D0"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为全人类而死。</w:t>
      </w:r>
      <w:r w:rsidRPr="00A13C14">
        <w:rPr>
          <w:i/>
          <w:iCs/>
          <w:lang w:val="ru-RU"/>
        </w:rPr>
        <w:t xml:space="preserve">“若有一人替众人死，众人就都死了；并且基督替众人死，是叫那些活着的人不再为自己活，乃为替他们死而复活的主活” </w:t>
      </w:r>
      <w:r w:rsidR="00336C89" w:rsidRPr="00336C89">
        <w:rPr>
          <w:lang w:val="ru-RU"/>
        </w:rPr>
        <w:t>[</w:t>
      </w:r>
      <w:r w:rsidRPr="00794712">
        <w:rPr>
          <w:lang w:val="ru-RU"/>
        </w:rPr>
        <w:t>(</w:t>
      </w:r>
      <w:r w:rsidR="00E070F3">
        <w:rPr>
          <w:lang w:val="ru-RU"/>
        </w:rPr>
        <w:t>林后</w:t>
      </w:r>
      <w:r w:rsidRPr="00794712">
        <w:rPr>
          <w:lang w:val="ru-RU"/>
        </w:rPr>
        <w:t xml:space="preserve"> 5</w:t>
      </w:r>
      <w:r w:rsidRPr="00A13C14">
        <w:rPr>
          <w:lang w:val="ru-RU"/>
        </w:rPr>
        <w:t>:</w:t>
      </w:r>
      <w:r w:rsidRPr="00794712">
        <w:rPr>
          <w:lang w:val="ru-RU"/>
        </w:rPr>
        <w:t>14-15</w:t>
      </w:r>
      <w:r w:rsidR="00336C89" w:rsidRPr="00336C89">
        <w:rPr>
          <w:lang w:val="ru-RU"/>
        </w:rPr>
        <w:t>)</w:t>
      </w:r>
      <w:r w:rsidRPr="00794712">
        <w:rPr>
          <w:lang w:val="ru-RU"/>
        </w:rPr>
        <w:t>；</w:t>
      </w:r>
      <w:r w:rsidR="00336C89" w:rsidRPr="00336C89">
        <w:rPr>
          <w:lang w:val="ru-RU"/>
        </w:rPr>
        <w:t>(</w:t>
      </w:r>
      <w:r w:rsidRPr="00794712">
        <w:rPr>
          <w:lang w:val="ru-RU"/>
        </w:rPr>
        <w:t>来 9</w:t>
      </w:r>
      <w:r w:rsidRPr="00A13C14">
        <w:rPr>
          <w:lang w:val="ru-RU"/>
        </w:rPr>
        <w:t>:</w:t>
      </w:r>
      <w:r w:rsidRPr="00794712">
        <w:rPr>
          <w:lang w:val="ru-RU"/>
        </w:rPr>
        <w:t>9)</w:t>
      </w:r>
      <w:r w:rsidR="00336C89" w:rsidRPr="00336C89">
        <w:rPr>
          <w:lang w:val="ru-RU"/>
        </w:rPr>
        <w:t>]</w:t>
      </w:r>
      <w:r w:rsidRPr="00794712">
        <w:rPr>
          <w:lang w:val="ru-RU"/>
        </w:rPr>
        <w:t xml:space="preserve">。 </w:t>
      </w:r>
      <w:r w:rsidRPr="00A13C14">
        <w:rPr>
          <w:i/>
          <w:iCs/>
          <w:lang w:val="ru-RU"/>
        </w:rPr>
        <w:t xml:space="preserve">“正如因一人的过犯，众人都被定罪；照样，因一人的义行，众人都被称义而得生命” </w:t>
      </w:r>
      <w:r w:rsidR="00336C89" w:rsidRPr="00336C89">
        <w:rPr>
          <w:lang w:val="ru-RU"/>
        </w:rPr>
        <w:t>[</w:t>
      </w:r>
      <w:r w:rsidRPr="00794712">
        <w:rPr>
          <w:lang w:val="ru-RU"/>
        </w:rPr>
        <w:t>(罗 5</w:t>
      </w:r>
      <w:r w:rsidRPr="00A13C14">
        <w:rPr>
          <w:lang w:val="ru-RU"/>
        </w:rPr>
        <w:t>:</w:t>
      </w:r>
      <w:r w:rsidRPr="00794712">
        <w:rPr>
          <w:lang w:val="ru-RU"/>
        </w:rPr>
        <w:t>18</w:t>
      </w:r>
      <w:r w:rsidR="00336C89" w:rsidRPr="00336C89">
        <w:rPr>
          <w:lang w:val="ru-RU"/>
        </w:rPr>
        <w:t>)</w:t>
      </w:r>
      <w:r w:rsidRPr="00794712">
        <w:rPr>
          <w:lang w:val="ru-RU"/>
        </w:rPr>
        <w:t>；</w:t>
      </w:r>
      <w:r w:rsidR="00336C89" w:rsidRPr="00336C89">
        <w:rPr>
          <w:lang w:val="ru-RU"/>
        </w:rPr>
        <w:t>(</w:t>
      </w:r>
      <w:r w:rsidRPr="00794712">
        <w:rPr>
          <w:lang w:val="ru-RU"/>
        </w:rPr>
        <w:t>西 1</w:t>
      </w:r>
      <w:r w:rsidRPr="00A13C14">
        <w:rPr>
          <w:lang w:val="ru-RU"/>
        </w:rPr>
        <w:t>:</w:t>
      </w:r>
      <w:r w:rsidRPr="00794712">
        <w:rPr>
          <w:lang w:val="ru-RU"/>
        </w:rPr>
        <w:t>20</w:t>
      </w:r>
      <w:r w:rsidR="00336C89" w:rsidRPr="00336C89">
        <w:rPr>
          <w:lang w:val="ru-RU"/>
        </w:rPr>
        <w:t>)</w:t>
      </w:r>
      <w:r w:rsidRPr="00794712">
        <w:rPr>
          <w:lang w:val="ru-RU"/>
        </w:rPr>
        <w:t>；</w:t>
      </w:r>
      <w:r w:rsidR="00336C89" w:rsidRPr="00336C89">
        <w:rPr>
          <w:lang w:val="ru-RU"/>
        </w:rPr>
        <w:t>(</w:t>
      </w:r>
      <w:r w:rsidRPr="00794712">
        <w:rPr>
          <w:lang w:val="ru-RU"/>
        </w:rPr>
        <w:t>弗 1</w:t>
      </w:r>
      <w:r w:rsidRPr="00A13C14">
        <w:rPr>
          <w:lang w:val="ru-RU"/>
        </w:rPr>
        <w:t>:</w:t>
      </w:r>
      <w:r w:rsidRPr="00794712">
        <w:rPr>
          <w:lang w:val="ru-RU"/>
        </w:rPr>
        <w:t>10</w:t>
      </w:r>
      <w:r w:rsidR="00336C89" w:rsidRPr="00336C89">
        <w:rPr>
          <w:lang w:val="ru-RU"/>
        </w:rPr>
        <w:t>)</w:t>
      </w:r>
      <w:r w:rsidRPr="00794712">
        <w:rPr>
          <w:lang w:val="ru-RU"/>
        </w:rPr>
        <w:t>；</w:t>
      </w:r>
      <w:r w:rsidR="00336C89" w:rsidRPr="00336C89">
        <w:rPr>
          <w:rFonts w:cs="Cambria Math"/>
          <w:lang w:val="ru-RU"/>
        </w:rPr>
        <w:t>(</w:t>
      </w:r>
      <w:r w:rsidR="00336C89" w:rsidRPr="00794712">
        <w:rPr>
          <w:lang w:val="ru-RU"/>
        </w:rPr>
        <w:t>弗</w:t>
      </w:r>
      <w:r w:rsidRPr="00794712">
        <w:rPr>
          <w:lang w:val="ru-RU"/>
        </w:rPr>
        <w:t xml:space="preserve"> 3</w:t>
      </w:r>
      <w:r w:rsidRPr="00A13C14">
        <w:rPr>
          <w:lang w:val="ru-RU"/>
        </w:rPr>
        <w:t>:</w:t>
      </w:r>
      <w:r w:rsidRPr="00794712">
        <w:rPr>
          <w:lang w:val="ru-RU"/>
        </w:rPr>
        <w:t>13-22)</w:t>
      </w:r>
      <w:r w:rsidR="00336C89" w:rsidRPr="00336C89">
        <w:rPr>
          <w:lang w:val="ru-RU"/>
        </w:rPr>
        <w:t>]</w:t>
      </w:r>
      <w:r w:rsidRPr="00794712">
        <w:rPr>
          <w:lang w:val="ru-RU"/>
        </w:rPr>
        <w:t>。</w:t>
      </w:r>
    </w:p>
    <w:p w14:paraId="0717E7AE" w14:textId="77777777" w:rsidR="00D85B34" w:rsidRPr="00794712" w:rsidRDefault="00D85B34" w:rsidP="00D85B34">
      <w:pPr>
        <w:rPr>
          <w:lang w:val="ru-RU"/>
        </w:rPr>
      </w:pPr>
      <w:r w:rsidRPr="00794712">
        <w:rPr>
          <w:lang w:val="ru-RU"/>
        </w:rPr>
        <w:tab/>
        <w:t>圣父们和教会的导师们也是这样教导的：罗马的克莱门特、尤斯丁、亚历山大的克莱门特、优西比乌、</w:t>
      </w:r>
      <w:r w:rsidR="00372947">
        <w:rPr>
          <w:rStyle w:val="FootnoteReference"/>
          <w:lang w:val="ru-RU"/>
        </w:rPr>
        <w:footnoteReference w:id="374"/>
      </w:r>
      <w:r w:rsidRPr="00794712">
        <w:rPr>
          <w:lang w:val="ru-RU"/>
        </w:rPr>
        <w:t xml:space="preserve"> 金口若望、</w:t>
      </w:r>
      <w:r w:rsidR="008225CB">
        <w:rPr>
          <w:rStyle w:val="FootnoteReference"/>
          <w:lang w:val="ru-RU"/>
        </w:rPr>
        <w:footnoteReference w:id="375"/>
      </w:r>
      <w:r w:rsidRPr="00794712">
        <w:rPr>
          <w:lang w:val="ru-RU"/>
        </w:rPr>
        <w:t xml:space="preserve"> 格里高利·神学家、大瓦西里、安布罗斯、佩卢西奥的伊西多尔、</w:t>
      </w:r>
      <w:r w:rsidR="008225CB">
        <w:rPr>
          <w:rStyle w:val="FootnoteReference"/>
          <w:lang w:val="ru-RU"/>
        </w:rPr>
        <w:footnoteReference w:id="376"/>
      </w:r>
      <w:r w:rsidRPr="00794712">
        <w:rPr>
          <w:lang w:val="ru-RU"/>
        </w:rPr>
        <w:t xml:space="preserve"> 狄奥多里特、</w:t>
      </w:r>
      <w:r w:rsidR="008225CB">
        <w:rPr>
          <w:rStyle w:val="FootnoteReference"/>
          <w:lang w:val="ru-RU"/>
        </w:rPr>
        <w:footnoteReference w:id="377"/>
      </w:r>
      <w:r w:rsidRPr="00794712">
        <w:rPr>
          <w:lang w:val="ru-RU"/>
        </w:rPr>
        <w:t xml:space="preserve"> 奥古斯丁等人。</w:t>
      </w:r>
      <w:r w:rsidR="008225CB">
        <w:rPr>
          <w:rStyle w:val="FootnoteReference"/>
          <w:lang w:val="ru-RU"/>
        </w:rPr>
        <w:footnoteReference w:id="378"/>
      </w:r>
      <w:r w:rsidRPr="00794712">
        <w:rPr>
          <w:lang w:val="ru-RU"/>
        </w:rPr>
        <w:t xml:space="preserve"> 下面引用其中一些人的话：</w:t>
      </w:r>
      <w:r w:rsidR="00A95A76" w:rsidRPr="00A95A76">
        <w:rPr>
          <w:b/>
          <w:lang w:val="ru-RU"/>
        </w:rPr>
        <w:t>a)</w:t>
      </w:r>
      <w:r w:rsidRPr="00794712">
        <w:rPr>
          <w:lang w:val="ru-RU"/>
        </w:rPr>
        <w:t xml:space="preserve"> 圣大马卡里： </w:t>
      </w:r>
      <w:r>
        <w:rPr>
          <w:lang w:val="ru-RU"/>
        </w:rPr>
        <w:t>“</w:t>
      </w:r>
      <w:r w:rsidRPr="00794712">
        <w:rPr>
          <w:lang w:val="ru-RU"/>
        </w:rPr>
        <w:t>主在降临之际，乐意为众人受苦</w:t>
      </w:r>
      <w:r w:rsidRPr="0088111D">
        <w:rPr>
          <w:lang w:val="ru-RU"/>
        </w:rPr>
        <w:t>；</w:t>
      </w:r>
      <w:r>
        <w:rPr>
          <w:lang w:val="ru-RU"/>
        </w:rPr>
        <w:t>”</w:t>
      </w:r>
      <w:r w:rsidR="008225CB">
        <w:rPr>
          <w:rStyle w:val="FootnoteReference"/>
          <w:lang w:val="ru-RU"/>
        </w:rPr>
        <w:footnoteReference w:id="379"/>
      </w:r>
      <w:r w:rsidR="00A95A76" w:rsidRPr="00A95A76">
        <w:rPr>
          <w:b/>
          <w:lang w:val="ru-RU"/>
        </w:rPr>
        <w:t xml:space="preserve"> b)</w:t>
      </w:r>
      <w:r w:rsidRPr="00794712">
        <w:rPr>
          <w:lang w:val="ru-RU"/>
        </w:rPr>
        <w:t xml:space="preserve"> 圣格里高利·尼萨： “大祭司和我们信仰的使者，这位可敬、无恶、无瑕、不沾染污秽或任何邪念的圣者，以肉身向神和圣父为全人类献上了自己……； 作为按麦基洗德等次的大祭司，祂将自己献给父，作为赎价，不仅为以色列一人，更是为万民，并成为</w:t>
      </w:r>
      <w:r w:rsidRPr="00794712">
        <w:rPr>
          <w:lang w:val="ru-RU"/>
        </w:rPr>
        <w:lastRenderedPageBreak/>
        <w:t>全人类信仰的大祭司</w:t>
      </w:r>
      <w:r w:rsidRPr="0088111D">
        <w:rPr>
          <w:lang w:val="ru-RU"/>
        </w:rPr>
        <w:t>；</w:t>
      </w:r>
      <w:r>
        <w:rPr>
          <w:lang w:val="ru-RU"/>
        </w:rPr>
        <w:t>”</w:t>
      </w:r>
      <w:r w:rsidR="008225CB">
        <w:rPr>
          <w:rStyle w:val="FootnoteReference"/>
          <w:lang w:val="ru-RU"/>
        </w:rPr>
        <w:footnoteReference w:id="380"/>
      </w:r>
      <w:r w:rsidR="00A95A76" w:rsidRPr="00A95A76">
        <w:rPr>
          <w:b/>
          <w:lang w:val="ru-RU"/>
        </w:rPr>
        <w:t xml:space="preserve"> c)</w:t>
      </w:r>
      <w:r w:rsidRPr="00794712">
        <w:rPr>
          <w:lang w:val="ru-RU"/>
        </w:rPr>
        <w:t xml:space="preserve"> 圣大亚他那修： “祂为</w:t>
      </w:r>
      <w:r>
        <w:rPr>
          <w:lang w:val="ru-RU"/>
        </w:rPr>
        <w:t>普世</w:t>
      </w:r>
      <w:r w:rsidRPr="00794712">
        <w:rPr>
          <w:lang w:val="ru-RU"/>
        </w:rPr>
        <w:t>众人甘愿献上自己的身体，为要借着祂身体的死亡，使掌管死亡的魔鬼——那掌权者——被消灭。</w:t>
      </w:r>
      <w:r>
        <w:rPr>
          <w:lang w:val="ru-RU"/>
        </w:rPr>
        <w:t>”</w:t>
      </w:r>
      <w:r w:rsidR="008225CB">
        <w:rPr>
          <w:rStyle w:val="FootnoteReference"/>
          <w:lang w:val="ru-RU"/>
        </w:rPr>
        <w:footnoteReference w:id="381"/>
      </w:r>
    </w:p>
    <w:p w14:paraId="3B1FACE4" w14:textId="77777777" w:rsidR="00D85B34" w:rsidRPr="00794712" w:rsidRDefault="00D85B34" w:rsidP="00D85B34">
      <w:pPr>
        <w:rPr>
          <w:lang w:val="ru-RU"/>
        </w:rPr>
      </w:pPr>
      <w:r w:rsidRPr="00794712">
        <w:rPr>
          <w:lang w:val="ru-RU"/>
        </w:rPr>
        <w:tab/>
        <w:t>如果圣经中有时提到，主仅为许多人舍弃了自己的灵魂</w:t>
      </w:r>
      <w:r w:rsidR="000A57C3">
        <w:rPr>
          <w:lang w:val="ru-RU"/>
        </w:rPr>
        <w:t>（</w:t>
      </w:r>
      <w:r w:rsidRPr="00794712">
        <w:rPr>
          <w:lang w:val="ru-RU"/>
        </w:rPr>
        <w:t>太20</w:t>
      </w:r>
      <w:r w:rsidRPr="0088111D">
        <w:rPr>
          <w:lang w:val="ru-RU"/>
        </w:rPr>
        <w:t>:</w:t>
      </w:r>
      <w:r>
        <w:rPr>
          <w:lang w:val="ru-RU"/>
        </w:rPr>
        <w:t>28</w:t>
      </w:r>
      <w:r w:rsidRPr="00794712">
        <w:rPr>
          <w:lang w:val="ru-RU"/>
        </w:rPr>
        <w:t>），或是将许多人的罪担在十字架上</w:t>
      </w:r>
      <w:r w:rsidR="00336C89" w:rsidRPr="00336C89">
        <w:rPr>
          <w:lang w:val="ru-RU"/>
        </w:rPr>
        <w:t>[</w:t>
      </w:r>
      <w:r w:rsidRPr="00794712">
        <w:rPr>
          <w:lang w:val="ru-RU"/>
        </w:rPr>
        <w:t>（来9</w:t>
      </w:r>
      <w:r>
        <w:rPr>
          <w:lang w:val="ru-RU"/>
        </w:rPr>
        <w:t>:</w:t>
      </w:r>
      <w:r w:rsidRPr="00794712">
        <w:rPr>
          <w:lang w:val="ru-RU"/>
        </w:rPr>
        <w:t>28</w:t>
      </w:r>
      <w:r w:rsidR="00336C89" w:rsidRPr="00336C89">
        <w:rPr>
          <w:lang w:val="ru-RU"/>
        </w:rPr>
        <w:t>）</w:t>
      </w:r>
      <w:r w:rsidRPr="00794712">
        <w:rPr>
          <w:lang w:val="ru-RU"/>
        </w:rPr>
        <w:t>；承担了</w:t>
      </w:r>
      <w:r w:rsidR="00336C89" w:rsidRPr="00336C89">
        <w:rPr>
          <w:lang w:val="ru-RU"/>
        </w:rPr>
        <w:t>（</w:t>
      </w:r>
      <w:r w:rsidRPr="00794712">
        <w:rPr>
          <w:lang w:val="ru-RU"/>
        </w:rPr>
        <w:t>太26</w:t>
      </w:r>
      <w:r>
        <w:rPr>
          <w:lang w:val="ru-RU"/>
        </w:rPr>
        <w:t>:</w:t>
      </w:r>
      <w:r w:rsidRPr="00794712">
        <w:rPr>
          <w:lang w:val="ru-RU"/>
        </w:rPr>
        <w:t>28</w:t>
      </w:r>
      <w:r w:rsidR="00336C89" w:rsidRPr="00336C89">
        <w:rPr>
          <w:lang w:val="ru-RU"/>
        </w:rPr>
        <w:t>）</w:t>
      </w:r>
      <w:r w:rsidRPr="00794712">
        <w:rPr>
          <w:lang w:val="ru-RU"/>
        </w:rPr>
        <w:t>；</w:t>
      </w:r>
      <w:r w:rsidR="0087297C">
        <w:rPr>
          <w:lang w:val="ru-RU"/>
        </w:rPr>
        <w:t xml:space="preserve"> </w:t>
      </w:r>
      <w:r w:rsidR="00336C89" w:rsidRPr="00336C89">
        <w:rPr>
          <w:lang w:val="ru-RU"/>
        </w:rPr>
        <w:t>（</w:t>
      </w:r>
      <w:r w:rsidR="0087297C">
        <w:rPr>
          <w:lang w:val="ru-RU"/>
        </w:rPr>
        <w:t>路加福音</w:t>
      </w:r>
      <w:r w:rsidRPr="00794712">
        <w:rPr>
          <w:lang w:val="ru-RU"/>
        </w:rPr>
        <w:t xml:space="preserve"> 22</w:t>
      </w:r>
      <w:r>
        <w:rPr>
          <w:lang w:val="ru-RU"/>
        </w:rPr>
        <w:t>:</w:t>
      </w:r>
      <w:r w:rsidRPr="00794712">
        <w:rPr>
          <w:lang w:val="ru-RU"/>
        </w:rPr>
        <w:t>20）</w:t>
      </w:r>
      <w:r w:rsidR="00336C89" w:rsidRPr="00336C89">
        <w:rPr>
          <w:lang w:val="ru-RU"/>
        </w:rPr>
        <w:t>]</w:t>
      </w:r>
      <w:r w:rsidRPr="00794712">
        <w:rPr>
          <w:lang w:val="ru-RU"/>
        </w:rPr>
        <w:t>：那么必须记住，首先，在用神圣语言表达这一真理时，“许多人”一词被用来表示“所有人”，即以部分代替整体，例如使徒所言：</w:t>
      </w:r>
      <w:r w:rsidRPr="0088111D">
        <w:rPr>
          <w:i/>
          <w:iCs/>
          <w:lang w:val="ru-RU"/>
        </w:rPr>
        <w:t xml:space="preserve">“因一人的过犯，众人都被定罪；照样，因一人的义行，众人也都称义得生命。 因为，正如因一人 的不顺服，许多人成了罪人；照样，因一人的顺服，许多人也要成为义人” </w:t>
      </w:r>
      <w:r w:rsidR="00336C89" w:rsidRPr="00336C89">
        <w:rPr>
          <w:lang w:val="ru-RU"/>
        </w:rPr>
        <w:t>[</w:t>
      </w:r>
      <w:r w:rsidRPr="00794712">
        <w:rPr>
          <w:lang w:val="ru-RU"/>
        </w:rPr>
        <w:t>(罗 5</w:t>
      </w:r>
      <w:r w:rsidRPr="0088111D">
        <w:rPr>
          <w:lang w:val="ru-RU"/>
        </w:rPr>
        <w:t>:</w:t>
      </w:r>
      <w:r w:rsidRPr="00794712">
        <w:rPr>
          <w:lang w:val="ru-RU"/>
        </w:rPr>
        <w:t>18-19</w:t>
      </w:r>
      <w:r w:rsidR="00336C89" w:rsidRPr="00336C89">
        <w:rPr>
          <w:lang w:val="ru-RU"/>
        </w:rPr>
        <w:t>)</w:t>
      </w:r>
      <w:r w:rsidRPr="00794712">
        <w:rPr>
          <w:lang w:val="ru-RU"/>
        </w:rPr>
        <w:t>；</w:t>
      </w:r>
      <w:r w:rsidR="00336C89" w:rsidRPr="00336C89">
        <w:rPr>
          <w:lang w:val="ru-RU"/>
        </w:rPr>
        <w:t>(</w:t>
      </w:r>
      <w:r w:rsidR="00336C89" w:rsidRPr="00794712">
        <w:rPr>
          <w:lang w:val="ru-RU"/>
        </w:rPr>
        <w:t>罗</w:t>
      </w:r>
      <w:r w:rsidRPr="0088111D">
        <w:rPr>
          <w:lang w:val="ru-RU"/>
        </w:rPr>
        <w:t xml:space="preserve"> 5:</w:t>
      </w:r>
      <w:r w:rsidRPr="00794712">
        <w:rPr>
          <w:lang w:val="ru-RU"/>
        </w:rPr>
        <w:t>12-15</w:t>
      </w:r>
      <w:r w:rsidR="00336C89" w:rsidRPr="00336C89">
        <w:rPr>
          <w:lang w:val="ru-RU"/>
        </w:rPr>
        <w:t>)</w:t>
      </w:r>
      <w:r w:rsidRPr="00794712">
        <w:rPr>
          <w:lang w:val="ru-RU"/>
        </w:rPr>
        <w:t>；</w:t>
      </w:r>
      <w:r w:rsidR="00336C89" w:rsidRPr="00336C89">
        <w:rPr>
          <w:lang w:val="ru-RU"/>
        </w:rPr>
        <w:t>(</w:t>
      </w:r>
      <w:r w:rsidRPr="00794712">
        <w:rPr>
          <w:lang w:val="ru-RU"/>
        </w:rPr>
        <w:t>来 2</w:t>
      </w:r>
      <w:r w:rsidRPr="0088111D">
        <w:rPr>
          <w:lang w:val="ru-RU"/>
        </w:rPr>
        <w:t>:</w:t>
      </w:r>
      <w:r w:rsidRPr="00794712">
        <w:rPr>
          <w:lang w:val="ru-RU"/>
        </w:rPr>
        <w:t>9-10</w:t>
      </w:r>
      <w:r w:rsidR="00336C89" w:rsidRPr="00336C89">
        <w:rPr>
          <w:lang w:val="ru-RU"/>
        </w:rPr>
        <w:t>)</w:t>
      </w:r>
      <w:r w:rsidRPr="00794712">
        <w:rPr>
          <w:lang w:val="ru-RU"/>
        </w:rPr>
        <w:t>；</w:t>
      </w:r>
      <w:r w:rsidR="00336C89" w:rsidRPr="00336C89">
        <w:rPr>
          <w:lang w:val="ru-RU"/>
        </w:rPr>
        <w:t>(</w:t>
      </w:r>
      <w:r w:rsidRPr="00794712">
        <w:rPr>
          <w:lang w:val="ru-RU"/>
        </w:rPr>
        <w:t>赛 53</w:t>
      </w:r>
      <w:r w:rsidRPr="0088111D">
        <w:rPr>
          <w:lang w:val="ru-RU"/>
        </w:rPr>
        <w:t>:</w:t>
      </w:r>
      <w:r w:rsidRPr="00794712">
        <w:rPr>
          <w:lang w:val="ru-RU"/>
        </w:rPr>
        <w:t>6-12)</w:t>
      </w:r>
      <w:r w:rsidR="00336C89" w:rsidRPr="00336C89">
        <w:rPr>
          <w:lang w:val="ru-RU"/>
        </w:rPr>
        <w:t>]</w:t>
      </w:r>
      <w:r w:rsidRPr="00794712">
        <w:rPr>
          <w:lang w:val="ru-RU"/>
        </w:rPr>
        <w:t>。 其次，众所周知，虽然基督为所有人而死，</w:t>
      </w:r>
      <w:r w:rsidRPr="0088111D">
        <w:rPr>
          <w:i/>
          <w:iCs/>
          <w:lang w:val="ru-RU"/>
        </w:rPr>
        <w:t>并且“愿万人得救，明白真道”</w:t>
      </w:r>
      <w:r w:rsidR="00621F17">
        <w:rPr>
          <w:lang w:val="ru-RU"/>
        </w:rPr>
        <w:t>（提摩太前书</w:t>
      </w:r>
      <w:r w:rsidRPr="00794712">
        <w:rPr>
          <w:lang w:val="ru-RU"/>
        </w:rPr>
        <w:t xml:space="preserve"> 2</w:t>
      </w:r>
      <w:r w:rsidRPr="0088111D">
        <w:rPr>
          <w:lang w:val="ru-RU"/>
        </w:rPr>
        <w:t>:</w:t>
      </w:r>
      <w:r w:rsidRPr="00794712">
        <w:rPr>
          <w:lang w:val="ru-RU"/>
        </w:rPr>
        <w:t>4），但并非所有人都信靠祂，并非所有人都领受了祂所成就的救恩，事实上，得救的也只有许多人</w:t>
      </w:r>
      <w:r w:rsidR="000A57C3">
        <w:rPr>
          <w:lang w:val="ru-RU"/>
        </w:rPr>
        <w:t>（马太福音</w:t>
      </w:r>
      <w:r w:rsidRPr="00794712">
        <w:rPr>
          <w:lang w:val="ru-RU"/>
        </w:rPr>
        <w:t xml:space="preserve"> 20</w:t>
      </w:r>
      <w:r w:rsidRPr="00356C6B">
        <w:rPr>
          <w:lang w:val="ru-RU"/>
        </w:rPr>
        <w:t>:</w:t>
      </w:r>
      <w:r w:rsidRPr="00794712">
        <w:rPr>
          <w:lang w:val="ru-RU"/>
        </w:rPr>
        <w:t>16）。 圣约翰·金口在阐释使徒的话：</w:t>
      </w:r>
      <w:r w:rsidRPr="00356C6B">
        <w:rPr>
          <w:i/>
          <w:iCs/>
          <w:lang w:val="ru-RU"/>
        </w:rPr>
        <w:t>“基督只一次将自己献为祭，为要除掉许多人的罪”</w:t>
      </w:r>
      <w:r w:rsidRPr="00794712">
        <w:rPr>
          <w:lang w:val="ru-RU"/>
        </w:rPr>
        <w:t>（希伯来书9</w:t>
      </w:r>
      <w:r w:rsidRPr="00356C6B">
        <w:rPr>
          <w:lang w:val="ru-RU"/>
        </w:rPr>
        <w:t>:</w:t>
      </w:r>
      <w:r w:rsidRPr="00794712">
        <w:rPr>
          <w:lang w:val="ru-RU"/>
        </w:rPr>
        <w:t>28）时指出：“为什么说‘许多人’，而不是‘所有人’呢？ 因为并非所有人都信了。祂（基督）从祂自己的一面来说，是为所有人而死，为要拯救所有人：这种死亡完全与所有人的灭亡相称；但罪并没有将所有人灭绝，因为他们自己不愿意。</w:t>
      </w:r>
      <w:r>
        <w:rPr>
          <w:lang w:val="ru-RU"/>
        </w:rPr>
        <w:t>”</w:t>
      </w:r>
      <w:r w:rsidR="008225CB">
        <w:rPr>
          <w:rStyle w:val="FootnoteReference"/>
          <w:lang w:val="ru-RU"/>
        </w:rPr>
        <w:footnoteReference w:id="382"/>
      </w:r>
    </w:p>
    <w:p w14:paraId="493886E3" w14:textId="77777777" w:rsidR="00D85B34" w:rsidRPr="00794712" w:rsidRDefault="00F45CFB" w:rsidP="00D85B34">
      <w:pPr>
        <w:ind w:firstLine="708"/>
        <w:rPr>
          <w:lang w:val="ru-RU"/>
        </w:rPr>
      </w:pPr>
      <w:r w:rsidRPr="00F45CFB">
        <w:rPr>
          <w:b/>
          <w:lang w:val="ru-RU"/>
        </w:rPr>
        <w:t>2)</w:t>
      </w:r>
      <w:r w:rsidR="00D85B34" w:rsidRPr="00794712">
        <w:rPr>
          <w:lang w:val="ru-RU"/>
        </w:rPr>
        <w:t xml:space="preserve"> 针对一切罪孽。这得到了上帝话语的印证，经上说基督救赎了我们：</w:t>
      </w:r>
    </w:p>
    <w:p w14:paraId="189B8710" w14:textId="77777777" w:rsidR="00D85B34" w:rsidRPr="00794712" w:rsidRDefault="00D85B34" w:rsidP="00D85B34">
      <w:pPr>
        <w:rPr>
          <w:lang w:val="ru-RU"/>
        </w:rPr>
      </w:pPr>
      <w:r w:rsidRPr="00794712">
        <w:rPr>
          <w:lang w:val="ru-RU"/>
        </w:rPr>
        <w:tab/>
      </w:r>
      <w:r w:rsidR="00A95A76" w:rsidRPr="00A95A76">
        <w:rPr>
          <w:b/>
          <w:lang w:val="ru-RU"/>
        </w:rPr>
        <w:t>a)</w:t>
      </w:r>
      <w:r w:rsidRPr="00794712">
        <w:rPr>
          <w:lang w:val="ru-RU"/>
        </w:rPr>
        <w:t xml:space="preserve"> 总体上从一切罪中：</w:t>
      </w:r>
      <w:r w:rsidRPr="00356C6B">
        <w:rPr>
          <w:i/>
          <w:iCs/>
          <w:lang w:val="ru-RU"/>
        </w:rPr>
        <w:t>‘祂为我们舍己，要救我们脱离一切不法的事’</w:t>
      </w:r>
      <w:r w:rsidRPr="00794712">
        <w:rPr>
          <w:lang w:val="ru-RU"/>
        </w:rPr>
        <w:t>（提多书 2</w:t>
      </w:r>
      <w:r w:rsidRPr="00356C6B">
        <w:rPr>
          <w:lang w:val="ru-RU"/>
        </w:rPr>
        <w:t>:</w:t>
      </w:r>
      <w:r w:rsidRPr="00794712">
        <w:rPr>
          <w:lang w:val="ru-RU"/>
        </w:rPr>
        <w:t>14）；</w:t>
      </w:r>
      <w:r w:rsidRPr="00356C6B">
        <w:rPr>
          <w:i/>
          <w:iCs/>
          <w:lang w:val="ru-RU"/>
        </w:rPr>
        <w:t>‘祂儿子耶稣基督的血，洗净我们一切的罪’</w:t>
      </w:r>
      <w:r w:rsidR="008A3626">
        <w:rPr>
          <w:lang w:val="ru-RU"/>
        </w:rPr>
        <w:t>（约翰一书</w:t>
      </w:r>
      <w:r w:rsidRPr="00794712">
        <w:rPr>
          <w:lang w:val="ru-RU"/>
        </w:rPr>
        <w:t xml:space="preserve"> 1</w:t>
      </w:r>
      <w:r w:rsidRPr="00356C6B">
        <w:rPr>
          <w:lang w:val="ru-RU"/>
        </w:rPr>
        <w:t>:</w:t>
      </w:r>
      <w:r w:rsidRPr="00794712">
        <w:rPr>
          <w:lang w:val="ru-RU"/>
        </w:rPr>
        <w:t>7），——以及具体而言：</w:t>
      </w:r>
    </w:p>
    <w:p w14:paraId="21992710"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因原罪：</w:t>
      </w:r>
      <w:r w:rsidRPr="00356C6B">
        <w:rPr>
          <w:i/>
          <w:iCs/>
          <w:lang w:val="ru-RU"/>
        </w:rPr>
        <w:t xml:space="preserve">“因为，正如因一人不顺服，许多人成了罪人；照样，因一人顺服，许多人也要成为义人” </w:t>
      </w:r>
      <w:r w:rsidR="00336C89" w:rsidRPr="00336C89">
        <w:rPr>
          <w:lang w:val="ru-RU"/>
        </w:rPr>
        <w:t>[</w:t>
      </w:r>
      <w:r w:rsidRPr="00794712">
        <w:rPr>
          <w:lang w:val="ru-RU"/>
        </w:rPr>
        <w:t>(罗 5</w:t>
      </w:r>
      <w:r w:rsidRPr="00356C6B">
        <w:rPr>
          <w:lang w:val="ru-RU"/>
        </w:rPr>
        <w:t>:</w:t>
      </w:r>
      <w:r w:rsidRPr="00794712">
        <w:rPr>
          <w:lang w:val="ru-RU"/>
        </w:rPr>
        <w:t>19</w:t>
      </w:r>
      <w:r w:rsidR="00336C89" w:rsidRPr="00336C89">
        <w:rPr>
          <w:lang w:val="ru-RU"/>
        </w:rPr>
        <w:t>)</w:t>
      </w:r>
      <w:r w:rsidRPr="00794712">
        <w:rPr>
          <w:lang w:val="ru-RU"/>
        </w:rPr>
        <w:t>；</w:t>
      </w:r>
      <w:r w:rsidR="00336C89" w:rsidRPr="00336C89">
        <w:rPr>
          <w:lang w:val="ru-RU"/>
        </w:rPr>
        <w:t>(</w:t>
      </w:r>
      <w:r w:rsidR="00E070F3">
        <w:rPr>
          <w:lang w:val="ru-RU"/>
        </w:rPr>
        <w:t>林前</w:t>
      </w:r>
      <w:r w:rsidRPr="00794712">
        <w:rPr>
          <w:lang w:val="ru-RU"/>
        </w:rPr>
        <w:t xml:space="preserve"> 15</w:t>
      </w:r>
      <w:r w:rsidRPr="00356C6B">
        <w:rPr>
          <w:lang w:val="ru-RU"/>
        </w:rPr>
        <w:t>:</w:t>
      </w:r>
      <w:r w:rsidRPr="00794712">
        <w:rPr>
          <w:lang w:val="ru-RU"/>
        </w:rPr>
        <w:t>45)</w:t>
      </w:r>
      <w:r w:rsidR="00336C89" w:rsidRPr="00336C89">
        <w:rPr>
          <w:lang w:val="ru-RU"/>
        </w:rPr>
        <w:t>]</w:t>
      </w:r>
      <w:r w:rsidRPr="00794712">
        <w:rPr>
          <w:lang w:val="ru-RU"/>
        </w:rPr>
        <w:t>。</w:t>
      </w:r>
    </w:p>
    <w:p w14:paraId="0B7C57C6"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免除一切以往的罪：</w:t>
      </w:r>
      <w:r w:rsidRPr="001059A1">
        <w:rPr>
          <w:i/>
          <w:iCs/>
          <w:lang w:val="ru-RU"/>
        </w:rPr>
        <w:t xml:space="preserve">“神将祂作为赎罪祭，借着祂的血，因着信，要显明祂的公义，因为祂曾宽恕了先前所犯的罪” </w:t>
      </w:r>
      <w:r w:rsidR="00463CEB" w:rsidRPr="00463CEB">
        <w:rPr>
          <w:lang w:val="ru-RU"/>
        </w:rPr>
        <w:t>[</w:t>
      </w:r>
      <w:r w:rsidRPr="00794712">
        <w:rPr>
          <w:lang w:val="ru-RU"/>
        </w:rPr>
        <w:t>(罗 3</w:t>
      </w:r>
      <w:r w:rsidRPr="001059A1">
        <w:rPr>
          <w:lang w:val="ru-RU"/>
        </w:rPr>
        <w:t>:</w:t>
      </w:r>
      <w:r w:rsidRPr="00794712">
        <w:rPr>
          <w:lang w:val="ru-RU"/>
        </w:rPr>
        <w:t>25</w:t>
      </w:r>
      <w:r w:rsidR="00463CEB" w:rsidRPr="00463CEB">
        <w:rPr>
          <w:lang w:val="ru-RU"/>
        </w:rPr>
        <w:t>)</w:t>
      </w:r>
      <w:r w:rsidRPr="00794712">
        <w:rPr>
          <w:lang w:val="ru-RU"/>
        </w:rPr>
        <w:t>；</w:t>
      </w:r>
      <w:r w:rsidR="00463CEB" w:rsidRPr="00463CEB">
        <w:rPr>
          <w:lang w:val="ru-RU"/>
        </w:rPr>
        <w:t>(</w:t>
      </w:r>
      <w:r w:rsidRPr="00794712">
        <w:rPr>
          <w:lang w:val="ru-RU"/>
        </w:rPr>
        <w:t>徒 13</w:t>
      </w:r>
      <w:r w:rsidRPr="001059A1">
        <w:rPr>
          <w:lang w:val="ru-RU"/>
        </w:rPr>
        <w:t>:</w:t>
      </w:r>
      <w:r w:rsidRPr="00794712">
        <w:rPr>
          <w:lang w:val="ru-RU"/>
        </w:rPr>
        <w:t>38-39</w:t>
      </w:r>
      <w:r w:rsidR="00463CEB" w:rsidRPr="00463CEB">
        <w:rPr>
          <w:lang w:val="ru-RU"/>
        </w:rPr>
        <w:t>)</w:t>
      </w:r>
      <w:r w:rsidRPr="00794712">
        <w:rPr>
          <w:lang w:val="ru-RU"/>
        </w:rPr>
        <w:t>；</w:t>
      </w:r>
      <w:r w:rsidR="00463CEB" w:rsidRPr="00463CEB">
        <w:rPr>
          <w:lang w:val="ru-RU"/>
        </w:rPr>
        <w:t>(</w:t>
      </w:r>
      <w:r w:rsidRPr="00794712">
        <w:rPr>
          <w:lang w:val="ru-RU"/>
        </w:rPr>
        <w:t>来 9</w:t>
      </w:r>
      <w:r w:rsidRPr="001059A1">
        <w:rPr>
          <w:lang w:val="ru-RU"/>
        </w:rPr>
        <w:t>:</w:t>
      </w:r>
      <w:r w:rsidRPr="00794712">
        <w:rPr>
          <w:lang w:val="ru-RU"/>
        </w:rPr>
        <w:t>15)</w:t>
      </w:r>
      <w:r w:rsidR="00463CEB" w:rsidRPr="00463CEB">
        <w:rPr>
          <w:lang w:val="ru-RU"/>
        </w:rPr>
        <w:t>]</w:t>
      </w:r>
      <w:r w:rsidRPr="00794712">
        <w:rPr>
          <w:lang w:val="ru-RU"/>
        </w:rPr>
        <w:t>。</w:t>
      </w:r>
    </w:p>
    <w:p w14:paraId="3C3FFAEE" w14:textId="77777777" w:rsidR="00D85B34" w:rsidRPr="00794712" w:rsidRDefault="00D85B34" w:rsidP="00D85B34">
      <w:pPr>
        <w:rPr>
          <w:lang w:val="ru-RU"/>
        </w:rPr>
      </w:pPr>
      <w:r w:rsidRPr="00794712">
        <w:rPr>
          <w:lang w:val="ru-RU"/>
        </w:rPr>
        <w:tab/>
      </w:r>
      <w:r w:rsidR="00A95A76" w:rsidRPr="00A95A76">
        <w:rPr>
          <w:b/>
          <w:lang w:val="ru-RU"/>
        </w:rPr>
        <w:t>d)</w:t>
      </w:r>
      <w:r w:rsidRPr="00794712">
        <w:rPr>
          <w:lang w:val="ru-RU"/>
        </w:rPr>
        <w:t xml:space="preserve"> 免除一切将来的罪：</w:t>
      </w:r>
      <w:r w:rsidRPr="001059A1">
        <w:rPr>
          <w:i/>
          <w:iCs/>
          <w:lang w:val="ru-RU"/>
        </w:rPr>
        <w:t xml:space="preserve">“我的儿女们啊！我写这些给你们，是要你们不犯罪；若有人犯罪，在父那里我们有一位中保，就是那义者耶稣基督；祂为我们的罪作了赎罪祭，不仅为我们的罪，也为全人类的罪” </w:t>
      </w:r>
      <w:r w:rsidR="008A3626">
        <w:rPr>
          <w:lang w:val="ru-RU"/>
        </w:rPr>
        <w:t>(约翰一书</w:t>
      </w:r>
      <w:r w:rsidRPr="00794712">
        <w:rPr>
          <w:lang w:val="ru-RU"/>
        </w:rPr>
        <w:t xml:space="preserve"> 2</w:t>
      </w:r>
      <w:r w:rsidRPr="001059A1">
        <w:rPr>
          <w:lang w:val="ru-RU"/>
        </w:rPr>
        <w:t>:</w:t>
      </w:r>
      <w:r w:rsidRPr="00794712">
        <w:rPr>
          <w:lang w:val="ru-RU"/>
        </w:rPr>
        <w:t xml:space="preserve">1-2)。 </w:t>
      </w:r>
      <w:r w:rsidRPr="001059A1">
        <w:rPr>
          <w:i/>
          <w:iCs/>
          <w:lang w:val="ru-RU"/>
        </w:rPr>
        <w:t>“我们若认自己的罪，神是信实的，是公义的，必要赦免我们的罪，洗净我们一切的不义”</w:t>
      </w:r>
      <w:r w:rsidR="008A3626">
        <w:rPr>
          <w:lang w:val="ru-RU"/>
        </w:rPr>
        <w:t>（《约翰一书》</w:t>
      </w:r>
      <w:r w:rsidRPr="00794712">
        <w:rPr>
          <w:lang w:val="ru-RU"/>
        </w:rPr>
        <w:t>1</w:t>
      </w:r>
      <w:r w:rsidRPr="001059A1">
        <w:rPr>
          <w:lang w:val="ru-RU"/>
        </w:rPr>
        <w:t>:</w:t>
      </w:r>
      <w:r w:rsidRPr="00794712">
        <w:rPr>
          <w:lang w:val="ru-RU"/>
        </w:rPr>
        <w:t>9）。</w:t>
      </w:r>
    </w:p>
    <w:p w14:paraId="7D8A588B" w14:textId="77777777" w:rsidR="00D85B34" w:rsidRPr="00794712" w:rsidRDefault="00D85B34" w:rsidP="00D85B34">
      <w:pPr>
        <w:rPr>
          <w:lang w:val="ru-RU"/>
        </w:rPr>
      </w:pPr>
      <w:r w:rsidRPr="00794712">
        <w:rPr>
          <w:lang w:val="ru-RU"/>
        </w:rPr>
        <w:tab/>
        <w:t>教会的教师们也一致宣讲这一真理，例如：</w:t>
      </w:r>
      <w:r w:rsidR="00A95A76" w:rsidRPr="00A95A76">
        <w:rPr>
          <w:b/>
          <w:lang w:val="ru-RU"/>
        </w:rPr>
        <w:t>a)</w:t>
      </w:r>
      <w:r w:rsidRPr="00794712">
        <w:rPr>
          <w:lang w:val="ru-RU"/>
        </w:rPr>
        <w:t xml:space="preserve"> 圣约翰·金口：“（耶稣基督）所赐的恩惠比被除去的罪恶更多，不仅除去了原罪，也除去了其他一切罪恶，使徒用以下的话语说明了这一点： </w:t>
      </w:r>
      <w:r w:rsidRPr="001059A1">
        <w:rPr>
          <w:i/>
          <w:iCs/>
          <w:lang w:val="ru-RU"/>
        </w:rPr>
        <w:t>‘恩典的礼物，乃是因许多过犯而</w:t>
      </w:r>
      <w:r>
        <w:rPr>
          <w:lang w:val="ru-RU"/>
        </w:rPr>
        <w:t>称义’</w:t>
      </w:r>
      <w:r w:rsidRPr="00794712">
        <w:rPr>
          <w:lang w:val="ru-RU"/>
        </w:rPr>
        <w:t>（罗马书 5</w:t>
      </w:r>
      <w:r w:rsidRPr="001059A1">
        <w:rPr>
          <w:lang w:val="ru-RU"/>
        </w:rPr>
        <w:t>:</w:t>
      </w:r>
      <w:r w:rsidRPr="00794712">
        <w:rPr>
          <w:lang w:val="ru-RU"/>
        </w:rPr>
        <w:t>16），”——</w:t>
      </w:r>
      <w:r w:rsidRPr="00794712">
        <w:rPr>
          <w:lang w:val="ru-RU"/>
        </w:rPr>
        <w:lastRenderedPageBreak/>
        <w:t>并进一步指出：“借着恩典，不仅原罪被除去了，所有的其他罪孽也都消除了； 不仅罪被除去了，而且公义也赐给了我们；基督不仅修复了亚当所破坏的一切，而且以更大的程度和更高的境界恢复了这一切</w:t>
      </w:r>
      <w:r w:rsidRPr="001059A1">
        <w:rPr>
          <w:lang w:val="ru-RU"/>
        </w:rPr>
        <w:t>；</w:t>
      </w:r>
      <w:r w:rsidR="00A95A76" w:rsidRPr="00A95A76">
        <w:rPr>
          <w:b/>
          <w:lang w:val="ru-RU"/>
        </w:rPr>
        <w:t>”</w:t>
      </w:r>
      <w:r w:rsidR="00457DD3">
        <w:rPr>
          <w:rStyle w:val="FootnoteReference"/>
          <w:lang w:val="ru-RU"/>
        </w:rPr>
        <w:footnoteReference w:id="383"/>
      </w:r>
      <w:r w:rsidR="00A95A76" w:rsidRPr="00A95A76">
        <w:rPr>
          <w:b/>
          <w:lang w:val="ru-RU"/>
        </w:rPr>
        <w:t xml:space="preserve"> b)</w:t>
      </w:r>
      <w:r w:rsidRPr="00794712">
        <w:rPr>
          <w:lang w:val="ru-RU"/>
        </w:rPr>
        <w:t xml:space="preserve"> 伊拉里乌斯：“祂（基督）为全人类赎去了他们的一切不义</w:t>
      </w:r>
      <w:r>
        <w:rPr>
          <w:lang w:val="ru-RU"/>
        </w:rPr>
        <w:t>。”</w:t>
      </w:r>
      <w:r w:rsidR="00457DD3">
        <w:rPr>
          <w:rStyle w:val="FootnoteReference"/>
          <w:lang w:val="ru-RU"/>
        </w:rPr>
        <w:footnoteReference w:id="384"/>
      </w:r>
    </w:p>
    <w:p w14:paraId="3F73D5C4" w14:textId="77777777" w:rsidR="00D85B34" w:rsidRPr="00794712" w:rsidRDefault="00F45CFB" w:rsidP="00D85B34">
      <w:pPr>
        <w:ind w:firstLine="708"/>
        <w:rPr>
          <w:lang w:val="ru-RU"/>
        </w:rPr>
      </w:pPr>
      <w:r w:rsidRPr="00F45CFB">
        <w:rPr>
          <w:b/>
          <w:lang w:val="ru-RU"/>
        </w:rPr>
        <w:t>3）</w:t>
      </w:r>
      <w:r w:rsidR="00D85B34" w:rsidRPr="00794712">
        <w:rPr>
          <w:lang w:val="ru-RU"/>
        </w:rPr>
        <w:t>贯穿所有时代，即从人类堕落的最初时刻直至世界末日。正因</w:t>
      </w:r>
      <w:r w:rsidR="00A95A76" w:rsidRPr="00A95A76">
        <w:rPr>
          <w:b/>
          <w:lang w:val="ru-RU"/>
        </w:rPr>
        <w:t xml:space="preserve">如此——a） </w:t>
      </w:r>
      <w:r w:rsidR="00D85B34" w:rsidRPr="00794712">
        <w:rPr>
          <w:lang w:val="ru-RU"/>
        </w:rPr>
        <w:t>基督一方面被称为“</w:t>
      </w:r>
      <w:r w:rsidR="00D85B34" w:rsidRPr="00E04CA2">
        <w:rPr>
          <w:i/>
          <w:iCs/>
          <w:lang w:val="ru-RU"/>
        </w:rPr>
        <w:t>从创世以来就被杀的羔羊”</w:t>
      </w:r>
      <w:r w:rsidR="00D85B34" w:rsidRPr="00794712">
        <w:rPr>
          <w:lang w:val="ru-RU"/>
        </w:rPr>
        <w:t>（启13</w:t>
      </w:r>
      <w:r w:rsidR="00D85B34" w:rsidRPr="00E04CA2">
        <w:rPr>
          <w:lang w:val="ru-RU"/>
        </w:rPr>
        <w:t>:</w:t>
      </w:r>
      <w:r w:rsidR="00D85B34" w:rsidRPr="00794712">
        <w:rPr>
          <w:lang w:val="ru-RU"/>
        </w:rPr>
        <w:t>8）；另一方面</w:t>
      </w:r>
      <w:r w:rsidR="00D85B34">
        <w:rPr>
          <w:lang w:val="ru-RU"/>
        </w:rPr>
        <w:t>又</w:t>
      </w:r>
      <w:r w:rsidR="00D85B34" w:rsidRPr="00794712">
        <w:rPr>
          <w:lang w:val="ru-RU"/>
        </w:rPr>
        <w:t>被称为“永远的大祭司”（来7</w:t>
      </w:r>
      <w:r w:rsidR="00D85B34">
        <w:rPr>
          <w:lang w:val="ru-RU"/>
        </w:rPr>
        <w:t>:</w:t>
      </w:r>
      <w:r w:rsidR="00D85B34" w:rsidRPr="00794712">
        <w:rPr>
          <w:lang w:val="ru-RU"/>
        </w:rPr>
        <w:t>21），他无需</w:t>
      </w:r>
      <w:r w:rsidR="00D85B34" w:rsidRPr="00E04CA2">
        <w:rPr>
          <w:i/>
          <w:iCs/>
          <w:lang w:val="ru-RU"/>
        </w:rPr>
        <w:t>“从创世以来多次受苦</w:t>
      </w:r>
      <w:r w:rsidR="00D85B34" w:rsidRPr="00794712">
        <w:rPr>
          <w:lang w:val="ru-RU"/>
        </w:rPr>
        <w:t>，</w:t>
      </w:r>
      <w:r w:rsidR="00D85B34" w:rsidRPr="00E04CA2">
        <w:rPr>
          <w:i/>
          <w:iCs/>
          <w:lang w:val="ru-RU"/>
        </w:rPr>
        <w:t>而是在世世代代的末了，只一次以自己的牺牲显明，为要除掉罪”</w:t>
      </w:r>
      <w:r w:rsidR="00D85B34" w:rsidRPr="00794712">
        <w:rPr>
          <w:lang w:val="ru-RU"/>
        </w:rPr>
        <w:t xml:space="preserve"> （《</w:t>
      </w:r>
      <w:r w:rsidR="00D85B34">
        <w:rPr>
          <w:lang w:val="ru-RU"/>
        </w:rPr>
        <w:t>希伯来书</w:t>
      </w:r>
      <w:r w:rsidR="00D85B34" w:rsidRPr="00794712">
        <w:rPr>
          <w:lang w:val="ru-RU"/>
        </w:rPr>
        <w:t>》9</w:t>
      </w:r>
      <w:r w:rsidR="00D85B34" w:rsidRPr="00585BE5">
        <w:rPr>
          <w:lang w:val="ru-RU"/>
        </w:rPr>
        <w:t>:</w:t>
      </w:r>
      <w:r w:rsidR="00D85B34" w:rsidRPr="00794712">
        <w:rPr>
          <w:lang w:val="ru-RU"/>
        </w:rPr>
        <w:t>26），</w:t>
      </w:r>
      <w:r w:rsidR="00D85B34" w:rsidRPr="004959E8">
        <w:rPr>
          <w:i/>
          <w:iCs/>
          <w:lang w:val="ru-RU"/>
        </w:rPr>
        <w:t>并且“祂只一次献上自己，就使那些被圣化的人永远完全了”</w:t>
      </w:r>
      <w:r w:rsidR="00D85B34" w:rsidRPr="00794712">
        <w:rPr>
          <w:lang w:val="ru-RU"/>
        </w:rPr>
        <w:t>（</w:t>
      </w:r>
      <w:r w:rsidR="00D85B34">
        <w:rPr>
          <w:lang w:val="ru-RU"/>
        </w:rPr>
        <w:t>《希伯来书》</w:t>
      </w:r>
      <w:r w:rsidR="00D85B34" w:rsidRPr="00794712">
        <w:rPr>
          <w:lang w:val="ru-RU"/>
        </w:rPr>
        <w:t>10</w:t>
      </w:r>
      <w:r w:rsidR="00D85B34">
        <w:rPr>
          <w:lang w:val="ru-RU"/>
        </w:rPr>
        <w:t>:</w:t>
      </w:r>
      <w:r w:rsidR="00D85B34" w:rsidRPr="00794712">
        <w:rPr>
          <w:lang w:val="ru-RU"/>
        </w:rPr>
        <w:t>14）。同样</w:t>
      </w:r>
      <w:r w:rsidR="00A95A76" w:rsidRPr="00A95A76">
        <w:rPr>
          <w:b/>
          <w:lang w:val="ru-RU"/>
        </w:rPr>
        <w:t>地——b）</w:t>
      </w:r>
      <w:r w:rsidR="00D85B34" w:rsidRPr="00794712">
        <w:rPr>
          <w:lang w:val="ru-RU"/>
        </w:rPr>
        <w:t>祂所成就的救赎也被称为永恒的：</w:t>
      </w:r>
      <w:r w:rsidR="00D85B34" w:rsidRPr="004959E8">
        <w:rPr>
          <w:i/>
          <w:iCs/>
          <w:lang w:val="ru-RU"/>
        </w:rPr>
        <w:t xml:space="preserve">“基督，那将来的美福的大祭司，带着更美、更完全的帐幕——不是人手所造的，就是不是按那样样式造的——不是带着山羊和牛犊的血，乃是带着自己的血，只一次进入圣所，便得了永远的救赎” </w:t>
      </w:r>
      <w:r w:rsidR="00D85B34" w:rsidRPr="00794712">
        <w:rPr>
          <w:lang w:val="ru-RU"/>
        </w:rPr>
        <w:t>(</w:t>
      </w:r>
      <w:r w:rsidR="00D85B34">
        <w:rPr>
          <w:lang w:val="ru-RU"/>
        </w:rPr>
        <w:t>希伯来书</w:t>
      </w:r>
      <w:r w:rsidR="00D85B34" w:rsidRPr="00794712">
        <w:rPr>
          <w:lang w:val="ru-RU"/>
        </w:rPr>
        <w:t xml:space="preserve"> 9</w:t>
      </w:r>
      <w:r w:rsidR="00D85B34" w:rsidRPr="004959E8">
        <w:rPr>
          <w:lang w:val="ru-RU"/>
        </w:rPr>
        <w:t>:</w:t>
      </w:r>
      <w:r w:rsidR="00D85B34" w:rsidRPr="00794712">
        <w:rPr>
          <w:lang w:val="ru-RU"/>
        </w:rPr>
        <w:t>11-12)；</w:t>
      </w:r>
      <w:r w:rsidR="00A95A76" w:rsidRPr="00A95A76">
        <w:rPr>
          <w:b/>
          <w:lang w:val="ru-RU"/>
        </w:rPr>
        <w:t>c)</w:t>
      </w:r>
      <w:r w:rsidR="00D85B34" w:rsidRPr="00794712">
        <w:rPr>
          <w:lang w:val="ru-RU"/>
        </w:rPr>
        <w:t xml:space="preserve"> 祂的祭司职分</w:t>
      </w:r>
      <w:r w:rsidR="00D85B34">
        <w:rPr>
          <w:lang w:val="ru-RU"/>
        </w:rPr>
        <w:t>也是</w:t>
      </w:r>
      <w:r w:rsidR="00D85B34" w:rsidRPr="00794712">
        <w:rPr>
          <w:lang w:val="ru-RU"/>
        </w:rPr>
        <w:t>永恒的：</w:t>
      </w:r>
      <w:r w:rsidR="00D85B34" w:rsidRPr="007546A0">
        <w:rPr>
          <w:i/>
          <w:iCs/>
          <w:lang w:val="ru-RU"/>
        </w:rPr>
        <w:t>“祂既然永远常存，就拥有永不废去的祭司职分；因此，祂能拯救那些借着祂来到神面前的人，因为祂永远活着，为他们代求”</w:t>
      </w:r>
      <w:r w:rsidR="00D85B34" w:rsidRPr="00794712">
        <w:rPr>
          <w:lang w:val="ru-RU"/>
        </w:rPr>
        <w:t>（</w:t>
      </w:r>
      <w:r w:rsidR="00D85B34">
        <w:rPr>
          <w:lang w:val="ru-RU"/>
        </w:rPr>
        <w:t>来</w:t>
      </w:r>
      <w:r w:rsidR="00D85B34" w:rsidRPr="00794712">
        <w:rPr>
          <w:lang w:val="ru-RU"/>
        </w:rPr>
        <w:t>7</w:t>
      </w:r>
      <w:r w:rsidR="00D85B34">
        <w:rPr>
          <w:lang w:val="ru-RU"/>
        </w:rPr>
        <w:t>:</w:t>
      </w:r>
      <w:r w:rsidR="00D85B34" w:rsidRPr="00794712">
        <w:rPr>
          <w:lang w:val="ru-RU"/>
        </w:rPr>
        <w:t>24-25；罗8</w:t>
      </w:r>
      <w:r w:rsidR="00D85B34">
        <w:rPr>
          <w:lang w:val="ru-RU"/>
        </w:rPr>
        <w:t>:</w:t>
      </w:r>
      <w:r w:rsidR="00D85B34" w:rsidRPr="00794712">
        <w:rPr>
          <w:lang w:val="ru-RU"/>
        </w:rPr>
        <w:t>34）。</w:t>
      </w:r>
    </w:p>
    <w:p w14:paraId="59DC910D" w14:textId="77777777" w:rsidR="00D85B34" w:rsidRPr="00794712" w:rsidRDefault="00D85B34" w:rsidP="00D85B34">
      <w:pPr>
        <w:rPr>
          <w:lang w:val="ru-RU"/>
        </w:rPr>
      </w:pPr>
      <w:r w:rsidRPr="00794712">
        <w:rPr>
          <w:lang w:val="ru-RU"/>
        </w:rPr>
        <w:tab/>
        <w:t>关于基督救主在天上为我们代求的含义</w:t>
      </w:r>
      <w:r>
        <w:rPr>
          <w:lang w:val="ru-RU"/>
        </w:rPr>
        <w:t>，</w:t>
      </w:r>
      <w:r w:rsidRPr="00794712">
        <w:rPr>
          <w:lang w:val="ru-RU"/>
        </w:rPr>
        <w:t>有如下解释：</w:t>
      </w:r>
    </w:p>
    <w:p w14:paraId="7DB5792F" w14:textId="77777777" w:rsidR="00D85B34" w:rsidRPr="00794712" w:rsidRDefault="00D85B34" w:rsidP="00D85B34">
      <w:pPr>
        <w:rPr>
          <w:lang w:val="ru-RU"/>
        </w:rPr>
      </w:pPr>
      <w:r w:rsidRPr="00794712">
        <w:rPr>
          <w:lang w:val="ru-RU"/>
        </w:rPr>
        <w:tab/>
        <w:t>圣格里高利·神学家：“这里（</w:t>
      </w:r>
      <w:r w:rsidR="00F45CFB" w:rsidRPr="00463CEB">
        <w:rPr>
          <w:lang w:val="ru-RU"/>
        </w:rPr>
        <w:t>希伯来书7:25）</w:t>
      </w:r>
      <w:r w:rsidRPr="00794712">
        <w:rPr>
          <w:lang w:val="ru-RU"/>
        </w:rPr>
        <w:t>的‘代求’是指祂作为中保为我们‘代求’（</w:t>
      </w:r>
      <w:r w:rsidRPr="00AA0891">
        <w:t>πρεσβέβειν</w:t>
      </w:r>
      <w:r w:rsidRPr="00794712">
        <w:rPr>
          <w:lang w:val="ru-RU"/>
        </w:rPr>
        <w:t>），正如关于圣灵所说的，祂也在为我们代求（罗马书8</w:t>
      </w:r>
      <w:r w:rsidRPr="007546A0">
        <w:rPr>
          <w:lang w:val="ru-RU"/>
        </w:rPr>
        <w:t>:</w:t>
      </w:r>
      <w:r w:rsidRPr="00794712">
        <w:rPr>
          <w:lang w:val="ru-RU"/>
        </w:rPr>
        <w:t>26）</w:t>
      </w:r>
      <w:r w:rsidRPr="007546A0">
        <w:rPr>
          <w:i/>
          <w:iCs/>
          <w:lang w:val="ru-RU"/>
        </w:rPr>
        <w:t>……‘我们在父那里有一位代求者，就是耶稣基督’</w:t>
      </w:r>
      <w:r w:rsidRPr="00794712">
        <w:rPr>
          <w:lang w:val="ru-RU"/>
        </w:rPr>
        <w:t xml:space="preserve"> </w:t>
      </w:r>
      <w:r w:rsidR="008A3626">
        <w:rPr>
          <w:lang w:val="ru-RU"/>
        </w:rPr>
        <w:t>（《约翰一书》</w:t>
      </w:r>
      <w:r w:rsidRPr="00794712">
        <w:rPr>
          <w:lang w:val="ru-RU"/>
        </w:rPr>
        <w:t>2</w:t>
      </w:r>
      <w:r w:rsidRPr="007546A0">
        <w:rPr>
          <w:lang w:val="ru-RU"/>
        </w:rPr>
        <w:t>:</w:t>
      </w:r>
      <w:r w:rsidRPr="00794712">
        <w:rPr>
          <w:lang w:val="ru-RU"/>
        </w:rPr>
        <w:t>1），这并非指祂在父面前自卑，像奴仆般俯伏：愿这种真正奴隶式的、不配圣灵的想法远离我们！要求父如此行事，或让子容忍此事，皆不合神性；如此看待上帝，更是不公义的</w:t>
      </w:r>
      <w:r>
        <w:rPr>
          <w:lang w:val="ru-RU"/>
        </w:rPr>
        <w:t>。”</w:t>
      </w:r>
      <w:r w:rsidR="00C52321">
        <w:rPr>
          <w:rStyle w:val="FootnoteReference"/>
          <w:lang w:val="ru-RU"/>
        </w:rPr>
        <w:footnoteReference w:id="385"/>
      </w:r>
    </w:p>
    <w:p w14:paraId="35F6FBA2" w14:textId="77777777" w:rsidR="00D85B34" w:rsidRPr="00794712" w:rsidRDefault="00D85B34" w:rsidP="00D85B34">
      <w:pPr>
        <w:rPr>
          <w:lang w:val="ru-RU"/>
        </w:rPr>
      </w:pPr>
      <w:r w:rsidRPr="00794712">
        <w:rPr>
          <w:lang w:val="ru-RU"/>
        </w:rPr>
        <w:tab/>
        <w:t>保加利亚的福者狄奥菲拉克特：“有些人将‘为我们代求’这句话理解为：耶稣基督拥有肉身（而非像摩尼教徒所胡言乱语的那样，已经舍弃了肉身）：这正是祂在父面前的代求与代赎。 因为，鉴于此，圣父便忆起那份对人类的爱——正是为了这份爱，祂的圣子才取了肉身——并因此动了怜悯与恩慈之心。</w:t>
      </w:r>
      <w:r>
        <w:rPr>
          <w:lang w:val="ru-RU"/>
        </w:rPr>
        <w:t>”</w:t>
      </w:r>
      <w:r w:rsidR="00C52321">
        <w:rPr>
          <w:rStyle w:val="FootnoteReference"/>
          <w:lang w:val="ru-RU"/>
        </w:rPr>
        <w:footnoteReference w:id="386"/>
      </w:r>
    </w:p>
    <w:p w14:paraId="5F203D8E" w14:textId="77777777" w:rsidR="00D85B34" w:rsidRPr="00794712" w:rsidRDefault="00F45CFB" w:rsidP="00D85B34">
      <w:pPr>
        <w:ind w:firstLine="708"/>
        <w:rPr>
          <w:lang w:val="ru-RU"/>
        </w:rPr>
      </w:pPr>
      <w:r w:rsidRPr="00F45CFB">
        <w:rPr>
          <w:b/>
          <w:lang w:val="ru-RU"/>
        </w:rPr>
        <w:t>4)</w:t>
      </w:r>
      <w:r w:rsidR="00D85B34" w:rsidRPr="00794712">
        <w:rPr>
          <w:lang w:val="ru-RU"/>
        </w:rPr>
        <w:t xml:space="preserve"> 针对整个</w:t>
      </w:r>
      <w:r w:rsidR="00D85B34">
        <w:rPr>
          <w:lang w:val="ru-RU"/>
        </w:rPr>
        <w:t>世界</w:t>
      </w:r>
      <w:r w:rsidR="00D85B34" w:rsidRPr="00794712">
        <w:rPr>
          <w:lang w:val="ru-RU"/>
        </w:rPr>
        <w:t>。虽然救主基督实际上是为堕落的人类而死的，因此被称为</w:t>
      </w:r>
      <w:r w:rsidR="00D85B34" w:rsidRPr="00616BF9">
        <w:rPr>
          <w:i/>
          <w:iCs/>
          <w:lang w:val="ru-RU"/>
        </w:rPr>
        <w:t>神与人之间的</w:t>
      </w:r>
      <w:r w:rsidR="00D85B34">
        <w:rPr>
          <w:i/>
          <w:iCs/>
          <w:lang w:val="ru-RU"/>
        </w:rPr>
        <w:t>中保</w:t>
      </w:r>
      <w:r w:rsidR="00D85B34" w:rsidRPr="00794712">
        <w:rPr>
          <w:lang w:val="ru-RU"/>
        </w:rPr>
        <w:t>（提摩太前书 2</w:t>
      </w:r>
      <w:r w:rsidR="00D85B34">
        <w:rPr>
          <w:lang w:val="ru-RU"/>
        </w:rPr>
        <w:t>:5</w:t>
      </w:r>
      <w:r w:rsidR="00D85B34" w:rsidRPr="00794712">
        <w:rPr>
          <w:lang w:val="ru-RU"/>
        </w:rPr>
        <w:t>）； 但既然祂赎罪牺牲的目的不仅在于消除罪，更在于消除罪的一切后果，而堕落带来的后果波及</w:t>
      </w:r>
      <w:r w:rsidR="00D85B34">
        <w:rPr>
          <w:lang w:val="ru-RU"/>
        </w:rPr>
        <w:t>整个世界</w:t>
      </w:r>
      <w:r w:rsidR="00D85B34" w:rsidRPr="00794712">
        <w:rPr>
          <w:lang w:val="ru-RU"/>
        </w:rPr>
        <w:t>；因此，赎罪的功效也延伸至</w:t>
      </w:r>
      <w:r w:rsidR="00D85B34">
        <w:rPr>
          <w:lang w:val="ru-RU"/>
        </w:rPr>
        <w:t>整个</w:t>
      </w:r>
      <w:r w:rsidR="00D85B34" w:rsidRPr="00794712">
        <w:rPr>
          <w:lang w:val="ru-RU"/>
        </w:rPr>
        <w:t>世界，无论是属灵的还是物质的。</w:t>
      </w:r>
    </w:p>
    <w:p w14:paraId="72E66A44" w14:textId="77777777" w:rsidR="00D85B34" w:rsidRPr="003541B5" w:rsidRDefault="00D85B34" w:rsidP="00D85B34">
      <w:pPr>
        <w:rPr>
          <w:i/>
          <w:iCs/>
          <w:lang w:val="ru-RU"/>
        </w:rPr>
      </w:pPr>
      <w:r w:rsidRPr="00794712">
        <w:rPr>
          <w:lang w:val="ru-RU"/>
        </w:rPr>
        <w:tab/>
        <w:t xml:space="preserve">就属灵世界而言，我们的始祖堕落的后果是：罪——它已切断了我们与上帝（至圣者）的联结——也必然切断了我们与圣天使的联结 </w:t>
      </w:r>
      <w:r w:rsidR="00224D5E">
        <w:rPr>
          <w:lang w:val="ru-RU"/>
        </w:rPr>
        <w:t>（</w:t>
      </w:r>
      <w:r w:rsidRPr="00794712">
        <w:rPr>
          <w:lang w:val="ru-RU"/>
        </w:rPr>
        <w:t>太25</w:t>
      </w:r>
      <w:r>
        <w:rPr>
          <w:lang w:val="ru-RU"/>
        </w:rPr>
        <w:t>:</w:t>
      </w:r>
      <w:r w:rsidRPr="00794712">
        <w:rPr>
          <w:lang w:val="ru-RU"/>
        </w:rPr>
        <w:t>31），并在天与地之间筑起</w:t>
      </w:r>
      <w:r>
        <w:rPr>
          <w:lang w:val="ru-RU"/>
        </w:rPr>
        <w:t>了一道无法逾越的屏障</w:t>
      </w:r>
      <w:r w:rsidRPr="00794712">
        <w:rPr>
          <w:lang w:val="ru-RU"/>
        </w:rPr>
        <w:t>，以致于那纯洁且充满光明的上界居民，再也不能与那些身处罪恶之暗和死亡阴影中的人（太4</w:t>
      </w:r>
      <w:r>
        <w:rPr>
          <w:lang w:val="ru-RU"/>
        </w:rPr>
        <w:t>:</w:t>
      </w:r>
      <w:r w:rsidRPr="00794712">
        <w:rPr>
          <w:lang w:val="ru-RU"/>
        </w:rPr>
        <w:t>16）有交通：</w:t>
      </w:r>
      <w:r w:rsidRPr="00616BF9">
        <w:rPr>
          <w:i/>
          <w:iCs/>
          <w:lang w:val="ru-RU"/>
        </w:rPr>
        <w:t>“因为公义与不法有什么相通呢？ 光明与黑暗有什么相通之处呢？”</w:t>
      </w:r>
      <w:r w:rsidRPr="00794712">
        <w:rPr>
          <w:lang w:val="ru-RU"/>
        </w:rPr>
        <w:t xml:space="preserve">（哥林多后书 </w:t>
      </w:r>
      <w:r w:rsidRPr="00794712">
        <w:rPr>
          <w:lang w:val="ru-RU"/>
        </w:rPr>
        <w:lastRenderedPageBreak/>
        <w:t>1</w:t>
      </w:r>
      <w:r>
        <w:rPr>
          <w:lang w:val="ru-RU"/>
        </w:rPr>
        <w:t>:</w:t>
      </w:r>
      <w:r w:rsidRPr="00794712">
        <w:rPr>
          <w:lang w:val="ru-RU"/>
        </w:rPr>
        <w:t xml:space="preserve">14）。基督借着十字架拆毁了这道隔断，使天与地和好，并在祂唯一的元首之下，将天使与人类重新联合为一个上帝的教会。 </w:t>
      </w:r>
      <w:r w:rsidRPr="0050220E">
        <w:rPr>
          <w:i/>
          <w:iCs/>
          <w:lang w:val="ru-RU"/>
        </w:rPr>
        <w:t>“父神喜悦叫一切的丰盛都住在祂里面，又借着祂使万有与自己和好，无论是地上的，还是天</w:t>
      </w:r>
      <w:r>
        <w:rPr>
          <w:i/>
          <w:iCs/>
          <w:lang w:val="ru-RU"/>
        </w:rPr>
        <w:fldChar w:fldCharType="begin"/>
      </w:r>
      <w:r>
        <w:rPr>
          <w:i/>
          <w:iCs/>
          <w:lang w:val="ru-RU"/>
        </w:rPr>
        <w:instrText xml:space="preserve"> AUTOTEXT  "Box Italics 1"  \* MERGEFORMAT </w:instrText>
      </w:r>
      <w:r>
        <w:rPr>
          <w:i/>
          <w:iCs/>
          <w:lang w:val="ru-RU"/>
        </w:rPr>
        <w:fldChar w:fldCharType="separate"/>
      </w:r>
      <w:r>
        <w:rPr>
          <w:i/>
          <w:iCs/>
          <w:lang w:val="ru-RU"/>
        </w:rPr>
        <w:fldChar w:fldCharType="end"/>
      </w:r>
      <w:r w:rsidRPr="0050220E">
        <w:rPr>
          <w:i/>
          <w:iCs/>
          <w:lang w:val="ru-RU"/>
        </w:rPr>
        <w:t xml:space="preserve"> 的，都借着祂在十字架上的血与神和好”</w:t>
      </w:r>
      <w:r w:rsidRPr="00794712">
        <w:rPr>
          <w:lang w:val="ru-RU"/>
        </w:rPr>
        <w:t>（歌罗西书 1</w:t>
      </w:r>
      <w:r>
        <w:rPr>
          <w:lang w:val="ru-RU"/>
        </w:rPr>
        <w:t>:</w:t>
      </w:r>
      <w:r w:rsidRPr="00794712">
        <w:rPr>
          <w:lang w:val="ru-RU"/>
        </w:rPr>
        <w:t xml:space="preserve">19-20）； </w:t>
      </w:r>
      <w:r w:rsidRPr="0050220E">
        <w:rPr>
          <w:i/>
          <w:iCs/>
          <w:lang w:val="ru-RU"/>
        </w:rPr>
        <w:t>“神在基督里预先定意，要在时机的圆满中，将天上地上的一切都归于基督的头下”</w:t>
      </w:r>
      <w:r w:rsidRPr="00794712">
        <w:rPr>
          <w:lang w:val="ru-RU"/>
        </w:rPr>
        <w:t>（弗 1</w:t>
      </w:r>
      <w:r w:rsidRPr="0050220E">
        <w:rPr>
          <w:lang w:val="ru-RU"/>
        </w:rPr>
        <w:t>:</w:t>
      </w:r>
      <w:r w:rsidRPr="00794712">
        <w:rPr>
          <w:lang w:val="ru-RU"/>
        </w:rPr>
        <w:t>10），并且在他完成救赎之工后</w:t>
      </w:r>
      <w:r w:rsidRPr="003541B5">
        <w:rPr>
          <w:i/>
          <w:iCs/>
          <w:lang w:val="ru-RU"/>
        </w:rPr>
        <w:t>，“将万有都服在祂的脚下，并使祂在万有之上，作教会的头，</w:t>
      </w:r>
    </w:p>
    <w:p w14:paraId="0C87B24F" w14:textId="77777777" w:rsidR="00D85B34" w:rsidRPr="00F715ED" w:rsidRDefault="00D85B34" w:rsidP="00D85B34">
      <w:pPr>
        <w:rPr>
          <w:lang w:val="ru-RU"/>
        </w:rPr>
      </w:pPr>
      <w:r w:rsidRPr="003541B5">
        <w:rPr>
          <w:i/>
          <w:iCs/>
          <w:lang w:val="ru-RU"/>
        </w:rPr>
        <w:t>23 教会就是祂的身体，是那充满万有者所充满的”</w:t>
      </w:r>
      <w:r w:rsidRPr="00794712">
        <w:rPr>
          <w:lang w:val="ru-RU"/>
        </w:rPr>
        <w:t>（</w:t>
      </w:r>
      <w:r>
        <w:rPr>
          <w:lang w:val="ru-RU"/>
        </w:rPr>
        <w:t>弗</w:t>
      </w:r>
      <w:r w:rsidRPr="00794712">
        <w:rPr>
          <w:lang w:val="ru-RU"/>
        </w:rPr>
        <w:t xml:space="preserve"> 22</w:t>
      </w:r>
      <w:r>
        <w:rPr>
          <w:lang w:val="ru-RU"/>
        </w:rPr>
        <w:t>:</w:t>
      </w:r>
      <w:r w:rsidRPr="00794712">
        <w:rPr>
          <w:lang w:val="ru-RU"/>
        </w:rPr>
        <w:t xml:space="preserve">23）。至于信靠基督的人，经上说： </w:t>
      </w:r>
      <w:r w:rsidRPr="003541B5">
        <w:rPr>
          <w:i/>
          <w:iCs/>
          <w:lang w:val="ru-RU"/>
        </w:rPr>
        <w:t>“你们已经来到锡安山，来到永生神的城，就是天上的耶路撒冷；来到千万的天使，来到大集会，来到那些在天上被记名的长子会，来到万有的审判者神，来到那些已得完全的义人的灵，来到新约的中保耶稣”</w:t>
      </w:r>
      <w:r w:rsidRPr="00794712">
        <w:rPr>
          <w:lang w:val="ru-RU"/>
        </w:rPr>
        <w:t xml:space="preserve"> （希伯来书 12</w:t>
      </w:r>
      <w:r>
        <w:rPr>
          <w:lang w:val="ru-RU"/>
        </w:rPr>
        <w:t>:</w:t>
      </w:r>
      <w:r w:rsidRPr="00794712">
        <w:rPr>
          <w:lang w:val="ru-RU"/>
        </w:rPr>
        <w:t>22-24）。</w:t>
      </w:r>
    </w:p>
    <w:p w14:paraId="4CD04110" w14:textId="77777777" w:rsidR="00D85B34" w:rsidRPr="00794712" w:rsidRDefault="00D85B34" w:rsidP="00D85B34">
      <w:pPr>
        <w:rPr>
          <w:lang w:val="ru-RU"/>
        </w:rPr>
      </w:pPr>
      <w:r w:rsidRPr="00794712">
        <w:rPr>
          <w:lang w:val="ru-RU"/>
        </w:rPr>
        <w:tab/>
        <w:t>就物质世界而言，或者至少就地上的自然界而言，人类的罪导致大地因人的作为而受咒诅（创世记 3</w:t>
      </w:r>
      <w:r w:rsidRPr="00F715ED">
        <w:rPr>
          <w:lang w:val="ru-RU"/>
        </w:rPr>
        <w:t>:</w:t>
      </w:r>
      <w:r w:rsidRPr="00794712">
        <w:rPr>
          <w:lang w:val="ru-RU"/>
        </w:rPr>
        <w:t>17）</w:t>
      </w:r>
      <w:r w:rsidRPr="00F715ED">
        <w:rPr>
          <w:i/>
          <w:iCs/>
          <w:lang w:val="ru-RU"/>
        </w:rPr>
        <w:t>，“受造之物并非自愿地服在虚空之下……至今仍在一同叹息、受苦”</w:t>
      </w:r>
      <w:r w:rsidRPr="00794712">
        <w:rPr>
          <w:lang w:val="ru-RU"/>
        </w:rPr>
        <w:t xml:space="preserve"> （罗8</w:t>
      </w:r>
      <w:r w:rsidRPr="00F715ED">
        <w:rPr>
          <w:lang w:val="ru-RU"/>
        </w:rPr>
        <w:t>:</w:t>
      </w:r>
      <w:r w:rsidRPr="00794712">
        <w:rPr>
          <w:lang w:val="ru-RU"/>
        </w:rPr>
        <w:t>20-22）。由于耶稣基督所成就的救赎，大地的咒诅将被解除，万物也将从虚空和叹息中得释放：当人类的更新最终实现，神的儿女的荣耀显明之时，这一切必将完全实现。 正因如此，正如使徒所见证</w:t>
      </w:r>
      <w:r w:rsidRPr="00132927">
        <w:rPr>
          <w:i/>
          <w:iCs/>
          <w:lang w:val="ru-RU"/>
        </w:rPr>
        <w:t>的，受造之物满怀盼望地等待着神儿女的显现；因为受造之物并非自愿地服在虚空之下，而是顺从了使它服从的那一位的旨意，盼望受造之物自己也能从朽坏的奴役中得释放，进入神儿女荣耀的自由之中</w:t>
      </w:r>
      <w:r w:rsidRPr="00794712">
        <w:rPr>
          <w:lang w:val="ru-RU"/>
        </w:rPr>
        <w:t xml:space="preserve"> （罗8</w:t>
      </w:r>
      <w:r w:rsidRPr="00132927">
        <w:rPr>
          <w:lang w:val="ru-RU"/>
        </w:rPr>
        <w:t>:</w:t>
      </w:r>
      <w:r w:rsidRPr="00794712">
        <w:rPr>
          <w:lang w:val="ru-RU"/>
        </w:rPr>
        <w:t>19-21）。</w:t>
      </w:r>
    </w:p>
    <w:p w14:paraId="6C5CDDC6" w14:textId="77777777" w:rsidR="00D85B34" w:rsidRPr="00794712" w:rsidRDefault="00D85B34" w:rsidP="00D85B34">
      <w:pPr>
        <w:rPr>
          <w:lang w:val="ru-RU"/>
        </w:rPr>
      </w:pPr>
      <w:r w:rsidRPr="00794712">
        <w:rPr>
          <w:lang w:val="ru-RU"/>
        </w:rPr>
        <w:tab/>
        <w:t>届时，所有地上生灵的最后敌人——死亡——将被废除；朽坏的进程必将终结；</w:t>
      </w:r>
      <w:r w:rsidRPr="00132927">
        <w:rPr>
          <w:i/>
          <w:iCs/>
          <w:lang w:val="ru-RU"/>
        </w:rPr>
        <w:t>那时，大地及其上的一切都将被焚毁</w:t>
      </w:r>
      <w:r w:rsidRPr="00794712">
        <w:rPr>
          <w:lang w:val="ru-RU"/>
        </w:rPr>
        <w:t>（</w:t>
      </w:r>
      <w:r w:rsidR="0087297C">
        <w:rPr>
          <w:lang w:val="ru-RU"/>
        </w:rPr>
        <w:t>彼得后书</w:t>
      </w:r>
      <w:r w:rsidRPr="00794712">
        <w:rPr>
          <w:lang w:val="ru-RU"/>
        </w:rPr>
        <w:t xml:space="preserve"> 3</w:t>
      </w:r>
      <w:r w:rsidRPr="00132927">
        <w:rPr>
          <w:lang w:val="ru-RU"/>
        </w:rPr>
        <w:t>:</w:t>
      </w:r>
      <w:r w:rsidRPr="00794712">
        <w:rPr>
          <w:lang w:val="ru-RU"/>
        </w:rPr>
        <w:t>10），新的天与新的地将显现</w:t>
      </w:r>
      <w:r w:rsidRPr="00132927">
        <w:rPr>
          <w:i/>
          <w:iCs/>
          <w:lang w:val="ru-RU"/>
        </w:rPr>
        <w:t>，公义必在其中居住</w:t>
      </w:r>
      <w:r w:rsidRPr="00794712">
        <w:rPr>
          <w:lang w:val="ru-RU"/>
        </w:rPr>
        <w:t>（</w:t>
      </w:r>
      <w:r w:rsidR="0087297C">
        <w:rPr>
          <w:lang w:val="ru-RU"/>
        </w:rPr>
        <w:t>彼得后书</w:t>
      </w:r>
      <w:r w:rsidRPr="00794712">
        <w:rPr>
          <w:lang w:val="ru-RU"/>
        </w:rPr>
        <w:t xml:space="preserve"> 3</w:t>
      </w:r>
      <w:r w:rsidRPr="00132927">
        <w:rPr>
          <w:lang w:val="ru-RU"/>
        </w:rPr>
        <w:t>:</w:t>
      </w:r>
      <w:r w:rsidRPr="00794712">
        <w:rPr>
          <w:lang w:val="ru-RU"/>
        </w:rPr>
        <w:t>13）。</w:t>
      </w:r>
    </w:p>
    <w:p w14:paraId="41B4E266" w14:textId="77777777" w:rsidR="00D85B34" w:rsidRPr="00794712" w:rsidRDefault="00D85B34" w:rsidP="00D85B34">
      <w:pPr>
        <w:rPr>
          <w:lang w:val="ru-RU"/>
        </w:rPr>
      </w:pPr>
      <w:r w:rsidRPr="00794712">
        <w:rPr>
          <w:lang w:val="ru-RU"/>
        </w:rPr>
        <w:tab/>
        <w:t>基督之死的救赎大能，不仅不延伸，也永远不会延伸到</w:t>
      </w:r>
      <w:r>
        <w:rPr>
          <w:lang w:val="ru-RU"/>
        </w:rPr>
        <w:t>那个</w:t>
      </w:r>
      <w:r w:rsidRPr="00794712">
        <w:rPr>
          <w:lang w:val="ru-RU"/>
        </w:rPr>
        <w:t>充满恶灵</w:t>
      </w:r>
      <w:r>
        <w:rPr>
          <w:lang w:val="ru-RU"/>
        </w:rPr>
        <w:t>的世界</w:t>
      </w:r>
      <w:r w:rsidRPr="00794712">
        <w:rPr>
          <w:lang w:val="ru-RU"/>
        </w:rPr>
        <w:t>——这些恶灵堕落得如此之深，在邪恶中扎根得如此之深，对 上帝怀有如此顽固的敌意，并对其心怀如此刻骨的仇恨，以致它们已无法悔改，无法被恢复，也不配蒙受怜悯。</w:t>
      </w:r>
      <w:r w:rsidR="00C52321">
        <w:rPr>
          <w:rStyle w:val="FootnoteReference"/>
          <w:lang w:val="ru-RU"/>
        </w:rPr>
        <w:footnoteReference w:id="387"/>
      </w:r>
      <w:r w:rsidRPr="00794712">
        <w:rPr>
          <w:lang w:val="ru-RU"/>
        </w:rPr>
        <w:t xml:space="preserve"> 他们只等着审判之日和上帝之怒显明的那一天（犹大书</w:t>
      </w:r>
      <w:r w:rsidRPr="00132927">
        <w:rPr>
          <w:rFonts w:cs="Cambria Math"/>
          <w:lang w:val="ru-RU"/>
        </w:rPr>
        <w:t xml:space="preserve"> 1:</w:t>
      </w:r>
      <w:r w:rsidRPr="00794712">
        <w:rPr>
          <w:lang w:val="ru-RU"/>
        </w:rPr>
        <w:t>6）；为他们预备的是永火</w:t>
      </w:r>
      <w:r w:rsidR="00224D5E">
        <w:rPr>
          <w:lang w:val="ru-RU"/>
        </w:rPr>
        <w:t>（马太福音</w:t>
      </w:r>
      <w:r w:rsidRPr="00794712">
        <w:rPr>
          <w:lang w:val="ru-RU"/>
        </w:rPr>
        <w:t xml:space="preserve"> 25</w:t>
      </w:r>
      <w:r w:rsidRPr="00132927">
        <w:rPr>
          <w:lang w:val="ru-RU"/>
        </w:rPr>
        <w:t>:</w:t>
      </w:r>
      <w:r w:rsidRPr="00794712">
        <w:rPr>
          <w:lang w:val="ru-RU"/>
        </w:rPr>
        <w:t>47）。 古代诺斯替派、马吉安派和奥利金派认为救赎之功甚至延伸至堕落的天使本身，这一观点被教会教师们驳斥，</w:t>
      </w:r>
      <w:r w:rsidR="00C52321">
        <w:rPr>
          <w:rStyle w:val="FootnoteReference"/>
          <w:lang w:val="ru-RU"/>
        </w:rPr>
        <w:footnoteReference w:id="388"/>
      </w:r>
      <w:r w:rsidRPr="00794712">
        <w:rPr>
          <w:lang w:val="ru-RU"/>
        </w:rPr>
        <w:t xml:space="preserve"> ，并被整个教会于第五次大公会议上郑重谴责。</w:t>
      </w:r>
      <w:r w:rsidR="00C52321">
        <w:rPr>
          <w:rStyle w:val="FootnoteReference"/>
          <w:lang w:val="ru-RU"/>
        </w:rPr>
        <w:footnoteReference w:id="389"/>
      </w:r>
    </w:p>
    <w:p w14:paraId="535E4B6E" w14:textId="77777777" w:rsidR="00D85B34" w:rsidRDefault="00D85B34" w:rsidP="00D85B34">
      <w:pPr>
        <w:rPr>
          <w:lang w:val="ru-RU"/>
        </w:rPr>
      </w:pPr>
    </w:p>
    <w:p w14:paraId="638095C6" w14:textId="77777777" w:rsidR="00D85B34" w:rsidRPr="00794712" w:rsidRDefault="00D85B34" w:rsidP="007B240B">
      <w:pPr>
        <w:pStyle w:val="Heading5"/>
        <w:rPr>
          <w:lang w:val="ru-RU"/>
        </w:rPr>
      </w:pPr>
      <w:bookmarkStart w:id="311" w:name="_Toc133155589"/>
      <w:bookmarkStart w:id="312" w:name="_Toc180664602"/>
      <w:bookmarkStart w:id="313" w:name="_Toc180679223"/>
      <w:bookmarkStart w:id="314" w:name="_Toc180679280"/>
      <w:bookmarkStart w:id="315" w:name="_Toc180679803"/>
      <w:bookmarkStart w:id="316" w:name="_Toc238453686"/>
      <w:bookmarkStart w:id="317" w:name="_Toc238576502"/>
      <w:r w:rsidRPr="00794712">
        <w:rPr>
          <w:lang w:val="ru-RU"/>
        </w:rPr>
        <w:t>§155. 耶稣基督十字架功绩对其自身的结果：祂得荣耀的状态</w:t>
      </w:r>
      <w:bookmarkEnd w:id="311"/>
      <w:bookmarkEnd w:id="312"/>
      <w:bookmarkEnd w:id="313"/>
      <w:bookmarkEnd w:id="314"/>
      <w:bookmarkEnd w:id="315"/>
      <w:bookmarkEnd w:id="316"/>
      <w:bookmarkEnd w:id="317"/>
    </w:p>
    <w:p w14:paraId="56FEAC76" w14:textId="77777777" w:rsidR="00D85B34" w:rsidRPr="00794712" w:rsidRDefault="00D85B34" w:rsidP="00D85B34">
      <w:pPr>
        <w:ind w:firstLine="708"/>
        <w:rPr>
          <w:lang w:val="ru-RU"/>
        </w:rPr>
      </w:pPr>
      <w:r w:rsidRPr="00794712">
        <w:rPr>
          <w:lang w:val="ru-RU"/>
        </w:rPr>
        <w:t>主耶稣通过祂的受难与死亡所成就的伟大救赎壮举，作为祂自由的壮举，作为神格的壮举，在永恒公义的审判面前，不仅对祂自己——我们的救赎主——而言，具有至高无上的功德意义。 祂甘心顺服于父的旨意——父已定意要藉着祂道成肉身的儿子之血拯</w:t>
      </w:r>
      <w:r>
        <w:rPr>
          <w:lang w:val="ru-RU"/>
        </w:rPr>
        <w:t>救世界</w:t>
      </w:r>
      <w:r w:rsidRPr="00794712">
        <w:rPr>
          <w:lang w:val="ru-RU"/>
        </w:rPr>
        <w:t>；祂甘心走完了整个耗尽自我的历程；祂甘心</w:t>
      </w:r>
      <w:r w:rsidRPr="001E5A80">
        <w:rPr>
          <w:i/>
          <w:iCs/>
          <w:lang w:val="ru-RU"/>
        </w:rPr>
        <w:t>“为那摆</w:t>
      </w:r>
      <w:r w:rsidRPr="001E5A80">
        <w:rPr>
          <w:i/>
          <w:iCs/>
          <w:lang w:val="ru-RU"/>
        </w:rPr>
        <w:lastRenderedPageBreak/>
        <w:t>在前面的喜乐，就轻看羞辱，忍受了十字架的苦难”</w:t>
      </w:r>
      <w:r w:rsidRPr="00794712">
        <w:rPr>
          <w:lang w:val="ru-RU"/>
        </w:rPr>
        <w:t xml:space="preserve"> （来12:2）：正因这一切，在他经历耗尽之后，便迎来了得荣耀的时刻</w:t>
      </w:r>
      <w:r w:rsidR="00463CEB" w:rsidRPr="00463CEB">
        <w:rPr>
          <w:lang w:val="ru-RU"/>
        </w:rPr>
        <w:t>[</w:t>
      </w:r>
      <w:r w:rsidR="005864AB">
        <w:rPr>
          <w:lang w:val="ru-RU"/>
        </w:rPr>
        <w:t>（</w:t>
      </w:r>
      <w:r w:rsidRPr="00794712">
        <w:rPr>
          <w:lang w:val="ru-RU"/>
        </w:rPr>
        <w:t>约7</w:t>
      </w:r>
      <w:r w:rsidRPr="001E5A80">
        <w:rPr>
          <w:lang w:val="ru-RU"/>
        </w:rPr>
        <w:t>:</w:t>
      </w:r>
      <w:r w:rsidRPr="00794712">
        <w:rPr>
          <w:lang w:val="ru-RU"/>
        </w:rPr>
        <w:t>39</w:t>
      </w:r>
      <w:r w:rsidR="00463CEB">
        <w:rPr>
          <w:lang w:val="ru-RU"/>
        </w:rPr>
        <w:t>）</w:t>
      </w:r>
      <w:r w:rsidRPr="00794712">
        <w:rPr>
          <w:lang w:val="ru-RU"/>
        </w:rPr>
        <w:t>；</w:t>
      </w:r>
      <w:r w:rsidR="00463CEB" w:rsidRPr="00463CEB">
        <w:rPr>
          <w:rFonts w:cs="Cambria Math"/>
          <w:lang w:val="ru-RU"/>
        </w:rPr>
        <w:t>（</w:t>
      </w:r>
      <w:r w:rsidRPr="00794712">
        <w:rPr>
          <w:lang w:val="ru-RU"/>
        </w:rPr>
        <w:t>约12</w:t>
      </w:r>
      <w:r>
        <w:rPr>
          <w:lang w:val="ru-RU"/>
        </w:rPr>
        <w:t>:</w:t>
      </w:r>
      <w:r w:rsidRPr="00794712">
        <w:rPr>
          <w:lang w:val="ru-RU"/>
        </w:rPr>
        <w:t>16）</w:t>
      </w:r>
      <w:r w:rsidR="00463CEB" w:rsidRPr="00463CEB">
        <w:rPr>
          <w:lang w:val="ru-RU"/>
        </w:rPr>
        <w:t>]</w:t>
      </w:r>
      <w:r w:rsidRPr="00794712">
        <w:rPr>
          <w:lang w:val="ru-RU"/>
        </w:rPr>
        <w:t>，</w:t>
      </w:r>
      <w:r>
        <w:rPr>
          <w:lang w:val="ru-RU"/>
        </w:rPr>
        <w:t xml:space="preserve"> </w:t>
      </w:r>
      <w:r w:rsidRPr="00794712">
        <w:rPr>
          <w:lang w:val="ru-RU"/>
        </w:rPr>
        <w:t>——这种荣耀并非源于祂的神性（神性本就荣耀，只是在肉身的</w:t>
      </w:r>
      <w:r>
        <w:rPr>
          <w:lang w:val="ru-RU"/>
        </w:rPr>
        <w:t>日子里</w:t>
      </w:r>
      <w:r w:rsidRPr="00794712">
        <w:rPr>
          <w:lang w:val="ru-RU"/>
        </w:rPr>
        <w:t>（希伯来书 5</w:t>
      </w:r>
      <w:r>
        <w:rPr>
          <w:lang w:val="ru-RU"/>
        </w:rPr>
        <w:t>:</w:t>
      </w:r>
      <w:r w:rsidR="001B763B" w:rsidRPr="00463CEB">
        <w:rPr>
          <w:bCs/>
          <w:lang w:val="ru-RU"/>
        </w:rPr>
        <w:t>7）</w:t>
      </w:r>
      <w:r w:rsidRPr="00794712">
        <w:rPr>
          <w:lang w:val="ru-RU"/>
        </w:rPr>
        <w:t xml:space="preserve">将荣耀隐藏在肉身的幔子之下），而是源于祂所接纳、与祂的神性位格合而为一的人性，这种人性直到死，按真理而言，确实被贬低（蒙受羞辱）， </w:t>
      </w:r>
      <w:r w:rsidRPr="00374FCD">
        <w:rPr>
          <w:i/>
          <w:iCs/>
          <w:lang w:val="ru-RU"/>
        </w:rPr>
        <w:t>既无形貌，也无威仪</w:t>
      </w:r>
      <w:r w:rsidRPr="00794712">
        <w:rPr>
          <w:lang w:val="ru-RU"/>
        </w:rPr>
        <w:t>（赛53</w:t>
      </w:r>
      <w:r>
        <w:rPr>
          <w:lang w:val="ru-RU"/>
        </w:rPr>
        <w:t>:</w:t>
      </w:r>
      <w:r w:rsidRPr="00794712">
        <w:rPr>
          <w:lang w:val="ru-RU"/>
        </w:rPr>
        <w:t>2-3）。关于我们救主作为神人因其功绩而获得的这全然的荣耀——</w:t>
      </w:r>
    </w:p>
    <w:p w14:paraId="032B1B6A" w14:textId="77777777" w:rsidR="00D85B34" w:rsidRPr="00BD6C1B" w:rsidRDefault="00F45CFB" w:rsidP="00D85B34">
      <w:pPr>
        <w:ind w:firstLine="708"/>
        <w:rPr>
          <w:lang w:val="ru-RU"/>
        </w:rPr>
      </w:pPr>
      <w:r w:rsidRPr="00F45CFB">
        <w:rPr>
          <w:b/>
          <w:lang w:val="ru-RU"/>
        </w:rPr>
        <w:t>1)</w:t>
      </w:r>
      <w:r w:rsidR="00D85B34" w:rsidRPr="00794712">
        <w:rPr>
          <w:lang w:val="ru-RU"/>
        </w:rPr>
        <w:t xml:space="preserve"> 祂自己曾明确宣告：当临近死亡时，祂</w:t>
      </w:r>
      <w:r w:rsidR="00D85B34">
        <w:rPr>
          <w:lang w:val="ru-RU"/>
        </w:rPr>
        <w:t>在</w:t>
      </w:r>
      <w:r w:rsidR="00D85B34" w:rsidRPr="00794712">
        <w:rPr>
          <w:lang w:val="ru-RU"/>
        </w:rPr>
        <w:t>向父神呼求时曾说：</w:t>
      </w:r>
      <w:r w:rsidR="00D85B34" w:rsidRPr="00374FCD">
        <w:rPr>
          <w:i/>
          <w:iCs/>
          <w:lang w:val="ru-RU"/>
        </w:rPr>
        <w:t>“父啊，时候到了，求祢荣耀祢的儿子……我在地上已经荣耀了祢，完成了祢所托付我做的事。</w:t>
      </w:r>
      <w:r w:rsidR="00D85B34">
        <w:rPr>
          <w:i/>
          <w:iCs/>
          <w:lang w:val="ru-RU"/>
        </w:rPr>
        <w:t xml:space="preserve"> </w:t>
      </w:r>
      <w:r w:rsidR="00D85B34" w:rsidRPr="00374FCD">
        <w:rPr>
          <w:i/>
          <w:iCs/>
          <w:lang w:val="ru-RU"/>
        </w:rPr>
        <w:t>现在，父啊，求你在你那里用那我从创世以前在你那里所拥有的荣耀荣耀我”</w:t>
      </w:r>
      <w:r w:rsidR="00D85B34" w:rsidRPr="00794712">
        <w:rPr>
          <w:lang w:val="ru-RU"/>
        </w:rPr>
        <w:t xml:space="preserve"> </w:t>
      </w:r>
      <w:r w:rsidR="005864AB">
        <w:rPr>
          <w:lang w:val="ru-RU"/>
        </w:rPr>
        <w:t>（</w:t>
      </w:r>
      <w:r w:rsidR="00D85B34" w:rsidRPr="00794712">
        <w:rPr>
          <w:lang w:val="ru-RU"/>
        </w:rPr>
        <w:t>约17</w:t>
      </w:r>
      <w:r w:rsidR="00D85B34">
        <w:rPr>
          <w:lang w:val="ru-RU"/>
        </w:rPr>
        <w:t>:</w:t>
      </w:r>
      <w:r w:rsidR="00D85B34" w:rsidRPr="00794712">
        <w:rPr>
          <w:lang w:val="ru-RU"/>
        </w:rPr>
        <w:t>1-5）；复活后，祂向两位前往以马忤斯的门徒显现——他们因导师的死而困惑不解——便高声说道：</w:t>
      </w:r>
      <w:r w:rsidR="00D85B34" w:rsidRPr="00374FCD">
        <w:rPr>
          <w:i/>
          <w:iCs/>
          <w:lang w:val="ru-RU"/>
        </w:rPr>
        <w:t>“你们这无知、心里迟钝的人啊，怎么不相信先知们所预言的一切呢！ 基督岂不是应当这样受苦，然后进入祂的荣耀吗？”</w:t>
      </w:r>
      <w:r w:rsidR="001F503F" w:rsidRPr="00BD6C1B">
        <w:rPr>
          <w:lang w:val="ru-RU"/>
        </w:rPr>
        <w:t>[</w:t>
      </w:r>
      <w:r w:rsidR="008A3626">
        <w:rPr>
          <w:lang w:val="ru-RU"/>
        </w:rPr>
        <w:t>(路加福音</w:t>
      </w:r>
      <w:r w:rsidR="00D85B34" w:rsidRPr="00794712">
        <w:rPr>
          <w:lang w:val="ru-RU"/>
        </w:rPr>
        <w:t xml:space="preserve"> 24</w:t>
      </w:r>
      <w:r w:rsidR="00D85B34" w:rsidRPr="002538DD">
        <w:rPr>
          <w:lang w:val="ru-RU"/>
        </w:rPr>
        <w:t>:</w:t>
      </w:r>
      <w:r w:rsidR="00D85B34" w:rsidRPr="00794712">
        <w:rPr>
          <w:lang w:val="ru-RU"/>
        </w:rPr>
        <w:t>25-26</w:t>
      </w:r>
      <w:r w:rsidR="001F503F" w:rsidRPr="00BD6C1B">
        <w:rPr>
          <w:lang w:val="ru-RU"/>
        </w:rPr>
        <w:t>)</w:t>
      </w:r>
      <w:r w:rsidR="00D85B34" w:rsidRPr="00794712">
        <w:rPr>
          <w:lang w:val="ru-RU"/>
        </w:rPr>
        <w:t>；</w:t>
      </w:r>
      <w:r w:rsidR="001F503F" w:rsidRPr="00BD6C1B">
        <w:rPr>
          <w:lang w:val="ru-RU"/>
        </w:rPr>
        <w:t>(</w:t>
      </w:r>
      <w:r w:rsidR="0087297C">
        <w:rPr>
          <w:lang w:val="ru-RU"/>
        </w:rPr>
        <w:t>约翰福音</w:t>
      </w:r>
      <w:r w:rsidR="00D85B34" w:rsidRPr="00794712">
        <w:rPr>
          <w:lang w:val="ru-RU"/>
        </w:rPr>
        <w:t xml:space="preserve"> 10</w:t>
      </w:r>
      <w:r w:rsidR="00D85B34" w:rsidRPr="002538DD">
        <w:rPr>
          <w:lang w:val="ru-RU"/>
        </w:rPr>
        <w:t>:</w:t>
      </w:r>
      <w:r w:rsidR="00D85B34" w:rsidRPr="00794712">
        <w:rPr>
          <w:lang w:val="ru-RU"/>
        </w:rPr>
        <w:t>17)</w:t>
      </w:r>
      <w:r w:rsidR="001F503F" w:rsidRPr="00BD6C1B">
        <w:rPr>
          <w:lang w:val="ru-RU"/>
        </w:rPr>
        <w:t>]</w:t>
      </w:r>
    </w:p>
    <w:p w14:paraId="27C75E3E" w14:textId="77777777" w:rsidR="00D85B34" w:rsidRPr="00794712" w:rsidRDefault="00F45CFB" w:rsidP="00D85B34">
      <w:pPr>
        <w:ind w:firstLine="708"/>
        <w:rPr>
          <w:lang w:val="ru-RU"/>
        </w:rPr>
      </w:pPr>
      <w:r w:rsidRPr="00F45CFB">
        <w:rPr>
          <w:b/>
          <w:lang w:val="ru-RU"/>
        </w:rPr>
        <w:t>2)</w:t>
      </w:r>
      <w:r w:rsidR="00D85B34" w:rsidRPr="00794712">
        <w:rPr>
          <w:lang w:val="ru-RU"/>
        </w:rPr>
        <w:t xml:space="preserve"> 圣使徒们也明确地作证了这一点。使徒彼得对犹太人说：</w:t>
      </w:r>
      <w:r w:rsidR="00D85B34" w:rsidRPr="00374FCD">
        <w:rPr>
          <w:i/>
          <w:iCs/>
          <w:lang w:val="ru-RU"/>
        </w:rPr>
        <w:t>“亚伯拉罕、以撒、雅各的神，就是我们列祖的神，已经荣耀了祂的儿子耶稣——你们所交出的那一位”</w:t>
      </w:r>
      <w:r w:rsidR="00D85B34" w:rsidRPr="00794712">
        <w:rPr>
          <w:lang w:val="ru-RU"/>
        </w:rPr>
        <w:t xml:space="preserve"> （《使徒行传》3</w:t>
      </w:r>
      <w:r w:rsidR="00D85B34" w:rsidRPr="00374FCD">
        <w:rPr>
          <w:rFonts w:cs="Cambria Math"/>
          <w:lang w:val="ru-RU"/>
        </w:rPr>
        <w:t>:</w:t>
      </w:r>
      <w:r w:rsidR="00D85B34" w:rsidRPr="00794712">
        <w:rPr>
          <w:lang w:val="ru-RU"/>
        </w:rPr>
        <w:t>13）；他在书信中写道，先知们曾预言我们的救恩，先是见证了基督的</w:t>
      </w:r>
      <w:r w:rsidR="00D85B34">
        <w:rPr>
          <w:lang w:val="ru-RU"/>
        </w:rPr>
        <w:t>受难</w:t>
      </w:r>
      <w:r w:rsidR="00D85B34" w:rsidRPr="00627CB6">
        <w:rPr>
          <w:lang w:val="ru-RU"/>
        </w:rPr>
        <w:t>，随后又预言了随之而来的荣耀</w:t>
      </w:r>
      <w:r w:rsidR="00D85B34" w:rsidRPr="00794712">
        <w:rPr>
          <w:lang w:val="ru-RU"/>
        </w:rPr>
        <w:t>（</w:t>
      </w:r>
      <w:r w:rsidR="0087297C">
        <w:rPr>
          <w:lang w:val="ru-RU"/>
        </w:rPr>
        <w:t>《彼得前书》</w:t>
      </w:r>
      <w:r w:rsidR="00D85B34" w:rsidRPr="00794712">
        <w:rPr>
          <w:lang w:val="ru-RU"/>
        </w:rPr>
        <w:t>1</w:t>
      </w:r>
      <w:r w:rsidR="00D85B34" w:rsidRPr="00374FCD">
        <w:rPr>
          <w:lang w:val="ru-RU"/>
        </w:rPr>
        <w:t>:</w:t>
      </w:r>
      <w:r w:rsidR="00D85B34" w:rsidRPr="00794712">
        <w:rPr>
          <w:lang w:val="ru-RU"/>
        </w:rPr>
        <w:t>11）。 使徒保罗在描述基督作为真神如何</w:t>
      </w:r>
      <w:r w:rsidR="00D85B34" w:rsidRPr="00627CB6">
        <w:rPr>
          <w:i/>
          <w:iCs/>
          <w:lang w:val="ru-RU"/>
        </w:rPr>
        <w:t>“虚己，取了奴仆的形像，成为人的样式，既有人的样子，就自己卑微，存心顺服，以至于死</w:t>
      </w:r>
      <w:r w:rsidR="00D85B34" w:rsidRPr="00794712">
        <w:rPr>
          <w:lang w:val="ru-RU"/>
        </w:rPr>
        <w:t>，</w:t>
      </w:r>
      <w:r w:rsidR="00D85B34" w:rsidRPr="00627CB6">
        <w:rPr>
          <w:i/>
          <w:iCs/>
          <w:lang w:val="ru-RU"/>
        </w:rPr>
        <w:t>且死在十字架上”</w:t>
      </w:r>
      <w:r w:rsidR="00D85B34" w:rsidRPr="00794712">
        <w:rPr>
          <w:lang w:val="ru-RU"/>
        </w:rPr>
        <w:t xml:space="preserve">之后，随即补充道： </w:t>
      </w:r>
      <w:r w:rsidR="00D85B34" w:rsidRPr="00627CB6">
        <w:rPr>
          <w:i/>
          <w:iCs/>
          <w:lang w:val="ru-RU"/>
        </w:rPr>
        <w:t>“因此（</w:t>
      </w:r>
      <w:r w:rsidR="00D85B34" w:rsidRPr="00627CB6">
        <w:rPr>
          <w:i/>
          <w:iCs/>
        </w:rPr>
        <w:t>διό</w:t>
      </w:r>
      <w:r w:rsidR="00D85B34" w:rsidRPr="00627CB6">
        <w:rPr>
          <w:i/>
          <w:iCs/>
          <w:lang w:val="ru-RU"/>
        </w:rPr>
        <w:t>），神将他升为至高，又赐给他那超乎万名之上的名，叫一切在天上的、地上的和地底下的，因耶稣的名无不屈膝敬拜”</w:t>
      </w:r>
      <w:r w:rsidR="001973A6">
        <w:rPr>
          <w:lang w:val="ru-RU"/>
        </w:rPr>
        <w:t>（腓立比书</w:t>
      </w:r>
      <w:r w:rsidR="00D85B34" w:rsidRPr="00794712">
        <w:rPr>
          <w:lang w:val="ru-RU"/>
        </w:rPr>
        <w:t xml:space="preserve"> 2</w:t>
      </w:r>
      <w:r w:rsidR="00D85B34" w:rsidRPr="00627CB6">
        <w:rPr>
          <w:lang w:val="ru-RU"/>
        </w:rPr>
        <w:t>:</w:t>
      </w:r>
      <w:r w:rsidR="00D85B34" w:rsidRPr="00794712">
        <w:rPr>
          <w:lang w:val="ru-RU"/>
        </w:rPr>
        <w:t>7-10）。 而在另一封书信中，他提到我们所看见的耶稣，正是</w:t>
      </w:r>
      <w:r w:rsidR="00D85B34" w:rsidRPr="00627CB6">
        <w:rPr>
          <w:i/>
          <w:iCs/>
          <w:lang w:val="ru-RU"/>
        </w:rPr>
        <w:t>“因受死而得了荣耀和尊贵”</w:t>
      </w:r>
      <w:r w:rsidR="00D85B34" w:rsidRPr="00794712">
        <w:rPr>
          <w:lang w:val="ru-RU"/>
        </w:rPr>
        <w:t>（希伯来书 2</w:t>
      </w:r>
      <w:r w:rsidR="00D85B34" w:rsidRPr="00627CB6">
        <w:rPr>
          <w:lang w:val="ru-RU"/>
        </w:rPr>
        <w:t>:</w:t>
      </w:r>
      <w:r w:rsidR="00D85B34" w:rsidRPr="00794712">
        <w:rPr>
          <w:lang w:val="ru-RU"/>
        </w:rPr>
        <w:t>9）。</w:t>
      </w:r>
    </w:p>
    <w:p w14:paraId="267734DD" w14:textId="77777777" w:rsidR="00D85B34" w:rsidRPr="00794712" w:rsidRDefault="00D85B34" w:rsidP="00D85B34">
      <w:pPr>
        <w:rPr>
          <w:lang w:val="ru-RU"/>
        </w:rPr>
      </w:pPr>
      <w:r w:rsidRPr="00794712">
        <w:rPr>
          <w:lang w:val="ru-RU"/>
        </w:rPr>
        <w:tab/>
        <w:t>我们救主这荣耀的本质，从上述经文中可以部分看出。在于祂作为神人，已经进入了那作为神</w:t>
      </w:r>
      <w:r w:rsidRPr="00AF49B7">
        <w:rPr>
          <w:lang w:val="ru-RU"/>
        </w:rPr>
        <w:t>在世界未造以先就</w:t>
      </w:r>
      <w:r w:rsidRPr="00794712">
        <w:rPr>
          <w:lang w:val="ru-RU"/>
        </w:rPr>
        <w:t>与父同有的荣耀</w:t>
      </w:r>
      <w:r w:rsidR="008A3626">
        <w:rPr>
          <w:lang w:val="ru-RU"/>
        </w:rPr>
        <w:t>[（路加福音</w:t>
      </w:r>
      <w:r w:rsidRPr="00794712">
        <w:rPr>
          <w:lang w:val="ru-RU"/>
        </w:rPr>
        <w:t xml:space="preserve"> 24</w:t>
      </w:r>
      <w:r w:rsidRPr="00AF49B7">
        <w:rPr>
          <w:lang w:val="ru-RU"/>
        </w:rPr>
        <w:t>:</w:t>
      </w:r>
      <w:r w:rsidRPr="00794712">
        <w:rPr>
          <w:lang w:val="ru-RU"/>
        </w:rPr>
        <w:t>26</w:t>
      </w:r>
      <w:r w:rsidR="00463CEB" w:rsidRPr="00463CEB">
        <w:rPr>
          <w:lang w:val="ru-RU"/>
        </w:rPr>
        <w:t>）</w:t>
      </w:r>
      <w:r w:rsidRPr="00794712">
        <w:rPr>
          <w:lang w:val="ru-RU"/>
        </w:rPr>
        <w:t>；</w:t>
      </w:r>
      <w:r w:rsidR="00463CEB" w:rsidRPr="00463CEB">
        <w:rPr>
          <w:lang w:val="ru-RU"/>
        </w:rPr>
        <w:t>（</w:t>
      </w:r>
      <w:r w:rsidR="0087297C">
        <w:rPr>
          <w:lang w:val="ru-RU"/>
        </w:rPr>
        <w:t>约翰福音</w:t>
      </w:r>
      <w:r w:rsidRPr="00794712">
        <w:rPr>
          <w:lang w:val="ru-RU"/>
        </w:rPr>
        <w:t xml:space="preserve"> 17</w:t>
      </w:r>
      <w:r w:rsidRPr="00AF49B7">
        <w:rPr>
          <w:lang w:val="ru-RU"/>
        </w:rPr>
        <w:t>:5</w:t>
      </w:r>
      <w:r w:rsidRPr="00794712">
        <w:rPr>
          <w:lang w:val="ru-RU"/>
        </w:rPr>
        <w:t>）</w:t>
      </w:r>
      <w:r w:rsidR="00463CEB" w:rsidRPr="00463CEB">
        <w:rPr>
          <w:lang w:val="ru-RU"/>
        </w:rPr>
        <w:t>]</w:t>
      </w:r>
      <w:r w:rsidRPr="00794712">
        <w:rPr>
          <w:lang w:val="ru-RU"/>
        </w:rPr>
        <w:t>； 还在于，就祂的人性而言，父</w:t>
      </w:r>
      <w:r w:rsidRPr="00AF49B7">
        <w:rPr>
          <w:i/>
          <w:iCs/>
          <w:lang w:val="ru-RU"/>
        </w:rPr>
        <w:t xml:space="preserve">神“使祂从死里复活，叫祂在天上坐在自己的右边，远超过一切执政的、掌权的、有能的、主治的，以及一切有名的——不但是今世的，连来世的也都超过了——并且叫万有都服在祂的脚下 ” </w:t>
      </w:r>
      <w:r w:rsidR="00463CEB" w:rsidRPr="00463CEB">
        <w:rPr>
          <w:lang w:val="ru-RU"/>
        </w:rPr>
        <w:t>[</w:t>
      </w:r>
      <w:r w:rsidRPr="00794712">
        <w:rPr>
          <w:lang w:val="ru-RU"/>
        </w:rPr>
        <w:t>(以弗所书 1</w:t>
      </w:r>
      <w:r w:rsidRPr="00AF49B7">
        <w:rPr>
          <w:lang w:val="ru-RU"/>
        </w:rPr>
        <w:t>:</w:t>
      </w:r>
      <w:r w:rsidRPr="00794712">
        <w:rPr>
          <w:lang w:val="ru-RU"/>
        </w:rPr>
        <w:t>20-22</w:t>
      </w:r>
      <w:r w:rsidR="00463CEB" w:rsidRPr="00463CEB">
        <w:rPr>
          <w:lang w:val="ru-RU"/>
        </w:rPr>
        <w:t>)</w:t>
      </w:r>
      <w:r w:rsidRPr="00794712">
        <w:rPr>
          <w:lang w:val="ru-RU"/>
        </w:rPr>
        <w:t>；</w:t>
      </w:r>
      <w:r w:rsidR="00463CEB" w:rsidRPr="00463CEB">
        <w:rPr>
          <w:lang w:val="ru-RU"/>
        </w:rPr>
        <w:t>(</w:t>
      </w:r>
      <w:r w:rsidR="00E070F3">
        <w:rPr>
          <w:lang w:val="ru-RU"/>
        </w:rPr>
        <w:t>哥林多前书</w:t>
      </w:r>
      <w:r w:rsidRPr="00794712">
        <w:rPr>
          <w:lang w:val="ru-RU"/>
        </w:rPr>
        <w:t xml:space="preserve"> 15</w:t>
      </w:r>
      <w:r w:rsidRPr="00AF49B7">
        <w:rPr>
          <w:lang w:val="ru-RU"/>
        </w:rPr>
        <w:t>:</w:t>
      </w:r>
      <w:r w:rsidRPr="00794712">
        <w:rPr>
          <w:lang w:val="ru-RU"/>
        </w:rPr>
        <w:t>27)</w:t>
      </w:r>
      <w:r w:rsidR="00463CEB" w:rsidRPr="00463CEB">
        <w:rPr>
          <w:lang w:val="ru-RU"/>
        </w:rPr>
        <w:t>]</w:t>
      </w:r>
      <w:r w:rsidRPr="00794712">
        <w:rPr>
          <w:lang w:val="ru-RU"/>
        </w:rPr>
        <w:t>；在于</w:t>
      </w:r>
      <w:r w:rsidRPr="00AF49B7">
        <w:rPr>
          <w:i/>
          <w:iCs/>
          <w:lang w:val="ru-RU"/>
        </w:rPr>
        <w:t>祂“升上高天，坐在神的右边，天使、掌权的、有能的都服从了祂”</w:t>
      </w:r>
      <w:r w:rsidRPr="00794712">
        <w:rPr>
          <w:lang w:val="ru-RU"/>
        </w:rPr>
        <w:t xml:space="preserve"> （</w:t>
      </w:r>
      <w:r w:rsidR="0087297C">
        <w:rPr>
          <w:lang w:val="ru-RU"/>
        </w:rPr>
        <w:t>彼得前书</w:t>
      </w:r>
      <w:r w:rsidRPr="00794712">
        <w:rPr>
          <w:lang w:val="ru-RU"/>
        </w:rPr>
        <w:t xml:space="preserve"> 3</w:t>
      </w:r>
      <w:r w:rsidRPr="00AF49B7">
        <w:rPr>
          <w:lang w:val="ru-RU"/>
        </w:rPr>
        <w:t>:</w:t>
      </w:r>
      <w:r w:rsidRPr="00794712">
        <w:rPr>
          <w:lang w:val="ru-RU"/>
        </w:rPr>
        <w:t>22），并且以人的形像，从天上、地上和 阴间的一切受造之物，</w:t>
      </w:r>
      <w:r>
        <w:rPr>
          <w:lang w:val="ru-RU"/>
        </w:rPr>
        <w:t>领受</w:t>
      </w:r>
      <w:r w:rsidRPr="00794712">
        <w:rPr>
          <w:lang w:val="ru-RU"/>
        </w:rPr>
        <w:t>与祂从太初按神性所享有的完全相同的敬拜</w:t>
      </w:r>
      <w:r w:rsidR="001973A6">
        <w:rPr>
          <w:lang w:val="ru-RU"/>
        </w:rPr>
        <w:t>（腓立比书</w:t>
      </w:r>
      <w:r w:rsidRPr="00794712">
        <w:rPr>
          <w:lang w:val="ru-RU"/>
        </w:rPr>
        <w:t xml:space="preserve"> 2</w:t>
      </w:r>
      <w:r>
        <w:rPr>
          <w:lang w:val="ru-RU"/>
        </w:rPr>
        <w:t>:</w:t>
      </w:r>
      <w:r w:rsidRPr="00794712">
        <w:rPr>
          <w:lang w:val="ru-RU"/>
        </w:rPr>
        <w:t>10；启示录 5</w:t>
      </w:r>
      <w:r>
        <w:rPr>
          <w:lang w:val="ru-RU"/>
        </w:rPr>
        <w:t>:</w:t>
      </w:r>
      <w:r w:rsidRPr="00794712">
        <w:rPr>
          <w:lang w:val="ru-RU"/>
        </w:rPr>
        <w:t>11-14）。</w:t>
      </w:r>
    </w:p>
    <w:p w14:paraId="4633BF94" w14:textId="77777777" w:rsidR="00D85B34" w:rsidRPr="00794712" w:rsidRDefault="00D85B34" w:rsidP="00D85B34">
      <w:pPr>
        <w:rPr>
          <w:lang w:val="ru-RU"/>
        </w:rPr>
      </w:pPr>
      <w:r w:rsidRPr="00794712">
        <w:rPr>
          <w:lang w:val="ru-RU"/>
        </w:rPr>
        <w:tab/>
        <w:t>对耶稣基督的完全而彻底的荣耀，始于祂从死里复活之时——那时祂的身体得以改变，成为荣耀的身体</w:t>
      </w:r>
      <w:r w:rsidR="001973A6">
        <w:rPr>
          <w:lang w:val="ru-RU"/>
        </w:rPr>
        <w:t>（</w:t>
      </w:r>
      <w:r w:rsidRPr="00794712">
        <w:rPr>
          <w:lang w:val="ru-RU"/>
        </w:rPr>
        <w:t>腓3</w:t>
      </w:r>
      <w:r>
        <w:rPr>
          <w:lang w:val="ru-RU"/>
        </w:rPr>
        <w:t>:</w:t>
      </w:r>
      <w:r w:rsidRPr="00794712">
        <w:rPr>
          <w:lang w:val="ru-RU"/>
        </w:rPr>
        <w:t>21），并且祂对使徒们说：</w:t>
      </w:r>
      <w:r w:rsidRPr="000B0A7A">
        <w:rPr>
          <w:i/>
          <w:iCs/>
          <w:lang w:val="ru-RU"/>
        </w:rPr>
        <w:t>“天上地下所有的权柄都赐给我了”</w:t>
      </w:r>
      <w:r w:rsidR="00224D5E">
        <w:rPr>
          <w:lang w:val="ru-RU"/>
        </w:rPr>
        <w:t>（</w:t>
      </w:r>
      <w:r w:rsidRPr="00794712">
        <w:rPr>
          <w:lang w:val="ru-RU"/>
        </w:rPr>
        <w:t>太28</w:t>
      </w:r>
      <w:r w:rsidRPr="000B0A7A">
        <w:rPr>
          <w:lang w:val="ru-RU"/>
        </w:rPr>
        <w:t>:</w:t>
      </w:r>
      <w:r w:rsidRPr="00794712">
        <w:rPr>
          <w:lang w:val="ru-RU"/>
        </w:rPr>
        <w:t>18）。 随后，祂带着肉身升天，在那里，</w:t>
      </w:r>
      <w:r>
        <w:rPr>
          <w:lang w:val="ru-RU"/>
        </w:rPr>
        <w:t>所有的神</w:t>
      </w:r>
      <w:r w:rsidRPr="00794712">
        <w:rPr>
          <w:lang w:val="ru-RU"/>
        </w:rPr>
        <w:t>的天使都顺服了祂</w:t>
      </w:r>
      <w:r w:rsidR="00463CEB" w:rsidRPr="00463CEB">
        <w:rPr>
          <w:lang w:val="ru-RU"/>
        </w:rPr>
        <w:t>[</w:t>
      </w:r>
      <w:r w:rsidRPr="00794712">
        <w:rPr>
          <w:lang w:val="ru-RU"/>
        </w:rPr>
        <w:t>(</w:t>
      </w:r>
      <w:r w:rsidR="0087297C">
        <w:rPr>
          <w:lang w:val="ru-RU"/>
        </w:rPr>
        <w:t>彼得前书</w:t>
      </w:r>
      <w:r w:rsidRPr="00794712">
        <w:rPr>
          <w:lang w:val="ru-RU"/>
        </w:rPr>
        <w:t xml:space="preserve"> 3</w:t>
      </w:r>
      <w:r w:rsidRPr="000B0A7A">
        <w:rPr>
          <w:lang w:val="ru-RU"/>
        </w:rPr>
        <w:t>:</w:t>
      </w:r>
      <w:r w:rsidRPr="00794712">
        <w:rPr>
          <w:lang w:val="ru-RU"/>
        </w:rPr>
        <w:t>22</w:t>
      </w:r>
      <w:r w:rsidR="00463CEB" w:rsidRPr="00463CEB">
        <w:rPr>
          <w:lang w:val="ru-RU"/>
        </w:rPr>
        <w:t>)</w:t>
      </w:r>
      <w:r w:rsidRPr="00794712">
        <w:rPr>
          <w:lang w:val="ru-RU"/>
        </w:rPr>
        <w:t xml:space="preserve">； </w:t>
      </w:r>
      <w:r w:rsidR="00463CEB" w:rsidRPr="00463CEB">
        <w:rPr>
          <w:lang w:val="ru-RU"/>
        </w:rPr>
        <w:t>（</w:t>
      </w:r>
      <w:r w:rsidRPr="00794712">
        <w:rPr>
          <w:lang w:val="ru-RU"/>
        </w:rPr>
        <w:t>希伯来书 1</w:t>
      </w:r>
      <w:r>
        <w:rPr>
          <w:lang w:val="ru-RU"/>
        </w:rPr>
        <w:t>:</w:t>
      </w:r>
      <w:r w:rsidRPr="00794712">
        <w:rPr>
          <w:lang w:val="ru-RU"/>
        </w:rPr>
        <w:t>6）</w:t>
      </w:r>
      <w:r w:rsidR="00463CEB" w:rsidRPr="00463CEB">
        <w:rPr>
          <w:lang w:val="ru-RU"/>
        </w:rPr>
        <w:t>]</w:t>
      </w:r>
      <w:r w:rsidRPr="00794712">
        <w:rPr>
          <w:lang w:val="ru-RU"/>
        </w:rPr>
        <w:t xml:space="preserve">。随后，祂以全然的神圣荣耀坐在父的右边 </w:t>
      </w:r>
      <w:r w:rsidR="00463CEB" w:rsidRPr="00463CEB">
        <w:rPr>
          <w:lang w:val="ru-RU"/>
        </w:rPr>
        <w:t>[</w:t>
      </w:r>
      <w:r w:rsidRPr="00794712">
        <w:rPr>
          <w:lang w:val="ru-RU"/>
        </w:rPr>
        <w:t>(以弗所书 1</w:t>
      </w:r>
      <w:r w:rsidRPr="000B0A7A">
        <w:rPr>
          <w:lang w:val="ru-RU"/>
        </w:rPr>
        <w:t>:</w:t>
      </w:r>
      <w:r w:rsidRPr="00794712">
        <w:rPr>
          <w:lang w:val="ru-RU"/>
        </w:rPr>
        <w:t>21-22</w:t>
      </w:r>
      <w:r w:rsidR="00463CEB" w:rsidRPr="00463CEB">
        <w:rPr>
          <w:lang w:val="ru-RU"/>
        </w:rPr>
        <w:t>)</w:t>
      </w:r>
      <w:r w:rsidRPr="00794712">
        <w:rPr>
          <w:lang w:val="ru-RU"/>
        </w:rPr>
        <w:t>；</w:t>
      </w:r>
      <w:r w:rsidR="00463CEB" w:rsidRPr="00463CEB">
        <w:rPr>
          <w:lang w:val="ru-RU"/>
        </w:rPr>
        <w:t>（</w:t>
      </w:r>
      <w:r w:rsidR="00E070F3">
        <w:rPr>
          <w:lang w:val="ru-RU"/>
        </w:rPr>
        <w:t>哥林多前书</w:t>
      </w:r>
      <w:r w:rsidRPr="00794712">
        <w:rPr>
          <w:lang w:val="ru-RU"/>
        </w:rPr>
        <w:t xml:space="preserve"> 15</w:t>
      </w:r>
      <w:r w:rsidRPr="000B0A7A">
        <w:rPr>
          <w:lang w:val="ru-RU"/>
        </w:rPr>
        <w:t>:</w:t>
      </w:r>
      <w:r w:rsidRPr="00794712">
        <w:rPr>
          <w:lang w:val="ru-RU"/>
        </w:rPr>
        <w:t>27)</w:t>
      </w:r>
      <w:r w:rsidR="00463CEB" w:rsidRPr="00463CEB">
        <w:rPr>
          <w:lang w:val="ru-RU"/>
        </w:rPr>
        <w:t>]</w:t>
      </w:r>
      <w:r w:rsidRPr="00794712">
        <w:rPr>
          <w:lang w:val="ru-RU"/>
        </w:rPr>
        <w:t xml:space="preserve">，届时祂将向全世界显现，审判活人死人 </w:t>
      </w:r>
      <w:r w:rsidR="00463CEB" w:rsidRPr="00463CEB">
        <w:rPr>
          <w:lang w:val="ru-RU"/>
        </w:rPr>
        <w:t>[</w:t>
      </w:r>
      <w:r w:rsidR="00224D5E">
        <w:rPr>
          <w:lang w:val="ru-RU"/>
        </w:rPr>
        <w:t>(马太福音</w:t>
      </w:r>
      <w:r w:rsidRPr="00794712">
        <w:rPr>
          <w:lang w:val="ru-RU"/>
        </w:rPr>
        <w:t xml:space="preserve"> 16</w:t>
      </w:r>
      <w:r w:rsidRPr="000B0A7A">
        <w:rPr>
          <w:lang w:val="ru-RU"/>
        </w:rPr>
        <w:t>:</w:t>
      </w:r>
      <w:r w:rsidRPr="00794712">
        <w:rPr>
          <w:lang w:val="ru-RU"/>
        </w:rPr>
        <w:t>27</w:t>
      </w:r>
      <w:r w:rsidR="00463CEB" w:rsidRPr="00463CEB">
        <w:rPr>
          <w:lang w:val="ru-RU"/>
        </w:rPr>
        <w:t>)</w:t>
      </w:r>
      <w:r w:rsidRPr="00794712">
        <w:rPr>
          <w:lang w:val="ru-RU"/>
        </w:rPr>
        <w:t>；</w:t>
      </w:r>
      <w:r w:rsidR="00FB2012">
        <w:rPr>
          <w:rFonts w:cs="Cambria Math"/>
          <w:lang w:val="ru-RU"/>
        </w:rPr>
        <w:t xml:space="preserve"> </w:t>
      </w:r>
      <w:r w:rsidR="00463CEB" w:rsidRPr="00463CEB">
        <w:rPr>
          <w:rFonts w:cs="Cambria Math"/>
          <w:lang w:val="ru-RU"/>
        </w:rPr>
        <w:t>（</w:t>
      </w:r>
      <w:r w:rsidR="00463CEB">
        <w:rPr>
          <w:lang w:val="ru-RU"/>
        </w:rPr>
        <w:t>太</w:t>
      </w:r>
      <w:r w:rsidRPr="00794712">
        <w:rPr>
          <w:lang w:val="ru-RU"/>
        </w:rPr>
        <w:t>19</w:t>
      </w:r>
      <w:r w:rsidRPr="000B0A7A">
        <w:rPr>
          <w:lang w:val="ru-RU"/>
        </w:rPr>
        <w:t>:</w:t>
      </w:r>
      <w:r w:rsidRPr="00794712">
        <w:rPr>
          <w:lang w:val="ru-RU"/>
        </w:rPr>
        <w:t>28</w:t>
      </w:r>
      <w:r w:rsidR="00463CEB" w:rsidRPr="00463CEB">
        <w:rPr>
          <w:lang w:val="ru-RU"/>
        </w:rPr>
        <w:t>）</w:t>
      </w:r>
      <w:r w:rsidRPr="00794712">
        <w:rPr>
          <w:lang w:val="ru-RU"/>
        </w:rPr>
        <w:t>；</w:t>
      </w:r>
      <w:r w:rsidR="00463CEB" w:rsidRPr="00463CEB">
        <w:rPr>
          <w:rFonts w:cs="Cambria Math"/>
          <w:lang w:val="ru-RU"/>
        </w:rPr>
        <w:t>（</w:t>
      </w:r>
      <w:r w:rsidRPr="00794712">
        <w:rPr>
          <w:lang w:val="ru-RU"/>
        </w:rPr>
        <w:t>太24</w:t>
      </w:r>
      <w:r w:rsidRPr="000B0A7A">
        <w:rPr>
          <w:lang w:val="ru-RU"/>
        </w:rPr>
        <w:t>:</w:t>
      </w:r>
      <w:r w:rsidRPr="00794712">
        <w:rPr>
          <w:lang w:val="ru-RU"/>
        </w:rPr>
        <w:t>30）</w:t>
      </w:r>
      <w:r w:rsidR="00463CEB" w:rsidRPr="00463CEB">
        <w:rPr>
          <w:lang w:val="ru-RU"/>
        </w:rPr>
        <w:t>]</w:t>
      </w:r>
      <w:r w:rsidRPr="00794712">
        <w:rPr>
          <w:lang w:val="ru-RU"/>
        </w:rPr>
        <w:t>，并将在其中与父神和圣灵一同</w:t>
      </w:r>
      <w:r>
        <w:rPr>
          <w:lang w:val="ru-RU"/>
        </w:rPr>
        <w:t>存</w:t>
      </w:r>
      <w:r w:rsidRPr="00794712">
        <w:rPr>
          <w:lang w:val="ru-RU"/>
        </w:rPr>
        <w:t>到永永远远</w:t>
      </w:r>
      <w:r w:rsidR="008A3626">
        <w:rPr>
          <w:lang w:val="ru-RU"/>
        </w:rPr>
        <w:t>（路</w:t>
      </w:r>
      <w:r w:rsidRPr="00794712">
        <w:rPr>
          <w:lang w:val="ru-RU"/>
        </w:rPr>
        <w:t>1</w:t>
      </w:r>
      <w:r w:rsidRPr="000B0A7A">
        <w:rPr>
          <w:lang w:val="ru-RU"/>
        </w:rPr>
        <w:t>:</w:t>
      </w:r>
      <w:r w:rsidRPr="00794712">
        <w:rPr>
          <w:lang w:val="ru-RU"/>
        </w:rPr>
        <w:t>33）。</w:t>
      </w:r>
    </w:p>
    <w:p w14:paraId="4A495A92" w14:textId="77777777" w:rsidR="00D85B34" w:rsidRDefault="00D85B34" w:rsidP="00D85B34">
      <w:pPr>
        <w:rPr>
          <w:lang w:val="ru-RU"/>
        </w:rPr>
      </w:pPr>
      <w:r w:rsidRPr="00794712">
        <w:rPr>
          <w:lang w:val="ru-RU"/>
        </w:rPr>
        <w:tab/>
      </w:r>
    </w:p>
    <w:p w14:paraId="7B2469A7" w14:textId="77777777" w:rsidR="00D85B34" w:rsidRPr="00794712" w:rsidRDefault="00D85B34" w:rsidP="007B240B">
      <w:pPr>
        <w:pStyle w:val="Heading5"/>
        <w:rPr>
          <w:lang w:val="ru-RU"/>
        </w:rPr>
      </w:pPr>
      <w:bookmarkStart w:id="318" w:name="_Toc133155590"/>
      <w:bookmarkStart w:id="319" w:name="_Toc180664603"/>
      <w:bookmarkStart w:id="320" w:name="_Toc180679224"/>
      <w:bookmarkStart w:id="321" w:name="_Toc180679281"/>
      <w:bookmarkStart w:id="322" w:name="_Toc180679804"/>
      <w:bookmarkStart w:id="323" w:name="_Toc238453687"/>
      <w:bookmarkStart w:id="324" w:name="_Toc238576503"/>
      <w:r w:rsidRPr="00794712">
        <w:rPr>
          <w:lang w:val="ru-RU"/>
        </w:rPr>
        <w:lastRenderedPageBreak/>
        <w:t>§156. 耶稣基督的大祭司职分与其先知职分的关系</w:t>
      </w:r>
      <w:bookmarkEnd w:id="318"/>
      <w:bookmarkEnd w:id="319"/>
      <w:bookmarkEnd w:id="320"/>
      <w:bookmarkEnd w:id="321"/>
      <w:bookmarkEnd w:id="322"/>
      <w:bookmarkEnd w:id="323"/>
      <w:bookmarkEnd w:id="324"/>
    </w:p>
    <w:p w14:paraId="3EF62AF9" w14:textId="77777777" w:rsidR="00D85B34" w:rsidRPr="00794712" w:rsidRDefault="00D85B34" w:rsidP="00D85B34">
      <w:pPr>
        <w:ind w:firstLine="708"/>
        <w:rPr>
          <w:lang w:val="ru-RU"/>
        </w:rPr>
      </w:pPr>
      <w:r w:rsidRPr="00794712">
        <w:rPr>
          <w:lang w:val="ru-RU"/>
        </w:rPr>
        <w:t>虽然耶稣基督大祭司事工的主要目的——即祂一切的自我牺牲，尤其是十字架上的受难——是为了成就我们的救赎；但与此同时，祂经历这一切自我牺牲，也是为了实现隐藏在祂先知事工中的其他目的。具体而言：</w:t>
      </w:r>
    </w:p>
    <w:p w14:paraId="04DB5D50" w14:textId="77777777" w:rsidR="00D85B34" w:rsidRPr="00794712" w:rsidRDefault="00F45CFB" w:rsidP="00D85B34">
      <w:pPr>
        <w:ind w:firstLine="708"/>
        <w:rPr>
          <w:lang w:val="ru-RU"/>
        </w:rPr>
      </w:pPr>
      <w:r w:rsidRPr="00F45CFB">
        <w:rPr>
          <w:b/>
          <w:lang w:val="ru-RU"/>
        </w:rPr>
        <w:t xml:space="preserve">1) </w:t>
      </w:r>
      <w:r w:rsidR="00D85B34" w:rsidRPr="00E758B8">
        <w:rPr>
          <w:i/>
          <w:iCs/>
          <w:lang w:val="ru-RU"/>
        </w:rPr>
        <w:t>他“虚己，存心顺服，以至于死，且死在十字架上”</w:t>
      </w:r>
      <w:r w:rsidR="001973A6">
        <w:rPr>
          <w:lang w:val="ru-RU"/>
        </w:rPr>
        <w:t>（腓</w:t>
      </w:r>
      <w:r w:rsidR="00D85B34">
        <w:rPr>
          <w:lang w:val="ru-RU"/>
        </w:rPr>
        <w:t xml:space="preserve"> 2:</w:t>
      </w:r>
      <w:r w:rsidR="001B763B" w:rsidRPr="001B5455">
        <w:rPr>
          <w:bCs/>
          <w:lang w:val="ru-RU"/>
        </w:rPr>
        <w:t>8）</w:t>
      </w:r>
      <w:r w:rsidR="00D85B34" w:rsidRPr="00794712">
        <w:rPr>
          <w:lang w:val="ru-RU"/>
        </w:rPr>
        <w:t>，其中一个目的，就是通过自身生活的榜样，教导我们那些他曾用言语宣讲的至高无上的福音美德。 祂自己曾多次指出这一目的：</w:t>
      </w:r>
      <w:r w:rsidR="00D85B34" w:rsidRPr="00E758B8">
        <w:rPr>
          <w:i/>
          <w:iCs/>
          <w:lang w:val="ru-RU"/>
        </w:rPr>
        <w:t>“你们要向我学习，因为我是温柔谦卑的”</w:t>
      </w:r>
      <w:r w:rsidR="00224D5E">
        <w:rPr>
          <w:lang w:val="ru-RU"/>
        </w:rPr>
        <w:t>（</w:t>
      </w:r>
      <w:r w:rsidR="00D85B34" w:rsidRPr="00794712">
        <w:rPr>
          <w:lang w:val="ru-RU"/>
        </w:rPr>
        <w:t>太11</w:t>
      </w:r>
      <w:r w:rsidR="00D85B34" w:rsidRPr="00E758B8">
        <w:rPr>
          <w:lang w:val="ru-RU"/>
        </w:rPr>
        <w:t>:</w:t>
      </w:r>
      <w:r w:rsidR="00D85B34" w:rsidRPr="00794712">
        <w:rPr>
          <w:lang w:val="ru-RU"/>
        </w:rPr>
        <w:t>29）；</w:t>
      </w:r>
      <w:r w:rsidR="00D85B34" w:rsidRPr="00E758B8">
        <w:rPr>
          <w:i/>
          <w:iCs/>
          <w:lang w:val="ru-RU"/>
        </w:rPr>
        <w:t>“我给你们作了榜样，是要你们也照我所做的去行”</w:t>
      </w:r>
      <w:r w:rsidR="005864AB">
        <w:rPr>
          <w:lang w:val="ru-RU"/>
        </w:rPr>
        <w:t>（</w:t>
      </w:r>
      <w:r w:rsidR="00D85B34" w:rsidRPr="00794712">
        <w:rPr>
          <w:lang w:val="ru-RU"/>
        </w:rPr>
        <w:t>约13</w:t>
      </w:r>
      <w:r w:rsidR="00D85B34" w:rsidRPr="00E758B8">
        <w:rPr>
          <w:lang w:val="ru-RU"/>
        </w:rPr>
        <w:t>:</w:t>
      </w:r>
      <w:r w:rsidR="00D85B34" w:rsidRPr="00794712">
        <w:rPr>
          <w:lang w:val="ru-RU"/>
        </w:rPr>
        <w:t xml:space="preserve">15）； </w:t>
      </w:r>
      <w:r w:rsidR="00D85B34" w:rsidRPr="00E758B8">
        <w:rPr>
          <w:i/>
          <w:iCs/>
          <w:lang w:val="ru-RU"/>
        </w:rPr>
        <w:t>“若有人要跟从我，就当舍己，背起他的十字架来跟从我”</w:t>
      </w:r>
      <w:r w:rsidR="00224D5E">
        <w:rPr>
          <w:lang w:val="ru-RU"/>
        </w:rPr>
        <w:t>（</w:t>
      </w:r>
      <w:r w:rsidR="00D85B34" w:rsidRPr="00794712">
        <w:rPr>
          <w:lang w:val="ru-RU"/>
        </w:rPr>
        <w:t>玛16</w:t>
      </w:r>
      <w:r w:rsidR="00D85B34" w:rsidRPr="00E758B8">
        <w:rPr>
          <w:lang w:val="ru-RU"/>
        </w:rPr>
        <w:t>:</w:t>
      </w:r>
      <w:r w:rsidR="00D85B34" w:rsidRPr="00794712">
        <w:rPr>
          <w:lang w:val="ru-RU"/>
        </w:rPr>
        <w:t>24）；</w:t>
      </w:r>
      <w:r w:rsidR="00D85B34" w:rsidRPr="00E758B8">
        <w:rPr>
          <w:i/>
          <w:iCs/>
          <w:lang w:val="ru-RU"/>
        </w:rPr>
        <w:t>“这就是我的诫命：你们要彼此相爱，像我爱你们一样”</w:t>
      </w:r>
      <w:r w:rsidR="005864AB">
        <w:rPr>
          <w:lang w:val="ru-RU"/>
        </w:rPr>
        <w:t>（若</w:t>
      </w:r>
      <w:r w:rsidR="00D85B34" w:rsidRPr="00794712">
        <w:rPr>
          <w:lang w:val="ru-RU"/>
        </w:rPr>
        <w:t>15</w:t>
      </w:r>
      <w:r w:rsidR="00D85B34" w:rsidRPr="0060156B">
        <w:rPr>
          <w:lang w:val="ru-RU"/>
        </w:rPr>
        <w:t>:</w:t>
      </w:r>
      <w:r w:rsidR="00D85B34" w:rsidRPr="00794712">
        <w:rPr>
          <w:lang w:val="ru-RU"/>
        </w:rPr>
        <w:t>12）。 圣使徒们也曾指出：</w:t>
      </w:r>
      <w:r w:rsidR="00A95A76" w:rsidRPr="00A95A76">
        <w:rPr>
          <w:b/>
          <w:lang w:val="ru-RU"/>
        </w:rPr>
        <w:t>a)</w:t>
      </w:r>
      <w:r w:rsidR="00D85B34" w:rsidRPr="00794712">
        <w:rPr>
          <w:lang w:val="ru-RU"/>
        </w:rPr>
        <w:t xml:space="preserve"> 圣约翰：我们由此认识了爱，就是祂为我们舍命——我们也应当为弟兄舍命</w:t>
      </w:r>
      <w:r w:rsidR="008A3626">
        <w:rPr>
          <w:lang w:val="ru-RU"/>
        </w:rPr>
        <w:t>（约</w:t>
      </w:r>
      <w:r w:rsidR="00D85B34" w:rsidRPr="00794712">
        <w:rPr>
          <w:lang w:val="ru-RU"/>
        </w:rPr>
        <w:t>壹3</w:t>
      </w:r>
      <w:r w:rsidR="00D85B34" w:rsidRPr="0060156B">
        <w:rPr>
          <w:lang w:val="ru-RU"/>
        </w:rPr>
        <w:t>:</w:t>
      </w:r>
      <w:r w:rsidR="00D85B34" w:rsidRPr="00794712">
        <w:rPr>
          <w:lang w:val="ru-RU"/>
        </w:rPr>
        <w:t>16）；</w:t>
      </w:r>
      <w:r w:rsidR="00A95A76" w:rsidRPr="00A95A76">
        <w:rPr>
          <w:b/>
          <w:lang w:val="ru-RU"/>
        </w:rPr>
        <w:t xml:space="preserve"> b)</w:t>
      </w:r>
      <w:r w:rsidR="00D85B34" w:rsidRPr="00794712">
        <w:rPr>
          <w:lang w:val="ru-RU"/>
        </w:rPr>
        <w:t xml:space="preserve"> 圣彼得：</w:t>
      </w:r>
      <w:r w:rsidR="00D85B34" w:rsidRPr="0060156B">
        <w:rPr>
          <w:i/>
          <w:iCs/>
          <w:lang w:val="ru-RU"/>
        </w:rPr>
        <w:t>“基督为我们受了苦，给我们留了榜样，叫我们跟随他的脚踪行”</w:t>
      </w:r>
      <w:r w:rsidR="00D85B34" w:rsidRPr="00794712">
        <w:rPr>
          <w:lang w:val="ru-RU"/>
        </w:rPr>
        <w:t>（</w:t>
      </w:r>
      <w:r w:rsidR="0087297C">
        <w:rPr>
          <w:lang w:val="ru-RU"/>
        </w:rPr>
        <w:t>彼得前书</w:t>
      </w:r>
      <w:r w:rsidR="00D85B34" w:rsidRPr="00794712">
        <w:rPr>
          <w:lang w:val="ru-RU"/>
        </w:rPr>
        <w:t xml:space="preserve"> 2</w:t>
      </w:r>
      <w:r w:rsidR="00D85B34" w:rsidRPr="0060156B">
        <w:rPr>
          <w:rFonts w:cs="Cambria Math"/>
          <w:lang w:val="ru-RU"/>
        </w:rPr>
        <w:t>:</w:t>
      </w:r>
      <w:r w:rsidR="00D85B34" w:rsidRPr="00794712">
        <w:rPr>
          <w:lang w:val="ru-RU"/>
        </w:rPr>
        <w:t>21）；</w:t>
      </w:r>
      <w:r w:rsidR="00A95A76" w:rsidRPr="00A95A76">
        <w:rPr>
          <w:b/>
          <w:lang w:val="ru-RU"/>
        </w:rPr>
        <w:t>c)</w:t>
      </w:r>
      <w:r w:rsidR="00D85B34" w:rsidRPr="00794712">
        <w:rPr>
          <w:lang w:val="ru-RU"/>
        </w:rPr>
        <w:t xml:space="preserve"> 圣保罗：</w:t>
      </w:r>
      <w:r w:rsidR="00D85B34" w:rsidRPr="0060156B">
        <w:rPr>
          <w:i/>
          <w:iCs/>
          <w:lang w:val="ru-RU"/>
        </w:rPr>
        <w:t>“我劝你们，要效法我，像我效法基督一样”</w:t>
      </w:r>
      <w:r w:rsidR="00621F17">
        <w:rPr>
          <w:lang w:val="ru-RU"/>
        </w:rPr>
        <w:t>（哥林多前书</w:t>
      </w:r>
      <w:r w:rsidR="00D85B34" w:rsidRPr="00794712">
        <w:rPr>
          <w:lang w:val="ru-RU"/>
        </w:rPr>
        <w:t xml:space="preserve"> 4</w:t>
      </w:r>
      <w:r w:rsidR="00D85B34" w:rsidRPr="0060156B">
        <w:rPr>
          <w:lang w:val="ru-RU"/>
        </w:rPr>
        <w:t>:</w:t>
      </w:r>
      <w:r w:rsidR="00D85B34" w:rsidRPr="00794712">
        <w:rPr>
          <w:lang w:val="ru-RU"/>
        </w:rPr>
        <w:t>16）。</w:t>
      </w:r>
    </w:p>
    <w:p w14:paraId="6E978B25" w14:textId="77777777" w:rsidR="00D85B34" w:rsidRPr="00794712" w:rsidRDefault="001B5455" w:rsidP="00D85B34">
      <w:pPr>
        <w:ind w:firstLine="708"/>
        <w:rPr>
          <w:lang w:val="ru-RU"/>
        </w:rPr>
      </w:pPr>
      <w:r w:rsidRPr="001B5455">
        <w:rPr>
          <w:b/>
          <w:lang w:val="ru-RU"/>
        </w:rPr>
        <w:t>2</w:t>
      </w:r>
      <w:r w:rsidR="00F45CFB" w:rsidRPr="00F45CFB">
        <w:rPr>
          <w:b/>
          <w:lang w:val="ru-RU"/>
        </w:rPr>
        <w:t>)</w:t>
      </w:r>
      <w:r w:rsidR="00D85B34" w:rsidRPr="00794712">
        <w:rPr>
          <w:lang w:val="ru-RU"/>
        </w:rPr>
        <w:t xml:space="preserve"> 祂的死，也是为了借着祂的受难与死亡，彻底推翻犹太人关于弥赛亚的错误观念——这些观念甚至祂的门徒们也曾抱有，即认为弥赛亚是地上的君王、荣耀的征服者——并阐明旧约先知预言中关于祂的正确含义。 因此，复活后向仍抱持这些观念的两位门徒显现时，祂感叹道：</w:t>
      </w:r>
      <w:r w:rsidR="00D85B34" w:rsidRPr="0060156B">
        <w:rPr>
          <w:i/>
          <w:iCs/>
          <w:lang w:val="ru-RU"/>
        </w:rPr>
        <w:t>“你们这无知、心迟钝的人啊，怎么连先知所预言的一切都不肯相信呢！ 基督岂不该这样受苦，然后进入祂的荣耀吗？于是，祂从摩西和众先知起，把圣经中关于祂的一切话都给他们讲解明白了”</w:t>
      </w:r>
      <w:r w:rsidR="008A3626">
        <w:rPr>
          <w:lang w:val="ru-RU"/>
        </w:rPr>
        <w:t>（路加</w:t>
      </w:r>
      <w:r w:rsidR="00D85B34" w:rsidRPr="00794712">
        <w:rPr>
          <w:lang w:val="ru-RU"/>
        </w:rPr>
        <w:t>福音24</w:t>
      </w:r>
      <w:r w:rsidR="00D85B34" w:rsidRPr="0060156B">
        <w:rPr>
          <w:lang w:val="ru-RU"/>
        </w:rPr>
        <w:t>:</w:t>
      </w:r>
      <w:r w:rsidR="00D85B34" w:rsidRPr="00794712">
        <w:rPr>
          <w:lang w:val="ru-RU"/>
        </w:rPr>
        <w:t>25-27）。 同样，当祂向所有门徒显现时</w:t>
      </w:r>
      <w:r w:rsidR="00D85B34" w:rsidRPr="0060156B">
        <w:rPr>
          <w:i/>
          <w:iCs/>
          <w:lang w:val="ru-RU"/>
        </w:rPr>
        <w:t>，“就开启他们的心智，使他们能明白圣经。又对他们说：‘经上这样记着：基督必受这些苦，从死里复活，’”</w:t>
      </w:r>
      <w:r w:rsidR="008A3626">
        <w:rPr>
          <w:lang w:val="ru-RU"/>
        </w:rPr>
        <w:t>（路加</w:t>
      </w:r>
      <w:r w:rsidR="00D85B34">
        <w:rPr>
          <w:lang w:val="ru-RU"/>
        </w:rPr>
        <w:t>福音24:</w:t>
      </w:r>
      <w:r w:rsidR="00D85B34" w:rsidRPr="00794712">
        <w:rPr>
          <w:lang w:val="ru-RU"/>
        </w:rPr>
        <w:t>45-46）。</w:t>
      </w:r>
    </w:p>
    <w:p w14:paraId="46C1F66A" w14:textId="77777777" w:rsidR="00D85B34" w:rsidRPr="00794712" w:rsidRDefault="00F45CFB" w:rsidP="00D85B34">
      <w:pPr>
        <w:ind w:firstLine="708"/>
        <w:rPr>
          <w:lang w:val="ru-RU"/>
        </w:rPr>
      </w:pPr>
      <w:r w:rsidRPr="00F45CFB">
        <w:rPr>
          <w:b/>
          <w:lang w:val="ru-RU"/>
        </w:rPr>
        <w:t>3)</w:t>
      </w:r>
      <w:r w:rsidR="00D85B34" w:rsidRPr="00794712">
        <w:rPr>
          <w:lang w:val="ru-RU"/>
        </w:rPr>
        <w:t xml:space="preserve"> 祂的死还旨在彻底废除摩西律法——那曾作为犹太人与外邦人之间隔阂的屏障——并用祂的宝血确立新的律法，即祂从天上为全人类带来的新约。 </w:t>
      </w:r>
      <w:r w:rsidR="00D85B34" w:rsidRPr="006E5706">
        <w:rPr>
          <w:lang w:val="ru-RU"/>
        </w:rPr>
        <w:t>“使徒说</w:t>
      </w:r>
      <w:r w:rsidR="00D85B34" w:rsidRPr="00CB0248">
        <w:rPr>
          <w:i/>
          <w:iCs/>
          <w:lang w:val="ru-RU"/>
        </w:rPr>
        <w:t>：‘祂就是我们的和平，祂使两下</w:t>
      </w:r>
      <w:r w:rsidR="00D85B34" w:rsidRPr="006E5706">
        <w:rPr>
          <w:lang w:val="ru-RU"/>
        </w:rPr>
        <w:t>（</w:t>
      </w:r>
      <w:r w:rsidR="00A95A76" w:rsidRPr="008C0F29">
        <w:rPr>
          <w:lang w:val="ru-RU"/>
        </w:rPr>
        <w:t>犹太人和外邦人）</w:t>
      </w:r>
      <w:r w:rsidR="00D85B34" w:rsidRPr="00CB0248">
        <w:rPr>
          <w:i/>
          <w:iCs/>
          <w:lang w:val="ru-RU"/>
        </w:rPr>
        <w:t>合而为一，拆毁了中间隔断的墙，借着祂的肉身废除了仇恨，又借着教导废除了律法的诫命，为要在祂自己里面，将两下造成一个新人，建立和平， 并在一个身体里，藉着十字架使两下与神和好，在十字架上除掉了那隔断两者的敌意”</w:t>
      </w:r>
      <w:r w:rsidR="00D85B34" w:rsidRPr="00794712">
        <w:rPr>
          <w:lang w:val="ru-RU"/>
        </w:rPr>
        <w:t>（弗2</w:t>
      </w:r>
      <w:r w:rsidR="00D85B34">
        <w:rPr>
          <w:lang w:val="ru-RU"/>
        </w:rPr>
        <w:t>:</w:t>
      </w:r>
      <w:r w:rsidR="00D85B34" w:rsidRPr="00794712">
        <w:rPr>
          <w:lang w:val="ru-RU"/>
        </w:rPr>
        <w:t>14-16）。</w:t>
      </w:r>
      <w:r w:rsidR="00D85B34" w:rsidRPr="00CB0248">
        <w:rPr>
          <w:i/>
          <w:iCs/>
          <w:lang w:val="ru-RU"/>
        </w:rPr>
        <w:t>“因此，祂是新约的中保，为要借着祂的死——这死是为赎去旧约中的过犯——使那些蒙召得着永恒基业的人，得以领受所应许的。 因为遗嘱必须经立遗嘱者死亡才生效”</w:t>
      </w:r>
      <w:r w:rsidR="00D85B34" w:rsidRPr="00794712">
        <w:rPr>
          <w:lang w:val="ru-RU"/>
        </w:rPr>
        <w:t>（希伯来书 9</w:t>
      </w:r>
      <w:r w:rsidR="00D85B34" w:rsidRPr="00CB0248">
        <w:rPr>
          <w:lang w:val="ru-RU"/>
        </w:rPr>
        <w:t>:</w:t>
      </w:r>
      <w:r w:rsidR="00D85B34" w:rsidRPr="00794712">
        <w:rPr>
          <w:lang w:val="ru-RU"/>
        </w:rPr>
        <w:t>15-16）。救主自己也说：</w:t>
      </w:r>
      <w:r w:rsidR="00D85B34" w:rsidRPr="00CB0248">
        <w:rPr>
          <w:i/>
          <w:iCs/>
          <w:lang w:val="ru-RU"/>
        </w:rPr>
        <w:t>“这是我立新约的血”</w:t>
      </w:r>
      <w:r w:rsidR="00224D5E">
        <w:rPr>
          <w:lang w:val="ru-RU"/>
        </w:rPr>
        <w:t>（马太福音</w:t>
      </w:r>
      <w:r w:rsidR="00D85B34" w:rsidRPr="00794712">
        <w:rPr>
          <w:lang w:val="ru-RU"/>
        </w:rPr>
        <w:t xml:space="preserve"> 26:28）。</w:t>
      </w:r>
    </w:p>
    <w:p w14:paraId="1A17109C" w14:textId="77777777" w:rsidR="00D85B34" w:rsidRDefault="00F45CFB" w:rsidP="00D85B34">
      <w:pPr>
        <w:ind w:firstLine="708"/>
        <w:rPr>
          <w:lang w:val="ru-RU"/>
        </w:rPr>
      </w:pPr>
      <w:r w:rsidRPr="00F45CFB">
        <w:rPr>
          <w:b/>
          <w:lang w:val="ru-RU"/>
        </w:rPr>
        <w:t xml:space="preserve">4) </w:t>
      </w:r>
      <w:r w:rsidR="00D85B34" w:rsidRPr="00794712">
        <w:rPr>
          <w:lang w:val="ru-RU"/>
        </w:rPr>
        <w:t xml:space="preserve">他最终死去，是为了通过死亡本身在众人面前庄严地见证他所宣讲的教义的真理；他作为一位殉道者、一位为上帝真理而受难的殉道者而死。 </w:t>
      </w:r>
      <w:r w:rsidR="00D85B34" w:rsidRPr="006E5706">
        <w:rPr>
          <w:i/>
          <w:iCs/>
          <w:lang w:val="ru-RU"/>
        </w:rPr>
        <w:t>“那么，你是神的儿子吗？</w:t>
      </w:r>
      <w:r w:rsidR="00D85B34" w:rsidRPr="00794712">
        <w:rPr>
          <w:lang w:val="ru-RU"/>
        </w:rPr>
        <w:t>”大祭司、文士和犹太长老们在他临死前审判他时这样问他，而他毫不犹豫地回答他们：</w:t>
      </w:r>
      <w:r w:rsidR="00D85B34" w:rsidRPr="00CB0248">
        <w:rPr>
          <w:i/>
          <w:iCs/>
          <w:lang w:val="ru-RU"/>
        </w:rPr>
        <w:t>“你们说我是</w:t>
      </w:r>
      <w:r w:rsidR="00D85B34" w:rsidRPr="00794712">
        <w:rPr>
          <w:lang w:val="ru-RU"/>
        </w:rPr>
        <w:t>。</w:t>
      </w:r>
      <w:r w:rsidR="00D85B34" w:rsidRPr="00CB0248">
        <w:rPr>
          <w:i/>
          <w:iCs/>
          <w:lang w:val="ru-RU"/>
        </w:rPr>
        <w:t>”</w:t>
      </w:r>
      <w:r w:rsidR="001B5455" w:rsidRPr="001B5455">
        <w:rPr>
          <w:lang w:val="ru-RU"/>
        </w:rPr>
        <w:t>[</w:t>
      </w:r>
      <w:r w:rsidR="008A3626">
        <w:rPr>
          <w:lang w:val="ru-RU"/>
        </w:rPr>
        <w:t>(路加福音</w:t>
      </w:r>
      <w:r w:rsidR="00D85B34" w:rsidRPr="00794712">
        <w:rPr>
          <w:lang w:val="ru-RU"/>
        </w:rPr>
        <w:t xml:space="preserve"> 22</w:t>
      </w:r>
      <w:r w:rsidR="00D85B34" w:rsidRPr="00CB0248">
        <w:rPr>
          <w:lang w:val="ru-RU"/>
        </w:rPr>
        <w:t>:</w:t>
      </w:r>
      <w:r w:rsidR="00D85B34" w:rsidRPr="00794712">
        <w:rPr>
          <w:lang w:val="ru-RU"/>
        </w:rPr>
        <w:t>70</w:t>
      </w:r>
      <w:r w:rsidR="001B5455" w:rsidRPr="001B5455">
        <w:rPr>
          <w:lang w:val="ru-RU"/>
        </w:rPr>
        <w:t>)</w:t>
      </w:r>
      <w:r w:rsidR="00D85B34" w:rsidRPr="00794712">
        <w:rPr>
          <w:lang w:val="ru-RU"/>
        </w:rPr>
        <w:t>；</w:t>
      </w:r>
      <w:r w:rsidR="001B5455" w:rsidRPr="001B5455">
        <w:rPr>
          <w:lang w:val="ru-RU"/>
        </w:rPr>
        <w:t>(</w:t>
      </w:r>
      <w:r w:rsidR="008D4E5F">
        <w:rPr>
          <w:lang w:val="ru-RU"/>
        </w:rPr>
        <w:t>马太福音</w:t>
      </w:r>
      <w:r w:rsidR="00D85B34" w:rsidRPr="00794712">
        <w:rPr>
          <w:lang w:val="ru-RU"/>
        </w:rPr>
        <w:t xml:space="preserve"> 26</w:t>
      </w:r>
      <w:r w:rsidR="00D85B34" w:rsidRPr="00CB0248">
        <w:rPr>
          <w:lang w:val="ru-RU"/>
        </w:rPr>
        <w:t>:</w:t>
      </w:r>
      <w:r w:rsidR="00D85B34" w:rsidRPr="00794712">
        <w:rPr>
          <w:lang w:val="ru-RU"/>
        </w:rPr>
        <w:t>63)</w:t>
      </w:r>
      <w:r w:rsidR="001B5455" w:rsidRPr="001B5455">
        <w:rPr>
          <w:lang w:val="ru-RU"/>
        </w:rPr>
        <w:t>]</w:t>
      </w:r>
      <w:r w:rsidR="00D85B34" w:rsidRPr="00794712">
        <w:rPr>
          <w:lang w:val="ru-RU"/>
        </w:rPr>
        <w:t xml:space="preserve"> </w:t>
      </w:r>
      <w:r w:rsidR="00D85B34" w:rsidRPr="006E5706">
        <w:rPr>
          <w:i/>
          <w:iCs/>
          <w:lang w:val="ru-RU"/>
        </w:rPr>
        <w:t>“你是犹太人的王吗？</w:t>
      </w:r>
      <w:r w:rsidR="00D85B34" w:rsidRPr="00794712">
        <w:rPr>
          <w:lang w:val="ru-RU"/>
        </w:rPr>
        <w:t>”彼拉多随后问祂，耶稣同样勇敢地回答说：</w:t>
      </w:r>
      <w:r w:rsidR="00D85B34" w:rsidRPr="006E5706">
        <w:rPr>
          <w:i/>
          <w:iCs/>
          <w:lang w:val="ru-RU"/>
        </w:rPr>
        <w:t>“你说我是王</w:t>
      </w:r>
      <w:r w:rsidR="00D85B34" w:rsidRPr="00794712">
        <w:rPr>
          <w:lang w:val="ru-RU"/>
        </w:rPr>
        <w:t>，”并补充道：</w:t>
      </w:r>
      <w:r w:rsidR="00D85B34" w:rsidRPr="006E5706">
        <w:rPr>
          <w:i/>
          <w:iCs/>
          <w:lang w:val="ru-RU"/>
        </w:rPr>
        <w:t>“我为此而生，也为此来到世上，为要作见证，就是为真理作见证</w:t>
      </w:r>
      <w:r w:rsidR="00D85B34" w:rsidRPr="00794712">
        <w:rPr>
          <w:lang w:val="ru-RU"/>
        </w:rPr>
        <w:t>。</w:t>
      </w:r>
      <w:r w:rsidR="00D85B34" w:rsidRPr="006E5706">
        <w:rPr>
          <w:i/>
          <w:iCs/>
          <w:lang w:val="ru-RU"/>
        </w:rPr>
        <w:t>”</w:t>
      </w:r>
      <w:r w:rsidR="005864AB">
        <w:rPr>
          <w:lang w:val="ru-RU"/>
        </w:rPr>
        <w:t>（约</w:t>
      </w:r>
      <w:r w:rsidR="00D85B34" w:rsidRPr="00794712">
        <w:rPr>
          <w:lang w:val="ru-RU"/>
        </w:rPr>
        <w:t>18</w:t>
      </w:r>
      <w:r w:rsidR="00D85B34" w:rsidRPr="006E5706">
        <w:rPr>
          <w:lang w:val="ru-RU"/>
        </w:rPr>
        <w:t>:</w:t>
      </w:r>
      <w:r w:rsidR="00D85B34" w:rsidRPr="00794712">
        <w:rPr>
          <w:lang w:val="ru-RU"/>
        </w:rPr>
        <w:t>33- 37）。 正是因为这两项虚妄的罪名——那些心眼昏暗的犹太人以此指控我们的救赎主，而祂却不愿为此否认——祂才被判处死刑。 正因如此，圣使徒保罗称祂为</w:t>
      </w:r>
      <w:r w:rsidR="00D85B34" w:rsidRPr="006E5706">
        <w:rPr>
          <w:i/>
          <w:iCs/>
          <w:lang w:val="ru-RU"/>
        </w:rPr>
        <w:t>在彼拉多面前作美好见证的那一位</w:t>
      </w:r>
      <w:r w:rsidR="00621F17">
        <w:rPr>
          <w:lang w:val="ru-RU"/>
        </w:rPr>
        <w:t>（提摩太前书</w:t>
      </w:r>
      <w:r w:rsidR="00D85B34" w:rsidRPr="00794712">
        <w:rPr>
          <w:lang w:val="ru-RU"/>
        </w:rPr>
        <w:t xml:space="preserve"> 6</w:t>
      </w:r>
      <w:r w:rsidR="00D85B34" w:rsidRPr="006E5706">
        <w:rPr>
          <w:lang w:val="ru-RU"/>
        </w:rPr>
        <w:t>:</w:t>
      </w:r>
      <w:r w:rsidR="00D85B34" w:rsidRPr="00794712">
        <w:rPr>
          <w:lang w:val="ru-RU"/>
        </w:rPr>
        <w:t>13），而在圣约翰的《启示录》中，祂被称为忠信真实的见证人（</w:t>
      </w:r>
      <w:r w:rsidR="00D85B34">
        <w:rPr>
          <w:lang w:val="ru-RU"/>
        </w:rPr>
        <w:t>启示录</w:t>
      </w:r>
      <w:r w:rsidR="00D85B34" w:rsidRPr="00794712">
        <w:rPr>
          <w:lang w:val="ru-RU"/>
        </w:rPr>
        <w:t xml:space="preserve"> 1</w:t>
      </w:r>
      <w:r w:rsidR="00D85B34" w:rsidRPr="002538DD">
        <w:rPr>
          <w:lang w:val="ru-RU"/>
        </w:rPr>
        <w:t>:</w:t>
      </w:r>
      <w:r w:rsidR="00D85B34" w:rsidRPr="00794712">
        <w:rPr>
          <w:lang w:val="ru-RU"/>
        </w:rPr>
        <w:t>5；3</w:t>
      </w:r>
      <w:r w:rsidR="00D85B34" w:rsidRPr="002538DD">
        <w:rPr>
          <w:lang w:val="ru-RU"/>
        </w:rPr>
        <w:t>:</w:t>
      </w:r>
      <w:r w:rsidR="00D85B34" w:rsidRPr="00794712">
        <w:rPr>
          <w:lang w:val="ru-RU"/>
        </w:rPr>
        <w:t>14）。</w:t>
      </w:r>
    </w:p>
    <w:p w14:paraId="01E4EAD2" w14:textId="77777777" w:rsidR="00D85B34" w:rsidRPr="00794712" w:rsidRDefault="00D85B34" w:rsidP="00D85B34">
      <w:pPr>
        <w:rPr>
          <w:lang w:val="ru-RU"/>
        </w:rPr>
      </w:pPr>
    </w:p>
    <w:p w14:paraId="46112BF7" w14:textId="77777777" w:rsidR="00D85B34" w:rsidRPr="002538DD" w:rsidRDefault="00D85B34" w:rsidP="00D85B34">
      <w:pPr>
        <w:rPr>
          <w:lang w:val="ru-RU"/>
        </w:rPr>
      </w:pPr>
    </w:p>
    <w:p w14:paraId="1BD08CFC" w14:textId="77777777" w:rsidR="00D85B34" w:rsidRDefault="00D85B34" w:rsidP="007B240B">
      <w:pPr>
        <w:pStyle w:val="Heading4"/>
        <w:rPr>
          <w:lang w:val="ru-RU"/>
        </w:rPr>
      </w:pPr>
      <w:bookmarkStart w:id="325" w:name="_Toc133155591"/>
      <w:bookmarkStart w:id="326" w:name="_Toc180664604"/>
      <w:bookmarkStart w:id="327" w:name="_Toc180679225"/>
      <w:bookmarkStart w:id="328" w:name="_Toc180679282"/>
      <w:bookmarkStart w:id="329" w:name="_Toc180679805"/>
      <w:bookmarkStart w:id="330" w:name="_Toc238453414"/>
      <w:bookmarkStart w:id="331" w:name="_Toc238453688"/>
      <w:bookmarkStart w:id="332" w:name="_Toc238466400"/>
      <w:bookmarkStart w:id="333" w:name="_Toc238576504"/>
      <w:r w:rsidRPr="00AA0891">
        <w:t>III</w:t>
      </w:r>
      <w:r w:rsidRPr="00794712">
        <w:rPr>
          <w:lang w:val="ru-RU"/>
        </w:rPr>
        <w:t>. 关于耶稣基督的君王事工</w:t>
      </w:r>
      <w:bookmarkEnd w:id="325"/>
      <w:bookmarkEnd w:id="326"/>
      <w:bookmarkEnd w:id="327"/>
      <w:bookmarkEnd w:id="328"/>
      <w:bookmarkEnd w:id="329"/>
      <w:bookmarkEnd w:id="330"/>
      <w:bookmarkEnd w:id="331"/>
      <w:bookmarkEnd w:id="332"/>
      <w:bookmarkEnd w:id="333"/>
    </w:p>
    <w:p w14:paraId="2ABD5965" w14:textId="77777777" w:rsidR="00D85B34" w:rsidRPr="00DE049B" w:rsidRDefault="00D85B34" w:rsidP="00D85B34">
      <w:pPr>
        <w:rPr>
          <w:lang w:val="ru-RU"/>
        </w:rPr>
      </w:pPr>
    </w:p>
    <w:p w14:paraId="3D1B33DC" w14:textId="77777777" w:rsidR="00D85B34" w:rsidRPr="00794712" w:rsidRDefault="00D85B34" w:rsidP="007B240B">
      <w:pPr>
        <w:pStyle w:val="Heading5"/>
        <w:rPr>
          <w:lang w:val="ru-RU"/>
        </w:rPr>
      </w:pPr>
      <w:bookmarkStart w:id="334" w:name="_Toc133155592"/>
      <w:bookmarkStart w:id="335" w:name="_Toc180664605"/>
      <w:bookmarkStart w:id="336" w:name="_Toc180679226"/>
      <w:bookmarkStart w:id="337" w:name="_Toc180679283"/>
      <w:bookmarkStart w:id="338" w:name="_Toc180679806"/>
      <w:bookmarkStart w:id="339" w:name="_Toc238453689"/>
      <w:bookmarkStart w:id="340" w:name="_Toc238576505"/>
      <w:r w:rsidRPr="00794712">
        <w:rPr>
          <w:lang w:val="ru-RU"/>
        </w:rPr>
        <w:t>§157. 与前文的关联、对耶稣基督君王职分的理解及此职分的真理</w:t>
      </w:r>
      <w:bookmarkEnd w:id="334"/>
      <w:bookmarkEnd w:id="335"/>
      <w:bookmarkEnd w:id="336"/>
      <w:bookmarkEnd w:id="337"/>
      <w:bookmarkEnd w:id="338"/>
      <w:bookmarkEnd w:id="339"/>
      <w:bookmarkEnd w:id="340"/>
    </w:p>
    <w:p w14:paraId="57A1534A" w14:textId="77777777" w:rsidR="00D85B34" w:rsidRPr="00794712" w:rsidRDefault="00D85B34" w:rsidP="00D85B34">
      <w:pPr>
        <w:ind w:firstLine="708"/>
        <w:rPr>
          <w:lang w:val="ru-RU"/>
        </w:rPr>
      </w:pPr>
      <w:r w:rsidRPr="00794712">
        <w:rPr>
          <w:lang w:val="ru-RU"/>
        </w:rPr>
        <w:t>作为先知，主耶稣向我们宣告了救恩的奥秘；作为大祭</w:t>
      </w:r>
      <w:r>
        <w:rPr>
          <w:lang w:val="ru-RU"/>
        </w:rPr>
        <w:t>司，祂</w:t>
      </w:r>
      <w:r w:rsidRPr="00794712">
        <w:rPr>
          <w:lang w:val="ru-RU"/>
        </w:rPr>
        <w:t>成就了我们的救恩，救赎我们脱离罪恶、</w:t>
      </w:r>
      <w:r w:rsidRPr="00DE049B">
        <w:rPr>
          <w:lang w:val="ru-RU"/>
        </w:rPr>
        <w:t>脱离撒但的权势</w:t>
      </w:r>
      <w:r w:rsidRPr="00794712">
        <w:rPr>
          <w:lang w:val="ru-RU"/>
        </w:rPr>
        <w:t>（使徒行传 26</w:t>
      </w:r>
      <w:r>
        <w:rPr>
          <w:lang w:val="ru-RU"/>
        </w:rPr>
        <w:t>:</w:t>
      </w:r>
      <w:r w:rsidR="001B763B" w:rsidRPr="001B5455">
        <w:rPr>
          <w:bCs/>
          <w:lang w:val="ru-RU"/>
        </w:rPr>
        <w:t>18）</w:t>
      </w:r>
      <w:r w:rsidRPr="00794712">
        <w:rPr>
          <w:lang w:val="ru-RU"/>
        </w:rPr>
        <w:t>以及脱离永死，并为我们赢得了天国和永恒的福乐。 但在履行这两项事工的同时，祂还必须具备君王的大能：一方面，为了证明祂所传福音的神性，祂需要行一系列神迹奇</w:t>
      </w:r>
      <w:r>
        <w:rPr>
          <w:lang w:val="ru-RU"/>
        </w:rPr>
        <w:t>事</w:t>
      </w:r>
      <w:r w:rsidRPr="00794712">
        <w:rPr>
          <w:lang w:val="ru-RU"/>
        </w:rPr>
        <w:t>——若无这些，人们便无法信靠祂；另一方面，为了真正摧毁魔鬼的疆域——地狱，真正战胜死亡，并为我们开启通往天国的门户。 正因如此，我们的救赎主除了先知和大祭司的职分之外，还被预定要承担第三个职分——君王的职分。 这一职分体现在：主耶稣——按神性而言是永恒的君王，既在圣灵的膏立下成为君王，又在道成肉身时按人性成为君王</w:t>
      </w:r>
      <w:r w:rsidR="008A3626">
        <w:rPr>
          <w:lang w:val="ru-RU"/>
        </w:rPr>
        <w:t>（路加</w:t>
      </w:r>
      <w:r w:rsidRPr="00794712">
        <w:rPr>
          <w:lang w:val="ru-RU"/>
        </w:rPr>
        <w:t>福音1</w:t>
      </w:r>
      <w:r>
        <w:rPr>
          <w:lang w:val="ru-RU"/>
        </w:rPr>
        <w:t>:</w:t>
      </w:r>
      <w:r w:rsidRPr="00794712">
        <w:rPr>
          <w:lang w:val="ru-RU"/>
        </w:rPr>
        <w:t>32-35；使徒行传10</w:t>
      </w:r>
      <w:r>
        <w:rPr>
          <w:lang w:val="ru-RU"/>
        </w:rPr>
        <w:t>:</w:t>
      </w:r>
      <w:r w:rsidRPr="00794712">
        <w:rPr>
          <w:lang w:val="ru-RU"/>
        </w:rPr>
        <w:t>37-38）——曾运用且正在运用祂君王的大能与权柄，成就我们得救的伟大事工。</w:t>
      </w:r>
    </w:p>
    <w:p w14:paraId="63052BF3" w14:textId="77777777" w:rsidR="00D85B34" w:rsidRPr="00794712" w:rsidRDefault="00D85B34" w:rsidP="00D85B34">
      <w:pPr>
        <w:rPr>
          <w:lang w:val="ru-RU"/>
        </w:rPr>
      </w:pPr>
      <w:r w:rsidRPr="00794712">
        <w:rPr>
          <w:lang w:val="ru-RU"/>
        </w:rPr>
        <w:tab/>
        <w:t>我们救主君王事工的真理，在神的道中得到了极其清晰的见证。</w:t>
      </w:r>
    </w:p>
    <w:p w14:paraId="587402F6" w14:textId="77777777" w:rsidR="00D85B34" w:rsidRPr="00794712" w:rsidRDefault="00F45CFB" w:rsidP="00D85B34">
      <w:pPr>
        <w:ind w:firstLine="708"/>
        <w:rPr>
          <w:lang w:val="ru-RU"/>
        </w:rPr>
      </w:pPr>
      <w:r w:rsidRPr="00F45CFB">
        <w:rPr>
          <w:b/>
          <w:lang w:val="ru-RU"/>
        </w:rPr>
        <w:t>1）</w:t>
      </w:r>
      <w:r w:rsidR="00D85B34" w:rsidRPr="00794712">
        <w:rPr>
          <w:lang w:val="ru-RU"/>
        </w:rPr>
        <w:t>他生来就是君王，被赋予权柄。</w:t>
      </w:r>
      <w:r w:rsidR="00D85B34" w:rsidRPr="00DE049B">
        <w:rPr>
          <w:i/>
          <w:iCs/>
          <w:lang w:val="ru-RU"/>
        </w:rPr>
        <w:t>因为有一婴孩为我们而生——有一子赐给我们；政权必担在他的肩头上；他将被称为：奇妙者、策士、全能的神、永在的父、和平的君。</w:t>
      </w:r>
      <w:r w:rsidR="00D85B34">
        <w:rPr>
          <w:i/>
          <w:iCs/>
          <w:lang w:val="ru-RU"/>
        </w:rPr>
        <w:t xml:space="preserve"> </w:t>
      </w:r>
      <w:r w:rsidR="00D85B34" w:rsidRPr="00DE049B">
        <w:rPr>
          <w:i/>
          <w:iCs/>
          <w:lang w:val="ru-RU"/>
        </w:rPr>
        <w:t>祂的权柄与平安必在大卫的宝座上、在祂的国度中不断增长，没有穷尽，祂必以公义和正直坚立这国度</w:t>
      </w:r>
      <w:r w:rsidR="00D85B34" w:rsidRPr="00DE049B">
        <w:rPr>
          <w:lang w:val="ru-RU"/>
        </w:rPr>
        <w:t>，</w:t>
      </w:r>
      <w:r w:rsidR="00D85B34" w:rsidRPr="00DE049B">
        <w:rPr>
          <w:i/>
          <w:iCs/>
          <w:lang w:val="ru-RU"/>
        </w:rPr>
        <w:t>从今时直到永远</w:t>
      </w:r>
      <w:r w:rsidR="00D85B34" w:rsidRPr="00794712">
        <w:rPr>
          <w:lang w:val="ru-RU"/>
        </w:rPr>
        <w:t>。（赛9</w:t>
      </w:r>
      <w:r w:rsidR="00D85B34">
        <w:rPr>
          <w:lang w:val="ru-RU"/>
        </w:rPr>
        <w:t>:</w:t>
      </w:r>
      <w:r w:rsidR="00D85B34" w:rsidRPr="00794712">
        <w:rPr>
          <w:lang w:val="ru-RU"/>
        </w:rPr>
        <w:t>6-7；</w:t>
      </w:r>
      <w:r w:rsidR="0087297C">
        <w:rPr>
          <w:lang w:val="ru-RU"/>
        </w:rPr>
        <w:t>路</w:t>
      </w:r>
      <w:r w:rsidR="00D85B34" w:rsidRPr="00794712">
        <w:rPr>
          <w:lang w:val="ru-RU"/>
        </w:rPr>
        <w:t>1</w:t>
      </w:r>
      <w:r w:rsidR="00D85B34">
        <w:rPr>
          <w:lang w:val="ru-RU"/>
        </w:rPr>
        <w:t>:</w:t>
      </w:r>
      <w:r w:rsidR="00D85B34" w:rsidRPr="00794712">
        <w:rPr>
          <w:lang w:val="ru-RU"/>
        </w:rPr>
        <w:t>32-33；</w:t>
      </w:r>
      <w:r w:rsidR="008D4E5F">
        <w:rPr>
          <w:lang w:val="ru-RU"/>
        </w:rPr>
        <w:t>太</w:t>
      </w:r>
      <w:r w:rsidR="00D85B34" w:rsidRPr="00794712">
        <w:rPr>
          <w:lang w:val="ru-RU"/>
        </w:rPr>
        <w:t>2</w:t>
      </w:r>
      <w:r w:rsidR="00D85B34">
        <w:rPr>
          <w:lang w:val="ru-RU"/>
        </w:rPr>
        <w:t>:</w:t>
      </w:r>
      <w:r w:rsidR="00D85B34" w:rsidRPr="00794712">
        <w:rPr>
          <w:lang w:val="ru-RU"/>
        </w:rPr>
        <w:t>2）</w:t>
      </w:r>
    </w:p>
    <w:p w14:paraId="75A2709B" w14:textId="77777777" w:rsidR="00D85B34" w:rsidRPr="00794712" w:rsidRDefault="00F45CFB" w:rsidP="00D85B34">
      <w:pPr>
        <w:ind w:firstLine="708"/>
        <w:rPr>
          <w:lang w:val="ru-RU"/>
        </w:rPr>
      </w:pPr>
      <w:r w:rsidRPr="00F45CFB">
        <w:rPr>
          <w:b/>
          <w:lang w:val="ru-RU"/>
        </w:rPr>
        <w:t>2)</w:t>
      </w:r>
      <w:r w:rsidR="00D85B34" w:rsidRPr="00794712">
        <w:rPr>
          <w:lang w:val="ru-RU"/>
        </w:rPr>
        <w:t xml:space="preserve"> 祂在受辱的日子里已是君王，并拥有君王的权柄。因为当时祂自己就以君王之名自居，这从犹太人对祂提出的指控中可见一斑 </w:t>
      </w:r>
      <w:r w:rsidR="00475DE2" w:rsidRPr="00475DE2">
        <w:rPr>
          <w:lang w:val="ru-RU"/>
        </w:rPr>
        <w:t>[</w:t>
      </w:r>
      <w:r w:rsidR="00224D5E">
        <w:rPr>
          <w:lang w:val="ru-RU"/>
        </w:rPr>
        <w:t>(太</w:t>
      </w:r>
      <w:r w:rsidR="00D85B34" w:rsidRPr="00794712">
        <w:rPr>
          <w:lang w:val="ru-RU"/>
        </w:rPr>
        <w:t xml:space="preserve"> 27</w:t>
      </w:r>
      <w:r w:rsidR="00D85B34" w:rsidRPr="00DE049B">
        <w:rPr>
          <w:lang w:val="ru-RU"/>
        </w:rPr>
        <w:t>:</w:t>
      </w:r>
      <w:r w:rsidR="00D85B34" w:rsidRPr="00794712">
        <w:rPr>
          <w:lang w:val="ru-RU"/>
        </w:rPr>
        <w:t>11-37</w:t>
      </w:r>
      <w:r w:rsidR="00475DE2" w:rsidRPr="00475DE2">
        <w:rPr>
          <w:lang w:val="ru-RU"/>
        </w:rPr>
        <w:t>)</w:t>
      </w:r>
      <w:r w:rsidR="00D85B34" w:rsidRPr="00794712">
        <w:rPr>
          <w:lang w:val="ru-RU"/>
        </w:rPr>
        <w:t xml:space="preserve">； </w:t>
      </w:r>
      <w:r w:rsidR="00475DE2" w:rsidRPr="00475DE2">
        <w:rPr>
          <w:lang w:val="ru-RU"/>
        </w:rPr>
        <w:t>（</w:t>
      </w:r>
      <w:r w:rsidR="00D85B34" w:rsidRPr="00794712">
        <w:rPr>
          <w:lang w:val="ru-RU"/>
        </w:rPr>
        <w:t>可</w:t>
      </w:r>
      <w:r w:rsidR="00FB2012">
        <w:rPr>
          <w:rFonts w:cs="Cambria Math"/>
          <w:lang w:val="ru-RU"/>
        </w:rPr>
        <w:t>15</w:t>
      </w:r>
      <w:r w:rsidR="00D85B34" w:rsidRPr="00DE049B">
        <w:rPr>
          <w:lang w:val="ru-RU"/>
        </w:rPr>
        <w:t>:</w:t>
      </w:r>
      <w:r w:rsidR="00D85B34" w:rsidRPr="00794712">
        <w:rPr>
          <w:lang w:val="ru-RU"/>
        </w:rPr>
        <w:t>1-31）</w:t>
      </w:r>
      <w:r w:rsidR="00475DE2" w:rsidRPr="00475DE2">
        <w:rPr>
          <w:lang w:val="ru-RU"/>
        </w:rPr>
        <w:t>]</w:t>
      </w:r>
      <w:r w:rsidR="00D85B34" w:rsidRPr="00794712">
        <w:rPr>
          <w:lang w:val="ru-RU"/>
        </w:rPr>
        <w:t>，而且祂确实在彼拉多面前证实了这一点</w:t>
      </w:r>
      <w:r w:rsidR="005864AB">
        <w:rPr>
          <w:lang w:val="ru-RU"/>
        </w:rPr>
        <w:t>（约</w:t>
      </w:r>
      <w:r w:rsidR="00D85B34" w:rsidRPr="00794712">
        <w:rPr>
          <w:lang w:val="ru-RU"/>
        </w:rPr>
        <w:t>18</w:t>
      </w:r>
      <w:r w:rsidR="00D85B34" w:rsidRPr="00DE049B">
        <w:rPr>
          <w:lang w:val="ru-RU"/>
        </w:rPr>
        <w:t>:</w:t>
      </w:r>
      <w:r w:rsidR="00D85B34" w:rsidRPr="00794712">
        <w:rPr>
          <w:lang w:val="ru-RU"/>
        </w:rPr>
        <w:t xml:space="preserve">37）。祂也以君王之权自居，正如祂向父神祷告的话所显示的： </w:t>
      </w:r>
      <w:r w:rsidR="00D85B34" w:rsidRPr="00DE049B">
        <w:rPr>
          <w:i/>
          <w:iCs/>
          <w:lang w:val="ru-RU"/>
        </w:rPr>
        <w:t>“父啊！时候到了，求你荣耀你的儿子，使你的儿子也荣耀你；因为你已将掌管一切人的权柄赐给他，叫他将永生赐给你所赐给他的人”</w:t>
      </w:r>
      <w:r w:rsidR="005864AB">
        <w:rPr>
          <w:lang w:val="ru-RU"/>
        </w:rPr>
        <w:t>（</w:t>
      </w:r>
      <w:r w:rsidR="00D85B34" w:rsidRPr="00794712">
        <w:rPr>
          <w:lang w:val="ru-RU"/>
        </w:rPr>
        <w:t>约17</w:t>
      </w:r>
      <w:r w:rsidR="00D85B34" w:rsidRPr="00A01F08">
        <w:rPr>
          <w:lang w:val="ru-RU"/>
        </w:rPr>
        <w:t>:</w:t>
      </w:r>
      <w:r w:rsidR="00D85B34" w:rsidRPr="00794712">
        <w:rPr>
          <w:lang w:val="ru-RU"/>
        </w:rPr>
        <w:t xml:space="preserve">1-2）。 当祂进入耶路撒冷时，便以实际行动显明自己是君王，这正应验了古时的预言： </w:t>
      </w:r>
      <w:r w:rsidR="00D85B34" w:rsidRPr="00A01F08">
        <w:rPr>
          <w:i/>
          <w:iCs/>
          <w:lang w:val="ru-RU"/>
        </w:rPr>
        <w:t>“锡安的女儿，你要欢喜；耶路撒冷的女儿，你要快乐。看哪，你的王来到你这里，他是公义的，又是拯救人的；他温和，骑着驴，就是驴驹，是那负轭之驴的儿子”</w:t>
      </w:r>
      <w:r w:rsidR="00D85B34" w:rsidRPr="00794712">
        <w:rPr>
          <w:lang w:val="ru-RU"/>
        </w:rPr>
        <w:t>[(亚9</w:t>
      </w:r>
      <w:r w:rsidR="00D85B34" w:rsidRPr="00A01F08">
        <w:rPr>
          <w:lang w:val="ru-RU"/>
        </w:rPr>
        <w:t>:</w:t>
      </w:r>
      <w:r w:rsidR="00D85B34" w:rsidRPr="00794712">
        <w:rPr>
          <w:lang w:val="ru-RU"/>
        </w:rPr>
        <w:t>9</w:t>
      </w:r>
      <w:r w:rsidR="00475DE2" w:rsidRPr="00475DE2">
        <w:rPr>
          <w:lang w:val="ru-RU"/>
        </w:rPr>
        <w:t>)</w:t>
      </w:r>
      <w:r w:rsidR="00D85B34" w:rsidRPr="00794712">
        <w:rPr>
          <w:lang w:val="ru-RU"/>
        </w:rPr>
        <w:t>；</w:t>
      </w:r>
      <w:r w:rsidR="00475DE2" w:rsidRPr="00475DE2">
        <w:rPr>
          <w:lang w:val="ru-RU"/>
        </w:rPr>
        <w:t>(</w:t>
      </w:r>
      <w:r w:rsidR="0087297C">
        <w:rPr>
          <w:lang w:val="ru-RU"/>
        </w:rPr>
        <w:t>约</w:t>
      </w:r>
      <w:r w:rsidR="00D85B34" w:rsidRPr="00794712">
        <w:rPr>
          <w:lang w:val="ru-RU"/>
        </w:rPr>
        <w:t>12</w:t>
      </w:r>
      <w:r w:rsidR="00D85B34" w:rsidRPr="00A01F08">
        <w:rPr>
          <w:lang w:val="ru-RU"/>
        </w:rPr>
        <w:t>:</w:t>
      </w:r>
      <w:r w:rsidR="00D85B34" w:rsidRPr="00794712">
        <w:rPr>
          <w:lang w:val="ru-RU"/>
        </w:rPr>
        <w:t>15</w:t>
      </w:r>
      <w:r w:rsidR="00475DE2" w:rsidRPr="00475DE2">
        <w:rPr>
          <w:lang w:val="ru-RU"/>
        </w:rPr>
        <w:t>)</w:t>
      </w:r>
      <w:r w:rsidR="00D85B34" w:rsidRPr="00794712">
        <w:rPr>
          <w:lang w:val="ru-RU"/>
        </w:rPr>
        <w:t>；</w:t>
      </w:r>
      <w:r w:rsidR="008D4E5F">
        <w:rPr>
          <w:lang w:val="ru-RU"/>
        </w:rPr>
        <w:t xml:space="preserve"> </w:t>
      </w:r>
      <w:r w:rsidR="00475DE2" w:rsidRPr="00475DE2">
        <w:rPr>
          <w:lang w:val="ru-RU"/>
        </w:rPr>
        <w:t>(</w:t>
      </w:r>
      <w:r w:rsidR="008D4E5F">
        <w:rPr>
          <w:lang w:val="ru-RU"/>
        </w:rPr>
        <w:t>太</w:t>
      </w:r>
      <w:r w:rsidR="00D85B34" w:rsidRPr="00794712">
        <w:rPr>
          <w:lang w:val="ru-RU"/>
        </w:rPr>
        <w:t xml:space="preserve"> 21</w:t>
      </w:r>
      <w:r w:rsidR="00D85B34" w:rsidRPr="00A01F08">
        <w:rPr>
          <w:lang w:val="ru-RU"/>
        </w:rPr>
        <w:t>:</w:t>
      </w:r>
      <w:r w:rsidR="00D85B34" w:rsidRPr="00794712">
        <w:rPr>
          <w:lang w:val="ru-RU"/>
        </w:rPr>
        <w:t>5)</w:t>
      </w:r>
      <w:r w:rsidR="00475DE2" w:rsidRPr="00475DE2">
        <w:rPr>
          <w:lang w:val="ru-RU"/>
        </w:rPr>
        <w:t>]</w:t>
      </w:r>
      <w:r w:rsidR="00D85B34" w:rsidRPr="00794712">
        <w:rPr>
          <w:lang w:val="ru-RU"/>
        </w:rPr>
        <w:t>，并接受民众的隆重欢呼：</w:t>
      </w:r>
      <w:r w:rsidR="00D85B34" w:rsidRPr="00A01F08">
        <w:rPr>
          <w:i/>
          <w:iCs/>
          <w:lang w:val="ru-RU"/>
        </w:rPr>
        <w:t>“大卫的子孙，和散那！奉主名来的，是应当称颂的！和散那在至高之处！”</w:t>
      </w:r>
      <w:r w:rsidR="00475DE2" w:rsidRPr="00BD6C1B">
        <w:rPr>
          <w:lang w:val="ru-RU"/>
        </w:rPr>
        <w:t>[</w:t>
      </w:r>
      <w:r w:rsidR="00224D5E">
        <w:rPr>
          <w:lang w:val="ru-RU"/>
        </w:rPr>
        <w:t>(太</w:t>
      </w:r>
      <w:r w:rsidR="00D85B34" w:rsidRPr="00794712">
        <w:rPr>
          <w:lang w:val="ru-RU"/>
        </w:rPr>
        <w:t xml:space="preserve"> 21</w:t>
      </w:r>
      <w:r w:rsidR="00D85B34" w:rsidRPr="00A01F08">
        <w:rPr>
          <w:lang w:val="ru-RU"/>
        </w:rPr>
        <w:t>:</w:t>
      </w:r>
      <w:r w:rsidR="00D85B34" w:rsidRPr="00794712">
        <w:rPr>
          <w:lang w:val="ru-RU"/>
        </w:rPr>
        <w:t>9</w:t>
      </w:r>
      <w:r w:rsidR="00475DE2" w:rsidRPr="00BD6C1B">
        <w:rPr>
          <w:lang w:val="ru-RU"/>
        </w:rPr>
        <w:t>)</w:t>
      </w:r>
      <w:r w:rsidR="00D85B34" w:rsidRPr="00794712">
        <w:rPr>
          <w:lang w:val="ru-RU"/>
        </w:rPr>
        <w:t>；</w:t>
      </w:r>
      <w:r w:rsidR="00475DE2" w:rsidRPr="00BD6C1B">
        <w:rPr>
          <w:lang w:val="ru-RU"/>
        </w:rPr>
        <w:t>(</w:t>
      </w:r>
      <w:r w:rsidR="0087297C">
        <w:rPr>
          <w:lang w:val="ru-RU"/>
        </w:rPr>
        <w:t>约</w:t>
      </w:r>
      <w:r w:rsidR="00D85B34" w:rsidRPr="00794712">
        <w:rPr>
          <w:lang w:val="ru-RU"/>
        </w:rPr>
        <w:t xml:space="preserve"> 12</w:t>
      </w:r>
      <w:r w:rsidR="00D85B34" w:rsidRPr="00A01F08">
        <w:rPr>
          <w:lang w:val="ru-RU"/>
        </w:rPr>
        <w:t>:</w:t>
      </w:r>
      <w:r w:rsidR="00D85B34" w:rsidRPr="00794712">
        <w:rPr>
          <w:lang w:val="ru-RU"/>
        </w:rPr>
        <w:t>13)</w:t>
      </w:r>
      <w:r w:rsidR="00475DE2" w:rsidRPr="00BD6C1B">
        <w:rPr>
          <w:lang w:val="ru-RU"/>
        </w:rPr>
        <w:t>]</w:t>
      </w:r>
      <w:r w:rsidR="00D85B34" w:rsidRPr="00794712">
        <w:rPr>
          <w:lang w:val="ru-RU"/>
        </w:rPr>
        <w:t>。</w:t>
      </w:r>
    </w:p>
    <w:p w14:paraId="73C6D0F5" w14:textId="77777777" w:rsidR="00D85B34" w:rsidRPr="00794712" w:rsidRDefault="00F45CFB" w:rsidP="00D85B34">
      <w:pPr>
        <w:ind w:firstLine="708"/>
        <w:rPr>
          <w:lang w:val="ru-RU"/>
        </w:rPr>
      </w:pPr>
      <w:r w:rsidRPr="00F45CFB">
        <w:rPr>
          <w:b/>
          <w:lang w:val="ru-RU"/>
        </w:rPr>
        <w:t>3)</w:t>
      </w:r>
      <w:r w:rsidR="00D85B34" w:rsidRPr="00794712">
        <w:rPr>
          <w:lang w:val="ru-RU"/>
        </w:rPr>
        <w:t xml:space="preserve"> 最后，祂以全部的荣耀和权能，在得荣耀的状态中显现为王，那时祂已经对门徒说：</w:t>
      </w:r>
      <w:r w:rsidR="00D85B34" w:rsidRPr="00A01F08">
        <w:rPr>
          <w:i/>
          <w:iCs/>
          <w:lang w:val="ru-RU"/>
        </w:rPr>
        <w:t>“天上地下所有的权柄都赐给我了”</w:t>
      </w:r>
      <w:r w:rsidR="00D85B34" w:rsidRPr="00794712">
        <w:rPr>
          <w:lang w:val="ru-RU"/>
        </w:rPr>
        <w:t xml:space="preserve"> </w:t>
      </w:r>
      <w:r w:rsidR="00224D5E">
        <w:rPr>
          <w:lang w:val="ru-RU"/>
        </w:rPr>
        <w:t>（</w:t>
      </w:r>
      <w:r w:rsidR="00D85B34" w:rsidRPr="00794712">
        <w:rPr>
          <w:lang w:val="ru-RU"/>
        </w:rPr>
        <w:t>太28</w:t>
      </w:r>
      <w:r w:rsidR="00D85B34" w:rsidRPr="00A01F08">
        <w:rPr>
          <w:lang w:val="ru-RU"/>
        </w:rPr>
        <w:t>:</w:t>
      </w:r>
      <w:r w:rsidR="00D85B34" w:rsidRPr="00794712">
        <w:rPr>
          <w:lang w:val="ru-RU"/>
        </w:rPr>
        <w:t>18），而神确实</w:t>
      </w:r>
      <w:r w:rsidR="00D85B34" w:rsidRPr="004D2538">
        <w:rPr>
          <w:i/>
          <w:iCs/>
          <w:lang w:val="ru-RU"/>
        </w:rPr>
        <w:t>“使祂在天上坐在自己的右边，高过一切执政的、掌权的、有能的、主治的，以及一切有名的——不但是今世的，连来世的也都高过——又将万有都服在祂的脚下”</w:t>
      </w:r>
      <w:r w:rsidR="00D85B34" w:rsidRPr="00794712">
        <w:rPr>
          <w:lang w:val="ru-RU"/>
        </w:rPr>
        <w:t xml:space="preserve"> （以弗所书 1</w:t>
      </w:r>
      <w:r w:rsidR="00D85B34" w:rsidRPr="004D2538">
        <w:rPr>
          <w:lang w:val="ru-RU"/>
        </w:rPr>
        <w:t>:</w:t>
      </w:r>
      <w:r w:rsidR="00D85B34" w:rsidRPr="00794712">
        <w:rPr>
          <w:lang w:val="ru-RU"/>
        </w:rPr>
        <w:t>20-22）。</w:t>
      </w:r>
    </w:p>
    <w:p w14:paraId="2D4B4183" w14:textId="77777777" w:rsidR="00D85B34" w:rsidRPr="00794712" w:rsidRDefault="00D85B34" w:rsidP="00D85B34">
      <w:pPr>
        <w:rPr>
          <w:lang w:val="ru-RU"/>
        </w:rPr>
      </w:pPr>
      <w:r w:rsidRPr="00794712">
        <w:rPr>
          <w:lang w:val="ru-RU"/>
        </w:rPr>
        <w:lastRenderedPageBreak/>
        <w:tab/>
        <w:t>圣教会也始终在其</w:t>
      </w:r>
      <w:r>
        <w:rPr>
          <w:lang w:val="ru-RU"/>
        </w:rPr>
        <w:t>《</w:t>
      </w:r>
      <w:r w:rsidRPr="00794712">
        <w:rPr>
          <w:lang w:val="ru-RU"/>
        </w:rPr>
        <w:t>信经</w:t>
      </w:r>
      <w:r>
        <w:rPr>
          <w:lang w:val="ru-RU"/>
        </w:rPr>
        <w:t>》</w:t>
      </w:r>
      <w:r w:rsidRPr="00794712">
        <w:rPr>
          <w:lang w:val="ru-RU"/>
        </w:rPr>
        <w:t>中宣认耶稣基督的君王尊荣与事工，用这样的言语</w:t>
      </w:r>
      <w:r>
        <w:rPr>
          <w:lang w:val="ru-RU"/>
        </w:rPr>
        <w:t>：</w:t>
      </w:r>
      <w:r w:rsidRPr="00794712">
        <w:rPr>
          <w:lang w:val="ru-RU"/>
        </w:rPr>
        <w:t>“祂的国度永无穷尽</w:t>
      </w:r>
      <w:r>
        <w:rPr>
          <w:lang w:val="ru-RU"/>
        </w:rPr>
        <w:t>。</w:t>
      </w:r>
      <w:r w:rsidRPr="00794712">
        <w:rPr>
          <w:lang w:val="ru-RU"/>
        </w:rPr>
        <w:t>”教会的教师们也同样宣认这一点，特别是：</w:t>
      </w:r>
    </w:p>
    <w:p w14:paraId="3B1D17D4" w14:textId="77777777" w:rsidR="00D85B34" w:rsidRPr="00794712" w:rsidRDefault="00D85B34" w:rsidP="00D85B34">
      <w:pPr>
        <w:rPr>
          <w:lang w:val="ru-RU"/>
        </w:rPr>
      </w:pPr>
      <w:r w:rsidRPr="00794712">
        <w:rPr>
          <w:lang w:val="ru-RU"/>
        </w:rPr>
        <w:tab/>
        <w:t>圣伊里内乌斯：</w:t>
      </w:r>
      <w:r>
        <w:rPr>
          <w:lang w:val="ru-RU"/>
        </w:rPr>
        <w:t>“</w:t>
      </w:r>
      <w:r w:rsidRPr="00794712">
        <w:rPr>
          <w:lang w:val="ru-RU"/>
        </w:rPr>
        <w:t>（圣灵）借着先知预先宣告了我们所爱的主耶稣基督——我们的主——由童贞女所生、受难、从死里复活，以及以肉身升天；还预言了祂将在父的荣耀中从天而降，以统领一切 （弗 1</w:t>
      </w:r>
      <w:r w:rsidRPr="004D2538">
        <w:rPr>
          <w:lang w:val="ru-RU"/>
        </w:rPr>
        <w:t>:</w:t>
      </w:r>
      <w:r w:rsidRPr="00794712">
        <w:rPr>
          <w:lang w:val="ru-RU"/>
        </w:rPr>
        <w:t>10），并使全人类的一切肉体复活，好叫在耶稣基督——我们的主、我们的神、救主和君王——面前， ，凭着那不可见之父的</w:t>
      </w:r>
      <w:r w:rsidRPr="004D2538">
        <w:rPr>
          <w:lang w:val="ru-RU"/>
        </w:rPr>
        <w:t>旨意，天上、地上和阴间的一切膝盖</w:t>
      </w:r>
      <w:r>
        <w:rPr>
          <w:lang w:val="ru-RU"/>
        </w:rPr>
        <w:t>都要屈膝”</w:t>
      </w:r>
      <w:r w:rsidR="001973A6">
        <w:rPr>
          <w:lang w:val="ru-RU"/>
        </w:rPr>
        <w:t>（腓</w:t>
      </w:r>
      <w:r>
        <w:rPr>
          <w:lang w:val="ru-RU"/>
        </w:rPr>
        <w:t xml:space="preserve"> 2:10）。</w:t>
      </w:r>
      <w:r w:rsidR="00B970C8">
        <w:rPr>
          <w:rStyle w:val="FootnoteReference"/>
          <w:lang w:val="ru-RU"/>
        </w:rPr>
        <w:footnoteReference w:id="390"/>
      </w:r>
    </w:p>
    <w:p w14:paraId="662806AA" w14:textId="77777777" w:rsidR="00D85B34" w:rsidRPr="004D2538" w:rsidRDefault="00D85B34" w:rsidP="00D85B34">
      <w:pPr>
        <w:rPr>
          <w:lang w:val="ru-RU"/>
        </w:rPr>
      </w:pPr>
      <w:r w:rsidRPr="00794712">
        <w:rPr>
          <w:lang w:val="ru-RU"/>
        </w:rPr>
        <w:tab/>
        <w:t>圣梅福迪乌斯·帕塔尔斯基：“圣经赋予圣子君王般的尊荣，并非指这尊荣是从外部赐予祂的，或有其起源，或能有所</w:t>
      </w:r>
      <w:r>
        <w:rPr>
          <w:lang w:val="ru-RU"/>
        </w:rPr>
        <w:t>增加</w:t>
      </w:r>
      <w:r w:rsidRPr="00794712">
        <w:rPr>
          <w:lang w:val="ru-RU"/>
        </w:rPr>
        <w:t>——愿这想法得以实现！</w:t>
      </w:r>
      <w:r>
        <w:rPr>
          <w:lang w:val="ru-RU"/>
        </w:rPr>
        <w:t xml:space="preserve"> </w:t>
      </w:r>
      <w:r w:rsidRPr="00794712">
        <w:rPr>
          <w:lang w:val="ru-RU"/>
        </w:rPr>
        <w:t>——而是指这种尊荣既属于祂的本性，也是祂真实赢得的（</w:t>
      </w:r>
      <w:r w:rsidRPr="00AA0891">
        <w:t>ίδιόκτητον</w:t>
      </w:r>
      <w:r w:rsidRPr="00794712">
        <w:rPr>
          <w:lang w:val="ru-RU"/>
        </w:rPr>
        <w:t>）</w:t>
      </w:r>
      <w:r w:rsidRPr="004D2538">
        <w:rPr>
          <w:lang w:val="ru-RU"/>
        </w:rPr>
        <w:t>。”</w:t>
      </w:r>
      <w:r w:rsidR="00B970C8">
        <w:rPr>
          <w:rStyle w:val="FootnoteReference"/>
          <w:lang w:val="ru-RU"/>
        </w:rPr>
        <w:footnoteReference w:id="391"/>
      </w:r>
    </w:p>
    <w:p w14:paraId="2894A21E" w14:textId="77777777" w:rsidR="00D85B34" w:rsidRPr="00794712" w:rsidRDefault="00D85B34" w:rsidP="00D85B34">
      <w:pPr>
        <w:rPr>
          <w:lang w:val="ru-RU"/>
        </w:rPr>
      </w:pPr>
      <w:r w:rsidRPr="00794712">
        <w:rPr>
          <w:lang w:val="ru-RU"/>
        </w:rPr>
        <w:tab/>
        <w:t>圣格里高利·尼西的：“基督之名，首先且最根本地指代的是祂的权能（</w:t>
      </w:r>
      <w:r w:rsidRPr="00AA0891">
        <w:t>κράτος</w:t>
      </w:r>
      <w:r w:rsidRPr="00794712">
        <w:rPr>
          <w:lang w:val="ru-RU"/>
        </w:rPr>
        <w:t>）</w:t>
      </w:r>
      <w:r w:rsidRPr="004D2538">
        <w:rPr>
          <w:lang w:val="ru-RU"/>
        </w:rPr>
        <w:t>。</w:t>
      </w:r>
      <w:r>
        <w:rPr>
          <w:lang w:val="ru-RU"/>
        </w:rPr>
        <w:t>”</w:t>
      </w:r>
      <w:r w:rsidR="00B970C8">
        <w:rPr>
          <w:rStyle w:val="FootnoteReference"/>
          <w:lang w:val="ru-RU"/>
        </w:rPr>
        <w:footnoteReference w:id="392"/>
      </w:r>
      <w:r w:rsidRPr="00794712">
        <w:rPr>
          <w:lang w:val="ru-RU"/>
        </w:rPr>
        <w:t xml:space="preserve"> “若将‘基督’之名换作更清晰易懂的词语，即指‘君王’：因为圣经通过这一名称，以某种特殊用法，彰显了君王般的尊荣</w:t>
      </w:r>
      <w:r>
        <w:rPr>
          <w:lang w:val="ru-RU"/>
        </w:rPr>
        <w:t>。”</w:t>
      </w:r>
      <w:r w:rsidR="00B970C8">
        <w:rPr>
          <w:rStyle w:val="FootnoteReference"/>
          <w:lang w:val="ru-RU"/>
        </w:rPr>
        <w:footnoteReference w:id="393"/>
      </w:r>
    </w:p>
    <w:p w14:paraId="691C2420" w14:textId="77777777" w:rsidR="00D85B34" w:rsidRPr="00794712" w:rsidRDefault="00D85B34" w:rsidP="00D85B34">
      <w:pPr>
        <w:rPr>
          <w:lang w:val="ru-RU"/>
        </w:rPr>
      </w:pPr>
      <w:r w:rsidRPr="00794712">
        <w:rPr>
          <w:lang w:val="ru-RU"/>
        </w:rPr>
        <w:tab/>
        <w:t>圣齐诺·维罗纳：“这位君王正是先知们预言其降临的那一位，祂按肉体在世上降生，在至高处高高在上，在世上谦卑卑</w:t>
      </w:r>
      <w:r>
        <w:rPr>
          <w:lang w:val="ru-RU"/>
        </w:rPr>
        <w:t>微</w:t>
      </w:r>
      <w:r w:rsidRPr="00794712">
        <w:rPr>
          <w:lang w:val="ru-RU"/>
        </w:rPr>
        <w:t>——祂是万世之创造者，也是童贞女之子，祂自身本是永生的，却乐意以人的身份死去…… 祂就是那位在复活后从上帝那里领受了天上</w:t>
      </w:r>
      <w:r>
        <w:rPr>
          <w:lang w:val="ru-RU"/>
        </w:rPr>
        <w:t>地下</w:t>
      </w:r>
      <w:r w:rsidRPr="00794712">
        <w:rPr>
          <w:lang w:val="ru-RU"/>
        </w:rPr>
        <w:t>一切权柄的人</w:t>
      </w:r>
      <w:r w:rsidR="00224D5E">
        <w:rPr>
          <w:lang w:val="ru-RU"/>
        </w:rPr>
        <w:t>（</w:t>
      </w:r>
      <w:r w:rsidRPr="00794712">
        <w:rPr>
          <w:lang w:val="ru-RU"/>
        </w:rPr>
        <w:t>太28</w:t>
      </w:r>
      <w:r w:rsidRPr="00826107">
        <w:rPr>
          <w:lang w:val="ru-RU"/>
        </w:rPr>
        <w:t>:</w:t>
      </w:r>
      <w:r w:rsidRPr="00794712">
        <w:rPr>
          <w:lang w:val="ru-RU"/>
        </w:rPr>
        <w:t>18）；然而，这权柄之所以是新的，仅仅是因为祂的新名（腓2</w:t>
      </w:r>
      <w:r w:rsidRPr="00826107">
        <w:rPr>
          <w:lang w:val="ru-RU"/>
        </w:rPr>
        <w:t>:</w:t>
      </w:r>
      <w:r w:rsidRPr="00794712">
        <w:rPr>
          <w:lang w:val="ru-RU"/>
        </w:rPr>
        <w:t>9）；因为祂自己在复活之前就曾说过：</w:t>
      </w:r>
      <w:r w:rsidRPr="00826107">
        <w:rPr>
          <w:i/>
          <w:iCs/>
          <w:lang w:val="ru-RU"/>
        </w:rPr>
        <w:t>‘我在地上已经荣耀了你，完成了你所托付我去做的事。 现在，父啊，求你在你那里用那我从创世以前在你那里所拥有的荣耀荣耀我”</w:t>
      </w:r>
      <w:r w:rsidR="005864AB">
        <w:rPr>
          <w:lang w:val="ru-RU"/>
        </w:rPr>
        <w:t>（约17</w:t>
      </w:r>
      <w:r w:rsidRPr="002538DD">
        <w:rPr>
          <w:lang w:val="ru-RU"/>
        </w:rPr>
        <w:t>:</w:t>
      </w:r>
      <w:r w:rsidRPr="00794712">
        <w:rPr>
          <w:lang w:val="ru-RU"/>
        </w:rPr>
        <w:t>4-5）</w:t>
      </w:r>
      <w:r>
        <w:rPr>
          <w:lang w:val="ru-RU"/>
        </w:rPr>
        <w:t>。”</w:t>
      </w:r>
      <w:r w:rsidR="00B970C8">
        <w:rPr>
          <w:rStyle w:val="FootnoteReference"/>
          <w:lang w:val="ru-RU"/>
        </w:rPr>
        <w:footnoteReference w:id="394"/>
      </w:r>
    </w:p>
    <w:p w14:paraId="77A2C78C" w14:textId="77777777" w:rsidR="00D85B34" w:rsidRPr="00794712" w:rsidRDefault="00D85B34" w:rsidP="00D85B34">
      <w:pPr>
        <w:rPr>
          <w:lang w:val="ru-RU"/>
        </w:rPr>
      </w:pPr>
      <w:r w:rsidRPr="00794712">
        <w:rPr>
          <w:lang w:val="ru-RU"/>
        </w:rPr>
        <w:tab/>
        <w:t>圣奥古斯丁：“基督受膏，既是君王，又是大祭司。作为君王，祂为我们争战；作为大祭司，祂将自己献为祭物</w:t>
      </w:r>
      <w:r>
        <w:rPr>
          <w:lang w:val="ru-RU"/>
        </w:rPr>
        <w:t>。”</w:t>
      </w:r>
      <w:r w:rsidR="00B970C8">
        <w:rPr>
          <w:rStyle w:val="FootnoteReference"/>
          <w:lang w:val="ru-RU"/>
        </w:rPr>
        <w:footnoteReference w:id="395"/>
      </w:r>
    </w:p>
    <w:p w14:paraId="3ACE4397" w14:textId="77777777" w:rsidR="00D85B34" w:rsidRPr="00794712" w:rsidRDefault="00D85B34" w:rsidP="00D85B34">
      <w:pPr>
        <w:rPr>
          <w:lang w:val="ru-RU"/>
        </w:rPr>
      </w:pPr>
      <w:r w:rsidRPr="00794712">
        <w:rPr>
          <w:lang w:val="ru-RU"/>
        </w:rPr>
        <w:tab/>
        <w:t>福者狄奥多里特：</w:t>
      </w:r>
      <w:r w:rsidRPr="00826107">
        <w:rPr>
          <w:i/>
          <w:iCs/>
          <w:lang w:val="ru-RU"/>
        </w:rPr>
        <w:t>“‘我却被立为王，是出于他</w:t>
      </w:r>
      <w:r w:rsidRPr="00794712">
        <w:rPr>
          <w:lang w:val="ru-RU"/>
        </w:rPr>
        <w:t>’（诗篇 2</w:t>
      </w:r>
      <w:r w:rsidRPr="00826107">
        <w:rPr>
          <w:lang w:val="ru-RU"/>
        </w:rPr>
        <w:t>:</w:t>
      </w:r>
      <w:r w:rsidR="00F45CFB" w:rsidRPr="00475DE2">
        <w:rPr>
          <w:bCs/>
          <w:lang w:val="ru-RU"/>
        </w:rPr>
        <w:t>6）</w:t>
      </w:r>
      <w:r w:rsidRPr="00794712">
        <w:rPr>
          <w:lang w:val="ru-RU"/>
        </w:rPr>
        <w:t>这句话指的是耶稣基督的人性：因为作为神，祂在整个受造界中拥有国度；而作为人，祂则接受了特定的国度</w:t>
      </w:r>
      <w:r>
        <w:rPr>
          <w:lang w:val="ru-RU"/>
        </w:rPr>
        <w:t>。”</w:t>
      </w:r>
      <w:r w:rsidR="00B970C8">
        <w:rPr>
          <w:rStyle w:val="FootnoteReference"/>
          <w:lang w:val="ru-RU"/>
        </w:rPr>
        <w:footnoteReference w:id="396"/>
      </w:r>
    </w:p>
    <w:p w14:paraId="1603C9E8" w14:textId="77777777" w:rsidR="00D85B34" w:rsidRDefault="00D85B34" w:rsidP="00D85B34">
      <w:pPr>
        <w:rPr>
          <w:lang w:val="ru-RU"/>
        </w:rPr>
      </w:pPr>
    </w:p>
    <w:p w14:paraId="2A6578CA" w14:textId="77777777" w:rsidR="00D85B34" w:rsidRPr="00794712" w:rsidRDefault="00D85B34" w:rsidP="007B240B">
      <w:pPr>
        <w:pStyle w:val="Heading5"/>
        <w:rPr>
          <w:lang w:val="ru-RU"/>
        </w:rPr>
      </w:pPr>
      <w:bookmarkStart w:id="341" w:name="_Toc133155593"/>
      <w:bookmarkStart w:id="342" w:name="_Toc180664606"/>
      <w:bookmarkStart w:id="343" w:name="_Toc180679227"/>
      <w:bookmarkStart w:id="344" w:name="_Toc180679284"/>
      <w:bookmarkStart w:id="345" w:name="_Toc180679807"/>
      <w:bookmarkStart w:id="346" w:name="_Toc238453690"/>
      <w:bookmarkStart w:id="347" w:name="_Toc238576506"/>
      <w:r w:rsidRPr="00794712">
        <w:rPr>
          <w:lang w:val="ru-RU"/>
        </w:rPr>
        <w:t>§158. 耶稣基督的君王事工体现在哪些行为中？他的神迹</w:t>
      </w:r>
      <w:bookmarkEnd w:id="341"/>
      <w:bookmarkEnd w:id="342"/>
      <w:bookmarkEnd w:id="343"/>
      <w:bookmarkEnd w:id="344"/>
      <w:bookmarkEnd w:id="345"/>
      <w:bookmarkEnd w:id="346"/>
      <w:bookmarkEnd w:id="347"/>
    </w:p>
    <w:p w14:paraId="11D79701" w14:textId="77777777" w:rsidR="00D85B34" w:rsidRPr="00794712" w:rsidRDefault="00D85B34" w:rsidP="00D85B34">
      <w:pPr>
        <w:ind w:firstLine="708"/>
        <w:rPr>
          <w:lang w:val="ru-RU"/>
        </w:rPr>
      </w:pPr>
      <w:r w:rsidRPr="00794712">
        <w:rPr>
          <w:lang w:val="ru-RU"/>
        </w:rPr>
        <w:t>体现耶稣基督君王事工的主要行为包括：第一，祂所行的一切神迹，这些神迹既证明了祂的神圣使命及其教义的真实性，也彰显了祂对整个自然界——特别是对阴间和死亡——所拥有的君王权柄； 其次，祂降临阴间并战胜阴间；第三，祂复活并战胜死亡；第四，祂升天，借此为我们开启了通往天国的门户。</w:t>
      </w:r>
    </w:p>
    <w:p w14:paraId="16C8CEFE" w14:textId="77777777" w:rsidR="00D85B34" w:rsidRPr="00794712" w:rsidRDefault="00F45CFB" w:rsidP="00D85B34">
      <w:pPr>
        <w:ind w:firstLine="708"/>
        <w:rPr>
          <w:lang w:val="ru-RU"/>
        </w:rPr>
      </w:pPr>
      <w:r w:rsidRPr="00F45CFB">
        <w:rPr>
          <w:b/>
          <w:lang w:val="ru-RU"/>
        </w:rPr>
        <w:lastRenderedPageBreak/>
        <w:t>1)</w:t>
      </w:r>
      <w:r w:rsidR="00D85B34" w:rsidRPr="00794712">
        <w:rPr>
          <w:lang w:val="ru-RU"/>
        </w:rPr>
        <w:t xml:space="preserve"> 主耶稣行神迹，是为了证明祂作为神所差遣的使者以及祂教导的真理。祂自己曾这样说：</w:t>
      </w:r>
      <w:r w:rsidR="00D85B34" w:rsidRPr="00406DCE">
        <w:rPr>
          <w:i/>
          <w:iCs/>
          <w:lang w:val="ru-RU"/>
        </w:rPr>
        <w:t>“我若不做我父所做的事，你们就不要信我；我若做了，你们纵然不信我，也要信这些事”</w:t>
      </w:r>
      <w:r w:rsidR="005864AB">
        <w:rPr>
          <w:lang w:val="ru-RU"/>
        </w:rPr>
        <w:t>（约</w:t>
      </w:r>
      <w:r w:rsidR="00D85B34" w:rsidRPr="00794712">
        <w:rPr>
          <w:lang w:val="ru-RU"/>
        </w:rPr>
        <w:t>10</w:t>
      </w:r>
      <w:r w:rsidR="00D85B34" w:rsidRPr="00406DCE">
        <w:rPr>
          <w:lang w:val="ru-RU"/>
        </w:rPr>
        <w:t>:</w:t>
      </w:r>
      <w:r w:rsidR="00D85B34" w:rsidRPr="00794712">
        <w:rPr>
          <w:lang w:val="ru-RU"/>
        </w:rPr>
        <w:t xml:space="preserve">37-38）； </w:t>
      </w:r>
      <w:r w:rsidR="00D85B34" w:rsidRPr="00BD32C6">
        <w:rPr>
          <w:i/>
          <w:iCs/>
          <w:lang w:val="ru-RU"/>
        </w:rPr>
        <w:t>“</w:t>
      </w:r>
      <w:r w:rsidR="00D85B34" w:rsidRPr="00406DCE">
        <w:rPr>
          <w:i/>
          <w:iCs/>
          <w:lang w:val="ru-RU"/>
        </w:rPr>
        <w:t>父所赐给我去行的那些事，就是我如今所行的这些事，它们为我作见证，证明父差遣</w:t>
      </w:r>
      <w:r w:rsidR="00D85B34" w:rsidRPr="00BD32C6">
        <w:rPr>
          <w:i/>
          <w:iCs/>
          <w:lang w:val="ru-RU"/>
        </w:rPr>
        <w:t>了我”</w:t>
      </w:r>
      <w:r w:rsidR="00475DE2" w:rsidRPr="00475DE2">
        <w:rPr>
          <w:lang w:val="ru-RU"/>
        </w:rPr>
        <w:t>[</w:t>
      </w:r>
      <w:r w:rsidR="005864AB">
        <w:rPr>
          <w:lang w:val="ru-RU"/>
        </w:rPr>
        <w:t>(</w:t>
      </w:r>
      <w:r w:rsidR="00D85B34" w:rsidRPr="00794712">
        <w:rPr>
          <w:lang w:val="ru-RU"/>
        </w:rPr>
        <w:t>约5</w:t>
      </w:r>
      <w:r w:rsidR="00D85B34" w:rsidRPr="00406DCE">
        <w:rPr>
          <w:lang w:val="ru-RU"/>
        </w:rPr>
        <w:t>:</w:t>
      </w:r>
      <w:r w:rsidR="00D85B34" w:rsidRPr="00794712">
        <w:rPr>
          <w:lang w:val="ru-RU"/>
        </w:rPr>
        <w:t>36</w:t>
      </w:r>
      <w:r w:rsidR="00475DE2" w:rsidRPr="00475DE2">
        <w:rPr>
          <w:lang w:val="ru-RU"/>
        </w:rPr>
        <w:t>)</w:t>
      </w:r>
      <w:r w:rsidR="00D85B34" w:rsidRPr="00794712">
        <w:rPr>
          <w:lang w:val="ru-RU"/>
        </w:rPr>
        <w:t>；</w:t>
      </w:r>
      <w:r w:rsidR="00475DE2" w:rsidRPr="00475DE2">
        <w:rPr>
          <w:lang w:val="ru-RU"/>
        </w:rPr>
        <w:t>(</w:t>
      </w:r>
      <w:r w:rsidR="00D85B34" w:rsidRPr="00794712">
        <w:rPr>
          <w:lang w:val="ru-RU"/>
        </w:rPr>
        <w:t>约14</w:t>
      </w:r>
      <w:r w:rsidR="00D85B34" w:rsidRPr="00BD32C6">
        <w:rPr>
          <w:lang w:val="ru-RU"/>
        </w:rPr>
        <w:t>:</w:t>
      </w:r>
      <w:r w:rsidR="00D85B34" w:rsidRPr="00794712">
        <w:rPr>
          <w:lang w:val="ru-RU"/>
        </w:rPr>
        <w:t>11</w:t>
      </w:r>
      <w:r w:rsidR="00475DE2" w:rsidRPr="00475DE2">
        <w:rPr>
          <w:lang w:val="ru-RU"/>
        </w:rPr>
        <w:t>)</w:t>
      </w:r>
      <w:r w:rsidR="00D85B34" w:rsidRPr="00794712">
        <w:rPr>
          <w:lang w:val="ru-RU"/>
        </w:rPr>
        <w:t>；</w:t>
      </w:r>
      <w:r w:rsidR="00475DE2" w:rsidRPr="00475DE2">
        <w:rPr>
          <w:lang w:val="ru-RU"/>
        </w:rPr>
        <w:t>(</w:t>
      </w:r>
      <w:r w:rsidR="00475DE2">
        <w:rPr>
          <w:lang w:val="ru-RU"/>
        </w:rPr>
        <w:t>约</w:t>
      </w:r>
      <w:r w:rsidR="00D85B34" w:rsidRPr="00794712">
        <w:rPr>
          <w:lang w:val="ru-RU"/>
        </w:rPr>
        <w:t>15</w:t>
      </w:r>
      <w:r w:rsidR="00D85B34" w:rsidRPr="00BD32C6">
        <w:rPr>
          <w:lang w:val="ru-RU"/>
        </w:rPr>
        <w:t>:</w:t>
      </w:r>
      <w:r w:rsidR="00D85B34" w:rsidRPr="00794712">
        <w:rPr>
          <w:lang w:val="ru-RU"/>
        </w:rPr>
        <w:t>24)</w:t>
      </w:r>
      <w:r w:rsidR="00475DE2" w:rsidRPr="00475DE2">
        <w:rPr>
          <w:lang w:val="ru-RU"/>
        </w:rPr>
        <w:t>]</w:t>
      </w:r>
      <w:r w:rsidR="00D85B34" w:rsidRPr="00794712">
        <w:rPr>
          <w:lang w:val="ru-RU"/>
        </w:rPr>
        <w:t>。 圣使徒们也曾如此说，例如使徒彼得在向犹太人发表的演讲中说</w:t>
      </w:r>
      <w:r w:rsidR="00D85B34" w:rsidRPr="00BD32C6">
        <w:rPr>
          <w:i/>
          <w:iCs/>
          <w:lang w:val="ru-RU"/>
        </w:rPr>
        <w:t>：“请听这些话：拿撒勒人耶稣，这位神借着祂在你们中间所行的神迹、奇事和异能——正如你们自己所知道的——向你们作见证的人， 这位按神的定旨和预定被交出来的人，你们竟与不法之徒同手将他钉在十字架上，杀害了他”</w:t>
      </w:r>
      <w:r w:rsidR="00D85B34" w:rsidRPr="00794712">
        <w:rPr>
          <w:lang w:val="ru-RU"/>
        </w:rPr>
        <w:t>（使徒行传 2</w:t>
      </w:r>
      <w:r w:rsidR="00D85B34" w:rsidRPr="00BD32C6">
        <w:rPr>
          <w:lang w:val="ru-RU"/>
        </w:rPr>
        <w:t>:</w:t>
      </w:r>
      <w:r w:rsidR="00D85B34" w:rsidRPr="00794712">
        <w:rPr>
          <w:lang w:val="ru-RU"/>
        </w:rPr>
        <w:t xml:space="preserve">22-23）——还有使徒保罗在《希伯来书》中写道： </w:t>
      </w:r>
      <w:r w:rsidR="00D85B34" w:rsidRPr="00BD32C6">
        <w:rPr>
          <w:i/>
          <w:iCs/>
          <w:lang w:val="ru-RU"/>
        </w:rPr>
        <w:t>“我们若忽略这么大的救恩，怎能逃罪呢？这救恩起先是主亲自传讲的，后来是听见的人借着神所行的神迹、奇事、各样的异能，并圣灵按祂的旨意所赐的，在我们中间确证了的</w:t>
      </w:r>
      <w:r w:rsidR="00D85B34" w:rsidRPr="00794712">
        <w:rPr>
          <w:lang w:val="ru-RU"/>
        </w:rPr>
        <w:t>”（使徒行传 2:3-4）。</w:t>
      </w:r>
    </w:p>
    <w:p w14:paraId="30B9A0A5" w14:textId="77777777" w:rsidR="00D85B34" w:rsidRPr="00794712" w:rsidRDefault="00F45CFB" w:rsidP="00D85B34">
      <w:pPr>
        <w:ind w:firstLine="708"/>
        <w:rPr>
          <w:lang w:val="ru-RU"/>
        </w:rPr>
      </w:pPr>
      <w:r w:rsidRPr="00F45CFB">
        <w:rPr>
          <w:b/>
          <w:lang w:val="ru-RU"/>
        </w:rPr>
        <w:t>2)</w:t>
      </w:r>
      <w:r w:rsidR="00D85B34" w:rsidRPr="00794712">
        <w:rPr>
          <w:lang w:val="ru-RU"/>
        </w:rPr>
        <w:t xml:space="preserve"> 主耶稣通过神迹彰显了他对整个自然界的权能。例如，他将水变为酒</w:t>
      </w:r>
      <w:r w:rsidR="005864AB">
        <w:rPr>
          <w:lang w:val="ru-RU"/>
        </w:rPr>
        <w:t>（约</w:t>
      </w:r>
      <w:r w:rsidR="00D85B34" w:rsidRPr="00794712">
        <w:rPr>
          <w:lang w:val="ru-RU"/>
        </w:rPr>
        <w:t>2</w:t>
      </w:r>
      <w:r w:rsidR="00D85B34" w:rsidRPr="00BD32C6">
        <w:rPr>
          <w:lang w:val="ru-RU"/>
        </w:rPr>
        <w:t>:</w:t>
      </w:r>
      <w:r w:rsidR="00D85B34" w:rsidRPr="00794712">
        <w:rPr>
          <w:lang w:val="ru-RU"/>
        </w:rPr>
        <w:t>1-11），在水面上行走</w:t>
      </w:r>
      <w:r w:rsidR="00224D5E">
        <w:rPr>
          <w:lang w:val="ru-RU"/>
        </w:rPr>
        <w:t>（太</w:t>
      </w:r>
      <w:r w:rsidR="00D85B34" w:rsidRPr="00794712">
        <w:rPr>
          <w:lang w:val="ru-RU"/>
        </w:rPr>
        <w:t>14</w:t>
      </w:r>
      <w:r w:rsidR="00D85B34" w:rsidRPr="00BD32C6">
        <w:rPr>
          <w:lang w:val="ru-RU"/>
        </w:rPr>
        <w:t>:</w:t>
      </w:r>
      <w:r w:rsidR="00D85B34" w:rsidRPr="00794712">
        <w:rPr>
          <w:lang w:val="ru-RU"/>
        </w:rPr>
        <w:t>26），仅凭一句话就平息了海上的风暴</w:t>
      </w:r>
      <w:r w:rsidR="00FE7211" w:rsidRPr="00FE7211">
        <w:rPr>
          <w:lang w:val="ru-RU"/>
        </w:rPr>
        <w:t>[</w:t>
      </w:r>
      <w:r w:rsidR="008A3626">
        <w:rPr>
          <w:lang w:val="ru-RU"/>
        </w:rPr>
        <w:t>(路</w:t>
      </w:r>
      <w:r w:rsidR="00D85B34" w:rsidRPr="00794712">
        <w:rPr>
          <w:lang w:val="ru-RU"/>
        </w:rPr>
        <w:t>8</w:t>
      </w:r>
      <w:r w:rsidR="00D85B34" w:rsidRPr="00BD32C6">
        <w:rPr>
          <w:lang w:val="ru-RU"/>
        </w:rPr>
        <w:t>:</w:t>
      </w:r>
      <w:r w:rsidR="00D85B34" w:rsidRPr="00794712">
        <w:rPr>
          <w:lang w:val="ru-RU"/>
        </w:rPr>
        <w:t>24</w:t>
      </w:r>
      <w:r w:rsidR="00FE7211" w:rsidRPr="00FE7211">
        <w:rPr>
          <w:lang w:val="ru-RU"/>
        </w:rPr>
        <w:t>)</w:t>
      </w:r>
      <w:r w:rsidR="00D85B34" w:rsidRPr="00794712">
        <w:rPr>
          <w:lang w:val="ru-RU"/>
        </w:rPr>
        <w:t>；</w:t>
      </w:r>
      <w:r w:rsidR="008D4E5F">
        <w:rPr>
          <w:lang w:val="ru-RU"/>
        </w:rPr>
        <w:t xml:space="preserve"> </w:t>
      </w:r>
      <w:r w:rsidR="00FE7211" w:rsidRPr="00FE7211">
        <w:rPr>
          <w:lang w:val="ru-RU"/>
        </w:rPr>
        <w:t>（</w:t>
      </w:r>
      <w:r w:rsidR="008D4E5F">
        <w:rPr>
          <w:lang w:val="ru-RU"/>
        </w:rPr>
        <w:t>太</w:t>
      </w:r>
      <w:r w:rsidR="00D85B34" w:rsidRPr="00794712">
        <w:rPr>
          <w:lang w:val="ru-RU"/>
        </w:rPr>
        <w:t>8</w:t>
      </w:r>
      <w:r w:rsidR="00D85B34" w:rsidRPr="00BD32C6">
        <w:rPr>
          <w:lang w:val="ru-RU"/>
        </w:rPr>
        <w:t>:</w:t>
      </w:r>
      <w:r w:rsidR="00D85B34" w:rsidRPr="00794712">
        <w:rPr>
          <w:lang w:val="ru-RU"/>
        </w:rPr>
        <w:t>23-27）</w:t>
      </w:r>
      <w:r w:rsidR="00FE7211" w:rsidRPr="00FE7211">
        <w:rPr>
          <w:lang w:val="ru-RU"/>
        </w:rPr>
        <w:t>]</w:t>
      </w:r>
      <w:r w:rsidR="00D85B34" w:rsidRPr="00794712">
        <w:rPr>
          <w:lang w:val="ru-RU"/>
        </w:rPr>
        <w:t>；仅凭一句话或一个触摸，便医治了各种疾病</w:t>
      </w:r>
      <w:r w:rsidR="00FE7211" w:rsidRPr="00FE7211">
        <w:rPr>
          <w:lang w:val="ru-RU"/>
        </w:rPr>
        <w:t>[</w:t>
      </w:r>
      <w:r w:rsidR="00224D5E">
        <w:rPr>
          <w:lang w:val="ru-RU"/>
        </w:rPr>
        <w:t>（太</w:t>
      </w:r>
      <w:r w:rsidR="00D85B34" w:rsidRPr="00794712">
        <w:rPr>
          <w:lang w:val="ru-RU"/>
        </w:rPr>
        <w:t>9:20-23</w:t>
      </w:r>
      <w:r w:rsidR="00FE7211" w:rsidRPr="00FE7211">
        <w:rPr>
          <w:lang w:val="ru-RU"/>
        </w:rPr>
        <w:t>）</w:t>
      </w:r>
      <w:r w:rsidR="00D85B34" w:rsidRPr="00794712">
        <w:rPr>
          <w:lang w:val="ru-RU"/>
        </w:rPr>
        <w:t>，</w:t>
      </w:r>
      <w:r w:rsidR="00FB2012">
        <w:rPr>
          <w:rFonts w:cs="Cambria Math"/>
          <w:lang w:val="ru-RU"/>
        </w:rPr>
        <w:t xml:space="preserve"> </w:t>
      </w:r>
      <w:r w:rsidR="00FE7211" w:rsidRPr="00FE7211">
        <w:rPr>
          <w:rFonts w:cs="Cambria Math"/>
          <w:lang w:val="ru-RU"/>
        </w:rPr>
        <w:t>(</w:t>
      </w:r>
      <w:r w:rsidR="00FE7211">
        <w:rPr>
          <w:rFonts w:cs="Cambria Math"/>
          <w:lang w:val="ru-RU"/>
        </w:rPr>
        <w:t>太</w:t>
      </w:r>
      <w:r w:rsidR="00D85B34" w:rsidRPr="00794712">
        <w:rPr>
          <w:lang w:val="ru-RU"/>
        </w:rPr>
        <w:t>14:35-36)</w:t>
      </w:r>
      <w:r w:rsidR="00FE7211" w:rsidRPr="00FE7211">
        <w:rPr>
          <w:lang w:val="ru-RU"/>
        </w:rPr>
        <w:t>]</w:t>
      </w:r>
      <w:r w:rsidR="00D85B34" w:rsidRPr="00794712">
        <w:rPr>
          <w:lang w:val="ru-RU"/>
        </w:rPr>
        <w:t>，使瞎子看见</w:t>
      </w:r>
      <w:r w:rsidR="005864AB">
        <w:rPr>
          <w:lang w:val="ru-RU"/>
        </w:rPr>
        <w:t>（</w:t>
      </w:r>
      <w:r w:rsidR="00D85B34" w:rsidRPr="00794712">
        <w:rPr>
          <w:lang w:val="ru-RU"/>
        </w:rPr>
        <w:t>可10</w:t>
      </w:r>
      <w:r w:rsidR="00D85B34" w:rsidRPr="00BD32C6">
        <w:rPr>
          <w:lang w:val="ru-RU"/>
        </w:rPr>
        <w:t>:</w:t>
      </w:r>
      <w:r w:rsidR="00D85B34" w:rsidRPr="00794712">
        <w:rPr>
          <w:lang w:val="ru-RU"/>
        </w:rPr>
        <w:t xml:space="preserve">46-52），使聋子听见，使哑巴说话 </w:t>
      </w:r>
      <w:r w:rsidR="00FE7211" w:rsidRPr="00FE7211">
        <w:rPr>
          <w:lang w:val="ru-RU"/>
        </w:rPr>
        <w:t>[</w:t>
      </w:r>
      <w:r w:rsidR="00224D5E">
        <w:rPr>
          <w:lang w:val="ru-RU"/>
        </w:rPr>
        <w:t>(太</w:t>
      </w:r>
      <w:r w:rsidR="00D85B34" w:rsidRPr="00794712">
        <w:rPr>
          <w:lang w:val="ru-RU"/>
        </w:rPr>
        <w:t>9</w:t>
      </w:r>
      <w:r w:rsidR="00D85B34" w:rsidRPr="00BD32C6">
        <w:rPr>
          <w:lang w:val="ru-RU"/>
        </w:rPr>
        <w:t>:</w:t>
      </w:r>
      <w:r w:rsidR="00D85B34" w:rsidRPr="00794712">
        <w:rPr>
          <w:lang w:val="ru-RU"/>
        </w:rPr>
        <w:t>32-35</w:t>
      </w:r>
      <w:r w:rsidR="00FE7211">
        <w:rPr>
          <w:lang w:val="ru-RU"/>
        </w:rPr>
        <w:t>)</w:t>
      </w:r>
      <w:r w:rsidR="00D85B34" w:rsidRPr="00794712">
        <w:rPr>
          <w:lang w:val="ru-RU"/>
        </w:rPr>
        <w:t>；</w:t>
      </w:r>
      <w:r w:rsidR="00FE7211">
        <w:rPr>
          <w:rFonts w:cs="Cambria Math"/>
          <w:lang w:val="ru-RU"/>
        </w:rPr>
        <w:t>(</w:t>
      </w:r>
      <w:r w:rsidR="00D85B34" w:rsidRPr="00794712">
        <w:rPr>
          <w:lang w:val="ru-RU"/>
        </w:rPr>
        <w:t>太12</w:t>
      </w:r>
      <w:r w:rsidR="00D85B34" w:rsidRPr="00BD32C6">
        <w:rPr>
          <w:lang w:val="ru-RU"/>
        </w:rPr>
        <w:t>:</w:t>
      </w:r>
      <w:r w:rsidR="00D85B34" w:rsidRPr="00794712">
        <w:rPr>
          <w:lang w:val="ru-RU"/>
        </w:rPr>
        <w:t>22</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路加福音</w:t>
      </w:r>
      <w:r w:rsidR="00D85B34" w:rsidRPr="00794712">
        <w:rPr>
          <w:lang w:val="ru-RU"/>
        </w:rPr>
        <w:t xml:space="preserve"> 11</w:t>
      </w:r>
      <w:r w:rsidR="00D85B34" w:rsidRPr="00BD32C6">
        <w:rPr>
          <w:lang w:val="ru-RU"/>
        </w:rPr>
        <w:t>:</w:t>
      </w:r>
      <w:r w:rsidR="00D85B34" w:rsidRPr="00794712">
        <w:rPr>
          <w:lang w:val="ru-RU"/>
        </w:rPr>
        <w:t>14)</w:t>
      </w:r>
      <w:r w:rsidR="00FE7211" w:rsidRPr="00FE7211">
        <w:rPr>
          <w:lang w:val="ru-RU"/>
        </w:rPr>
        <w:t>]</w:t>
      </w:r>
      <w:r w:rsidR="00D85B34" w:rsidRPr="00794712">
        <w:rPr>
          <w:lang w:val="ru-RU"/>
        </w:rPr>
        <w:t>，治愈麻风病人</w:t>
      </w:r>
      <w:r w:rsidR="00224D5E">
        <w:rPr>
          <w:lang w:val="ru-RU"/>
        </w:rPr>
        <w:t>（马太福音</w:t>
      </w:r>
      <w:r w:rsidR="00D85B34" w:rsidRPr="00794712">
        <w:rPr>
          <w:lang w:val="ru-RU"/>
        </w:rPr>
        <w:t xml:space="preserve"> 8</w:t>
      </w:r>
      <w:r w:rsidR="00D85B34" w:rsidRPr="00BD32C6">
        <w:rPr>
          <w:lang w:val="ru-RU"/>
        </w:rPr>
        <w:t>:</w:t>
      </w:r>
      <w:r w:rsidR="00D85B34" w:rsidRPr="00794712">
        <w:rPr>
          <w:lang w:val="ru-RU"/>
        </w:rPr>
        <w:t>1-5）；曾用少量的饼和鱼，一次喂饱五千人，另一次喂饱四千人，还不包括妇女和儿童</w:t>
      </w:r>
      <w:r w:rsidR="00FE7211">
        <w:rPr>
          <w:lang w:val="ru-RU"/>
        </w:rPr>
        <w:t>（</w:t>
      </w:r>
      <w:r w:rsidR="00D85B34" w:rsidRPr="00794712">
        <w:rPr>
          <w:lang w:val="ru-RU"/>
        </w:rPr>
        <w:t>马太福音第14</w:t>
      </w:r>
      <w:r w:rsidR="00D85B34" w:rsidRPr="00BD32C6">
        <w:rPr>
          <w:lang w:val="ru-RU"/>
        </w:rPr>
        <w:t>章15-21</w:t>
      </w:r>
      <w:r w:rsidR="00FE7211">
        <w:rPr>
          <w:lang w:val="ru-RU"/>
        </w:rPr>
        <w:t>节</w:t>
      </w:r>
      <w:r w:rsidR="00FE7211" w:rsidRPr="00FE7211">
        <w:rPr>
          <w:lang w:val="ru-RU"/>
        </w:rPr>
        <w:t>；</w:t>
      </w:r>
      <w:r w:rsidR="00FE7211">
        <w:rPr>
          <w:lang w:val="ru-RU"/>
        </w:rPr>
        <w:t>马太福音</w:t>
      </w:r>
      <w:r w:rsidR="00D85B34" w:rsidRPr="00BD32C6">
        <w:rPr>
          <w:lang w:val="ru-RU"/>
        </w:rPr>
        <w:t xml:space="preserve"> 15:32-38</w:t>
      </w:r>
      <w:r w:rsidR="00FE7211" w:rsidRPr="00FE7211">
        <w:rPr>
          <w:lang w:val="ru-RU"/>
        </w:rPr>
        <w:t>）</w:t>
      </w:r>
      <w:r w:rsidR="00D85B34" w:rsidRPr="00794712">
        <w:rPr>
          <w:lang w:val="ru-RU"/>
        </w:rPr>
        <w:t>。</w:t>
      </w:r>
    </w:p>
    <w:p w14:paraId="5C54A086" w14:textId="77777777" w:rsidR="00D85B34" w:rsidRPr="00794712" w:rsidRDefault="00F45CFB" w:rsidP="00D85B34">
      <w:pPr>
        <w:ind w:firstLine="708"/>
        <w:rPr>
          <w:lang w:val="ru-RU"/>
        </w:rPr>
      </w:pPr>
      <w:r w:rsidRPr="00F45CFB">
        <w:rPr>
          <w:b/>
          <w:lang w:val="ru-RU"/>
        </w:rPr>
        <w:t xml:space="preserve">3) </w:t>
      </w:r>
      <w:r w:rsidR="00D85B34">
        <w:rPr>
          <w:lang w:val="ru-RU"/>
        </w:rPr>
        <w:t>—</w:t>
      </w:r>
      <w:r w:rsidR="00D85B34" w:rsidRPr="00794712">
        <w:rPr>
          <w:lang w:val="ru-RU"/>
        </w:rPr>
        <w:t xml:space="preserve"> 彰显了他对地狱权势的掌控。这体现在无数次他仅凭一句命令，便将污鬼从人身上赶出去的情形中 </w:t>
      </w:r>
      <w:r w:rsidR="00FE7211" w:rsidRPr="00FE7211">
        <w:rPr>
          <w:lang w:val="ru-RU"/>
        </w:rPr>
        <w:t>[</w:t>
      </w:r>
      <w:r w:rsidR="005864AB">
        <w:rPr>
          <w:lang w:val="ru-RU"/>
        </w:rPr>
        <w:t>(可</w:t>
      </w:r>
      <w:r w:rsidR="00D85B34" w:rsidRPr="00794712">
        <w:rPr>
          <w:lang w:val="ru-RU"/>
        </w:rPr>
        <w:t xml:space="preserve"> 1</w:t>
      </w:r>
      <w:r w:rsidR="00D85B34" w:rsidRPr="0074411D">
        <w:rPr>
          <w:lang w:val="ru-RU"/>
        </w:rPr>
        <w:t>:</w:t>
      </w:r>
      <w:r w:rsidR="00D85B34" w:rsidRPr="00794712">
        <w:rPr>
          <w:lang w:val="ru-RU"/>
        </w:rPr>
        <w:t>25</w:t>
      </w:r>
      <w:r w:rsidR="00FE7211">
        <w:rPr>
          <w:lang w:val="ru-RU"/>
        </w:rPr>
        <w:t>)</w:t>
      </w:r>
      <w:r w:rsidR="00D85B34" w:rsidRPr="00794712">
        <w:rPr>
          <w:lang w:val="ru-RU"/>
        </w:rPr>
        <w:t>；</w:t>
      </w:r>
      <w:r w:rsidR="00FE7211">
        <w:rPr>
          <w:rFonts w:cs="Cambria Math"/>
          <w:lang w:val="ru-RU"/>
        </w:rPr>
        <w:t>(</w:t>
      </w:r>
      <w:r w:rsidR="00FE7211">
        <w:rPr>
          <w:lang w:val="ru-RU"/>
        </w:rPr>
        <w:t>可</w:t>
      </w:r>
      <w:r w:rsidR="00D85B34" w:rsidRPr="00794712">
        <w:rPr>
          <w:lang w:val="ru-RU"/>
        </w:rPr>
        <w:t xml:space="preserve"> 5</w:t>
      </w:r>
      <w:r w:rsidR="00D85B34" w:rsidRPr="0074411D">
        <w:rPr>
          <w:lang w:val="ru-RU"/>
        </w:rPr>
        <w:t>:</w:t>
      </w:r>
      <w:r w:rsidR="00D85B34" w:rsidRPr="00794712">
        <w:rPr>
          <w:lang w:val="ru-RU"/>
        </w:rPr>
        <w:t>8</w:t>
      </w:r>
      <w:r w:rsidR="00FE7211">
        <w:rPr>
          <w:lang w:val="ru-RU"/>
        </w:rPr>
        <w:t>)</w:t>
      </w:r>
      <w:r w:rsidR="00D85B34" w:rsidRPr="00794712">
        <w:rPr>
          <w:lang w:val="ru-RU"/>
        </w:rPr>
        <w:t>；</w:t>
      </w:r>
      <w:r w:rsidR="00FE7211">
        <w:rPr>
          <w:rFonts w:cs="Cambria Math"/>
          <w:lang w:val="ru-RU"/>
        </w:rPr>
        <w:t>(</w:t>
      </w:r>
      <w:r w:rsidR="00FE7211">
        <w:rPr>
          <w:lang w:val="ru-RU"/>
        </w:rPr>
        <w:t>可</w:t>
      </w:r>
      <w:r w:rsidR="00D85B34" w:rsidRPr="00794712">
        <w:rPr>
          <w:lang w:val="ru-RU"/>
        </w:rPr>
        <w:t xml:space="preserve"> 9</w:t>
      </w:r>
      <w:r w:rsidR="00D85B34" w:rsidRPr="0074411D">
        <w:rPr>
          <w:lang w:val="ru-RU"/>
        </w:rPr>
        <w:t>:</w:t>
      </w:r>
      <w:r w:rsidR="00D85B34" w:rsidRPr="00794712">
        <w:rPr>
          <w:lang w:val="ru-RU"/>
        </w:rPr>
        <w:t>25</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路加福音</w:t>
      </w:r>
      <w:r w:rsidR="00D85B34" w:rsidRPr="00794712">
        <w:rPr>
          <w:lang w:val="ru-RU"/>
        </w:rPr>
        <w:t xml:space="preserve"> 8</w:t>
      </w:r>
      <w:r w:rsidR="00D85B34" w:rsidRPr="0074411D">
        <w:rPr>
          <w:lang w:val="ru-RU"/>
        </w:rPr>
        <w:t>:</w:t>
      </w:r>
      <w:r w:rsidR="00D85B34" w:rsidRPr="00794712">
        <w:rPr>
          <w:lang w:val="ru-RU"/>
        </w:rPr>
        <w:t>32-33）</w:t>
      </w:r>
      <w:r w:rsidR="00FE7211" w:rsidRPr="00FE7211">
        <w:rPr>
          <w:lang w:val="ru-RU"/>
        </w:rPr>
        <w:t>]</w:t>
      </w:r>
      <w:r w:rsidR="00D85B34" w:rsidRPr="00794712">
        <w:rPr>
          <w:lang w:val="ru-RU"/>
        </w:rPr>
        <w:t>；以及当恶魔们认出祂是神的儿子时，因祂对它们的大能和权柄而战栗，并呼喊道：</w:t>
      </w:r>
      <w:r w:rsidR="00D85B34" w:rsidRPr="0074411D">
        <w:rPr>
          <w:i/>
          <w:iCs/>
          <w:lang w:val="ru-RU"/>
        </w:rPr>
        <w:t xml:space="preserve">“耶稣，神的儿子，你与我们有什么相干？你来这里，不是时候，要折磨我们吗？” </w:t>
      </w:r>
      <w:r w:rsidR="00FE7211" w:rsidRPr="00FE7211">
        <w:rPr>
          <w:lang w:val="ru-RU"/>
        </w:rPr>
        <w:t>[</w:t>
      </w:r>
      <w:r w:rsidR="00224D5E">
        <w:rPr>
          <w:lang w:val="ru-RU"/>
        </w:rPr>
        <w:t>(马太福音</w:t>
      </w:r>
      <w:r w:rsidR="00D85B34" w:rsidRPr="00794712">
        <w:rPr>
          <w:lang w:val="ru-RU"/>
        </w:rPr>
        <w:t xml:space="preserve"> 8</w:t>
      </w:r>
      <w:r w:rsidR="00D85B34" w:rsidRPr="0074411D">
        <w:rPr>
          <w:lang w:val="ru-RU"/>
        </w:rPr>
        <w:t>:</w:t>
      </w:r>
      <w:r w:rsidR="00D85B34" w:rsidRPr="00794712">
        <w:rPr>
          <w:lang w:val="ru-RU"/>
        </w:rPr>
        <w:t>29</w:t>
      </w:r>
      <w:r w:rsidR="00FE7211">
        <w:rPr>
          <w:lang w:val="ru-RU"/>
        </w:rPr>
        <w:t>)</w:t>
      </w:r>
      <w:r w:rsidR="00D85B34" w:rsidRPr="00794712">
        <w:rPr>
          <w:lang w:val="ru-RU"/>
        </w:rPr>
        <w:t xml:space="preserve">； </w:t>
      </w:r>
      <w:r w:rsidR="00FE7211">
        <w:rPr>
          <w:lang w:val="ru-RU"/>
        </w:rPr>
        <w:t>（</w:t>
      </w:r>
      <w:r w:rsidR="00D85B34" w:rsidRPr="00794712">
        <w:rPr>
          <w:lang w:val="ru-RU"/>
        </w:rPr>
        <w:t>可 3</w:t>
      </w:r>
      <w:r w:rsidR="00D85B34" w:rsidRPr="0074411D">
        <w:rPr>
          <w:lang w:val="ru-RU"/>
        </w:rPr>
        <w:t>:</w:t>
      </w:r>
      <w:r w:rsidR="00D85B34" w:rsidRPr="00794712">
        <w:rPr>
          <w:lang w:val="ru-RU"/>
        </w:rPr>
        <w:t>11</w:t>
      </w:r>
      <w:r w:rsidR="00FE7211">
        <w:rPr>
          <w:lang w:val="ru-RU"/>
        </w:rPr>
        <w:t>）</w:t>
      </w:r>
      <w:r w:rsidR="00D85B34" w:rsidRPr="00794712">
        <w:rPr>
          <w:lang w:val="ru-RU"/>
        </w:rPr>
        <w:t>；</w:t>
      </w:r>
      <w:r w:rsidR="00FE7211">
        <w:rPr>
          <w:rFonts w:cs="Cambria Math"/>
          <w:lang w:val="ru-RU"/>
        </w:rPr>
        <w:t>（可</w:t>
      </w:r>
      <w:r w:rsidR="00D85B34" w:rsidRPr="00794712">
        <w:rPr>
          <w:lang w:val="ru-RU"/>
        </w:rPr>
        <w:t xml:space="preserve"> 5</w:t>
      </w:r>
      <w:r w:rsidR="00D85B34" w:rsidRPr="0074411D">
        <w:rPr>
          <w:lang w:val="ru-RU"/>
        </w:rPr>
        <w:t>:</w:t>
      </w:r>
      <w:r w:rsidR="00D85B34" w:rsidRPr="00794712">
        <w:rPr>
          <w:lang w:val="ru-RU"/>
        </w:rPr>
        <w:t>7）</w:t>
      </w:r>
      <w:r w:rsidR="00FE7211" w:rsidRPr="00FE7211">
        <w:rPr>
          <w:lang w:val="ru-RU"/>
        </w:rPr>
        <w:t>]</w:t>
      </w:r>
      <w:r w:rsidR="00D85B34" w:rsidRPr="00794712">
        <w:rPr>
          <w:lang w:val="ru-RU"/>
        </w:rPr>
        <w:t>。由于所有这些显然旨在摧毁魔鬼在人类中作为的行动，救主基督还在世传道期间，当七十位门徒从传道归来，满心喜乐地对祂说：</w:t>
      </w:r>
      <w:r w:rsidR="00D85B34" w:rsidRPr="0074411D">
        <w:rPr>
          <w:i/>
          <w:iCs/>
          <w:lang w:val="ru-RU"/>
        </w:rPr>
        <w:t>“主啊！ 连鬼魔也因你的名服从我们了”，</w:t>
      </w:r>
      <w:r w:rsidR="00D85B34" w:rsidRPr="00794712">
        <w:rPr>
          <w:lang w:val="ru-RU"/>
        </w:rPr>
        <w:t>祂便回答说：</w:t>
      </w:r>
      <w:r w:rsidR="00D85B34" w:rsidRPr="0074411D">
        <w:rPr>
          <w:i/>
          <w:iCs/>
          <w:lang w:val="ru-RU"/>
        </w:rPr>
        <w:t>“我曾看见撒但像闪电一样从天上坠落”</w:t>
      </w:r>
      <w:r w:rsidR="008A3626">
        <w:rPr>
          <w:lang w:val="ru-RU"/>
        </w:rPr>
        <w:t>（路加</w:t>
      </w:r>
      <w:r w:rsidR="00D85B34" w:rsidRPr="00794712">
        <w:rPr>
          <w:lang w:val="ru-RU"/>
        </w:rPr>
        <w:t>福音10</w:t>
      </w:r>
      <w:r w:rsidR="00D85B34" w:rsidRPr="002538DD">
        <w:rPr>
          <w:lang w:val="ru-RU"/>
        </w:rPr>
        <w:t>:</w:t>
      </w:r>
      <w:r w:rsidR="00D85B34" w:rsidRPr="00794712">
        <w:rPr>
          <w:lang w:val="ru-RU"/>
        </w:rPr>
        <w:t xml:space="preserve">17-18）。关于我们主在世时对邪恶之灵所拥有的这种君王般的权柄与能力，使徒彼得也在向新归信的外邦人作见证时提到： </w:t>
      </w:r>
      <w:r w:rsidR="00D85B34" w:rsidRPr="0074411D">
        <w:rPr>
          <w:i/>
          <w:iCs/>
          <w:lang w:val="ru-RU"/>
        </w:rPr>
        <w:t>“你们也知道，从加利利开始，在约翰传讲洗礼之后，在整个犹太地所发生的一切：神怎样用圣灵和大能膏立拿撒勒人耶稣，祂周游四方，行善事，医治一切被魔鬼所附的人，因为神与祂同在”</w:t>
      </w:r>
      <w:r w:rsidR="00D85B34" w:rsidRPr="00794712">
        <w:rPr>
          <w:lang w:val="ru-RU"/>
        </w:rPr>
        <w:t xml:space="preserve"> （使徒行传 10</w:t>
      </w:r>
      <w:r w:rsidR="00D85B34" w:rsidRPr="0074411D">
        <w:rPr>
          <w:lang w:val="ru-RU"/>
        </w:rPr>
        <w:t>:</w:t>
      </w:r>
      <w:r w:rsidR="00D85B34" w:rsidRPr="00794712">
        <w:rPr>
          <w:lang w:val="ru-RU"/>
        </w:rPr>
        <w:t>37-38）。</w:t>
      </w:r>
    </w:p>
    <w:p w14:paraId="359F1291" w14:textId="77777777" w:rsidR="00D85B34" w:rsidRPr="00794712" w:rsidRDefault="00F45CFB" w:rsidP="00D85B34">
      <w:pPr>
        <w:ind w:firstLine="708"/>
        <w:rPr>
          <w:lang w:val="ru-RU"/>
        </w:rPr>
      </w:pPr>
      <w:r w:rsidRPr="00F45CFB">
        <w:rPr>
          <w:b/>
          <w:lang w:val="ru-RU"/>
        </w:rPr>
        <w:t xml:space="preserve">4) </w:t>
      </w:r>
      <w:r w:rsidR="00D85B34">
        <w:rPr>
          <w:lang w:val="ru-RU"/>
        </w:rPr>
        <w:t>—</w:t>
      </w:r>
      <w:r w:rsidR="00D85B34" w:rsidRPr="00794712">
        <w:rPr>
          <w:lang w:val="ru-RU"/>
        </w:rPr>
        <w:t xml:space="preserve"> 彰显了祂对死亡的权柄。因为</w:t>
      </w:r>
      <w:r w:rsidR="00A95A76" w:rsidRPr="00A95A76">
        <w:rPr>
          <w:b/>
          <w:lang w:val="ru-RU"/>
        </w:rPr>
        <w:t>——a)</w:t>
      </w:r>
      <w:r w:rsidR="00D85B34" w:rsidRPr="00794712">
        <w:rPr>
          <w:lang w:val="ru-RU"/>
        </w:rPr>
        <w:t xml:space="preserve"> 祂仅凭触摸那死人的棺材，并吩咐说：“少年人</w:t>
      </w:r>
      <w:r w:rsidR="00D85B34" w:rsidRPr="0074411D">
        <w:rPr>
          <w:i/>
          <w:iCs/>
          <w:lang w:val="ru-RU"/>
        </w:rPr>
        <w:t>，我吩咐你，起来！</w:t>
      </w:r>
      <w:r w:rsidR="00D85B34" w:rsidRPr="00794712">
        <w:rPr>
          <w:lang w:val="ru-RU"/>
        </w:rPr>
        <w:t>”就使拿因的寡妇之子复活了</w:t>
      </w:r>
      <w:r w:rsidR="008A3626">
        <w:rPr>
          <w:lang w:val="ru-RU"/>
        </w:rPr>
        <w:t>（路加福音</w:t>
      </w:r>
      <w:r w:rsidR="00D85B34" w:rsidRPr="00794712">
        <w:rPr>
          <w:lang w:val="ru-RU"/>
        </w:rPr>
        <w:t xml:space="preserve"> 7</w:t>
      </w:r>
      <w:r w:rsidR="00D85B34" w:rsidRPr="008250BD">
        <w:rPr>
          <w:lang w:val="ru-RU"/>
        </w:rPr>
        <w:t>:</w:t>
      </w:r>
      <w:r w:rsidR="00D85B34" w:rsidRPr="00794712">
        <w:rPr>
          <w:lang w:val="ru-RU"/>
        </w:rPr>
        <w:t>14）；</w:t>
      </w:r>
      <w:r w:rsidR="00A95A76" w:rsidRPr="00A95A76">
        <w:rPr>
          <w:b/>
          <w:lang w:val="ru-RU"/>
        </w:rPr>
        <w:t xml:space="preserve"> b)</w:t>
      </w:r>
      <w:r w:rsidR="00D85B34" w:rsidRPr="00794712">
        <w:rPr>
          <w:lang w:val="ru-RU"/>
        </w:rPr>
        <w:t xml:space="preserve"> 仅凭</w:t>
      </w:r>
      <w:r w:rsidR="00D85B34" w:rsidRPr="008250BD">
        <w:rPr>
          <w:i/>
          <w:iCs/>
          <w:lang w:val="ru-RU"/>
        </w:rPr>
        <w:t>触摸和一句“少女啊！起来！</w:t>
      </w:r>
      <w:r w:rsidR="00D85B34" w:rsidRPr="00794712">
        <w:rPr>
          <w:lang w:val="ru-RU"/>
        </w:rPr>
        <w:t>”便使会堂管事雅伊尔的女儿复活</w:t>
      </w:r>
      <w:r w:rsidR="008A3626">
        <w:rPr>
          <w:lang w:val="ru-RU"/>
        </w:rPr>
        <w:t>（路加福音</w:t>
      </w:r>
      <w:r w:rsidR="00D85B34" w:rsidRPr="00794712">
        <w:rPr>
          <w:lang w:val="ru-RU"/>
        </w:rPr>
        <w:t xml:space="preserve"> 8</w:t>
      </w:r>
      <w:r w:rsidR="00D85B34" w:rsidRPr="008250BD">
        <w:rPr>
          <w:lang w:val="ru-RU"/>
        </w:rPr>
        <w:t>:54</w:t>
      </w:r>
      <w:r w:rsidR="00D85B34" w:rsidRPr="00794712">
        <w:rPr>
          <w:lang w:val="ru-RU"/>
        </w:rPr>
        <w:t>）；</w:t>
      </w:r>
      <w:r w:rsidR="00A95A76" w:rsidRPr="00A95A76">
        <w:rPr>
          <w:b/>
          <w:lang w:val="ru-RU"/>
        </w:rPr>
        <w:t xml:space="preserve">c) </w:t>
      </w:r>
      <w:r w:rsidR="00D85B34" w:rsidRPr="008250BD">
        <w:rPr>
          <w:i/>
          <w:iCs/>
          <w:lang w:val="ru-RU"/>
        </w:rPr>
        <w:t>大声呼唤“拉撒路！出来！</w:t>
      </w:r>
      <w:r w:rsidR="00D85B34" w:rsidRPr="00794712">
        <w:rPr>
          <w:lang w:val="ru-RU"/>
        </w:rPr>
        <w:t>”便使已死四天的拉撒路复活</w:t>
      </w:r>
      <w:r w:rsidR="005864AB">
        <w:rPr>
          <w:lang w:val="ru-RU"/>
        </w:rPr>
        <w:t>（约翰福音</w:t>
      </w:r>
      <w:r w:rsidR="00D85B34" w:rsidRPr="00794712">
        <w:rPr>
          <w:lang w:val="ru-RU"/>
        </w:rPr>
        <w:t xml:space="preserve"> 11</w:t>
      </w:r>
      <w:r w:rsidR="00D85B34" w:rsidRPr="008250BD">
        <w:rPr>
          <w:lang w:val="ru-RU"/>
        </w:rPr>
        <w:t>:43</w:t>
      </w:r>
      <w:r w:rsidR="00D85B34" w:rsidRPr="00794712">
        <w:rPr>
          <w:lang w:val="ru-RU"/>
        </w:rPr>
        <w:t>）。</w:t>
      </w:r>
    </w:p>
    <w:p w14:paraId="32980F01" w14:textId="77777777" w:rsidR="00D85B34" w:rsidRDefault="00D85B34" w:rsidP="00D85B34">
      <w:pPr>
        <w:rPr>
          <w:lang w:val="ru-RU"/>
        </w:rPr>
      </w:pPr>
      <w:r w:rsidRPr="00794712">
        <w:rPr>
          <w:lang w:val="ru-RU"/>
        </w:rPr>
        <w:tab/>
        <w:t>因此，在我们救主受苦的日子里，当祂主要履行先知和大祭司的职分时，祂所行的神迹已经表明，祂同时是宇宙的君王、战胜阴间与死亡的得胜者。</w:t>
      </w:r>
    </w:p>
    <w:p w14:paraId="0E847A66" w14:textId="77777777" w:rsidR="00D85B34" w:rsidRPr="00794712" w:rsidRDefault="00D85B34" w:rsidP="00D85B34">
      <w:pPr>
        <w:rPr>
          <w:lang w:val="ru-RU"/>
        </w:rPr>
      </w:pPr>
    </w:p>
    <w:p w14:paraId="0B585727" w14:textId="77777777" w:rsidR="00D85B34" w:rsidRPr="00794712" w:rsidRDefault="00D85B34" w:rsidP="007B240B">
      <w:pPr>
        <w:pStyle w:val="Heading5"/>
        <w:rPr>
          <w:lang w:val="ru-RU"/>
        </w:rPr>
      </w:pPr>
      <w:bookmarkStart w:id="348" w:name="_Toc133155594"/>
      <w:bookmarkStart w:id="349" w:name="_Toc180664607"/>
      <w:bookmarkStart w:id="350" w:name="_Toc180679228"/>
      <w:bookmarkStart w:id="351" w:name="_Toc180679285"/>
      <w:bookmarkStart w:id="352" w:name="_Toc180679808"/>
      <w:bookmarkStart w:id="353" w:name="_Toc238453691"/>
      <w:bookmarkStart w:id="354" w:name="_Toc238576507"/>
      <w:r w:rsidRPr="00794712">
        <w:rPr>
          <w:lang w:val="ru-RU"/>
        </w:rPr>
        <w:lastRenderedPageBreak/>
        <w:t>§159. 耶稣基督下阴间与战胜阴间</w:t>
      </w:r>
      <w:bookmarkEnd w:id="348"/>
      <w:bookmarkEnd w:id="349"/>
      <w:bookmarkEnd w:id="350"/>
      <w:bookmarkEnd w:id="351"/>
      <w:bookmarkEnd w:id="352"/>
      <w:bookmarkEnd w:id="353"/>
      <w:bookmarkEnd w:id="354"/>
    </w:p>
    <w:p w14:paraId="57141A34" w14:textId="77777777" w:rsidR="00D85B34" w:rsidRPr="00794712" w:rsidRDefault="00D85B34" w:rsidP="00D85B34">
      <w:pPr>
        <w:ind w:firstLine="708"/>
        <w:rPr>
          <w:lang w:val="ru-RU"/>
        </w:rPr>
      </w:pPr>
      <w:r w:rsidRPr="00794712">
        <w:rPr>
          <w:lang w:val="ru-RU"/>
        </w:rPr>
        <w:t>然而，主耶稣在世上所行的一切彰显祂对邪恶之灵权柄的事迹，都只能说是祂战胜阴间的前奏。祂真正战胜并摧毁阴间，是在借着自己的死废除了</w:t>
      </w:r>
      <w:r w:rsidRPr="008250BD">
        <w:rPr>
          <w:lang w:val="ru-RU"/>
        </w:rPr>
        <w:t>那掌管死亡的，即魔鬼</w:t>
      </w:r>
      <w:r w:rsidRPr="00794712">
        <w:rPr>
          <w:lang w:val="ru-RU"/>
        </w:rPr>
        <w:t>（希伯来书 2</w:t>
      </w:r>
      <w:r w:rsidRPr="008250BD">
        <w:rPr>
          <w:lang w:val="ru-RU"/>
        </w:rPr>
        <w:t>:</w:t>
      </w:r>
      <w:r w:rsidRPr="00794712">
        <w:rPr>
          <w:lang w:val="ru-RU"/>
        </w:rPr>
        <w:t>14）， 并作为神，带着祂的灵魂降临阴间，向阴间的囚徒传讲救恩，并将所有旧约时代的义人从那里领出，带入天父光明之所（《东正教信条》第一卷，对第49个问题的回答；《简明基督教教理问答》第5条）。</w:t>
      </w:r>
    </w:p>
    <w:p w14:paraId="393E2F15" w14:textId="77777777" w:rsidR="00D85B34" w:rsidRPr="00794712" w:rsidRDefault="00D85B34" w:rsidP="00D85B34">
      <w:pPr>
        <w:rPr>
          <w:lang w:val="ru-RU"/>
        </w:rPr>
      </w:pPr>
      <w:r w:rsidRPr="00794712">
        <w:rPr>
          <w:lang w:val="ru-RU"/>
        </w:rPr>
        <w:tab/>
      </w:r>
      <w:r w:rsidRPr="002C273D">
        <w:rPr>
          <w:b/>
          <w:bCs/>
        </w:rPr>
        <w:t>一</w:t>
      </w:r>
      <w:r w:rsidRPr="00794712">
        <w:rPr>
          <w:lang w:val="ru-RU"/>
        </w:rPr>
        <w:t>、关于主耶稣确实曾以祂的灵魂和神性下到阴间（当时祂的身体安放在坟墓中），且正是为了在那里宣讲救恩而下——</w:t>
      </w:r>
    </w:p>
    <w:p w14:paraId="21A10B94" w14:textId="77777777" w:rsidR="00D85B34" w:rsidRPr="00794712" w:rsidRDefault="00F45CFB" w:rsidP="00D85B34">
      <w:pPr>
        <w:ind w:firstLine="708"/>
        <w:rPr>
          <w:lang w:val="ru-RU"/>
        </w:rPr>
      </w:pPr>
      <w:r w:rsidRPr="00F45CFB">
        <w:rPr>
          <w:b/>
          <w:lang w:val="ru-RU"/>
        </w:rPr>
        <w:t>1)</w:t>
      </w:r>
      <w:r w:rsidR="00D85B34" w:rsidRPr="00794712">
        <w:rPr>
          <w:lang w:val="ru-RU"/>
        </w:rPr>
        <w:t xml:space="preserve"> 这是使徒的教义。圣彼得在向犹太人发表的演讲中，引用了诗人的话： </w:t>
      </w:r>
      <w:r w:rsidR="00D85B34" w:rsidRPr="003D793E">
        <w:rPr>
          <w:i/>
          <w:iCs/>
          <w:lang w:val="ru-RU"/>
        </w:rPr>
        <w:t>“你必不将我的灵魂撇在阴间，也不叫你的圣者见朽坏”，</w:t>
      </w:r>
      <w:r w:rsidR="00D85B34" w:rsidRPr="00794712">
        <w:rPr>
          <w:lang w:val="ru-RU"/>
        </w:rPr>
        <w:t>并指出大卫作为先知，在这段经文中预言了基督的复活</w:t>
      </w:r>
      <w:r w:rsidR="00D85B34" w:rsidRPr="003D793E">
        <w:rPr>
          <w:i/>
          <w:iCs/>
          <w:lang w:val="ru-RU"/>
        </w:rPr>
        <w:t>，“他的灵魂没有被撇在阴间，他的肉体也没有见朽坏”</w:t>
      </w:r>
      <w:r w:rsidR="00D85B34" w:rsidRPr="00794712">
        <w:rPr>
          <w:lang w:val="ru-RU"/>
        </w:rPr>
        <w:t>（使徒行传2</w:t>
      </w:r>
      <w:r w:rsidR="00D85B34" w:rsidRPr="008250BD">
        <w:rPr>
          <w:lang w:val="ru-RU"/>
        </w:rPr>
        <w:t>:</w:t>
      </w:r>
      <w:r w:rsidR="00D85B34" w:rsidRPr="00794712">
        <w:rPr>
          <w:lang w:val="ru-RU"/>
        </w:rPr>
        <w:t>27-31）。 而在另一封书信中，他更清晰地表达了自己的思想，说道：</w:t>
      </w:r>
      <w:r w:rsidR="00D85B34" w:rsidRPr="003D793E">
        <w:rPr>
          <w:i/>
          <w:iCs/>
          <w:lang w:val="ru-RU"/>
        </w:rPr>
        <w:t>“基督为了将我们引向神，曾为我们的罪受过一次苦，这位义人替不义的人受苦，在肉体上被处死，但在灵里复活，并借着这灵，降临到那些被囚禁的灵那里，向他们传道”</w:t>
      </w:r>
      <w:r w:rsidR="00D85B34" w:rsidRPr="00794712">
        <w:rPr>
          <w:lang w:val="ru-RU"/>
        </w:rPr>
        <w:t xml:space="preserve"> （</w:t>
      </w:r>
      <w:r w:rsidR="0087297C">
        <w:rPr>
          <w:lang w:val="ru-RU"/>
        </w:rPr>
        <w:t>彼得前书</w:t>
      </w:r>
      <w:r w:rsidR="00D85B34" w:rsidRPr="00794712">
        <w:rPr>
          <w:lang w:val="ru-RU"/>
        </w:rPr>
        <w:t xml:space="preserve"> 3</w:t>
      </w:r>
      <w:r w:rsidR="00D85B34" w:rsidRPr="003D793E">
        <w:rPr>
          <w:lang w:val="ru-RU"/>
        </w:rPr>
        <w:t>:</w:t>
      </w:r>
      <w:r w:rsidR="00D85B34" w:rsidRPr="00794712">
        <w:rPr>
          <w:lang w:val="ru-RU"/>
        </w:rPr>
        <w:t>18-19）。这里已明确阐述了教会的教义：当救主的身体处于死亡状态时，祂以活着的灵降临到灵的牢狱中，向那些灵传道： 救主那已死的肉体与活着的灵之间的这种对比，以及祂降临到被囚禁（</w:t>
      </w:r>
      <w:r w:rsidR="00D85B34" w:rsidRPr="00AA0891">
        <w:t>έν</w:t>
      </w:r>
      <w:r w:rsidR="00D85B34" w:rsidRPr="0097554A">
        <w:rPr>
          <w:lang w:val="ru-RU"/>
        </w:rPr>
        <w:t xml:space="preserve"> </w:t>
      </w:r>
      <w:r w:rsidR="00D85B34" w:rsidRPr="00AA0891">
        <w:t>φυλακή</w:t>
      </w:r>
      <w:r w:rsidR="00D85B34" w:rsidRPr="00794712">
        <w:rPr>
          <w:lang w:val="ru-RU"/>
        </w:rPr>
        <w:t>）的灵那里所追求的目的，彻底推翻了那种推测——即所谓“囚禁”应理解为坟墓，而救主“降临</w:t>
      </w:r>
      <w:r w:rsidR="00D85B34">
        <w:rPr>
          <w:lang w:val="ru-RU"/>
        </w:rPr>
        <w:t>”</w:t>
      </w:r>
      <w:r w:rsidR="00D85B34" w:rsidRPr="00794712">
        <w:rPr>
          <w:lang w:val="ru-RU"/>
        </w:rPr>
        <w:t>其中</w:t>
      </w:r>
      <w:r w:rsidR="00D85B34">
        <w:rPr>
          <w:lang w:val="ru-RU"/>
        </w:rPr>
        <w:t>则</w:t>
      </w:r>
      <w:r w:rsidR="00D85B34" w:rsidRPr="00794712">
        <w:rPr>
          <w:lang w:val="ru-RU"/>
        </w:rPr>
        <w:t>指祂被安葬在坟墓中。</w:t>
      </w:r>
      <w:r w:rsidR="00B970C8">
        <w:rPr>
          <w:rStyle w:val="FootnoteReference"/>
          <w:lang w:val="ru-RU"/>
        </w:rPr>
        <w:footnoteReference w:id="397"/>
      </w:r>
      <w:r w:rsidR="00D85B34" w:rsidRPr="00794712">
        <w:rPr>
          <w:lang w:val="ru-RU"/>
        </w:rPr>
        <w:t xml:space="preserve"> 圣保罗在致罗马人的书信 中也这样写道：</w:t>
      </w:r>
      <w:r w:rsidR="00D85B34" w:rsidRPr="003D793E">
        <w:rPr>
          <w:i/>
          <w:iCs/>
          <w:lang w:val="ru-RU"/>
        </w:rPr>
        <w:t>“不要在心里说：‘谁升上天？’就是说，要领基督下来。或者说：‘谁下到深渊？（</w:t>
      </w:r>
      <w:r w:rsidR="00D85B34" w:rsidRPr="003D793E">
        <w:rPr>
          <w:i/>
          <w:iCs/>
        </w:rPr>
        <w:t>είς</w:t>
      </w:r>
      <w:r w:rsidR="00D85B34" w:rsidRPr="0097554A">
        <w:rPr>
          <w:i/>
          <w:iCs/>
          <w:lang w:val="ru-RU"/>
        </w:rPr>
        <w:t xml:space="preserve"> </w:t>
      </w:r>
      <w:r w:rsidR="00D85B34" w:rsidRPr="003D793E">
        <w:rPr>
          <w:i/>
          <w:iCs/>
        </w:rPr>
        <w:t>τήν</w:t>
      </w:r>
      <w:r w:rsidR="00D85B34" w:rsidRPr="0097554A">
        <w:rPr>
          <w:i/>
          <w:iCs/>
          <w:lang w:val="ru-RU"/>
        </w:rPr>
        <w:t xml:space="preserve"> </w:t>
      </w:r>
      <w:r w:rsidR="00D85B34" w:rsidRPr="003D793E">
        <w:rPr>
          <w:i/>
          <w:iCs/>
        </w:rPr>
        <w:t>άβυσσον</w:t>
      </w:r>
      <w:r w:rsidR="00D85B34" w:rsidRPr="003D793E">
        <w:rPr>
          <w:i/>
          <w:iCs/>
          <w:lang w:val="ru-RU"/>
        </w:rPr>
        <w:t>）’就是说，要从死里领基督上来”</w:t>
      </w:r>
      <w:r w:rsidR="00D85B34" w:rsidRPr="00794712">
        <w:rPr>
          <w:lang w:val="ru-RU"/>
        </w:rPr>
        <w:t>（罗10</w:t>
      </w:r>
      <w:r w:rsidR="00D85B34">
        <w:rPr>
          <w:lang w:val="ru-RU"/>
        </w:rPr>
        <w:t>:</w:t>
      </w:r>
      <w:r w:rsidR="00D85B34" w:rsidRPr="00794712">
        <w:rPr>
          <w:lang w:val="ru-RU"/>
        </w:rPr>
        <w:t>6-7）。 这里，基督死后所处的深渊与天堂形成对比，经文指出：正如没有人能升上天堂将基督带下来一样，同样也没有人能下到这个深渊中将基督带出来。 因此，“深渊”不能理解为基督的坟墓——许多人都能进入其中，若将其作为某种不可企及的深渊，与不可企及的天上高处相对立，未免显得奇怪——而只能根据使徒彼得更明确的见证来理解： 彼得更明确的见证，将其理解为监狱或阴间，基督死后确实曾以他的灵降临于此（参见《以弗所书》4</w:t>
      </w:r>
      <w:r w:rsidR="00D85B34">
        <w:rPr>
          <w:lang w:val="ru-RU"/>
        </w:rPr>
        <w:t>:</w:t>
      </w:r>
      <w:r w:rsidR="00D85B34" w:rsidRPr="00794712">
        <w:rPr>
          <w:lang w:val="ru-RU"/>
        </w:rPr>
        <w:t>9-10）。 顺便提一下关于七十位使徒之一多马的古代记载：他奉主之命被派往埃德萨的统治者阿瓦加尔那里，曾对他说：“请召集你的所有臣民，我要向他们传讲上帝的话语</w:t>
      </w:r>
      <w:r w:rsidR="00D85B34">
        <w:rPr>
          <w:lang w:val="ru-RU"/>
        </w:rPr>
        <w:t>……</w:t>
      </w:r>
      <w:r w:rsidR="00D85B34" w:rsidRPr="00794712">
        <w:rPr>
          <w:lang w:val="ru-RU"/>
        </w:rPr>
        <w:t>我要告诉他们耶稣降临的事，以及它如何</w:t>
      </w:r>
      <w:r w:rsidR="00D85B34">
        <w:rPr>
          <w:lang w:val="ru-RU"/>
        </w:rPr>
        <w:t>实现……</w:t>
      </w:r>
      <w:r w:rsidR="00D85B34" w:rsidRPr="00794712">
        <w:rPr>
          <w:lang w:val="ru-RU"/>
        </w:rPr>
        <w:t xml:space="preserve"> 以及祂如何谦卑自己并死去，如何被钉在十字架上并下到阴间，击碎了自古以来坚不可摧的屏障，随后复活并使自世界起初便长眠的死人复活，祂独自降临，却带着大批人升回了天父那里</w:t>
      </w:r>
      <w:r w:rsidR="00D85B34">
        <w:rPr>
          <w:lang w:val="ru-RU"/>
        </w:rPr>
        <w:t>。”</w:t>
      </w:r>
      <w:r w:rsidR="00D85B34" w:rsidRPr="00794712">
        <w:rPr>
          <w:lang w:val="ru-RU"/>
        </w:rPr>
        <w:t xml:space="preserve"> 这则由优西比乌从埃德萨档案中引用的见证，他将其追溯至阿夫加尔本人所处的时代。</w:t>
      </w:r>
      <w:r w:rsidR="00B970C8">
        <w:rPr>
          <w:rStyle w:val="FootnoteReference"/>
          <w:lang w:val="ru-RU"/>
        </w:rPr>
        <w:footnoteReference w:id="398"/>
      </w:r>
    </w:p>
    <w:p w14:paraId="3A45E32A" w14:textId="77777777" w:rsidR="00D85B34" w:rsidRPr="00794712" w:rsidRDefault="00F45CFB" w:rsidP="00D85B34">
      <w:pPr>
        <w:ind w:firstLine="708"/>
        <w:rPr>
          <w:lang w:val="ru-RU"/>
        </w:rPr>
      </w:pPr>
      <w:r w:rsidRPr="00F45CFB">
        <w:rPr>
          <w:b/>
          <w:lang w:val="ru-RU"/>
        </w:rPr>
        <w:t>2)</w:t>
      </w:r>
      <w:r w:rsidR="00D85B34" w:rsidRPr="0097554A">
        <w:rPr>
          <w:lang w:val="ru-RU"/>
        </w:rPr>
        <w:t xml:space="preserve"> </w:t>
      </w:r>
      <w:r w:rsidR="00D85B34" w:rsidRPr="00AA0891">
        <w:t>这一教义</w:t>
      </w:r>
      <w:r w:rsidR="00D85B34" w:rsidRPr="00794712">
        <w:rPr>
          <w:lang w:val="ru-RU"/>
        </w:rPr>
        <w:t>一直为教会所秉持。其证据部分可见于某些古代教义信条中，例如阿奎莱亚信条及其他信条，其中载有关于耶稣基督降临阴间的内容；</w:t>
      </w:r>
      <w:r w:rsidR="00EE0485">
        <w:rPr>
          <w:rStyle w:val="FootnoteReference"/>
          <w:lang w:val="ru-RU"/>
        </w:rPr>
        <w:footnoteReference w:id="399"/>
      </w:r>
      <w:r w:rsidR="00D85B34" w:rsidRPr="00794712">
        <w:rPr>
          <w:lang w:val="ru-RU"/>
        </w:rPr>
        <w:t xml:space="preserve"> 但更充分的证据则见于</w:t>
      </w:r>
      <w:r w:rsidR="00D85B34" w:rsidRPr="00AA0891">
        <w:t>教会</w:t>
      </w:r>
      <w:r w:rsidR="00D85B34" w:rsidRPr="00794712">
        <w:rPr>
          <w:lang w:val="ru-RU"/>
        </w:rPr>
        <w:t>古代导师们的著作中。</w:t>
      </w:r>
      <w:r w:rsidR="00EE0485">
        <w:rPr>
          <w:rStyle w:val="FootnoteReference"/>
          <w:lang w:val="ru-RU"/>
        </w:rPr>
        <w:footnoteReference w:id="400"/>
      </w:r>
      <w:r w:rsidR="00D85B34" w:rsidRPr="00794712">
        <w:rPr>
          <w:lang w:val="ru-RU"/>
        </w:rPr>
        <w:t xml:space="preserve"> 在二世纪，以下人物曾阐述这一真理：</w:t>
      </w:r>
      <w:r w:rsidR="00A95A76" w:rsidRPr="00A95A76">
        <w:rPr>
          <w:b/>
          <w:lang w:val="ru-RU"/>
        </w:rPr>
        <w:t>a)</w:t>
      </w:r>
      <w:r w:rsidR="00D85B34" w:rsidRPr="00794712">
        <w:rPr>
          <w:lang w:val="ru-RU"/>
        </w:rPr>
        <w:t xml:space="preserve"> 圣爱任纽： “主降临到地底深处，向他们传讲祂的再来，并向那些信靠祂的人宣告罪得赦免——</w:t>
      </w:r>
      <w:r w:rsidR="00D85B34" w:rsidRPr="00794712">
        <w:rPr>
          <w:lang w:val="ru-RU"/>
        </w:rPr>
        <w:lastRenderedPageBreak/>
        <w:t>而所有期待祂的人，即所有预言祂再来并遵行祂旨意的人，包括义人、先知和族长</w:t>
      </w:r>
      <w:r w:rsidR="00D85B34" w:rsidRPr="002D60E2">
        <w:rPr>
          <w:lang w:val="ru-RU"/>
        </w:rPr>
        <w:t>，</w:t>
      </w:r>
      <w:r w:rsidR="00D85B34" w:rsidRPr="00794712">
        <w:rPr>
          <w:lang w:val="ru-RU"/>
        </w:rPr>
        <w:t>都信靠了祂</w:t>
      </w:r>
      <w:r w:rsidR="00D85B34" w:rsidRPr="002D60E2">
        <w:rPr>
          <w:lang w:val="ru-RU"/>
        </w:rPr>
        <w:t>；</w:t>
      </w:r>
      <w:r w:rsidR="00D85B34">
        <w:rPr>
          <w:lang w:val="ru-RU"/>
        </w:rPr>
        <w:t>”</w:t>
      </w:r>
      <w:r w:rsidR="00EE0485">
        <w:rPr>
          <w:rStyle w:val="FootnoteReference"/>
          <w:lang w:val="ru-RU"/>
        </w:rPr>
        <w:footnoteReference w:id="401"/>
      </w:r>
      <w:r w:rsidR="00D85B34" w:rsidRPr="00794712">
        <w:rPr>
          <w:lang w:val="ru-RU"/>
        </w:rPr>
        <w:t xml:space="preserve"> 或者： “祂在亡者所在之处停留了三天，并降临到他们那里，将他们救出并拯救他们</w:t>
      </w:r>
      <w:r w:rsidR="00D85B34" w:rsidRPr="002D60E2">
        <w:rPr>
          <w:lang w:val="ru-RU"/>
        </w:rPr>
        <w:t>；</w:t>
      </w:r>
      <w:r w:rsidR="00D85B34">
        <w:rPr>
          <w:lang w:val="ru-RU"/>
        </w:rPr>
        <w:t>”</w:t>
      </w:r>
      <w:r w:rsidR="00EE0485">
        <w:rPr>
          <w:rStyle w:val="FootnoteReference"/>
          <w:lang w:val="ru-RU"/>
        </w:rPr>
        <w:footnoteReference w:id="402"/>
      </w:r>
      <w:r w:rsidR="00A95A76" w:rsidRPr="00A95A76">
        <w:rPr>
          <w:b/>
          <w:lang w:val="ru-RU"/>
        </w:rPr>
        <w:t xml:space="preserve"> b) </w:t>
      </w:r>
      <w:r w:rsidR="00D85B34" w:rsidRPr="00794712">
        <w:rPr>
          <w:lang w:val="ru-RU"/>
        </w:rPr>
        <w:t>特土良：“基督上帝，作为人死去并被埋葬后，根据经文，也履行了那条律法，即像所有死去的人一样，下到阴间；祂在升上至高天之前，已经先降临到地底的阴间，以此使族长和先知成为祂的同伴</w:t>
      </w:r>
      <w:r w:rsidR="00D85B34" w:rsidRPr="002D60E2">
        <w:rPr>
          <w:lang w:val="ru-RU"/>
        </w:rPr>
        <w:t>。</w:t>
      </w:r>
      <w:r w:rsidR="00D85B34">
        <w:rPr>
          <w:lang w:val="ru-RU"/>
        </w:rPr>
        <w:t>”</w:t>
      </w:r>
      <w:r w:rsidR="00EE0485">
        <w:rPr>
          <w:rStyle w:val="FootnoteReference"/>
          <w:lang w:val="ru-RU"/>
        </w:rPr>
        <w:footnoteReference w:id="403"/>
      </w:r>
      <w:r w:rsidR="00D85B34" w:rsidRPr="00794712">
        <w:rPr>
          <w:lang w:val="ru-RU"/>
        </w:rPr>
        <w:t xml:space="preserve"> 第三世纪：</w:t>
      </w:r>
      <w:r w:rsidR="00A95A76" w:rsidRPr="00A95A76">
        <w:rPr>
          <w:b/>
          <w:lang w:val="ru-RU"/>
        </w:rPr>
        <w:t>c)</w:t>
      </w:r>
      <w:r w:rsidR="00D85B34" w:rsidRPr="00794712">
        <w:rPr>
          <w:lang w:val="ru-RU"/>
        </w:rPr>
        <w:t xml:space="preserve"> 亚历山大的克利门特：“主降入阴间，别无他意，只为传讲福音</w:t>
      </w:r>
      <w:r w:rsidR="00D85B34" w:rsidRPr="00797D05">
        <w:rPr>
          <w:lang w:val="ru-RU"/>
        </w:rPr>
        <w:t>；</w:t>
      </w:r>
      <w:r w:rsidR="00D85B34">
        <w:rPr>
          <w:lang w:val="ru-RU"/>
        </w:rPr>
        <w:t>”</w:t>
      </w:r>
      <w:r w:rsidR="00EE0485">
        <w:rPr>
          <w:rStyle w:val="FootnoteReference"/>
          <w:lang w:val="ru-RU"/>
        </w:rPr>
        <w:footnoteReference w:id="404"/>
      </w:r>
      <w:r w:rsidR="00A95A76" w:rsidRPr="00A95A76">
        <w:rPr>
          <w:b/>
          <w:lang w:val="ru-RU"/>
        </w:rPr>
        <w:t xml:space="preserve"> d) </w:t>
      </w:r>
      <w:r w:rsidR="00D85B34" w:rsidRPr="00794712">
        <w:rPr>
          <w:lang w:val="ru-RU"/>
        </w:rPr>
        <w:t>奥利金：“神的儿子为了拯救世界，甚至降临阴间，并从那里呼唤了起初的人</w:t>
      </w:r>
      <w:r w:rsidR="00D85B34" w:rsidRPr="00797D05">
        <w:rPr>
          <w:lang w:val="ru-RU"/>
        </w:rPr>
        <w:t>；</w:t>
      </w:r>
      <w:r w:rsidR="00D85B34">
        <w:rPr>
          <w:lang w:val="ru-RU"/>
        </w:rPr>
        <w:t>”</w:t>
      </w:r>
      <w:r w:rsidR="00EE0485">
        <w:rPr>
          <w:rStyle w:val="FootnoteReference"/>
          <w:lang w:val="ru-RU"/>
        </w:rPr>
        <w:footnoteReference w:id="405"/>
      </w:r>
      <w:r w:rsidR="00A95A76" w:rsidRPr="00A95A76">
        <w:rPr>
          <w:b/>
          <w:lang w:val="ru-RU"/>
        </w:rPr>
        <w:t xml:space="preserve"> d)</w:t>
      </w:r>
      <w:r w:rsidR="00D85B34" w:rsidRPr="00794712">
        <w:rPr>
          <w:lang w:val="ru-RU"/>
        </w:rPr>
        <w:t xml:space="preserve"> 拉克坦提乌斯：“在（主耶稣）遵行神的旨意向世人揭示真理之后，祂还经历了死亡，以便战胜并摧毁阴间</w:t>
      </w:r>
      <w:r w:rsidR="00D85B34">
        <w:rPr>
          <w:lang w:val="ru-RU"/>
        </w:rPr>
        <w:t>。”</w:t>
      </w:r>
      <w:r w:rsidR="00EE0485">
        <w:rPr>
          <w:rStyle w:val="FootnoteReference"/>
          <w:lang w:val="ru-RU"/>
        </w:rPr>
        <w:footnoteReference w:id="406"/>
      </w:r>
      <w:r w:rsidR="00D85B34" w:rsidRPr="00794712">
        <w:rPr>
          <w:lang w:val="ru-RU"/>
        </w:rPr>
        <w:t xml:space="preserve"> </w:t>
      </w:r>
      <w:r w:rsidR="00A95A76" w:rsidRPr="00A95A76">
        <w:rPr>
          <w:b/>
          <w:lang w:val="ru-RU"/>
        </w:rPr>
        <w:t>四世纪——e)</w:t>
      </w:r>
      <w:r w:rsidR="00D85B34" w:rsidRPr="00794712">
        <w:rPr>
          <w:lang w:val="ru-RU"/>
        </w:rPr>
        <w:t xml:space="preserve"> 圣埃皮法尼乌斯：“被钉在十字架上，被埋葬，以祂的神性与灵魂降入阴间，掳掠了掳掠者</w:t>
      </w:r>
      <w:r w:rsidR="00D85B34" w:rsidRPr="00797D05">
        <w:rPr>
          <w:lang w:val="ru-RU"/>
        </w:rPr>
        <w:t>；</w:t>
      </w:r>
      <w:r w:rsidR="00D85B34">
        <w:rPr>
          <w:lang w:val="ru-RU"/>
        </w:rPr>
        <w:t>”</w:t>
      </w:r>
      <w:r w:rsidR="00EE0485">
        <w:rPr>
          <w:rStyle w:val="FootnoteReference"/>
          <w:lang w:val="ru-RU"/>
        </w:rPr>
        <w:footnoteReference w:id="407"/>
      </w:r>
      <w:r w:rsidR="00A95A76" w:rsidRPr="00A95A76">
        <w:rPr>
          <w:b/>
          <w:lang w:val="ru-RU"/>
        </w:rPr>
        <w:t xml:space="preserve"> f)</w:t>
      </w:r>
      <w:r w:rsidR="00D85B34" w:rsidRPr="00794712">
        <w:rPr>
          <w:lang w:val="ru-RU"/>
        </w:rPr>
        <w:t xml:space="preserve"> 圣大巴西勒： </w:t>
      </w:r>
      <w:r w:rsidR="00D85B34">
        <w:rPr>
          <w:lang w:val="ru-RU"/>
        </w:rPr>
        <w:t>“</w:t>
      </w:r>
      <w:r w:rsidR="00D85B34" w:rsidRPr="00794712">
        <w:rPr>
          <w:lang w:val="ru-RU"/>
        </w:rPr>
        <w:t>（</w:t>
      </w:r>
      <w:r w:rsidR="00A95A76" w:rsidRPr="002C273D">
        <w:rPr>
          <w:bCs/>
          <w:lang w:val="ru-RU"/>
        </w:rPr>
        <w:t>大卫）</w:t>
      </w:r>
      <w:r w:rsidR="00D85B34" w:rsidRPr="00794712">
        <w:rPr>
          <w:lang w:val="ru-RU"/>
        </w:rPr>
        <w:t>清楚地预言（《诗篇》48</w:t>
      </w:r>
      <w:r w:rsidR="00D85B34" w:rsidRPr="00797D05">
        <w:rPr>
          <w:lang w:val="ru-RU"/>
        </w:rPr>
        <w:t>:</w:t>
      </w:r>
      <w:r w:rsidRPr="002C273D">
        <w:rPr>
          <w:bCs/>
          <w:lang w:val="ru-RU"/>
        </w:rPr>
        <w:t>16）</w:t>
      </w:r>
      <w:r w:rsidR="00D85B34" w:rsidRPr="00794712">
        <w:rPr>
          <w:lang w:val="ru-RU"/>
        </w:rPr>
        <w:t>了主降临阴间的事，主与其他灵魂一同拯救了先知本人的灵魂，使它不致留在阴间</w:t>
      </w:r>
      <w:r w:rsidR="00D85B34" w:rsidRPr="00797D05">
        <w:rPr>
          <w:lang w:val="ru-RU"/>
        </w:rPr>
        <w:t>；</w:t>
      </w:r>
      <w:r w:rsidR="00D85B34">
        <w:rPr>
          <w:lang w:val="ru-RU"/>
        </w:rPr>
        <w:t>”</w:t>
      </w:r>
      <w:r w:rsidR="00EE0485">
        <w:rPr>
          <w:rStyle w:val="FootnoteReference"/>
          <w:lang w:val="ru-RU"/>
        </w:rPr>
        <w:footnoteReference w:id="408"/>
      </w:r>
      <w:r w:rsidR="00A95A76" w:rsidRPr="00A95A76">
        <w:rPr>
          <w:b/>
          <w:lang w:val="ru-RU"/>
        </w:rPr>
        <w:t xml:space="preserve"> h)</w:t>
      </w:r>
      <w:r w:rsidR="00D85B34" w:rsidRPr="00794712">
        <w:rPr>
          <w:lang w:val="ru-RU"/>
        </w:rPr>
        <w:t xml:space="preserve"> 圣格里高利·神学家： “他被埋葬，却复活；他降入阴间，却从那里领出灵魂</w:t>
      </w:r>
      <w:r w:rsidR="00D85B34" w:rsidRPr="00797D05">
        <w:rPr>
          <w:lang w:val="ru-RU"/>
        </w:rPr>
        <w:t>；</w:t>
      </w:r>
      <w:r w:rsidR="00D85B34">
        <w:rPr>
          <w:lang w:val="ru-RU"/>
        </w:rPr>
        <w:t>”</w:t>
      </w:r>
      <w:r w:rsidR="00EE0485">
        <w:rPr>
          <w:rStyle w:val="FootnoteReference"/>
          <w:lang w:val="ru-RU"/>
        </w:rPr>
        <w:footnoteReference w:id="409"/>
      </w:r>
      <w:r w:rsidR="00D85B34" w:rsidRPr="00794712">
        <w:rPr>
          <w:lang w:val="ru-RU"/>
        </w:rPr>
        <w:t xml:space="preserve"> </w:t>
      </w:r>
      <w:r w:rsidR="002C273D" w:rsidRPr="002C273D">
        <w:rPr>
          <w:b/>
          <w:lang w:val="ru-RU"/>
        </w:rPr>
        <w:t>(i)</w:t>
      </w:r>
      <w:r w:rsidR="00D85B34" w:rsidRPr="00794712">
        <w:rPr>
          <w:lang w:val="ru-RU"/>
        </w:rPr>
        <w:t xml:space="preserve"> 圣金口若望： “试想，听到上帝从天上和君王复活的宝座上降临大地 甚至进入阴间深处，准备迎战，是何等景象。</w:t>
      </w:r>
      <w:r w:rsidR="00D85B34">
        <w:rPr>
          <w:lang w:val="ru-RU"/>
        </w:rPr>
        <w:t>”</w:t>
      </w:r>
      <w:r w:rsidR="00EE0485">
        <w:rPr>
          <w:rStyle w:val="FootnoteReference"/>
          <w:lang w:val="ru-RU"/>
        </w:rPr>
        <w:footnoteReference w:id="410"/>
      </w:r>
      <w:r w:rsidR="00D85B34" w:rsidRPr="00794712">
        <w:rPr>
          <w:lang w:val="ru-RU"/>
        </w:rPr>
        <w:t xml:space="preserve"> 总的来说，在四世纪，因阿波利纳里乌斯异端事件，教会关于耶稣基督下地狱的信仰展现出了其全部的力量与坚定不移。 阿波利纳里乌斯否认基督体内存在人的灵魂；教会的教师们为了驳斥这位异端分子，异口同声地问他：“既然基督的身体躺在坟墓里，而祂的神性无处不在</w:t>
      </w:r>
      <w:r w:rsidR="00D85B34">
        <w:rPr>
          <w:lang w:val="ru-RU"/>
        </w:rPr>
        <w:t>，</w:t>
      </w:r>
      <w:r w:rsidR="00D85B34" w:rsidRPr="00794712">
        <w:rPr>
          <w:lang w:val="ru-RU"/>
        </w:rPr>
        <w:t>祂又凭什么下到阴间呢？</w:t>
      </w:r>
      <w:r w:rsidR="00D85B34">
        <w:rPr>
          <w:lang w:val="ru-RU"/>
        </w:rPr>
        <w:t>” ——</w:t>
      </w:r>
      <w:r w:rsidR="00D85B34" w:rsidRPr="00794712">
        <w:rPr>
          <w:lang w:val="ru-RU"/>
        </w:rPr>
        <w:t>显然，他们认为这一降临在基督徒中是众所周知且毋庸置疑的。</w:t>
      </w:r>
      <w:r w:rsidR="00EE0485">
        <w:rPr>
          <w:rStyle w:val="FootnoteReference"/>
          <w:lang w:val="ru-RU"/>
        </w:rPr>
        <w:footnoteReference w:id="411"/>
      </w:r>
      <w:r w:rsidR="00D85B34" w:rsidRPr="00794712">
        <w:rPr>
          <w:lang w:val="ru-RU"/>
        </w:rPr>
        <w:t xml:space="preserve"> 就连阿里乌派本身，为了摆脱被怀疑信奉阿波利纳里异端的嫌疑，有时也会将耶稣基督下地狱的教义纳入他们的信条之中。</w:t>
      </w:r>
      <w:r w:rsidR="0082130B">
        <w:rPr>
          <w:rStyle w:val="FootnoteReference"/>
          <w:lang w:val="ru-RU"/>
        </w:rPr>
        <w:footnoteReference w:id="412"/>
      </w:r>
    </w:p>
    <w:p w14:paraId="26289727" w14:textId="77777777" w:rsidR="00D85B34" w:rsidRPr="00794712" w:rsidRDefault="00D85B34" w:rsidP="00D85B34">
      <w:pPr>
        <w:rPr>
          <w:lang w:val="ru-RU"/>
        </w:rPr>
      </w:pPr>
      <w:r w:rsidRPr="00794712">
        <w:rPr>
          <w:lang w:val="ru-RU"/>
        </w:rPr>
        <w:tab/>
      </w:r>
      <w:r w:rsidRPr="002C273D">
        <w:rPr>
          <w:b/>
          <w:bCs/>
        </w:rPr>
        <w:t>一</w:t>
      </w:r>
      <w:r w:rsidRPr="00794712">
        <w:rPr>
          <w:lang w:val="ru-RU"/>
        </w:rPr>
        <w:t>、主耶稣通过降临阴间摧毁了阴间，并将所有旧约时代的义人从那里救赎出来：圣教会一直坚信这一点。</w:t>
      </w:r>
    </w:p>
    <w:p w14:paraId="7E3B8549" w14:textId="77777777" w:rsidR="00D85B34" w:rsidRPr="00794712" w:rsidRDefault="00D85B34" w:rsidP="00D85B34">
      <w:pPr>
        <w:rPr>
          <w:lang w:val="ru-RU"/>
        </w:rPr>
      </w:pPr>
      <w:r w:rsidRPr="00794712">
        <w:rPr>
          <w:lang w:val="ru-RU"/>
        </w:rPr>
        <w:tab/>
        <w:t>圣使徒在讲道中首先阐述了这一思想</w:t>
      </w:r>
      <w:r w:rsidRPr="00797D05">
        <w:rPr>
          <w:i/>
          <w:iCs/>
          <w:lang w:val="ru-RU"/>
        </w:rPr>
        <w:t>，</w:t>
      </w:r>
      <w:r w:rsidRPr="00794712">
        <w:rPr>
          <w:lang w:val="ru-RU"/>
        </w:rPr>
        <w:t>他说：</w:t>
      </w:r>
      <w:r w:rsidRPr="00797D05">
        <w:rPr>
          <w:i/>
          <w:iCs/>
          <w:lang w:val="ru-RU"/>
        </w:rPr>
        <w:t>“他升上高天，掳掠了仇敌，并将恩赐赐给世人。所谓‘升上’，若非指他此前曾降临到地底深处，还能是什么呢？那位曾降临的，正是那位升上高天、超</w:t>
      </w:r>
      <w:r w:rsidRPr="00797D05">
        <w:rPr>
          <w:i/>
          <w:iCs/>
          <w:lang w:val="ru-RU"/>
        </w:rPr>
        <w:lastRenderedPageBreak/>
        <w:t>越诸天之上，为要充满万有的”</w:t>
      </w:r>
      <w:r w:rsidRPr="00794712">
        <w:rPr>
          <w:lang w:val="ru-RU"/>
        </w:rPr>
        <w:t xml:space="preserve"> （以弗所书 4</w:t>
      </w:r>
      <w:r w:rsidRPr="00797D05">
        <w:rPr>
          <w:lang w:val="ru-RU"/>
        </w:rPr>
        <w:t>:</w:t>
      </w:r>
      <w:r w:rsidRPr="00794712">
        <w:rPr>
          <w:lang w:val="ru-RU"/>
        </w:rPr>
        <w:t>8-10）。随后，继圣使徒之后，教会的教师们也进行了宣讲，例如：</w:t>
      </w:r>
      <w:r>
        <w:rPr>
          <w:lang w:val="ru-RU"/>
        </w:rPr>
        <w:t xml:space="preserve">— </w:t>
      </w:r>
      <w:r w:rsidR="00A95A76" w:rsidRPr="00A95A76">
        <w:rPr>
          <w:b/>
          <w:lang w:val="ru-RU"/>
        </w:rPr>
        <w:t>a)</w:t>
      </w:r>
      <w:r w:rsidRPr="00794712">
        <w:rPr>
          <w:lang w:val="ru-RU"/>
        </w:rPr>
        <w:t xml:space="preserve"> 圣约翰·金口：“阴间被降临其中的主俘虏了，被废除、被羞辱、被击杀、被推翻、被捆绑</w:t>
      </w:r>
      <w:r w:rsidRPr="00797D05">
        <w:rPr>
          <w:lang w:val="ru-RU"/>
        </w:rPr>
        <w:t>；</w:t>
      </w:r>
      <w:r>
        <w:rPr>
          <w:lang w:val="ru-RU"/>
        </w:rPr>
        <w:t>”</w:t>
      </w:r>
      <w:r w:rsidR="0082130B">
        <w:rPr>
          <w:rStyle w:val="FootnoteReference"/>
          <w:lang w:val="ru-RU"/>
        </w:rPr>
        <w:footnoteReference w:id="413"/>
      </w:r>
    </w:p>
    <w:p w14:paraId="4C7544B8"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圣格里高利·神学家：“祂挫败了死亡的毒钩，击碎了阴郁地狱的幽暗牢门，赐予灵魂以自由</w:t>
      </w:r>
      <w:r w:rsidRPr="00797D05">
        <w:rPr>
          <w:lang w:val="ru-RU"/>
        </w:rPr>
        <w:t>；</w:t>
      </w:r>
      <w:r>
        <w:rPr>
          <w:lang w:val="ru-RU"/>
        </w:rPr>
        <w:t>”</w:t>
      </w:r>
      <w:r w:rsidR="0082130B">
        <w:rPr>
          <w:rStyle w:val="FootnoteReference"/>
          <w:lang w:val="ru-RU"/>
        </w:rPr>
        <w:footnoteReference w:id="414"/>
      </w:r>
      <w:r w:rsidR="00A95A76" w:rsidRPr="00A95A76">
        <w:rPr>
          <w:b/>
          <w:lang w:val="ru-RU"/>
        </w:rPr>
        <w:t xml:space="preserve"> c) </w:t>
      </w:r>
      <w:r w:rsidRPr="00794712">
        <w:rPr>
          <w:lang w:val="ru-RU"/>
        </w:rPr>
        <w:t>凯撒利亚的优西比乌：“祂降临是为了拯救那些身处地狱、已等待祂降临许多世纪的灵魂；祂降下后，击碎了铜门，折断了铁锁，并将先前被捆绑在地狱中的灵魂解救出来，使他们重获自由</w:t>
      </w:r>
      <w:r>
        <w:rPr>
          <w:lang w:val="ru-RU"/>
        </w:rPr>
        <w:t>。”</w:t>
      </w:r>
      <w:r w:rsidR="0082130B">
        <w:rPr>
          <w:rStyle w:val="FootnoteReference"/>
          <w:lang w:val="ru-RU"/>
        </w:rPr>
        <w:footnoteReference w:id="415"/>
      </w:r>
    </w:p>
    <w:p w14:paraId="49DA22C8" w14:textId="77777777" w:rsidR="00D85B34" w:rsidRPr="00794712" w:rsidRDefault="00D85B34" w:rsidP="00D85B34">
      <w:pPr>
        <w:rPr>
          <w:lang w:val="ru-RU"/>
        </w:rPr>
      </w:pPr>
      <w:r w:rsidRPr="00794712">
        <w:rPr>
          <w:lang w:val="ru-RU"/>
        </w:rPr>
        <w:tab/>
        <w:t>关于基督救主仅将那些信靠祂的人、仅将旧约中的义人（亚9</w:t>
      </w:r>
      <w:r w:rsidRPr="00D407F6">
        <w:rPr>
          <w:lang w:val="ru-RU"/>
        </w:rPr>
        <w:t>:</w:t>
      </w:r>
      <w:r w:rsidRPr="00794712">
        <w:rPr>
          <w:lang w:val="ru-RU"/>
        </w:rPr>
        <w:t>11）从阴间解救出来的这一观点，继圣爱任纽和特土良之后——我们已见其见证</w:t>
      </w:r>
      <w:r>
        <w:rPr>
          <w:lang w:val="ru-RU"/>
        </w:rPr>
        <w:t>——</w:t>
      </w:r>
      <w:r w:rsidR="0082130B">
        <w:rPr>
          <w:rStyle w:val="FootnoteReference"/>
          <w:lang w:val="ru-RU"/>
        </w:rPr>
        <w:footnoteReference w:id="416"/>
      </w:r>
      <w:r>
        <w:rPr>
          <w:lang w:val="ru-RU"/>
        </w:rPr>
        <w:t xml:space="preserve"> </w:t>
      </w:r>
      <w:r w:rsidRPr="00794712">
        <w:rPr>
          <w:lang w:val="ru-RU"/>
        </w:rPr>
        <w:t xml:space="preserve">——圣耶路撒冷的西里尔也明确宣讲道： “祂确实像人一样被安放在石棺中；但因着祂，石头因恐惧而裂开；祂降临到阴间，为要从那里释放义人。告诉我，你难道愿意让活人享受恩典，而其中大部分人却是不义的； 而那些自亚当以来长期被囚禁在阴间的人却得不到自由？先知以赛亚曾大声预言了关于祂的许多事；难道你不希望这位君王降临后，能释放那位预言者吗？那里有大卫、撒母耳，以及所有的先知，还有约翰本人——他正是通过使者说： </w:t>
      </w:r>
      <w:r w:rsidRPr="00D407F6">
        <w:rPr>
          <w:i/>
          <w:iCs/>
          <w:lang w:val="ru-RU"/>
        </w:rPr>
        <w:t>‘你就是那位要来的，还是我们要等候别人呢</w:t>
      </w:r>
      <w:r w:rsidRPr="00794712">
        <w:rPr>
          <w:lang w:val="ru-RU"/>
        </w:rPr>
        <w:t>？</w:t>
      </w:r>
      <w:r w:rsidRPr="00D407F6">
        <w:rPr>
          <w:i/>
          <w:iCs/>
          <w:lang w:val="ru-RU"/>
        </w:rPr>
        <w:t>’</w:t>
      </w:r>
      <w:r w:rsidR="00224D5E">
        <w:rPr>
          <w:lang w:val="ru-RU"/>
        </w:rPr>
        <w:t>（</w:t>
      </w:r>
      <w:r w:rsidRPr="00794712">
        <w:rPr>
          <w:lang w:val="ru-RU"/>
        </w:rPr>
        <w:t>玛11</w:t>
      </w:r>
      <w:r w:rsidRPr="00D407F6">
        <w:rPr>
          <w:lang w:val="ru-RU"/>
        </w:rPr>
        <w:t>:</w:t>
      </w:r>
      <w:r w:rsidRPr="00794712">
        <w:rPr>
          <w:lang w:val="ru-RU"/>
        </w:rPr>
        <w:t>3）难道你不希望祂降临后，将他们释放出来吗？</w:t>
      </w:r>
      <w:r>
        <w:rPr>
          <w:lang w:val="ru-RU"/>
        </w:rPr>
        <w:t>”</w:t>
      </w:r>
      <w:r w:rsidR="0082130B">
        <w:rPr>
          <w:rStyle w:val="FootnoteReference"/>
          <w:lang w:val="ru-RU"/>
        </w:rPr>
        <w:footnoteReference w:id="417"/>
      </w:r>
    </w:p>
    <w:p w14:paraId="507527A0" w14:textId="77777777" w:rsidR="00D85B34" w:rsidRPr="00794712" w:rsidRDefault="00D85B34" w:rsidP="00D85B34">
      <w:pPr>
        <w:rPr>
          <w:lang w:val="ru-RU"/>
        </w:rPr>
      </w:pPr>
      <w:r w:rsidRPr="00794712">
        <w:rPr>
          <w:lang w:val="ru-RU"/>
        </w:rPr>
        <w:tab/>
        <w:t>圣埃皮法尼乌斯：“基督的神性连同祂的灵魂一同降入阴间，为要拯救那些先逝之人，即圣先祖们。</w:t>
      </w:r>
      <w:r>
        <w:rPr>
          <w:lang w:val="ru-RU"/>
        </w:rPr>
        <w:t>”</w:t>
      </w:r>
      <w:r w:rsidR="0082130B">
        <w:rPr>
          <w:rStyle w:val="FootnoteReference"/>
          <w:lang w:val="ru-RU"/>
        </w:rPr>
        <w:footnoteReference w:id="418"/>
      </w:r>
    </w:p>
    <w:p w14:paraId="397DFE37" w14:textId="77777777" w:rsidR="00D85B34" w:rsidRPr="00794712" w:rsidRDefault="00D85B34" w:rsidP="00D85B34">
      <w:pPr>
        <w:rPr>
          <w:lang w:val="ru-RU"/>
        </w:rPr>
      </w:pPr>
      <w:r w:rsidRPr="00794712">
        <w:rPr>
          <w:lang w:val="ru-RU"/>
        </w:rPr>
        <w:tab/>
        <w:t>圣卡西安：“基督降入阴间后，以祂荣耀的光辉驱散了塔尔塔罗斯那无边无际的黑暗，摧毁了铜门，击碎了铁闸，并将那些被囚禁在阴间无边黑暗中的圣徒从囚禁中解救出来，与祂一同升入天堂</w:t>
      </w:r>
      <w:r>
        <w:rPr>
          <w:lang w:val="ru-RU"/>
        </w:rPr>
        <w:t>。”</w:t>
      </w:r>
      <w:r w:rsidR="0082130B">
        <w:rPr>
          <w:rStyle w:val="FootnoteReference"/>
          <w:lang w:val="ru-RU"/>
        </w:rPr>
        <w:footnoteReference w:id="419"/>
      </w:r>
    </w:p>
    <w:p w14:paraId="318E5CB2" w14:textId="77777777" w:rsidR="00D85B34" w:rsidRPr="00794712" w:rsidRDefault="00D85B34" w:rsidP="00D85B34">
      <w:pPr>
        <w:rPr>
          <w:lang w:val="ru-RU"/>
        </w:rPr>
      </w:pPr>
      <w:r w:rsidRPr="00794712">
        <w:rPr>
          <w:lang w:val="ru-RU"/>
        </w:rPr>
        <w:tab/>
        <w:t>圣大格里高利：“针对义人灵魂的上帝之怒，随着我们救赎主的降临而消逝：因为当上帝与人类的代祷者亲自降临地狱时，祂将他们从地狱的牢狱中释放出来，并引领他们进入天堂的喜乐之中</w:t>
      </w:r>
      <w:r>
        <w:rPr>
          <w:lang w:val="ru-RU"/>
        </w:rPr>
        <w:t>。”</w:t>
      </w:r>
      <w:r w:rsidR="0082130B">
        <w:rPr>
          <w:rStyle w:val="FootnoteReference"/>
          <w:lang w:val="ru-RU"/>
        </w:rPr>
        <w:footnoteReference w:id="420"/>
      </w:r>
    </w:p>
    <w:p w14:paraId="3D86F4E7" w14:textId="77777777" w:rsidR="00D85B34" w:rsidRDefault="00D85B34" w:rsidP="00D85B34">
      <w:pPr>
        <w:rPr>
          <w:lang w:val="ru-RU"/>
        </w:rPr>
      </w:pPr>
      <w:r w:rsidRPr="00794712">
        <w:rPr>
          <w:lang w:val="ru-RU"/>
        </w:rPr>
        <w:lastRenderedPageBreak/>
        <w:tab/>
        <w:t>必须补充说明的是，如果某些古代学者有时表达这样的观点——即基督从地狱中救出的不仅是旧约时代的义人，还有许多其他甚至所有地狱的囚徒——那么他们表达的仅仅是推测、假设或个人见解。</w:t>
      </w:r>
      <w:r w:rsidR="0082130B">
        <w:rPr>
          <w:rStyle w:val="FootnoteReference"/>
          <w:lang w:val="ru-RU"/>
        </w:rPr>
        <w:footnoteReference w:id="421"/>
      </w:r>
    </w:p>
    <w:p w14:paraId="7D6E0C65" w14:textId="77777777" w:rsidR="00D85B34" w:rsidRPr="00794712" w:rsidRDefault="00D85B34" w:rsidP="00D85B34">
      <w:pPr>
        <w:rPr>
          <w:lang w:val="ru-RU"/>
        </w:rPr>
      </w:pPr>
    </w:p>
    <w:p w14:paraId="01DE6DAA" w14:textId="77777777" w:rsidR="00D85B34" w:rsidRPr="00794712" w:rsidRDefault="00D85B34" w:rsidP="007B240B">
      <w:pPr>
        <w:pStyle w:val="Heading5"/>
        <w:rPr>
          <w:lang w:val="ru-RU"/>
        </w:rPr>
      </w:pPr>
      <w:bookmarkStart w:id="355" w:name="_Toc133155595"/>
      <w:bookmarkStart w:id="356" w:name="_Toc180664608"/>
      <w:bookmarkStart w:id="357" w:name="_Toc180679229"/>
      <w:bookmarkStart w:id="358" w:name="_Toc180679286"/>
      <w:bookmarkStart w:id="359" w:name="_Toc180679809"/>
      <w:bookmarkStart w:id="360" w:name="_Toc238453692"/>
      <w:bookmarkStart w:id="361" w:name="_Toc238576508"/>
      <w:r w:rsidRPr="00794712">
        <w:rPr>
          <w:lang w:val="ru-RU"/>
        </w:rPr>
        <w:t>§160. 耶稣基督的复活与战胜死亡</w:t>
      </w:r>
      <w:bookmarkEnd w:id="355"/>
      <w:bookmarkEnd w:id="356"/>
      <w:bookmarkEnd w:id="357"/>
      <w:bookmarkEnd w:id="358"/>
      <w:bookmarkEnd w:id="359"/>
      <w:bookmarkEnd w:id="360"/>
      <w:bookmarkEnd w:id="361"/>
    </w:p>
    <w:p w14:paraId="4D21C6AF" w14:textId="77777777" w:rsidR="00D85B34" w:rsidRPr="00794712" w:rsidRDefault="00D85B34" w:rsidP="00D85B34">
      <w:pPr>
        <w:ind w:firstLine="708"/>
        <w:rPr>
          <w:lang w:val="ru-RU"/>
        </w:rPr>
      </w:pPr>
      <w:r w:rsidRPr="00794712">
        <w:rPr>
          <w:lang w:val="ru-RU"/>
        </w:rPr>
        <w:t>正如基督通过亲自降入阴间摧毁了阴间——尽管此前祂早已显明了对阴间权势的君王之权——同样，祂也通过亲自从死里复活战胜了死亡，尽管此前祂已多次彰显了对死亡的权能。圣使徒在以下话语中阐明了这一点：</w:t>
      </w:r>
      <w:r w:rsidRPr="008E025B">
        <w:rPr>
          <w:i/>
          <w:iCs/>
          <w:lang w:val="ru-RU"/>
        </w:rPr>
        <w:t>“基督从死里复活，成为死人中的长子。因为死是借着人来的，复活也是借着人来的。在亚当里众人都死了，在基督里众人也都要复活，各按次序：初熟的果子是基督，随后是属基督的人，在他再来的时候”</w:t>
      </w:r>
      <w:r w:rsidR="00621F17">
        <w:rPr>
          <w:lang w:val="ru-RU"/>
        </w:rPr>
        <w:t>（</w:t>
      </w:r>
      <w:r w:rsidRPr="00794712">
        <w:rPr>
          <w:lang w:val="ru-RU"/>
        </w:rPr>
        <w:t>林前16</w:t>
      </w:r>
      <w:r>
        <w:rPr>
          <w:lang w:val="ru-RU"/>
        </w:rPr>
        <w:t>:</w:t>
      </w:r>
      <w:r w:rsidRPr="00794712">
        <w:rPr>
          <w:lang w:val="ru-RU"/>
        </w:rPr>
        <w:t>20-23）。</w:t>
      </w:r>
      <w:r w:rsidR="00542EA8">
        <w:rPr>
          <w:rStyle w:val="FootnoteReference"/>
          <w:lang w:val="ru-RU"/>
        </w:rPr>
        <w:footnoteReference w:id="422"/>
      </w:r>
      <w:r w:rsidRPr="00794712">
        <w:rPr>
          <w:lang w:val="ru-RU"/>
        </w:rPr>
        <w:t xml:space="preserve"> 为了理解，因着基督的复活，我们终将如何复活，以及对死亡的完全胜利将如何</w:t>
      </w:r>
      <w:r>
        <w:rPr>
          <w:lang w:val="ru-RU"/>
        </w:rPr>
        <w:t>实现</w:t>
      </w:r>
      <w:r w:rsidRPr="00794712">
        <w:rPr>
          <w:lang w:val="ru-RU"/>
        </w:rPr>
        <w:t>——必须考虑到，根据上帝话语的教导，我们通过信靠基督并参与祂的圣礼，便与基督联合（希伯来书 3</w:t>
      </w:r>
      <w:r w:rsidRPr="009849D9">
        <w:rPr>
          <w:lang w:val="ru-RU"/>
        </w:rPr>
        <w:t>:</w:t>
      </w:r>
      <w:r w:rsidRPr="00794712">
        <w:rPr>
          <w:lang w:val="ru-RU"/>
        </w:rPr>
        <w:t>14）， 与基督合而为一</w:t>
      </w:r>
      <w:r w:rsidR="005864AB">
        <w:rPr>
          <w:lang w:val="ru-RU"/>
        </w:rPr>
        <w:t>（约</w:t>
      </w:r>
      <w:r w:rsidRPr="00794712">
        <w:rPr>
          <w:lang w:val="ru-RU"/>
        </w:rPr>
        <w:t>15:4-5），并在祂里面分享祂的生命。正因如此，祂亲自教导说：</w:t>
      </w:r>
      <w:r w:rsidRPr="009849D9">
        <w:rPr>
          <w:i/>
          <w:iCs/>
          <w:lang w:val="ru-RU"/>
        </w:rPr>
        <w:t>“我就是复活，就是生命；信我的人，虽然死了，也必复活”</w:t>
      </w:r>
      <w:r w:rsidR="005864AB">
        <w:rPr>
          <w:lang w:val="ru-RU"/>
        </w:rPr>
        <w:t>（约</w:t>
      </w:r>
      <w:r w:rsidRPr="009849D9">
        <w:rPr>
          <w:lang w:val="ru-RU"/>
        </w:rPr>
        <w:t xml:space="preserve">11:25）。 </w:t>
      </w:r>
      <w:r w:rsidRPr="009849D9">
        <w:rPr>
          <w:i/>
          <w:iCs/>
          <w:lang w:val="ru-RU"/>
        </w:rPr>
        <w:t>“我是从天上降下来的活粮；人若吃这粮，就必永远活着； 我所要赐的饼，就是我的肉，为世人的生命而舍的……吃我肉、喝我血的人就有永生，在末日我要叫他复活……吃我肉、喝我血的人常在我里面，我也常在他里面”</w:t>
      </w:r>
      <w:r w:rsidR="005864AB">
        <w:rPr>
          <w:lang w:val="ru-RU"/>
        </w:rPr>
        <w:t>（</w:t>
      </w:r>
      <w:r w:rsidRPr="00794712">
        <w:rPr>
          <w:lang w:val="ru-RU"/>
        </w:rPr>
        <w:t>约6</w:t>
      </w:r>
      <w:r>
        <w:rPr>
          <w:lang w:val="ru-RU"/>
        </w:rPr>
        <w:t>:51-56</w:t>
      </w:r>
      <w:r w:rsidRPr="00794712">
        <w:rPr>
          <w:lang w:val="ru-RU"/>
        </w:rPr>
        <w:t>）。 同样，圣保罗关于洗礼圣事也教导说：</w:t>
      </w:r>
      <w:r w:rsidRPr="004B4FA0">
        <w:rPr>
          <w:i/>
          <w:iCs/>
          <w:lang w:val="ru-RU"/>
        </w:rPr>
        <w:t>“你们受洗归入基督的，就是披戴基督了”</w:t>
      </w:r>
      <w:r w:rsidRPr="00794712">
        <w:rPr>
          <w:lang w:val="ru-RU"/>
        </w:rPr>
        <w:t>（加拉太书 3</w:t>
      </w:r>
      <w:r w:rsidRPr="004B4FA0">
        <w:rPr>
          <w:lang w:val="ru-RU"/>
        </w:rPr>
        <w:t>:</w:t>
      </w:r>
      <w:r w:rsidRPr="00794712">
        <w:rPr>
          <w:lang w:val="ru-RU"/>
        </w:rPr>
        <w:t>27），并在另一处说：</w:t>
      </w:r>
      <w:r w:rsidRPr="004B4FA0">
        <w:rPr>
          <w:i/>
          <w:iCs/>
          <w:lang w:val="ru-RU"/>
        </w:rPr>
        <w:t>“岂不知我们这受洗归入基督耶稣的人，就是受洗归入他的死吗？ 所以，我们藉着洗礼与祂一同埋葬</w:t>
      </w:r>
      <w:r w:rsidRPr="00794712">
        <w:rPr>
          <w:lang w:val="ru-RU"/>
        </w:rPr>
        <w:t>在死里……</w:t>
      </w:r>
      <w:r w:rsidRPr="004B4FA0">
        <w:rPr>
          <w:i/>
          <w:iCs/>
          <w:lang w:val="ru-RU"/>
        </w:rPr>
        <w:t>我们若与基督同死，就信必与祂同活，知道基督既从死里复活，就不再死，死也不再作祂的主了</w:t>
      </w:r>
      <w:r w:rsidRPr="00794712">
        <w:rPr>
          <w:lang w:val="ru-RU"/>
        </w:rPr>
        <w:t>（罗6:3-9）。 正因与基督有这样的联合，从某种意义上说，我们已经与祂一同复活了（歌罗西书 3</w:t>
      </w:r>
      <w:r w:rsidRPr="004B4FA0">
        <w:rPr>
          <w:lang w:val="ru-RU"/>
        </w:rPr>
        <w:t>:</w:t>
      </w:r>
      <w:r w:rsidRPr="00794712">
        <w:rPr>
          <w:lang w:val="ru-RU"/>
        </w:rPr>
        <w:t>1），正如从前我们在始祖亚当里，全都犯了罪，都受了死一样（罗马书 5</w:t>
      </w:r>
      <w:r w:rsidRPr="004B4FA0">
        <w:rPr>
          <w:lang w:val="ru-RU"/>
        </w:rPr>
        <w:t>:</w:t>
      </w:r>
      <w:r w:rsidRPr="00794712">
        <w:rPr>
          <w:lang w:val="ru-RU"/>
        </w:rPr>
        <w:t>12-19）。</w:t>
      </w:r>
    </w:p>
    <w:p w14:paraId="23CFFCB2" w14:textId="77777777" w:rsidR="00D85B34" w:rsidRPr="00794712" w:rsidRDefault="00D85B34" w:rsidP="00D85B34">
      <w:pPr>
        <w:rPr>
          <w:lang w:val="ru-RU"/>
        </w:rPr>
      </w:pPr>
      <w:r w:rsidRPr="00794712">
        <w:rPr>
          <w:lang w:val="ru-RU"/>
        </w:rPr>
        <w:tab/>
        <w:t xml:space="preserve">至于基督复活的事实：它毫无疑问。这早在诗篇作者那里就已预言过 </w:t>
      </w:r>
      <w:r w:rsidR="002C273D" w:rsidRPr="002C273D">
        <w:rPr>
          <w:lang w:val="ru-RU"/>
        </w:rPr>
        <w:t>[</w:t>
      </w:r>
      <w:r w:rsidRPr="00794712">
        <w:rPr>
          <w:lang w:val="ru-RU"/>
        </w:rPr>
        <w:t>(诗篇 15</w:t>
      </w:r>
      <w:r w:rsidRPr="004B4FA0">
        <w:rPr>
          <w:lang w:val="ru-RU"/>
        </w:rPr>
        <w:t>:</w:t>
      </w:r>
      <w:r w:rsidRPr="00794712">
        <w:rPr>
          <w:lang w:val="ru-RU"/>
        </w:rPr>
        <w:t>10</w:t>
      </w:r>
      <w:r w:rsidR="002C273D">
        <w:rPr>
          <w:lang w:val="ru-RU"/>
        </w:rPr>
        <w:t>)</w:t>
      </w:r>
      <w:r w:rsidRPr="00794712">
        <w:rPr>
          <w:lang w:val="ru-RU"/>
        </w:rPr>
        <w:t xml:space="preserve">； </w:t>
      </w:r>
      <w:r w:rsidR="002C273D">
        <w:rPr>
          <w:lang w:val="ru-RU"/>
        </w:rPr>
        <w:t>(</w:t>
      </w:r>
      <w:r w:rsidRPr="00794712">
        <w:rPr>
          <w:lang w:val="ru-RU"/>
        </w:rPr>
        <w:t>使徒行传 2</w:t>
      </w:r>
      <w:r w:rsidRPr="004B4FA0">
        <w:rPr>
          <w:lang w:val="ru-RU"/>
        </w:rPr>
        <w:t>:</w:t>
      </w:r>
      <w:r w:rsidRPr="00794712">
        <w:rPr>
          <w:lang w:val="ru-RU"/>
        </w:rPr>
        <w:t>29-31)</w:t>
      </w:r>
      <w:r w:rsidR="002C273D" w:rsidRPr="002C273D">
        <w:rPr>
          <w:lang w:val="ru-RU"/>
        </w:rPr>
        <w:t>]</w:t>
      </w:r>
      <w:r w:rsidRPr="00794712">
        <w:rPr>
          <w:lang w:val="ru-RU"/>
        </w:rPr>
        <w:t>，由约拿在鲸腹中停留三日所预表</w:t>
      </w:r>
      <w:r w:rsidR="00224D5E">
        <w:rPr>
          <w:lang w:val="ru-RU"/>
        </w:rPr>
        <w:t>（马太福音</w:t>
      </w:r>
      <w:r w:rsidRPr="00794712">
        <w:rPr>
          <w:lang w:val="ru-RU"/>
        </w:rPr>
        <w:t xml:space="preserve"> 12</w:t>
      </w:r>
      <w:r w:rsidRPr="004B4FA0">
        <w:rPr>
          <w:lang w:val="ru-RU"/>
        </w:rPr>
        <w:t>:</w:t>
      </w:r>
      <w:r w:rsidRPr="00794712">
        <w:rPr>
          <w:lang w:val="ru-RU"/>
        </w:rPr>
        <w:t>39-40），并由基督——救主本人多次预言</w:t>
      </w:r>
      <w:r w:rsidR="002C273D" w:rsidRPr="002C273D">
        <w:rPr>
          <w:lang w:val="ru-RU"/>
        </w:rPr>
        <w:t xml:space="preserve"> </w:t>
      </w:r>
      <w:r w:rsidR="00224D5E">
        <w:rPr>
          <w:lang w:val="ru-RU"/>
        </w:rPr>
        <w:t>（马太福音</w:t>
      </w:r>
      <w:r w:rsidRPr="00794712">
        <w:rPr>
          <w:lang w:val="ru-RU"/>
        </w:rPr>
        <w:t xml:space="preserve"> 16:4-21</w:t>
      </w:r>
      <w:r w:rsidR="002C273D" w:rsidRPr="002C273D">
        <w:rPr>
          <w:lang w:val="ru-RU"/>
        </w:rPr>
        <w:t>）</w:t>
      </w:r>
      <w:r w:rsidRPr="00794712">
        <w:rPr>
          <w:lang w:val="ru-RU"/>
        </w:rPr>
        <w:t>，</w:t>
      </w:r>
      <w:r w:rsidR="00FB2012">
        <w:rPr>
          <w:rFonts w:cs="Cambria Math"/>
          <w:lang w:val="ru-RU"/>
        </w:rPr>
        <w:t xml:space="preserve"> </w:t>
      </w:r>
      <w:r w:rsidR="002C273D">
        <w:rPr>
          <w:rFonts w:cs="Cambria Math"/>
          <w:lang w:val="ru-RU"/>
        </w:rPr>
        <w:t>(马太福音</w:t>
      </w:r>
      <w:r w:rsidRPr="00794712">
        <w:rPr>
          <w:lang w:val="ru-RU"/>
        </w:rPr>
        <w:t xml:space="preserve"> 17:9</w:t>
      </w:r>
      <w:r w:rsidRPr="004B4FA0">
        <w:rPr>
          <w:lang w:val="ru-RU"/>
        </w:rPr>
        <w:t>,</w:t>
      </w:r>
      <w:r w:rsidRPr="00794712">
        <w:rPr>
          <w:lang w:val="ru-RU"/>
        </w:rPr>
        <w:t>23</w:t>
      </w:r>
      <w:r w:rsidR="002C273D">
        <w:rPr>
          <w:lang w:val="ru-RU"/>
        </w:rPr>
        <w:t>)</w:t>
      </w:r>
      <w:r w:rsidRPr="00794712">
        <w:rPr>
          <w:lang w:val="ru-RU"/>
        </w:rPr>
        <w:t>，</w:t>
      </w:r>
      <w:r w:rsidR="002C273D">
        <w:rPr>
          <w:rFonts w:cs="Cambria Math"/>
          <w:lang w:val="ru-RU"/>
        </w:rPr>
        <w:t>(马太福音</w:t>
      </w:r>
      <w:r w:rsidRPr="00794712">
        <w:rPr>
          <w:lang w:val="ru-RU"/>
        </w:rPr>
        <w:t xml:space="preserve"> 20:19</w:t>
      </w:r>
      <w:r w:rsidR="002C273D">
        <w:rPr>
          <w:lang w:val="ru-RU"/>
        </w:rPr>
        <w:t>)</w:t>
      </w:r>
      <w:r w:rsidRPr="00794712">
        <w:rPr>
          <w:lang w:val="ru-RU"/>
        </w:rPr>
        <w:t>，</w:t>
      </w:r>
      <w:r w:rsidR="002C273D">
        <w:rPr>
          <w:rFonts w:cs="Cambria Math"/>
          <w:lang w:val="ru-RU"/>
        </w:rPr>
        <w:t>(马太福音</w:t>
      </w:r>
      <w:r w:rsidRPr="00794712">
        <w:rPr>
          <w:lang w:val="ru-RU"/>
        </w:rPr>
        <w:t xml:space="preserve"> 26:</w:t>
      </w:r>
      <w:r w:rsidRPr="0080252F">
        <w:rPr>
          <w:lang w:val="ru-RU"/>
        </w:rPr>
        <w:t>32</w:t>
      </w:r>
      <w:r w:rsidR="002C273D">
        <w:rPr>
          <w:lang w:val="ru-RU"/>
        </w:rPr>
        <w:t>)</w:t>
      </w:r>
      <w:r w:rsidRPr="00794712">
        <w:rPr>
          <w:lang w:val="ru-RU"/>
        </w:rPr>
        <w:t>；</w:t>
      </w:r>
      <w:r w:rsidR="0087297C">
        <w:rPr>
          <w:lang w:val="ru-RU"/>
        </w:rPr>
        <w:t xml:space="preserve"> </w:t>
      </w:r>
      <w:r w:rsidR="002C273D">
        <w:rPr>
          <w:lang w:val="ru-RU"/>
        </w:rPr>
        <w:t>（</w:t>
      </w:r>
      <w:r w:rsidR="0087297C">
        <w:rPr>
          <w:lang w:val="ru-RU"/>
        </w:rPr>
        <w:t>约2</w:t>
      </w:r>
      <w:r w:rsidRPr="00794712">
        <w:rPr>
          <w:lang w:val="ru-RU"/>
        </w:rPr>
        <w:t>:19</w:t>
      </w:r>
      <w:r w:rsidR="002C273D">
        <w:rPr>
          <w:lang w:val="ru-RU"/>
        </w:rPr>
        <w:t>）</w:t>
      </w:r>
      <w:r w:rsidRPr="00794712">
        <w:rPr>
          <w:lang w:val="ru-RU"/>
        </w:rPr>
        <w:t>，</w:t>
      </w:r>
      <w:r w:rsidR="002C273D">
        <w:rPr>
          <w:rFonts w:cs="Cambria Math"/>
          <w:lang w:val="ru-RU"/>
        </w:rPr>
        <w:t>（</w:t>
      </w:r>
      <w:r w:rsidRPr="00794712">
        <w:rPr>
          <w:lang w:val="ru-RU"/>
        </w:rPr>
        <w:t>约10:17）</w:t>
      </w:r>
      <w:r w:rsidR="002C273D" w:rsidRPr="002C273D">
        <w:rPr>
          <w:lang w:val="ru-RU"/>
        </w:rPr>
        <w:t>]</w:t>
      </w:r>
      <w:r w:rsidRPr="00794712">
        <w:rPr>
          <w:lang w:val="ru-RU"/>
        </w:rPr>
        <w:t xml:space="preserve">，这一事件得到了所有亲眼目睹的使徒们的见证：复活的生命赐予者在四十天内向他们显现；与他们进行了长时间的交谈，向他们阐释经文并揭示他国度的奥秘； 祂在他们面前进食饮水；允许他们触摸祂的手、脚和肋旁；更在他们眼前升天 </w:t>
      </w:r>
      <w:r w:rsidR="002C273D" w:rsidRPr="002C273D">
        <w:rPr>
          <w:lang w:val="ru-RU"/>
        </w:rPr>
        <w:t>[</w:t>
      </w:r>
      <w:r w:rsidR="00224D5E">
        <w:rPr>
          <w:lang w:val="ru-RU"/>
        </w:rPr>
        <w:t>(太</w:t>
      </w:r>
      <w:r w:rsidRPr="00794712">
        <w:rPr>
          <w:lang w:val="ru-RU"/>
        </w:rPr>
        <w:t xml:space="preserve"> 28</w:t>
      </w:r>
      <w:r w:rsidR="004161C1">
        <w:rPr>
          <w:lang w:val="ru-RU"/>
        </w:rPr>
        <w:t>)</w:t>
      </w:r>
      <w:r w:rsidRPr="00794712">
        <w:rPr>
          <w:lang w:val="ru-RU"/>
        </w:rPr>
        <w:t>；</w:t>
      </w:r>
      <w:r w:rsidR="004161C1">
        <w:rPr>
          <w:lang w:val="ru-RU"/>
        </w:rPr>
        <w:t>(</w:t>
      </w:r>
      <w:r w:rsidRPr="00794712">
        <w:rPr>
          <w:lang w:val="ru-RU"/>
        </w:rPr>
        <w:t>可 16</w:t>
      </w:r>
      <w:r w:rsidR="004161C1">
        <w:rPr>
          <w:lang w:val="ru-RU"/>
        </w:rPr>
        <w:t>)</w:t>
      </w:r>
      <w:r w:rsidRPr="00794712">
        <w:rPr>
          <w:lang w:val="ru-RU"/>
        </w:rPr>
        <w:t>；</w:t>
      </w:r>
      <w:r w:rsidR="004161C1">
        <w:rPr>
          <w:lang w:val="ru-RU"/>
        </w:rPr>
        <w:t>(</w:t>
      </w:r>
      <w:r w:rsidR="0087297C">
        <w:rPr>
          <w:lang w:val="ru-RU"/>
        </w:rPr>
        <w:t>路</w:t>
      </w:r>
      <w:r w:rsidRPr="00794712">
        <w:rPr>
          <w:lang w:val="ru-RU"/>
        </w:rPr>
        <w:t xml:space="preserve"> 24</w:t>
      </w:r>
      <w:r w:rsidR="004161C1">
        <w:rPr>
          <w:lang w:val="ru-RU"/>
        </w:rPr>
        <w:t>)</w:t>
      </w:r>
      <w:r w:rsidRPr="00794712">
        <w:rPr>
          <w:lang w:val="ru-RU"/>
        </w:rPr>
        <w:t>；</w:t>
      </w:r>
      <w:r w:rsidR="004161C1">
        <w:rPr>
          <w:lang w:val="ru-RU"/>
        </w:rPr>
        <w:t>(</w:t>
      </w:r>
      <w:r w:rsidRPr="00794712">
        <w:rPr>
          <w:lang w:val="ru-RU"/>
        </w:rPr>
        <w:t>约 20-21</w:t>
      </w:r>
      <w:r w:rsidR="004161C1">
        <w:rPr>
          <w:lang w:val="ru-RU"/>
        </w:rPr>
        <w:t>)</w:t>
      </w:r>
      <w:r w:rsidRPr="00794712">
        <w:rPr>
          <w:lang w:val="ru-RU"/>
        </w:rPr>
        <w:t>；</w:t>
      </w:r>
      <w:r w:rsidR="004161C1">
        <w:rPr>
          <w:lang w:val="ru-RU"/>
        </w:rPr>
        <w:t>(</w:t>
      </w:r>
      <w:r w:rsidR="00E070F3">
        <w:rPr>
          <w:lang w:val="ru-RU"/>
        </w:rPr>
        <w:t>林前</w:t>
      </w:r>
      <w:r w:rsidRPr="00794712">
        <w:rPr>
          <w:lang w:val="ru-RU"/>
        </w:rPr>
        <w:t xml:space="preserve"> 15</w:t>
      </w:r>
      <w:r w:rsidRPr="0080252F">
        <w:rPr>
          <w:lang w:val="ru-RU"/>
        </w:rPr>
        <w:t>:</w:t>
      </w:r>
      <w:r w:rsidRPr="00794712">
        <w:rPr>
          <w:lang w:val="ru-RU"/>
        </w:rPr>
        <w:t>1-8)</w:t>
      </w:r>
      <w:r w:rsidR="002C273D" w:rsidRPr="002C273D">
        <w:rPr>
          <w:lang w:val="ru-RU"/>
        </w:rPr>
        <w:t>]</w:t>
      </w:r>
      <w:r w:rsidRPr="00794712">
        <w:rPr>
          <w:lang w:val="ru-RU"/>
        </w:rPr>
        <w:t>。 使徒们的这一见证之所以具有非凡的力量，在于：</w:t>
      </w:r>
      <w:r w:rsidR="00A95A76" w:rsidRPr="00A95A76">
        <w:rPr>
          <w:b/>
          <w:lang w:val="ru-RU"/>
        </w:rPr>
        <w:t>a)</w:t>
      </w:r>
      <w:r w:rsidRPr="00794712">
        <w:rPr>
          <w:lang w:val="ru-RU"/>
        </w:rPr>
        <w:t xml:space="preserve"> 救主复活后，他们身上突然发生的奇妙品格转变——他们以令人惊叹的勇气，向全世界宣讲自己的老师，并出现在犹太人和外邦人的众多人群面前； </w:t>
      </w:r>
      <w:r w:rsidRPr="00794712">
        <w:rPr>
          <w:lang w:val="ru-RU"/>
        </w:rPr>
        <w:lastRenderedPageBreak/>
        <w:t>他们为了基督的名，以非凡的自我牺牲精神，承受了种种劳苦，忍受了各种迫害，甚至尝到了死亡的滋味；</w:t>
      </w:r>
      <w:r w:rsidR="00A95A76" w:rsidRPr="00A95A76">
        <w:rPr>
          <w:b/>
          <w:lang w:val="ru-RU"/>
        </w:rPr>
        <w:t>b)</w:t>
      </w:r>
      <w:r w:rsidRPr="00794712">
        <w:rPr>
          <w:lang w:val="ru-RU"/>
        </w:rPr>
        <w:t xml:space="preserve"> 他们在犹太人和外邦人中传道所取得的惊人成效——成千上万的人归向基督，并且也决心为祂的名忍受各种折磨和死亡；</w:t>
      </w:r>
      <w:r w:rsidR="00A95A76" w:rsidRPr="00A95A76">
        <w:rPr>
          <w:b/>
          <w:lang w:val="ru-RU"/>
        </w:rPr>
        <w:t xml:space="preserve"> c)</w:t>
      </w:r>
      <w:r w:rsidRPr="00794712">
        <w:rPr>
          <w:lang w:val="ru-RU"/>
        </w:rPr>
        <w:t xml:space="preserve"> 最后，使徒们奉基督之名在各地行了无数神迹，借此在众人面前最清晰地证实了他们所传讲的真理（《使徒行传》第3-5章等）。</w:t>
      </w:r>
    </w:p>
    <w:p w14:paraId="7D1E1054" w14:textId="77777777" w:rsidR="00D85B34" w:rsidRPr="00794712" w:rsidRDefault="00D85B34" w:rsidP="00D85B34">
      <w:pPr>
        <w:rPr>
          <w:lang w:val="ru-RU"/>
        </w:rPr>
      </w:pPr>
      <w:r w:rsidRPr="00794712">
        <w:rPr>
          <w:lang w:val="ru-RU"/>
        </w:rPr>
        <w:tab/>
        <w:t>关于基督复活的教义，教会已在《信经》中明确宣认（参见《信经》第一部分，对第52个问题的回答）；教会的教师们也一直都在宣讲这一教义。</w:t>
      </w:r>
      <w:r w:rsidR="009E2745">
        <w:rPr>
          <w:rStyle w:val="FootnoteReference"/>
          <w:lang w:val="ru-RU"/>
        </w:rPr>
        <w:footnoteReference w:id="423"/>
      </w:r>
    </w:p>
    <w:p w14:paraId="0565544A" w14:textId="77777777" w:rsidR="00D85B34" w:rsidRDefault="00D85B34" w:rsidP="00D85B34">
      <w:pPr>
        <w:rPr>
          <w:lang w:val="ru-RU"/>
        </w:rPr>
      </w:pPr>
      <w:r w:rsidRPr="00794712">
        <w:rPr>
          <w:lang w:val="ru-RU"/>
        </w:rPr>
        <w:tab/>
      </w:r>
    </w:p>
    <w:p w14:paraId="1B5F5268" w14:textId="77777777" w:rsidR="00D85B34" w:rsidRPr="00794712" w:rsidRDefault="00D85B34" w:rsidP="007B240B">
      <w:pPr>
        <w:pStyle w:val="Heading5"/>
        <w:rPr>
          <w:lang w:val="ru-RU"/>
        </w:rPr>
      </w:pPr>
      <w:bookmarkStart w:id="362" w:name="_Toc133155596"/>
      <w:bookmarkStart w:id="363" w:name="_Toc180664609"/>
      <w:bookmarkStart w:id="364" w:name="_Toc180679230"/>
      <w:bookmarkStart w:id="365" w:name="_Toc180679287"/>
      <w:bookmarkStart w:id="366" w:name="_Toc180679810"/>
      <w:bookmarkStart w:id="367" w:name="_Toc238453693"/>
      <w:bookmarkStart w:id="368" w:name="_Toc238576509"/>
      <w:r w:rsidRPr="00794712">
        <w:rPr>
          <w:lang w:val="ru-RU"/>
        </w:rPr>
        <w:t>§161. 耶稣基督升天及向所有信靠祂的人敞开天国之门</w:t>
      </w:r>
      <w:bookmarkEnd w:id="362"/>
      <w:bookmarkEnd w:id="363"/>
      <w:bookmarkEnd w:id="364"/>
      <w:bookmarkEnd w:id="365"/>
      <w:bookmarkEnd w:id="366"/>
      <w:bookmarkEnd w:id="367"/>
      <w:bookmarkEnd w:id="368"/>
    </w:p>
    <w:p w14:paraId="32E92A1C" w14:textId="77777777" w:rsidR="00D85B34" w:rsidRPr="00794712" w:rsidRDefault="00D85B34" w:rsidP="00D85B34">
      <w:pPr>
        <w:ind w:firstLine="708"/>
        <w:rPr>
          <w:lang w:val="ru-RU"/>
        </w:rPr>
      </w:pPr>
      <w:r w:rsidRPr="00794712">
        <w:rPr>
          <w:lang w:val="ru-RU"/>
        </w:rPr>
        <w:t>在神的儿子降临人间之前，天国对世人而言仿佛是封闭的；尽管在天父的家中住处众多</w:t>
      </w:r>
      <w:r w:rsidR="005864AB">
        <w:rPr>
          <w:lang w:val="ru-RU"/>
        </w:rPr>
        <w:t>（</w:t>
      </w:r>
      <w:r w:rsidRPr="00794712">
        <w:rPr>
          <w:lang w:val="ru-RU"/>
        </w:rPr>
        <w:t>约14</w:t>
      </w:r>
      <w:r>
        <w:rPr>
          <w:lang w:val="ru-RU"/>
        </w:rPr>
        <w:t>:</w:t>
      </w:r>
      <w:r w:rsidRPr="00794712">
        <w:rPr>
          <w:lang w:val="ru-RU"/>
        </w:rPr>
        <w:t>2-3），但其中却没有亚当那些有罪后裔的容身之处； 就连旧约中最义的人，死后，他们的灵魂也下到了阴间（创世记 37</w:t>
      </w:r>
      <w:r>
        <w:rPr>
          <w:lang w:val="ru-RU"/>
        </w:rPr>
        <w:t>:</w:t>
      </w:r>
      <w:r w:rsidRPr="00794712">
        <w:rPr>
          <w:lang w:val="ru-RU"/>
        </w:rPr>
        <w:t>35）。 但当我们的主道成肉身显现，使神与人、天与地和好之后；当祂降临阴间，将旧约时代的义人从那里释放出来，并从死里</w:t>
      </w:r>
      <w:r w:rsidRPr="00491175">
        <w:rPr>
          <w:i/>
          <w:iCs/>
          <w:lang w:val="ru-RU"/>
        </w:rPr>
        <w:t>复活，成为“死人中的长子”</w:t>
      </w:r>
      <w:r w:rsidR="00621F17">
        <w:rPr>
          <w:lang w:val="ru-RU"/>
        </w:rPr>
        <w:t>（</w:t>
      </w:r>
      <w:r>
        <w:rPr>
          <w:lang w:val="ru-RU"/>
        </w:rPr>
        <w:t>林前15:20）</w:t>
      </w:r>
      <w:r w:rsidRPr="00794712">
        <w:rPr>
          <w:lang w:val="ru-RU"/>
        </w:rPr>
        <w:t>之后，</w:t>
      </w:r>
      <w:r>
        <w:rPr>
          <w:lang w:val="ru-RU"/>
        </w:rPr>
        <w:t xml:space="preserve"> </w:t>
      </w:r>
      <w:r w:rsidRPr="00794712">
        <w:rPr>
          <w:lang w:val="ru-RU"/>
        </w:rPr>
        <w:t>——祂最终带着所领受的人性庄严地升入天堂，从而为所有人类敞开了通往天国的自由之门。</w:t>
      </w:r>
    </w:p>
    <w:p w14:paraId="36015534" w14:textId="77777777" w:rsidR="00D85B34" w:rsidRPr="00794712" w:rsidRDefault="00D85B34" w:rsidP="00D85B34">
      <w:pPr>
        <w:rPr>
          <w:lang w:val="ru-RU"/>
        </w:rPr>
      </w:pPr>
      <w:r w:rsidRPr="00794712">
        <w:rPr>
          <w:lang w:val="ru-RU"/>
        </w:rPr>
        <w:tab/>
        <w:t>祂自己曾这样表达这一真理：当祂与门徒谈论自己将归回父那里时，说：</w:t>
      </w:r>
      <w:r w:rsidRPr="00491175">
        <w:rPr>
          <w:i/>
          <w:iCs/>
          <w:lang w:val="ru-RU"/>
        </w:rPr>
        <w:t>“我去为你们预备地方。我若去为你们预备了地方，就必再来接你们到我那里去，叫你们也在哪里与我同在”</w:t>
      </w:r>
      <w:r w:rsidR="005864AB">
        <w:rPr>
          <w:lang w:val="ru-RU"/>
        </w:rPr>
        <w:t>（约</w:t>
      </w:r>
      <w:r w:rsidRPr="00794712">
        <w:rPr>
          <w:lang w:val="ru-RU"/>
        </w:rPr>
        <w:t>14</w:t>
      </w:r>
      <w:r w:rsidRPr="00491175">
        <w:rPr>
          <w:lang w:val="ru-RU"/>
        </w:rPr>
        <w:t>:</w:t>
      </w:r>
      <w:r w:rsidRPr="00794712">
        <w:rPr>
          <w:lang w:val="ru-RU"/>
        </w:rPr>
        <w:t>2-3）。 接着</w:t>
      </w:r>
      <w:r w:rsidRPr="00491175">
        <w:rPr>
          <w:i/>
          <w:iCs/>
          <w:lang w:val="ru-RU"/>
        </w:rPr>
        <w:t>又说</w:t>
      </w:r>
      <w:r w:rsidRPr="00794712">
        <w:rPr>
          <w:lang w:val="ru-RU"/>
        </w:rPr>
        <w:t>：</w:t>
      </w:r>
      <w:r w:rsidRPr="00491175">
        <w:rPr>
          <w:i/>
          <w:iCs/>
          <w:lang w:val="ru-RU"/>
        </w:rPr>
        <w:t>“我若不去，保惠师就不会来；我若去了</w:t>
      </w:r>
      <w:r w:rsidRPr="002538DD">
        <w:rPr>
          <w:i/>
          <w:iCs/>
          <w:lang w:val="ru-RU"/>
        </w:rPr>
        <w:t>，就必差祂来”</w:t>
      </w:r>
      <w:r w:rsidR="005864AB">
        <w:rPr>
          <w:lang w:val="ru-RU"/>
        </w:rPr>
        <w:t>（约</w:t>
      </w:r>
      <w:r w:rsidRPr="00794712">
        <w:rPr>
          <w:lang w:val="ru-RU"/>
        </w:rPr>
        <w:t>16</w:t>
      </w:r>
      <w:r>
        <w:rPr>
          <w:lang w:val="ru-RU"/>
        </w:rPr>
        <w:t>:</w:t>
      </w:r>
      <w:r w:rsidRPr="00794712">
        <w:rPr>
          <w:lang w:val="ru-RU"/>
        </w:rPr>
        <w:t>7）。随后，圣使徒保罗也在他书信的各处对此作了清晰的阐明。 在某处，他说：</w:t>
      </w:r>
      <w:r w:rsidRPr="00491175">
        <w:rPr>
          <w:i/>
          <w:iCs/>
          <w:lang w:val="ru-RU"/>
        </w:rPr>
        <w:t>“基督并没有进入人手所造、按着真圣所样式所造的圣所，乃是进入天堂，如今在神的面前为我们代求”</w:t>
      </w:r>
      <w:r w:rsidRPr="00794712">
        <w:rPr>
          <w:lang w:val="ru-RU"/>
        </w:rPr>
        <w:t>（希伯来书 9</w:t>
      </w:r>
      <w:r w:rsidRPr="00491175">
        <w:rPr>
          <w:lang w:val="ru-RU"/>
        </w:rPr>
        <w:t>:</w:t>
      </w:r>
      <w:r w:rsidRPr="00794712">
        <w:rPr>
          <w:lang w:val="ru-RU"/>
        </w:rPr>
        <w:t>24）；在另一处，他直截了当地称祂为我们在天上的先驱（</w:t>
      </w:r>
      <w:r>
        <w:rPr>
          <w:lang w:val="ru-RU"/>
        </w:rPr>
        <w:t>希伯来书</w:t>
      </w:r>
      <w:r w:rsidRPr="00794712">
        <w:rPr>
          <w:lang w:val="ru-RU"/>
        </w:rPr>
        <w:t xml:space="preserve"> 6</w:t>
      </w:r>
      <w:r>
        <w:rPr>
          <w:lang w:val="ru-RU"/>
        </w:rPr>
        <w:t>:</w:t>
      </w:r>
      <w:r w:rsidRPr="00794712">
        <w:rPr>
          <w:lang w:val="ru-RU"/>
        </w:rPr>
        <w:t>20）； 在第三处，他阐明：正如神</w:t>
      </w:r>
      <w:r w:rsidRPr="00491175">
        <w:rPr>
          <w:lang w:val="ru-RU"/>
        </w:rPr>
        <w:t>使我们与基督一同复活，也确实使我们在基督耶稣里坐在天上（以弗所书 2</w:t>
      </w:r>
      <w:r>
        <w:rPr>
          <w:lang w:val="ru-RU"/>
        </w:rPr>
        <w:t>:</w:t>
      </w:r>
      <w:r w:rsidRPr="00491175">
        <w:rPr>
          <w:lang w:val="ru-RU"/>
        </w:rPr>
        <w:t>6），这是在他升天之后；在第四处，他指出我们</w:t>
      </w:r>
      <w:r w:rsidRPr="004853CC">
        <w:rPr>
          <w:i/>
          <w:iCs/>
          <w:lang w:val="ru-RU"/>
        </w:rPr>
        <w:t>是“神的儿女，也是基督的共同继承人”</w:t>
      </w:r>
      <w:r w:rsidRPr="00794712">
        <w:rPr>
          <w:lang w:val="ru-RU"/>
        </w:rPr>
        <w:t>（罗马书 8</w:t>
      </w:r>
      <w:r>
        <w:rPr>
          <w:lang w:val="ru-RU"/>
        </w:rPr>
        <w:t>:</w:t>
      </w:r>
      <w:r w:rsidRPr="00794712">
        <w:rPr>
          <w:lang w:val="ru-RU"/>
        </w:rPr>
        <w:t>17）； 第五点则给予教导：</w:t>
      </w:r>
      <w:r w:rsidRPr="004853CC">
        <w:rPr>
          <w:i/>
          <w:iCs/>
          <w:lang w:val="ru-RU"/>
        </w:rPr>
        <w:t>“你们若与基督一同复活，就当寻求在上面的事，那里有基督坐在神的右边；要思念上面的事，不要思念地上的事。因为你们已经死了，你们的生命与基督一同藏在神里面”</w:t>
      </w:r>
      <w:r w:rsidRPr="00794712">
        <w:rPr>
          <w:lang w:val="ru-RU"/>
        </w:rPr>
        <w:t>（歌罗西书 3</w:t>
      </w:r>
      <w:r w:rsidRPr="004853CC">
        <w:rPr>
          <w:lang w:val="ru-RU"/>
        </w:rPr>
        <w:t>:</w:t>
      </w:r>
      <w:r w:rsidRPr="00794712">
        <w:rPr>
          <w:lang w:val="ru-RU"/>
        </w:rPr>
        <w:t>1-3）。 至于耶稣基督升天的事实：</w:t>
      </w:r>
    </w:p>
    <w:p w14:paraId="6C2E8E58" w14:textId="77777777" w:rsidR="00D85B34" w:rsidRPr="00794712" w:rsidRDefault="00F45CFB" w:rsidP="00D85B34">
      <w:pPr>
        <w:ind w:firstLine="708"/>
        <w:rPr>
          <w:lang w:val="ru-RU"/>
        </w:rPr>
      </w:pPr>
      <w:r w:rsidRPr="00F45CFB">
        <w:rPr>
          <w:b/>
          <w:lang w:val="ru-RU"/>
        </w:rPr>
        <w:t>1)</w:t>
      </w:r>
      <w:r w:rsidR="00D85B34" w:rsidRPr="00794712">
        <w:rPr>
          <w:lang w:val="ru-RU"/>
        </w:rPr>
        <w:t xml:space="preserve"> 早在旧约中就已预言，例如诗人的话语：</w:t>
      </w:r>
      <w:r w:rsidR="00D85B34" w:rsidRPr="004853CC">
        <w:rPr>
          <w:i/>
          <w:iCs/>
          <w:lang w:val="ru-RU"/>
        </w:rPr>
        <w:t>“你升上高天，掳掠了仇敌，为世人领受了恩赐”</w:t>
      </w:r>
      <w:r w:rsidR="004161C1" w:rsidRPr="004161C1">
        <w:rPr>
          <w:lang w:val="ru-RU"/>
        </w:rPr>
        <w:t>[</w:t>
      </w:r>
      <w:r w:rsidR="00D85B34" w:rsidRPr="00794712">
        <w:rPr>
          <w:lang w:val="ru-RU"/>
        </w:rPr>
        <w:t>(诗篇 67</w:t>
      </w:r>
      <w:r w:rsidR="00D85B34" w:rsidRPr="004853CC">
        <w:rPr>
          <w:lang w:val="ru-RU"/>
        </w:rPr>
        <w:t>:</w:t>
      </w:r>
      <w:r w:rsidR="00D85B34" w:rsidRPr="00794712">
        <w:rPr>
          <w:lang w:val="ru-RU"/>
        </w:rPr>
        <w:t>19</w:t>
      </w:r>
      <w:r w:rsidR="004161C1" w:rsidRPr="004161C1">
        <w:rPr>
          <w:lang w:val="ru-RU"/>
        </w:rPr>
        <w:t>)</w:t>
      </w:r>
      <w:r w:rsidR="00D85B34" w:rsidRPr="00794712">
        <w:rPr>
          <w:lang w:val="ru-RU"/>
        </w:rPr>
        <w:t xml:space="preserve">；参见 </w:t>
      </w:r>
      <w:r w:rsidR="004161C1" w:rsidRPr="00BD6C1B">
        <w:rPr>
          <w:lang w:val="ru-RU"/>
        </w:rPr>
        <w:t>(</w:t>
      </w:r>
      <w:r w:rsidR="00D85B34" w:rsidRPr="00794712">
        <w:rPr>
          <w:lang w:val="ru-RU"/>
        </w:rPr>
        <w:t>以弗所书 4</w:t>
      </w:r>
      <w:r w:rsidR="00D85B34">
        <w:rPr>
          <w:lang w:val="ru-RU"/>
        </w:rPr>
        <w:t>:</w:t>
      </w:r>
      <w:r w:rsidR="00D85B34" w:rsidRPr="00794712">
        <w:rPr>
          <w:lang w:val="ru-RU"/>
        </w:rPr>
        <w:t>8-10)</w:t>
      </w:r>
      <w:r w:rsidR="004161C1" w:rsidRPr="004161C1">
        <w:rPr>
          <w:lang w:val="ru-RU"/>
        </w:rPr>
        <w:t>]</w:t>
      </w:r>
      <w:r w:rsidR="00D85B34" w:rsidRPr="00794712">
        <w:rPr>
          <w:lang w:val="ru-RU"/>
        </w:rPr>
        <w:t>。</w:t>
      </w:r>
    </w:p>
    <w:p w14:paraId="5117B9BB" w14:textId="77777777" w:rsidR="00D85B34" w:rsidRPr="00794712" w:rsidRDefault="00F45CFB" w:rsidP="00D85B34">
      <w:pPr>
        <w:ind w:firstLine="708"/>
        <w:rPr>
          <w:lang w:val="ru-RU"/>
        </w:rPr>
      </w:pPr>
      <w:r w:rsidRPr="00F45CFB">
        <w:rPr>
          <w:b/>
          <w:lang w:val="ru-RU"/>
        </w:rPr>
        <w:t>2)</w:t>
      </w:r>
      <w:r w:rsidR="00D85B34" w:rsidRPr="00794712">
        <w:rPr>
          <w:lang w:val="ru-RU"/>
        </w:rPr>
        <w:t xml:space="preserve"> 随后，救主本人也预言道：</w:t>
      </w:r>
      <w:r w:rsidR="00D85B34" w:rsidRPr="004853CC">
        <w:rPr>
          <w:i/>
          <w:iCs/>
          <w:lang w:val="ru-RU"/>
        </w:rPr>
        <w:t>“你们将看见人子升到他原来所在之处”</w:t>
      </w:r>
      <w:r w:rsidR="005864AB">
        <w:rPr>
          <w:lang w:val="ru-RU"/>
        </w:rPr>
        <w:t>（</w:t>
      </w:r>
      <w:r w:rsidR="00D85B34" w:rsidRPr="00794712">
        <w:rPr>
          <w:lang w:val="ru-RU"/>
        </w:rPr>
        <w:t>约6</w:t>
      </w:r>
      <w:r w:rsidR="00D85B34">
        <w:rPr>
          <w:lang w:val="ru-RU"/>
        </w:rPr>
        <w:t>:</w:t>
      </w:r>
      <w:r w:rsidR="00D85B34" w:rsidRPr="00794712">
        <w:rPr>
          <w:lang w:val="ru-RU"/>
        </w:rPr>
        <w:t>62）。</w:t>
      </w:r>
      <w:r w:rsidR="00D85B34" w:rsidRPr="004853CC">
        <w:rPr>
          <w:i/>
          <w:iCs/>
          <w:lang w:val="ru-RU"/>
        </w:rPr>
        <w:t>“我从父出来，到了世上；我又离开世界，往父那里去”</w:t>
      </w:r>
      <w:r w:rsidR="005864AB">
        <w:rPr>
          <w:lang w:val="ru-RU"/>
        </w:rPr>
        <w:t>（约</w:t>
      </w:r>
      <w:r w:rsidR="00D85B34" w:rsidRPr="00794712">
        <w:rPr>
          <w:lang w:val="ru-RU"/>
        </w:rPr>
        <w:t>16</w:t>
      </w:r>
      <w:r w:rsidR="00D85B34" w:rsidRPr="004853CC">
        <w:rPr>
          <w:lang w:val="ru-RU"/>
        </w:rPr>
        <w:t>:</w:t>
      </w:r>
      <w:r w:rsidR="00D85B34" w:rsidRPr="00794712">
        <w:rPr>
          <w:lang w:val="ru-RU"/>
        </w:rPr>
        <w:t>28）。</w:t>
      </w:r>
    </w:p>
    <w:p w14:paraId="163D2D34" w14:textId="77777777" w:rsidR="00D85B34" w:rsidRPr="00794712" w:rsidRDefault="00F45CFB" w:rsidP="00D85B34">
      <w:pPr>
        <w:ind w:firstLine="708"/>
        <w:rPr>
          <w:lang w:val="ru-RU"/>
        </w:rPr>
      </w:pPr>
      <w:r w:rsidRPr="00F45CFB">
        <w:rPr>
          <w:b/>
          <w:lang w:val="ru-RU"/>
        </w:rPr>
        <w:t>3)</w:t>
      </w:r>
      <w:r w:rsidR="00D85B34" w:rsidRPr="00794712">
        <w:rPr>
          <w:lang w:val="ru-RU"/>
        </w:rPr>
        <w:t xml:space="preserve"> 使徒们作证说：</w:t>
      </w:r>
      <w:r w:rsidR="00D85B34" w:rsidRPr="00EB2D0A">
        <w:rPr>
          <w:i/>
          <w:iCs/>
          <w:lang w:val="ru-RU"/>
        </w:rPr>
        <w:t xml:space="preserve">“主与他们交谈之后，升天，坐在上帝的右边” </w:t>
      </w:r>
      <w:r w:rsidR="004161C1" w:rsidRPr="00BD6C1B">
        <w:rPr>
          <w:lang w:val="ru-RU"/>
        </w:rPr>
        <w:t>[</w:t>
      </w:r>
      <w:r w:rsidR="005864AB">
        <w:rPr>
          <w:lang w:val="ru-RU"/>
        </w:rPr>
        <w:t>(可</w:t>
      </w:r>
      <w:r w:rsidR="00D85B34" w:rsidRPr="00794712">
        <w:rPr>
          <w:lang w:val="ru-RU"/>
        </w:rPr>
        <w:t xml:space="preserve"> 16</w:t>
      </w:r>
      <w:r w:rsidR="00D85B34" w:rsidRPr="00EB2D0A">
        <w:rPr>
          <w:lang w:val="ru-RU"/>
        </w:rPr>
        <w:t>:</w:t>
      </w:r>
      <w:r w:rsidR="00D85B34" w:rsidRPr="00794712">
        <w:rPr>
          <w:lang w:val="ru-RU"/>
        </w:rPr>
        <w:t>19</w:t>
      </w:r>
      <w:r w:rsidR="004161C1" w:rsidRPr="00BD6C1B">
        <w:rPr>
          <w:lang w:val="ru-RU"/>
        </w:rPr>
        <w:t>)</w:t>
      </w:r>
      <w:r w:rsidR="00D85B34" w:rsidRPr="00794712">
        <w:rPr>
          <w:lang w:val="ru-RU"/>
        </w:rPr>
        <w:t xml:space="preserve">；参见 </w:t>
      </w:r>
      <w:r w:rsidR="004161C1" w:rsidRPr="00BD6C1B">
        <w:rPr>
          <w:lang w:val="ru-RU"/>
        </w:rPr>
        <w:t>(</w:t>
      </w:r>
      <w:r w:rsidR="0087297C">
        <w:rPr>
          <w:lang w:val="ru-RU"/>
        </w:rPr>
        <w:t>路</w:t>
      </w:r>
      <w:r w:rsidR="00D85B34" w:rsidRPr="00794712">
        <w:rPr>
          <w:lang w:val="ru-RU"/>
        </w:rPr>
        <w:t xml:space="preserve"> 24</w:t>
      </w:r>
      <w:r w:rsidR="00D85B34" w:rsidRPr="00EB2D0A">
        <w:rPr>
          <w:lang w:val="ru-RU"/>
        </w:rPr>
        <w:t>:</w:t>
      </w:r>
      <w:r w:rsidR="00D85B34" w:rsidRPr="00794712">
        <w:rPr>
          <w:lang w:val="ru-RU"/>
        </w:rPr>
        <w:t>50-51</w:t>
      </w:r>
      <w:r w:rsidR="004161C1" w:rsidRPr="00BD6C1B">
        <w:rPr>
          <w:lang w:val="ru-RU"/>
        </w:rPr>
        <w:t>)</w:t>
      </w:r>
      <w:r w:rsidR="00D85B34" w:rsidRPr="00794712">
        <w:rPr>
          <w:lang w:val="ru-RU"/>
        </w:rPr>
        <w:t>；</w:t>
      </w:r>
      <w:r w:rsidR="004161C1" w:rsidRPr="00BD6C1B">
        <w:rPr>
          <w:lang w:val="ru-RU"/>
        </w:rPr>
        <w:t>(</w:t>
      </w:r>
      <w:r w:rsidR="00D85B34" w:rsidRPr="00794712">
        <w:rPr>
          <w:lang w:val="ru-RU"/>
        </w:rPr>
        <w:t>徒 1</w:t>
      </w:r>
      <w:r w:rsidR="00D85B34" w:rsidRPr="00EB2D0A">
        <w:rPr>
          <w:lang w:val="ru-RU"/>
        </w:rPr>
        <w:t>:</w:t>
      </w:r>
      <w:r w:rsidR="00D85B34" w:rsidRPr="00794712">
        <w:rPr>
          <w:lang w:val="ru-RU"/>
        </w:rPr>
        <w:t>9)</w:t>
      </w:r>
      <w:r w:rsidR="004161C1" w:rsidRPr="00BD6C1B">
        <w:rPr>
          <w:lang w:val="ru-RU"/>
        </w:rPr>
        <w:t>]</w:t>
      </w:r>
      <w:r w:rsidR="00D85B34" w:rsidRPr="00794712">
        <w:rPr>
          <w:lang w:val="ru-RU"/>
        </w:rPr>
        <w:t>。</w:t>
      </w:r>
    </w:p>
    <w:p w14:paraId="43FBD771" w14:textId="77777777" w:rsidR="00D85B34" w:rsidRPr="00794712" w:rsidRDefault="00F45CFB" w:rsidP="00D85B34">
      <w:pPr>
        <w:ind w:firstLine="708"/>
        <w:rPr>
          <w:lang w:val="ru-RU"/>
        </w:rPr>
      </w:pPr>
      <w:r w:rsidRPr="00F45CFB">
        <w:rPr>
          <w:b/>
          <w:lang w:val="ru-RU"/>
        </w:rPr>
        <w:t>4)</w:t>
      </w:r>
      <w:r w:rsidR="00D85B34" w:rsidRPr="00794712">
        <w:rPr>
          <w:lang w:val="ru-RU"/>
        </w:rPr>
        <w:t xml:space="preserve"> 这一教义一直被东正教会通过《信经》的措辞所维护和宣认：</w:t>
      </w:r>
      <w:r w:rsidR="00D85B34">
        <w:rPr>
          <w:lang w:val="ru-RU"/>
        </w:rPr>
        <w:t>“</w:t>
      </w:r>
      <w:r w:rsidR="00D85B34" w:rsidRPr="00794712">
        <w:rPr>
          <w:lang w:val="ru-RU"/>
        </w:rPr>
        <w:t>（</w:t>
      </w:r>
      <w:r w:rsidR="00A95A76" w:rsidRPr="00A95A76">
        <w:rPr>
          <w:b/>
          <w:lang w:val="ru-RU"/>
        </w:rPr>
        <w:t>我信耶稣基督）</w:t>
      </w:r>
      <w:r w:rsidR="00D85B34" w:rsidRPr="00794712">
        <w:rPr>
          <w:lang w:val="ru-RU"/>
        </w:rPr>
        <w:t>升天，坐在父的右边</w:t>
      </w:r>
      <w:r w:rsidR="00D85B34">
        <w:rPr>
          <w:lang w:val="ru-RU"/>
        </w:rPr>
        <w:t>。”</w:t>
      </w:r>
    </w:p>
    <w:p w14:paraId="2F84E2B1" w14:textId="77777777" w:rsidR="00D85B34" w:rsidRDefault="00D85B34" w:rsidP="00D85B34">
      <w:pPr>
        <w:rPr>
          <w:lang w:val="ru-RU"/>
        </w:rPr>
      </w:pPr>
    </w:p>
    <w:p w14:paraId="17F97592" w14:textId="77777777" w:rsidR="00D85B34" w:rsidRPr="00794712" w:rsidRDefault="00D85B34" w:rsidP="007B240B">
      <w:pPr>
        <w:pStyle w:val="Heading5"/>
        <w:rPr>
          <w:lang w:val="ru-RU"/>
        </w:rPr>
      </w:pPr>
      <w:bookmarkStart w:id="369" w:name="_Toc133155597"/>
      <w:bookmarkStart w:id="370" w:name="_Toc180664610"/>
      <w:bookmarkStart w:id="371" w:name="_Toc180679231"/>
      <w:bookmarkStart w:id="372" w:name="_Toc180679288"/>
      <w:bookmarkStart w:id="373" w:name="_Toc180679811"/>
      <w:bookmarkStart w:id="374" w:name="_Toc238453694"/>
      <w:bookmarkStart w:id="375" w:name="_Toc238576510"/>
      <w:r w:rsidRPr="00794712">
        <w:rPr>
          <w:lang w:val="ru-RU"/>
        </w:rPr>
        <w:t>§162. 耶稣基督的君王事工会结束吗？</w:t>
      </w:r>
      <w:bookmarkEnd w:id="369"/>
      <w:bookmarkEnd w:id="370"/>
      <w:bookmarkEnd w:id="371"/>
      <w:bookmarkEnd w:id="372"/>
      <w:bookmarkEnd w:id="373"/>
      <w:bookmarkEnd w:id="374"/>
      <w:bookmarkEnd w:id="375"/>
    </w:p>
    <w:p w14:paraId="582030A3" w14:textId="77777777" w:rsidR="00D85B34" w:rsidRPr="00794712" w:rsidRDefault="00D85B34" w:rsidP="00D85B34">
      <w:pPr>
        <w:ind w:firstLine="708"/>
        <w:rPr>
          <w:lang w:val="ru-RU"/>
        </w:rPr>
      </w:pPr>
      <w:r w:rsidRPr="00794712">
        <w:rPr>
          <w:lang w:val="ru-RU"/>
        </w:rPr>
        <w:t>作为上帝的独生子，主耶稣将人性接纳到祂神性位格的合一之中，进入祂的荣耀</w:t>
      </w:r>
      <w:r w:rsidRPr="001D0370">
        <w:rPr>
          <w:i/>
          <w:iCs/>
          <w:lang w:val="ru-RU"/>
        </w:rPr>
        <w:t>——“这荣耀是祂在世界未造以先，在父那里所拥有的”</w:t>
      </w:r>
      <w:r w:rsidRPr="00794712">
        <w:rPr>
          <w:lang w:val="ru-RU"/>
        </w:rPr>
        <w:t xml:space="preserve"> </w:t>
      </w:r>
      <w:r w:rsidR="005864AB">
        <w:rPr>
          <w:lang w:val="ru-RU"/>
        </w:rPr>
        <w:t>（</w:t>
      </w:r>
      <w:r w:rsidRPr="00794712">
        <w:rPr>
          <w:lang w:val="ru-RU"/>
        </w:rPr>
        <w:t>约17</w:t>
      </w:r>
      <w:r>
        <w:rPr>
          <w:lang w:val="ru-RU"/>
        </w:rPr>
        <w:t>:</w:t>
      </w:r>
      <w:r w:rsidRPr="00794712">
        <w:rPr>
          <w:lang w:val="ru-RU"/>
        </w:rPr>
        <w:t>5），将永远存于这永恒的荣耀之中，永远作为天地之王，与圣父和圣灵一同，受万物敬拜和尊崇：从这个意义上</w:t>
      </w:r>
      <w:r w:rsidRPr="001D0370">
        <w:rPr>
          <w:i/>
          <w:iCs/>
          <w:lang w:val="ru-RU"/>
        </w:rPr>
        <w:t>说，“他的</w:t>
      </w:r>
      <w:r>
        <w:rPr>
          <w:i/>
          <w:iCs/>
          <w:lang w:val="ru-RU"/>
        </w:rPr>
        <w:t>国</w:t>
      </w:r>
      <w:r w:rsidRPr="001D0370">
        <w:rPr>
          <w:i/>
          <w:iCs/>
          <w:lang w:val="ru-RU"/>
        </w:rPr>
        <w:t>没有穷尽”</w:t>
      </w:r>
      <w:r w:rsidR="008A3626">
        <w:rPr>
          <w:lang w:val="ru-RU"/>
        </w:rPr>
        <w:t>（</w:t>
      </w:r>
      <w:r w:rsidRPr="00794712">
        <w:rPr>
          <w:lang w:val="ru-RU"/>
        </w:rPr>
        <w:t>路1</w:t>
      </w:r>
      <w:r>
        <w:rPr>
          <w:lang w:val="ru-RU"/>
        </w:rPr>
        <w:t>:</w:t>
      </w:r>
      <w:r w:rsidRPr="00794712">
        <w:rPr>
          <w:lang w:val="ru-RU"/>
        </w:rPr>
        <w:t>33）。 但祂作为我们救赎主、为拯救人类而展开的君王事工——这事工始于地上，延续至天上——终将结束，即当它完全成就之时，那时所有真正信靠祂的人都将得着救恩：就此而言</w:t>
      </w:r>
      <w:r w:rsidRPr="001D0370">
        <w:rPr>
          <w:i/>
          <w:iCs/>
          <w:lang w:val="ru-RU"/>
        </w:rPr>
        <w:t>，“祂必须作王，直到将一切仇敌都置于祂的脚下”</w:t>
      </w:r>
      <w:r w:rsidRPr="00794712">
        <w:rPr>
          <w:lang w:val="ru-RU"/>
        </w:rPr>
        <w:t xml:space="preserve"> </w:t>
      </w:r>
      <w:r w:rsidR="00621F17">
        <w:rPr>
          <w:lang w:val="ru-RU"/>
        </w:rPr>
        <w:t>（</w:t>
      </w:r>
      <w:r w:rsidRPr="00794712">
        <w:rPr>
          <w:lang w:val="ru-RU"/>
        </w:rPr>
        <w:t>林前15</w:t>
      </w:r>
      <w:r>
        <w:rPr>
          <w:lang w:val="ru-RU"/>
        </w:rPr>
        <w:t>:</w:t>
      </w:r>
      <w:r w:rsidRPr="00794712">
        <w:rPr>
          <w:lang w:val="ru-RU"/>
        </w:rPr>
        <w:t>25）。而这</w:t>
      </w:r>
      <w:r w:rsidRPr="001D0370">
        <w:rPr>
          <w:i/>
          <w:iCs/>
          <w:lang w:val="ru-RU"/>
        </w:rPr>
        <w:t>将在“最后的仇敌——死亡——被消灭”</w:t>
      </w:r>
      <w:r w:rsidR="00621F17">
        <w:rPr>
          <w:lang w:val="ru-RU"/>
        </w:rPr>
        <w:t>（</w:t>
      </w:r>
      <w:r w:rsidRPr="00794712">
        <w:rPr>
          <w:lang w:val="ru-RU"/>
        </w:rPr>
        <w:t>林前15</w:t>
      </w:r>
      <w:r>
        <w:rPr>
          <w:lang w:val="ru-RU"/>
        </w:rPr>
        <w:t>:</w:t>
      </w:r>
      <w:r w:rsidRPr="00794712">
        <w:rPr>
          <w:lang w:val="ru-RU"/>
        </w:rPr>
        <w:t>26）、</w:t>
      </w:r>
      <w:r>
        <w:rPr>
          <w:lang w:val="ru-RU"/>
        </w:rPr>
        <w:t>所有死人复活</w:t>
      </w:r>
      <w:r w:rsidR="005864AB">
        <w:rPr>
          <w:lang w:val="ru-RU"/>
        </w:rPr>
        <w:t>（</w:t>
      </w:r>
      <w:r w:rsidRPr="00794712">
        <w:rPr>
          <w:lang w:val="ru-RU"/>
        </w:rPr>
        <w:t>约5</w:t>
      </w:r>
      <w:r>
        <w:rPr>
          <w:lang w:val="ru-RU"/>
        </w:rPr>
        <w:t>:</w:t>
      </w:r>
      <w:r w:rsidRPr="00794712">
        <w:rPr>
          <w:lang w:val="ru-RU"/>
        </w:rPr>
        <w:t>25）、天地更新 （</w:t>
      </w:r>
      <w:r w:rsidR="0087297C">
        <w:rPr>
          <w:lang w:val="ru-RU"/>
        </w:rPr>
        <w:t>彼得后书</w:t>
      </w:r>
      <w:r w:rsidRPr="00794712">
        <w:rPr>
          <w:lang w:val="ru-RU"/>
        </w:rPr>
        <w:t xml:space="preserve"> 3</w:t>
      </w:r>
      <w:r w:rsidRPr="001D0370">
        <w:rPr>
          <w:lang w:val="ru-RU"/>
        </w:rPr>
        <w:t>:</w:t>
      </w:r>
      <w:r w:rsidRPr="00794712">
        <w:rPr>
          <w:lang w:val="ru-RU"/>
        </w:rPr>
        <w:t>6-7</w:t>
      </w:r>
      <w:r w:rsidRPr="00B425D2">
        <w:rPr>
          <w:lang w:val="ru-RU"/>
        </w:rPr>
        <w:t>,</w:t>
      </w:r>
      <w:r w:rsidRPr="00794712">
        <w:rPr>
          <w:lang w:val="ru-RU"/>
        </w:rPr>
        <w:t>13）——届时，祂将以全部荣耀显现，施行普世审判，并作为</w:t>
      </w:r>
      <w:r w:rsidRPr="00B425D2">
        <w:rPr>
          <w:i/>
          <w:iCs/>
          <w:lang w:val="ru-RU"/>
        </w:rPr>
        <w:t>“坐在祂右边的君王”</w:t>
      </w:r>
      <w:r w:rsidRPr="00794712">
        <w:rPr>
          <w:lang w:val="ru-RU"/>
        </w:rPr>
        <w:t>宣告</w:t>
      </w:r>
      <w:r w:rsidRPr="00B425D2">
        <w:rPr>
          <w:i/>
          <w:iCs/>
          <w:lang w:val="ru-RU"/>
        </w:rPr>
        <w:t>：“你们这蒙我父赐福的，可来承受那为你们预备的国度，这国度是从创世以来为你们预备的”</w:t>
      </w:r>
      <w:r w:rsidRPr="00794712">
        <w:rPr>
          <w:lang w:val="ru-RU"/>
        </w:rPr>
        <w:t xml:space="preserve"> </w:t>
      </w:r>
      <w:r w:rsidR="00224D5E">
        <w:rPr>
          <w:lang w:val="ru-RU"/>
        </w:rPr>
        <w:t>（马太福音</w:t>
      </w:r>
      <w:r w:rsidRPr="00794712">
        <w:rPr>
          <w:lang w:val="ru-RU"/>
        </w:rPr>
        <w:t xml:space="preserve"> 25</w:t>
      </w:r>
      <w:r w:rsidRPr="00B425D2">
        <w:rPr>
          <w:lang w:val="ru-RU"/>
        </w:rPr>
        <w:t>:</w:t>
      </w:r>
      <w:r w:rsidRPr="00794712">
        <w:rPr>
          <w:lang w:val="ru-RU"/>
        </w:rPr>
        <w:t>34），</w:t>
      </w:r>
      <w:r w:rsidRPr="00B425D2">
        <w:rPr>
          <w:i/>
          <w:iCs/>
          <w:lang w:val="ru-RU"/>
        </w:rPr>
        <w:t>并将“把国度交与神，就是父”</w:t>
      </w:r>
      <w:r w:rsidR="00621F17">
        <w:rPr>
          <w:lang w:val="ru-RU"/>
        </w:rPr>
        <w:t>（哥林多前书</w:t>
      </w:r>
      <w:r w:rsidRPr="00794712">
        <w:rPr>
          <w:lang w:val="ru-RU"/>
        </w:rPr>
        <w:t xml:space="preserve"> 15</w:t>
      </w:r>
      <w:r w:rsidRPr="00B425D2">
        <w:rPr>
          <w:lang w:val="ru-RU"/>
        </w:rPr>
        <w:t>:</w:t>
      </w:r>
      <w:r w:rsidRPr="00794712">
        <w:rPr>
          <w:lang w:val="ru-RU"/>
        </w:rPr>
        <w:t>24），</w:t>
      </w:r>
      <w:r w:rsidRPr="00B425D2">
        <w:rPr>
          <w:i/>
          <w:iCs/>
          <w:lang w:val="ru-RU"/>
        </w:rPr>
        <w:t>使“神在万有之中，为万有”</w:t>
      </w:r>
      <w:r w:rsidR="00621F17">
        <w:rPr>
          <w:lang w:val="ru-RU"/>
        </w:rPr>
        <w:t>（哥林多前书</w:t>
      </w:r>
      <w:r w:rsidRPr="00794712">
        <w:rPr>
          <w:lang w:val="ru-RU"/>
        </w:rPr>
        <w:t xml:space="preserve"> 15</w:t>
      </w:r>
      <w:r w:rsidRPr="00B425D2">
        <w:rPr>
          <w:lang w:val="ru-RU"/>
        </w:rPr>
        <w:t>:</w:t>
      </w:r>
      <w:r w:rsidRPr="00794712">
        <w:rPr>
          <w:lang w:val="ru-RU"/>
        </w:rPr>
        <w:t>28）。</w:t>
      </w:r>
    </w:p>
    <w:p w14:paraId="65F6CBCF" w14:textId="77777777" w:rsidR="00D85B34" w:rsidRPr="00794712" w:rsidRDefault="00D85B34" w:rsidP="00D85B34">
      <w:pPr>
        <w:rPr>
          <w:lang w:val="ru-RU"/>
        </w:rPr>
      </w:pPr>
      <w:r w:rsidRPr="00794712">
        <w:rPr>
          <w:lang w:val="ru-RU"/>
        </w:rPr>
        <w:tab/>
        <w:t>教会圣父和教师们正是这样看待耶稣基督的君王尊严与事工的。例如：</w:t>
      </w:r>
    </w:p>
    <w:p w14:paraId="47F5A1EF" w14:textId="77777777" w:rsidR="00D85B34" w:rsidRPr="00794712" w:rsidRDefault="00D85B34" w:rsidP="00D85B34">
      <w:pPr>
        <w:rPr>
          <w:lang w:val="ru-RU"/>
        </w:rPr>
      </w:pPr>
      <w:r w:rsidRPr="00794712">
        <w:rPr>
          <w:lang w:val="ru-RU"/>
        </w:rPr>
        <w:tab/>
        <w:t>圣格里高利·神学家：“圣子被称为‘掌权者’——从一个意义上说，他是全能者，是愿者与不愿者共同的君王；从另一个意义上说，他是引导我们顺服的主，并将那些自愿承认他为君王的人纳入了他的国度。 若按第一种含义理解，祂的国度将永无止境；若按第二种含义理解，它会有终结吗？</w:t>
      </w:r>
      <w:r>
        <w:rPr>
          <w:lang w:val="ru-RU"/>
        </w:rPr>
        <w:t>——</w:t>
      </w:r>
      <w:r w:rsidRPr="00794712">
        <w:rPr>
          <w:lang w:val="ru-RU"/>
        </w:rPr>
        <w:t>那就是祂将把我们这些得救之人接纳在祂的翅膀之下（因为那些已经顺服的人，还有必要再引导他们顺服吗？）； 随后，祂将作为审判者兴起（《诗篇》93</w:t>
      </w:r>
      <w:r w:rsidR="004161C1" w:rsidRPr="004161C1">
        <w:rPr>
          <w:lang w:val="ru-RU"/>
        </w:rPr>
        <w:t>:</w:t>
      </w:r>
      <w:r w:rsidR="00F45CFB" w:rsidRPr="004161C1">
        <w:rPr>
          <w:bCs/>
          <w:lang w:val="ru-RU"/>
        </w:rPr>
        <w:t>3）</w:t>
      </w:r>
      <w:r w:rsidRPr="00794712">
        <w:rPr>
          <w:lang w:val="ru-RU"/>
        </w:rPr>
        <w:t>，将得救者与灭亡者分开；然后，上帝将站在得救之人的众神之中，以审判并决定谁获得了何等的荣耀与居所。</w:t>
      </w:r>
      <w:r>
        <w:rPr>
          <w:lang w:val="ru-RU"/>
        </w:rPr>
        <w:t>”</w:t>
      </w:r>
      <w:r w:rsidR="003069B3">
        <w:rPr>
          <w:rStyle w:val="FootnoteReference"/>
          <w:lang w:val="ru-RU"/>
        </w:rPr>
        <w:footnoteReference w:id="424"/>
      </w:r>
    </w:p>
    <w:p w14:paraId="35523095" w14:textId="77777777" w:rsidR="00D85B34" w:rsidRPr="00794712" w:rsidRDefault="00D85B34" w:rsidP="00D85B34">
      <w:pPr>
        <w:rPr>
          <w:lang w:val="ru-RU"/>
        </w:rPr>
      </w:pPr>
      <w:r w:rsidRPr="00794712">
        <w:rPr>
          <w:lang w:val="ru-RU"/>
        </w:rPr>
        <w:tab/>
        <w:t>圣约翰·金口：</w:t>
      </w:r>
      <w:r w:rsidRPr="00B425D2">
        <w:rPr>
          <w:lang w:val="ru-RU"/>
        </w:rPr>
        <w:t>“‘将国度交出</w:t>
      </w:r>
      <w:r w:rsidR="00621F17">
        <w:rPr>
          <w:lang w:val="ru-RU"/>
        </w:rPr>
        <w:t>’（</w:t>
      </w:r>
      <w:r w:rsidRPr="00794712">
        <w:rPr>
          <w:lang w:val="ru-RU"/>
        </w:rPr>
        <w:t>林前15</w:t>
      </w:r>
      <w:r>
        <w:rPr>
          <w:lang w:val="ru-RU"/>
        </w:rPr>
        <w:t>:</w:t>
      </w:r>
      <w:r w:rsidRPr="00794712">
        <w:rPr>
          <w:lang w:val="ru-RU"/>
        </w:rPr>
        <w:t>24）是什么意思？圣经所说的上帝的国度有两个：一个是按领受而言的，另一个是按创造而言的。 基督凭着创造之权，统治万有——包括外邦人、犹太人、魔鬼和仇敌；凭着接纳之权，统治信徒及自愿顺服祂的人。关于这个国度，经上说它将有其开端……祂正是要把这个国度交托给父。</w:t>
      </w:r>
      <w:r>
        <w:rPr>
          <w:lang w:val="ru-RU"/>
        </w:rPr>
        <w:t>”</w:t>
      </w:r>
      <w:r w:rsidR="003069B3">
        <w:rPr>
          <w:rStyle w:val="FootnoteReference"/>
          <w:lang w:val="ru-RU"/>
        </w:rPr>
        <w:footnoteReference w:id="425"/>
      </w:r>
    </w:p>
    <w:p w14:paraId="2D1E870B" w14:textId="77777777" w:rsidR="00D85B34" w:rsidRPr="00794712" w:rsidRDefault="00D85B34" w:rsidP="00D85B34">
      <w:pPr>
        <w:rPr>
          <w:lang w:val="ru-RU"/>
        </w:rPr>
      </w:pPr>
      <w:r w:rsidRPr="00794712">
        <w:rPr>
          <w:lang w:val="ru-RU"/>
        </w:rPr>
        <w:tab/>
        <w:t>圣泽农·维罗纳： “使徒保罗</w:t>
      </w:r>
      <w:r w:rsidR="00621F17">
        <w:rPr>
          <w:lang w:val="ru-RU"/>
        </w:rPr>
        <w:t>（</w:t>
      </w:r>
      <w:r w:rsidR="00F45CFB" w:rsidRPr="004161C1">
        <w:rPr>
          <w:bCs/>
          <w:lang w:val="ru-RU"/>
        </w:rPr>
        <w:t>林前15</w:t>
      </w:r>
      <w:r>
        <w:rPr>
          <w:lang w:val="ru-RU"/>
        </w:rPr>
        <w:t>:</w:t>
      </w:r>
      <w:r w:rsidR="00F45CFB" w:rsidRPr="004161C1">
        <w:rPr>
          <w:bCs/>
          <w:lang w:val="ru-RU"/>
        </w:rPr>
        <w:t>24）</w:t>
      </w:r>
      <w:r w:rsidRPr="00794712">
        <w:rPr>
          <w:lang w:val="ru-RU"/>
        </w:rPr>
        <w:t>谈到了道成肉身之神暂时的国度，该国度结束后，祂将再来，对活人死人施行审判；这一点由经文本身的语境所证实，其中提到基督必须与祂的圣徒一同作王，直到废除一切掌权者、 一切权柄和能力，直到将一切仇敌都置于祂的脚下，直到最后的仇敌——死亡——被消灭</w:t>
      </w:r>
      <w:r w:rsidR="00621F17">
        <w:rPr>
          <w:lang w:val="ru-RU"/>
        </w:rPr>
        <w:t>（《哥林多前书》</w:t>
      </w:r>
      <w:r w:rsidRPr="00794712">
        <w:rPr>
          <w:lang w:val="ru-RU"/>
        </w:rPr>
        <w:t>15</w:t>
      </w:r>
      <w:r>
        <w:rPr>
          <w:lang w:val="ru-RU"/>
        </w:rPr>
        <w:t>:</w:t>
      </w:r>
      <w:r w:rsidRPr="00794712">
        <w:rPr>
          <w:lang w:val="ru-RU"/>
        </w:rPr>
        <w:t>24-26）。 但福音书作者路加</w:t>
      </w:r>
      <w:r w:rsidR="008A3626">
        <w:rPr>
          <w:lang w:val="ru-RU"/>
        </w:rPr>
        <w:t>（路加福音</w:t>
      </w:r>
      <w:r w:rsidRPr="00794712">
        <w:rPr>
          <w:lang w:val="ru-RU"/>
        </w:rPr>
        <w:t xml:space="preserve"> 1</w:t>
      </w:r>
      <w:r>
        <w:rPr>
          <w:lang w:val="ru-RU"/>
        </w:rPr>
        <w:t>:</w:t>
      </w:r>
      <w:r w:rsidR="00F45CFB" w:rsidRPr="004161C1">
        <w:rPr>
          <w:bCs/>
          <w:lang w:val="ru-RU"/>
        </w:rPr>
        <w:t>34）</w:t>
      </w:r>
      <w:r w:rsidRPr="00794712">
        <w:rPr>
          <w:lang w:val="ru-RU"/>
        </w:rPr>
        <w:t>和所罗门（箴言 3</w:t>
      </w:r>
      <w:r>
        <w:rPr>
          <w:lang w:val="ru-RU"/>
        </w:rPr>
        <w:t>:</w:t>
      </w:r>
      <w:r w:rsidR="001B763B" w:rsidRPr="004161C1">
        <w:rPr>
          <w:bCs/>
          <w:lang w:val="ru-RU"/>
        </w:rPr>
        <w:t>4-8）</w:t>
      </w:r>
      <w:r w:rsidRPr="00794712">
        <w:rPr>
          <w:lang w:val="ru-RU"/>
        </w:rPr>
        <w:t>所指的，是那最初的权柄——圣子自亘古至永远都持续参与其中，他从未从父那里领受国度，也永远不会将国度交还给父。</w:t>
      </w:r>
      <w:r>
        <w:rPr>
          <w:lang w:val="ru-RU"/>
        </w:rPr>
        <w:t>”</w:t>
      </w:r>
      <w:r w:rsidR="003069B3">
        <w:rPr>
          <w:rStyle w:val="FootnoteReference"/>
          <w:lang w:val="ru-RU"/>
        </w:rPr>
        <w:footnoteReference w:id="426"/>
      </w:r>
    </w:p>
    <w:p w14:paraId="072F6C58" w14:textId="77777777" w:rsidR="00D85B34" w:rsidRDefault="00D85B34" w:rsidP="00D85B34">
      <w:pPr>
        <w:rPr>
          <w:lang w:val="ru-RU"/>
        </w:rPr>
      </w:pPr>
      <w:r w:rsidRPr="00794712">
        <w:rPr>
          <w:lang w:val="ru-RU"/>
        </w:rPr>
        <w:tab/>
      </w:r>
    </w:p>
    <w:p w14:paraId="415C1A0D" w14:textId="77777777" w:rsidR="00D85B34" w:rsidRPr="00794712" w:rsidRDefault="00D85B34" w:rsidP="007B240B">
      <w:pPr>
        <w:pStyle w:val="Heading5"/>
        <w:rPr>
          <w:lang w:val="ru-RU"/>
        </w:rPr>
      </w:pPr>
      <w:bookmarkStart w:id="376" w:name="_Toc133155598"/>
      <w:bookmarkStart w:id="377" w:name="_Toc180664611"/>
      <w:bookmarkStart w:id="378" w:name="_Toc180679232"/>
      <w:bookmarkStart w:id="379" w:name="_Toc180679289"/>
      <w:bookmarkStart w:id="380" w:name="_Toc180679812"/>
      <w:bookmarkStart w:id="381" w:name="_Toc238453695"/>
      <w:bookmarkStart w:id="382" w:name="_Toc238576511"/>
      <w:r w:rsidRPr="00794712">
        <w:rPr>
          <w:lang w:val="ru-RU"/>
        </w:rPr>
        <w:t>§163. 关于救赎奥秘教义的道德应用</w:t>
      </w:r>
      <w:bookmarkEnd w:id="376"/>
      <w:bookmarkEnd w:id="377"/>
      <w:bookmarkEnd w:id="378"/>
      <w:bookmarkEnd w:id="379"/>
      <w:bookmarkEnd w:id="380"/>
      <w:bookmarkEnd w:id="381"/>
      <w:bookmarkEnd w:id="382"/>
    </w:p>
    <w:p w14:paraId="05603367" w14:textId="77777777" w:rsidR="00D85B34" w:rsidRPr="00794712" w:rsidRDefault="00D85B34" w:rsidP="00D85B34">
      <w:pPr>
        <w:ind w:firstLine="708"/>
        <w:rPr>
          <w:lang w:val="ru-RU"/>
        </w:rPr>
      </w:pPr>
      <w:r w:rsidRPr="004161C1">
        <w:rPr>
          <w:b/>
          <w:bCs/>
          <w:lang w:val="ru-RU"/>
        </w:rPr>
        <w:t>1.</w:t>
      </w:r>
      <w:r w:rsidRPr="00794712">
        <w:rPr>
          <w:lang w:val="ru-RU"/>
        </w:rPr>
        <w:t xml:space="preserve"> 我们的救主，作为先知——</w:t>
      </w:r>
    </w:p>
    <w:p w14:paraId="56A09F41" w14:textId="77777777" w:rsidR="00D85B34" w:rsidRPr="00794712" w:rsidRDefault="00D85B34" w:rsidP="00D85B34">
      <w:pPr>
        <w:rPr>
          <w:lang w:val="ru-RU"/>
        </w:rPr>
      </w:pPr>
      <w:r w:rsidRPr="00794712">
        <w:rPr>
          <w:lang w:val="ru-RU"/>
        </w:rPr>
        <w:lastRenderedPageBreak/>
        <w:tab/>
      </w:r>
      <w:r w:rsidRPr="004161C1">
        <w:rPr>
          <w:b/>
          <w:bCs/>
        </w:rPr>
        <w:t>a</w:t>
      </w:r>
      <w:r w:rsidRPr="004161C1">
        <w:rPr>
          <w:b/>
          <w:bCs/>
          <w:lang w:val="ru-RU"/>
        </w:rPr>
        <w:t>)</w:t>
      </w:r>
      <w:r w:rsidRPr="00794712">
        <w:rPr>
          <w:lang w:val="ru-RU"/>
        </w:rPr>
        <w:t xml:space="preserve"> 赐予了我们信仰与虔敬的律法：我们必须接受这一律法，顺服它，并在我们的行为中践行它——否则它将不会给我们带来任何果效，对我们而言仍将遥不可及。</w:t>
      </w:r>
    </w:p>
    <w:p w14:paraId="6B0A5A3A"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赐予了比旧约律法更完美的新律法：我们必须在接纳它之后，致力于在更新的生命中行走（罗6</w:t>
      </w:r>
      <w:r>
        <w:rPr>
          <w:lang w:val="ru-RU"/>
        </w:rPr>
        <w:t>:</w:t>
      </w:r>
      <w:r w:rsidRPr="00794712">
        <w:rPr>
          <w:lang w:val="ru-RU"/>
        </w:rPr>
        <w:t>4），并使我们的公义不仅胜过文士和法利赛人的公义</w:t>
      </w:r>
      <w:r w:rsidR="00224D5E">
        <w:rPr>
          <w:lang w:val="ru-RU"/>
        </w:rPr>
        <w:t>（太</w:t>
      </w:r>
      <w:r w:rsidRPr="00794712">
        <w:rPr>
          <w:lang w:val="ru-RU"/>
        </w:rPr>
        <w:t>5</w:t>
      </w:r>
      <w:r>
        <w:rPr>
          <w:lang w:val="ru-RU"/>
        </w:rPr>
        <w:t>:</w:t>
      </w:r>
      <w:r w:rsidRPr="00794712">
        <w:rPr>
          <w:lang w:val="ru-RU"/>
        </w:rPr>
        <w:t>20），甚至胜过旧约时代的义人。</w:t>
      </w:r>
      <w:r w:rsidR="003069B3">
        <w:rPr>
          <w:rStyle w:val="FootnoteReference"/>
          <w:lang w:val="ru-RU"/>
        </w:rPr>
        <w:footnoteReference w:id="427"/>
      </w:r>
      <w:r w:rsidRPr="00794712">
        <w:rPr>
          <w:lang w:val="ru-RU"/>
        </w:rPr>
        <w:t xml:space="preserve"> 我们的立法者向我们阐明律法的精髓时，曾吩咐说：“你们要完全，像你们的天父完全一样”</w:t>
      </w:r>
      <w:r w:rsidR="00224D5E">
        <w:rPr>
          <w:lang w:val="ru-RU"/>
        </w:rPr>
        <w:t>（太</w:t>
      </w:r>
      <w:r w:rsidRPr="00794712">
        <w:rPr>
          <w:lang w:val="ru-RU"/>
        </w:rPr>
        <w:t>5</w:t>
      </w:r>
      <w:r>
        <w:rPr>
          <w:lang w:val="ru-RU"/>
        </w:rPr>
        <w:t>:</w:t>
      </w:r>
      <w:r w:rsidRPr="00794712">
        <w:rPr>
          <w:lang w:val="ru-RU"/>
        </w:rPr>
        <w:t>48）。</w:t>
      </w:r>
    </w:p>
    <w:p w14:paraId="07344634"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赐下了适用于所有人的唯一救赎之律法：我们必须将这无价的珍宝视若珍宝，并竭尽全力恪守它，直至生命终结。</w:t>
      </w:r>
    </w:p>
    <w:p w14:paraId="7B75F85A" w14:textId="77777777" w:rsidR="00D85B34" w:rsidRPr="00794712" w:rsidRDefault="00D85B34" w:rsidP="00D85B34">
      <w:pPr>
        <w:ind w:firstLine="708"/>
        <w:rPr>
          <w:lang w:val="ru-RU"/>
        </w:rPr>
      </w:pPr>
      <w:r w:rsidRPr="004161C1">
        <w:rPr>
          <w:b/>
          <w:bCs/>
          <w:lang w:val="ru-RU"/>
        </w:rPr>
        <w:t>2.</w:t>
      </w:r>
      <w:r w:rsidRPr="00794712">
        <w:rPr>
          <w:lang w:val="ru-RU"/>
        </w:rPr>
        <w:t xml:space="preserve"> 我们的救主主，作为大祭司——</w:t>
      </w:r>
    </w:p>
    <w:p w14:paraId="77C58F20"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为我们这些罪人献上了祂自己作为赎罪祭：想到这一点，我们首先要学会怀着最深切的感恩与爱，在对我们无限仁慈的主面前俯伏敬拜。</w:t>
      </w:r>
    </w:p>
    <w:p w14:paraId="7110B755"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祂藉着十字架并在十字架上成就了我们的救赎：因此，我们有不可推卸的责任，要虔诚地尊崇这救赎我们的神圣器物，为的是那位在上面受难的神人； 以各种方式予以尊崇——这些方式是根据圣使徒的传统，至今仍由东正教会恪守并传授给我们的；同时，怀着心中的信仰，随时随地以划十字圣号来谋求我们的灵性益处，用它来圣化我们的一切计划与行为，并借此抵御一切诱惑与试探 （《东正教信条》第一卷，对第50个问题的回答）。</w:t>
      </w:r>
    </w:p>
    <w:p w14:paraId="295629B2" w14:textId="77777777" w:rsidR="00D85B34" w:rsidRPr="00794712" w:rsidRDefault="00D85B34" w:rsidP="00D85B34">
      <w:pPr>
        <w:rPr>
          <w:lang w:val="ru-RU"/>
        </w:rPr>
      </w:pPr>
      <w:r w:rsidRPr="00794712">
        <w:rPr>
          <w:lang w:val="ru-RU"/>
        </w:rPr>
        <w:tab/>
      </w:r>
      <w:r w:rsidR="00A95A76" w:rsidRPr="00A95A76">
        <w:rPr>
          <w:b/>
          <w:lang w:val="ru-RU"/>
        </w:rPr>
        <w:t>c)</w:t>
      </w:r>
      <w:r w:rsidRPr="00794712">
        <w:rPr>
          <w:lang w:val="ru-RU"/>
        </w:rPr>
        <w:t xml:space="preserve"> 祂藉着在十字架上的受难，使我们脱离了罪及其一切毁灭性的后果，并为我们赢得了成圣与永生：</w:t>
      </w:r>
      <w:r w:rsidRPr="00F827A2">
        <w:rPr>
          <w:i/>
          <w:iCs/>
          <w:lang w:val="ru-RU"/>
        </w:rPr>
        <w:t>愿罪不在</w:t>
      </w:r>
      <w:r>
        <w:rPr>
          <w:i/>
          <w:iCs/>
          <w:lang w:val="ru-RU"/>
        </w:rPr>
        <w:t>我们这</w:t>
      </w:r>
      <w:r w:rsidRPr="00F827A2">
        <w:rPr>
          <w:i/>
          <w:iCs/>
          <w:lang w:val="ru-RU"/>
        </w:rPr>
        <w:t>必死的身体里作王，</w:t>
      </w:r>
      <w:r>
        <w:rPr>
          <w:i/>
          <w:iCs/>
          <w:lang w:val="ru-RU"/>
        </w:rPr>
        <w:t>使我们</w:t>
      </w:r>
      <w:r w:rsidRPr="00F827A2">
        <w:rPr>
          <w:i/>
          <w:iCs/>
          <w:lang w:val="ru-RU"/>
        </w:rPr>
        <w:t>顺从它的私欲</w:t>
      </w:r>
      <w:r w:rsidRPr="00794712">
        <w:rPr>
          <w:lang w:val="ru-RU"/>
        </w:rPr>
        <w:t>；</w:t>
      </w:r>
      <w:r w:rsidRPr="00F827A2">
        <w:rPr>
          <w:i/>
          <w:iCs/>
          <w:lang w:val="ru-RU"/>
        </w:rPr>
        <w:t>也不要将我们的肢体献给罪作不义的器具，而要将自己献给神</w:t>
      </w:r>
      <w:r w:rsidRPr="00794712">
        <w:rPr>
          <w:lang w:val="ru-RU"/>
        </w:rPr>
        <w:t xml:space="preserve">； </w:t>
      </w:r>
      <w:r w:rsidRPr="00F827A2">
        <w:rPr>
          <w:i/>
          <w:iCs/>
          <w:lang w:val="ru-RU"/>
        </w:rPr>
        <w:t>这样，我们既从罪中得释放，又作了神的奴仆，我们的果子就是圣洁，结局就是永生”</w:t>
      </w:r>
      <w:r w:rsidRPr="00794712">
        <w:rPr>
          <w:lang w:val="ru-RU"/>
        </w:rPr>
        <w:t>（罗6</w:t>
      </w:r>
      <w:r>
        <w:rPr>
          <w:lang w:val="ru-RU"/>
        </w:rPr>
        <w:t>:</w:t>
      </w:r>
      <w:r w:rsidRPr="00794712">
        <w:rPr>
          <w:lang w:val="ru-RU"/>
        </w:rPr>
        <w:t>12-13</w:t>
      </w:r>
      <w:r>
        <w:rPr>
          <w:lang w:val="ru-RU"/>
        </w:rPr>
        <w:t>,</w:t>
      </w:r>
      <w:r w:rsidRPr="00794712">
        <w:rPr>
          <w:lang w:val="ru-RU"/>
        </w:rPr>
        <w:t xml:space="preserve"> 22）。</w:t>
      </w:r>
    </w:p>
    <w:p w14:paraId="698A6834" w14:textId="77777777" w:rsidR="00D85B34" w:rsidRPr="00794712" w:rsidRDefault="00D85B34" w:rsidP="00D85B34">
      <w:pPr>
        <w:rPr>
          <w:lang w:val="ru-RU"/>
        </w:rPr>
      </w:pPr>
      <w:r w:rsidRPr="00794712">
        <w:rPr>
          <w:lang w:val="ru-RU"/>
        </w:rPr>
        <w:tab/>
      </w:r>
      <w:r w:rsidR="00A95A76" w:rsidRPr="00A95A76">
        <w:rPr>
          <w:b/>
          <w:lang w:val="ru-RU"/>
        </w:rPr>
        <w:t>d)</w:t>
      </w:r>
      <w:r w:rsidRPr="00794712">
        <w:rPr>
          <w:lang w:val="ru-RU"/>
        </w:rPr>
        <w:t xml:space="preserve"> 祂借着受苦和十字架进入了祂的荣耀：</w:t>
      </w:r>
      <w:r w:rsidRPr="00F827A2">
        <w:rPr>
          <w:i/>
          <w:iCs/>
          <w:lang w:val="ru-RU"/>
        </w:rPr>
        <w:t>并且“给我们留了榜样，叫我们跟随祂的脚踪”</w:t>
      </w:r>
      <w:r w:rsidRPr="00794712">
        <w:rPr>
          <w:lang w:val="ru-RU"/>
        </w:rPr>
        <w:t>（</w:t>
      </w:r>
      <w:r w:rsidR="0087297C">
        <w:rPr>
          <w:lang w:val="ru-RU"/>
        </w:rPr>
        <w:t>彼</w:t>
      </w:r>
      <w:r w:rsidRPr="00794712">
        <w:rPr>
          <w:lang w:val="ru-RU"/>
        </w:rPr>
        <w:t>前2</w:t>
      </w:r>
      <w:r w:rsidRPr="00F827A2">
        <w:rPr>
          <w:lang w:val="ru-RU"/>
        </w:rPr>
        <w:t>:</w:t>
      </w:r>
      <w:r w:rsidRPr="00794712">
        <w:rPr>
          <w:lang w:val="ru-RU"/>
        </w:rPr>
        <w:t>21），又吩咐我们说：</w:t>
      </w:r>
      <w:r w:rsidRPr="00F174D7">
        <w:rPr>
          <w:i/>
          <w:iCs/>
          <w:lang w:val="ru-RU"/>
        </w:rPr>
        <w:t>“因为凡要救自己生命的，必丧掉生命；凡为我和福音丧掉生命的，必救了生命”</w:t>
      </w:r>
      <w:r w:rsidRPr="00794712">
        <w:rPr>
          <w:lang w:val="ru-RU"/>
        </w:rPr>
        <w:t xml:space="preserve"> </w:t>
      </w:r>
      <w:r w:rsidR="005864AB">
        <w:rPr>
          <w:lang w:val="ru-RU"/>
        </w:rPr>
        <w:t>（《马可福音》</w:t>
      </w:r>
      <w:r w:rsidRPr="00794712">
        <w:rPr>
          <w:lang w:val="ru-RU"/>
        </w:rPr>
        <w:t>8</w:t>
      </w:r>
      <w:r w:rsidRPr="00F174D7">
        <w:rPr>
          <w:lang w:val="ru-RU"/>
        </w:rPr>
        <w:t>:</w:t>
      </w:r>
      <w:r w:rsidRPr="00794712">
        <w:rPr>
          <w:lang w:val="ru-RU"/>
        </w:rPr>
        <w:t>35）。</w:t>
      </w:r>
    </w:p>
    <w:p w14:paraId="7DCC8B39" w14:textId="77777777" w:rsidR="00D85B34" w:rsidRPr="00794712" w:rsidRDefault="00D85B34" w:rsidP="00D85B34">
      <w:pPr>
        <w:rPr>
          <w:lang w:val="ru-RU"/>
        </w:rPr>
      </w:pPr>
      <w:r w:rsidRPr="00794712">
        <w:rPr>
          <w:lang w:val="ru-RU"/>
        </w:rPr>
        <w:tab/>
      </w:r>
      <w:r w:rsidR="00A95A76" w:rsidRPr="00A95A76">
        <w:rPr>
          <w:b/>
          <w:lang w:val="ru-RU"/>
        </w:rPr>
        <w:t>d)</w:t>
      </w:r>
      <w:r w:rsidRPr="00794712">
        <w:rPr>
          <w:lang w:val="ru-RU"/>
        </w:rPr>
        <w:t xml:space="preserve"> 升天后，祂不断为我们代求：</w:t>
      </w:r>
      <w:r w:rsidRPr="00506B04">
        <w:rPr>
          <w:i/>
          <w:iCs/>
          <w:lang w:val="ru-RU"/>
        </w:rPr>
        <w:t>“若有人犯罪，我们有一位在父面前的代求者，就是那义者耶稣基督”</w:t>
      </w:r>
      <w:r w:rsidRPr="00794712">
        <w:rPr>
          <w:lang w:val="ru-RU"/>
        </w:rPr>
        <w:t xml:space="preserve"> </w:t>
      </w:r>
      <w:r w:rsidR="008A3626">
        <w:rPr>
          <w:lang w:val="ru-RU"/>
        </w:rPr>
        <w:t>（</w:t>
      </w:r>
      <w:r w:rsidRPr="00794712">
        <w:rPr>
          <w:lang w:val="ru-RU"/>
        </w:rPr>
        <w:t>约壹2</w:t>
      </w:r>
      <w:r>
        <w:rPr>
          <w:lang w:val="ru-RU"/>
        </w:rPr>
        <w:t>:</w:t>
      </w:r>
      <w:r w:rsidRPr="00794712">
        <w:rPr>
          <w:lang w:val="ru-RU"/>
        </w:rPr>
        <w:t>1），并怀着对罪的真诚悔改，怀着坚定的盼望奔向祂，因为祂</w:t>
      </w:r>
      <w:r w:rsidRPr="00506B04">
        <w:rPr>
          <w:i/>
          <w:iCs/>
          <w:lang w:val="ru-RU"/>
        </w:rPr>
        <w:t>“总能拯救那些借着祂到神那里的人”</w:t>
      </w:r>
      <w:r w:rsidRPr="00794712">
        <w:rPr>
          <w:lang w:val="ru-RU"/>
        </w:rPr>
        <w:t>（来7</w:t>
      </w:r>
      <w:r w:rsidRPr="00506B04">
        <w:rPr>
          <w:lang w:val="ru-RU"/>
        </w:rPr>
        <w:t>:</w:t>
      </w:r>
      <w:r w:rsidRPr="00794712">
        <w:rPr>
          <w:lang w:val="ru-RU"/>
        </w:rPr>
        <w:t xml:space="preserve">25）； </w:t>
      </w:r>
      <w:r w:rsidRPr="00794712">
        <w:rPr>
          <w:lang w:val="ru-RU"/>
        </w:rPr>
        <w:lastRenderedPageBreak/>
        <w:t>让我们带着祷告，并在一切需要中奔向祂，铭记祂的话语：</w:t>
      </w:r>
      <w:r w:rsidRPr="00506B04">
        <w:rPr>
          <w:i/>
          <w:iCs/>
          <w:lang w:val="ru-RU"/>
        </w:rPr>
        <w:t>“你们若奉我的名求父什么，我必成就，叫父在子里面得荣耀。你们若奉我的名求什么，我必成就”</w:t>
      </w:r>
      <w:r w:rsidR="005864AB">
        <w:rPr>
          <w:lang w:val="ru-RU"/>
        </w:rPr>
        <w:t>（约</w:t>
      </w:r>
      <w:r w:rsidRPr="00794712">
        <w:rPr>
          <w:lang w:val="ru-RU"/>
        </w:rPr>
        <w:t>14</w:t>
      </w:r>
      <w:r w:rsidRPr="00506B04">
        <w:rPr>
          <w:lang w:val="ru-RU"/>
        </w:rPr>
        <w:t>:</w:t>
      </w:r>
      <w:r w:rsidRPr="00794712">
        <w:rPr>
          <w:lang w:val="ru-RU"/>
        </w:rPr>
        <w:t>13-14）。</w:t>
      </w:r>
    </w:p>
    <w:p w14:paraId="2B05FEF9" w14:textId="77777777" w:rsidR="00D85B34" w:rsidRPr="0075559A" w:rsidRDefault="00D85B34" w:rsidP="00D85B34">
      <w:pPr>
        <w:ind w:firstLine="708"/>
        <w:rPr>
          <w:lang w:val="ru-RU"/>
        </w:rPr>
      </w:pPr>
      <w:r w:rsidRPr="004161C1">
        <w:rPr>
          <w:b/>
          <w:bCs/>
          <w:lang w:val="ru-RU"/>
        </w:rPr>
        <w:t>3.</w:t>
      </w:r>
      <w:r w:rsidRPr="00794712">
        <w:rPr>
          <w:lang w:val="ru-RU"/>
        </w:rPr>
        <w:t xml:space="preserve"> 我们的救主主，作为君王</w:t>
      </w:r>
      <w:r w:rsidRPr="0075559A">
        <w:rPr>
          <w:lang w:val="ru-RU"/>
        </w:rPr>
        <w:t>：</w:t>
      </w:r>
    </w:p>
    <w:p w14:paraId="20135446" w14:textId="77777777" w:rsidR="00D85B34" w:rsidRPr="00794712" w:rsidRDefault="00A95A76" w:rsidP="00D85B34">
      <w:pPr>
        <w:ind w:firstLine="708"/>
        <w:rPr>
          <w:lang w:val="ru-RU"/>
        </w:rPr>
      </w:pPr>
      <w:r w:rsidRPr="00A95A76">
        <w:rPr>
          <w:b/>
          <w:lang w:val="ru-RU"/>
        </w:rPr>
        <w:t>a)</w:t>
      </w:r>
      <w:r w:rsidR="00D85B34" w:rsidRPr="00794712">
        <w:rPr>
          <w:lang w:val="ru-RU"/>
        </w:rPr>
        <w:t xml:space="preserve"> 战胜了地狱，捆绑了那强壮的，即魔鬼及其所有的</w:t>
      </w:r>
      <w:r w:rsidR="00D85B34">
        <w:rPr>
          <w:lang w:val="ru-RU"/>
        </w:rPr>
        <w:t xml:space="preserve">恶魔 </w:t>
      </w:r>
      <w:r w:rsidR="004161C1" w:rsidRPr="004161C1">
        <w:rPr>
          <w:lang w:val="ru-RU"/>
        </w:rPr>
        <w:t>[</w:t>
      </w:r>
      <w:r w:rsidR="00224D5E">
        <w:rPr>
          <w:lang w:val="ru-RU"/>
        </w:rPr>
        <w:t>(太</w:t>
      </w:r>
      <w:r w:rsidR="00D85B34" w:rsidRPr="00794712">
        <w:rPr>
          <w:lang w:val="ru-RU"/>
        </w:rPr>
        <w:t xml:space="preserve"> 12:29</w:t>
      </w:r>
      <w:r w:rsidR="004161C1" w:rsidRPr="004161C1">
        <w:rPr>
          <w:lang w:val="ru-RU"/>
        </w:rPr>
        <w:t>)</w:t>
      </w:r>
      <w:r w:rsidR="00D85B34" w:rsidRPr="00794712">
        <w:rPr>
          <w:lang w:val="ru-RU"/>
        </w:rPr>
        <w:t xml:space="preserve">； </w:t>
      </w:r>
      <w:r w:rsidR="004161C1" w:rsidRPr="004161C1">
        <w:rPr>
          <w:lang w:val="ru-RU"/>
        </w:rPr>
        <w:t>（</w:t>
      </w:r>
      <w:r w:rsidR="0087297C">
        <w:rPr>
          <w:lang w:val="ru-RU"/>
        </w:rPr>
        <w:t>彼得后书</w:t>
      </w:r>
      <w:r w:rsidR="00D85B34" w:rsidRPr="00794712">
        <w:rPr>
          <w:lang w:val="ru-RU"/>
        </w:rPr>
        <w:t xml:space="preserve"> 2</w:t>
      </w:r>
      <w:r w:rsidR="00D85B34">
        <w:rPr>
          <w:lang w:val="ru-RU"/>
        </w:rPr>
        <w:t>:</w:t>
      </w:r>
      <w:r w:rsidR="00D85B34" w:rsidRPr="00794712">
        <w:rPr>
          <w:lang w:val="ru-RU"/>
        </w:rPr>
        <w:t>4）</w:t>
      </w:r>
      <w:r w:rsidR="004161C1" w:rsidRPr="004161C1">
        <w:rPr>
          <w:lang w:val="ru-RU"/>
        </w:rPr>
        <w:t>]</w:t>
      </w:r>
      <w:r w:rsidR="00D85B34" w:rsidRPr="00794712">
        <w:rPr>
          <w:lang w:val="ru-RU"/>
        </w:rPr>
        <w:t>：因此，我们不要惧怕我们那从起初就有的仇敌的攻击，而是要</w:t>
      </w:r>
      <w:r w:rsidR="00D85B34">
        <w:rPr>
          <w:lang w:val="ru-RU"/>
        </w:rPr>
        <w:t>靠着主和祂大能的力量得着</w:t>
      </w:r>
      <w:r w:rsidR="00D85B34" w:rsidRPr="00794712">
        <w:rPr>
          <w:lang w:val="ru-RU"/>
        </w:rPr>
        <w:t>坚固，勇敢地</w:t>
      </w:r>
      <w:r w:rsidR="00D85B34">
        <w:rPr>
          <w:lang w:val="ru-RU"/>
        </w:rPr>
        <w:t>与</w:t>
      </w:r>
      <w:r w:rsidR="00D85B34" w:rsidRPr="00794712">
        <w:rPr>
          <w:lang w:val="ru-RU"/>
        </w:rPr>
        <w:t>那些执政的、</w:t>
      </w:r>
      <w:r w:rsidR="00D85B34">
        <w:rPr>
          <w:lang w:val="ru-RU"/>
        </w:rPr>
        <w:t>掌权的</w:t>
      </w:r>
      <w:r w:rsidR="00D85B34" w:rsidRPr="00794712">
        <w:rPr>
          <w:lang w:val="ru-RU"/>
        </w:rPr>
        <w:t>、</w:t>
      </w:r>
      <w:r w:rsidR="00D85B34">
        <w:rPr>
          <w:lang w:val="ru-RU"/>
        </w:rPr>
        <w:t>管辖</w:t>
      </w:r>
      <w:r w:rsidR="00D85B34" w:rsidRPr="00794712">
        <w:rPr>
          <w:lang w:val="ru-RU"/>
        </w:rPr>
        <w:t>这幽暗世界的</w:t>
      </w:r>
      <w:r w:rsidR="00D85B34">
        <w:rPr>
          <w:lang w:val="ru-RU"/>
        </w:rPr>
        <w:t>，以及</w:t>
      </w:r>
      <w:r w:rsidR="00D85B34" w:rsidRPr="00794712">
        <w:rPr>
          <w:lang w:val="ru-RU"/>
        </w:rPr>
        <w:t>天上属灵的</w:t>
      </w:r>
      <w:r w:rsidR="00D85B34">
        <w:rPr>
          <w:lang w:val="ru-RU"/>
        </w:rPr>
        <w:t>恶魔争战</w:t>
      </w:r>
      <w:r w:rsidR="00D85B34" w:rsidRPr="00794712">
        <w:rPr>
          <w:lang w:val="ru-RU"/>
        </w:rPr>
        <w:t xml:space="preserve"> （以弗所书 6</w:t>
      </w:r>
      <w:r w:rsidR="00D85B34">
        <w:rPr>
          <w:lang w:val="ru-RU"/>
        </w:rPr>
        <w:t>:</w:t>
      </w:r>
      <w:r w:rsidR="00D85B34" w:rsidRPr="00794712">
        <w:rPr>
          <w:lang w:val="ru-RU"/>
        </w:rPr>
        <w:t>10-12），并在心中大胆地重申圣保罗的话：</w:t>
      </w:r>
      <w:r w:rsidR="00D85B34" w:rsidRPr="00B061BA">
        <w:rPr>
          <w:i/>
          <w:iCs/>
          <w:lang w:val="ru-RU"/>
        </w:rPr>
        <w:t>“我靠着那加给我力量的耶稣基督，凡事都能做”</w:t>
      </w:r>
      <w:r w:rsidR="001973A6">
        <w:rPr>
          <w:lang w:val="ru-RU"/>
        </w:rPr>
        <w:t>（腓立比书</w:t>
      </w:r>
      <w:r w:rsidR="00D85B34" w:rsidRPr="00794712">
        <w:rPr>
          <w:lang w:val="ru-RU"/>
        </w:rPr>
        <w:t xml:space="preserve"> 4</w:t>
      </w:r>
      <w:r w:rsidR="00D85B34" w:rsidRPr="00B061BA">
        <w:rPr>
          <w:lang w:val="ru-RU"/>
        </w:rPr>
        <w:t>:</w:t>
      </w:r>
      <w:r w:rsidR="00D85B34" w:rsidRPr="00794712">
        <w:rPr>
          <w:lang w:val="ru-RU"/>
        </w:rPr>
        <w:t>13）。</w:t>
      </w:r>
    </w:p>
    <w:p w14:paraId="2094D5A7" w14:textId="77777777" w:rsidR="00D85B34" w:rsidRPr="00794712" w:rsidRDefault="00D85B34" w:rsidP="00D85B34">
      <w:pPr>
        <w:rPr>
          <w:lang w:val="ru-RU"/>
        </w:rPr>
      </w:pPr>
      <w:r w:rsidRPr="00794712">
        <w:rPr>
          <w:lang w:val="ru-RU"/>
        </w:rPr>
        <w:tab/>
      </w:r>
      <w:r w:rsidR="00A95A76" w:rsidRPr="00A95A76">
        <w:rPr>
          <w:b/>
          <w:lang w:val="ru-RU"/>
        </w:rPr>
        <w:t>b)</w:t>
      </w:r>
      <w:r w:rsidRPr="00794712">
        <w:rPr>
          <w:lang w:val="ru-RU"/>
        </w:rPr>
        <w:t xml:space="preserve"> 战胜了死亡，摧毁了</w:t>
      </w:r>
      <w:r w:rsidRPr="00AA0891">
        <w:t>它的</w:t>
      </w:r>
      <w:r w:rsidRPr="00794712">
        <w:rPr>
          <w:lang w:val="ru-RU"/>
        </w:rPr>
        <w:t>权势：既然怀着最甘美的盼望</w:t>
      </w:r>
      <w:r w:rsidRPr="00B061BA">
        <w:rPr>
          <w:i/>
          <w:iCs/>
          <w:lang w:val="ru-RU"/>
        </w:rPr>
        <w:t>——“时候将到，如今就是了，死人要听见神儿子的声音，听见的人就要活过来”</w:t>
      </w:r>
      <w:r w:rsidRPr="00794712">
        <w:rPr>
          <w:lang w:val="ru-RU"/>
        </w:rPr>
        <w:t xml:space="preserve"> </w:t>
      </w:r>
      <w:r w:rsidR="005864AB">
        <w:rPr>
          <w:lang w:val="ru-RU"/>
        </w:rPr>
        <w:t>（约</w:t>
      </w:r>
      <w:r w:rsidRPr="00794712">
        <w:rPr>
          <w:lang w:val="ru-RU"/>
        </w:rPr>
        <w:t>5</w:t>
      </w:r>
      <w:r w:rsidRPr="00B061BA">
        <w:rPr>
          <w:lang w:val="ru-RU"/>
        </w:rPr>
        <w:t>:</w:t>
      </w:r>
      <w:r w:rsidRPr="00794712">
        <w:rPr>
          <w:lang w:val="ru-RU"/>
        </w:rPr>
        <w:t>25），祂</w:t>
      </w:r>
      <w:r w:rsidRPr="00B061BA">
        <w:rPr>
          <w:i/>
          <w:iCs/>
          <w:lang w:val="ru-RU"/>
        </w:rPr>
        <w:t>“必将我们这卑微的身体改变形状，使它与祂荣耀的身体相称”</w:t>
      </w:r>
      <w:r w:rsidRPr="00794712">
        <w:rPr>
          <w:lang w:val="ru-RU"/>
        </w:rPr>
        <w:t xml:space="preserve"> </w:t>
      </w:r>
      <w:r w:rsidR="001973A6">
        <w:rPr>
          <w:lang w:val="ru-RU"/>
        </w:rPr>
        <w:t>（</w:t>
      </w:r>
      <w:r w:rsidRPr="00794712">
        <w:rPr>
          <w:lang w:val="ru-RU"/>
        </w:rPr>
        <w:t>腓3</w:t>
      </w:r>
      <w:r w:rsidRPr="00B061BA">
        <w:rPr>
          <w:lang w:val="ru-RU"/>
        </w:rPr>
        <w:t>:</w:t>
      </w:r>
      <w:r w:rsidRPr="00794712">
        <w:rPr>
          <w:lang w:val="ru-RU"/>
        </w:rPr>
        <w:t>21）；</w:t>
      </w:r>
      <w:r w:rsidRPr="00B061BA">
        <w:rPr>
          <w:i/>
          <w:iCs/>
          <w:lang w:val="ru-RU"/>
        </w:rPr>
        <w:t>“这必朽坏的，总要变成不朽坏的；这必死的，总要变成不死的”</w:t>
      </w:r>
      <w:r w:rsidR="00621F17">
        <w:rPr>
          <w:lang w:val="ru-RU"/>
        </w:rPr>
        <w:t>（</w:t>
      </w:r>
      <w:r w:rsidRPr="00794712">
        <w:rPr>
          <w:lang w:val="ru-RU"/>
        </w:rPr>
        <w:t>林前15</w:t>
      </w:r>
      <w:r w:rsidRPr="00B061BA">
        <w:rPr>
          <w:lang w:val="ru-RU"/>
        </w:rPr>
        <w:t>:</w:t>
      </w:r>
      <w:r w:rsidRPr="00794712">
        <w:rPr>
          <w:lang w:val="ru-RU"/>
        </w:rPr>
        <w:t>53）。</w:t>
      </w:r>
    </w:p>
    <w:p w14:paraId="08D52171" w14:textId="77777777" w:rsidR="00603097" w:rsidRPr="00BE1885" w:rsidRDefault="00D85B34">
      <w:pPr>
        <w:rPr>
          <w:lang w:val="ru-RU"/>
        </w:rPr>
      </w:pPr>
      <w:r w:rsidRPr="00794712">
        <w:rPr>
          <w:lang w:val="ru-RU"/>
        </w:rPr>
        <w:tab/>
      </w:r>
      <w:r w:rsidR="00A95A76" w:rsidRPr="00A95A76">
        <w:rPr>
          <w:b/>
          <w:lang w:val="ru-RU"/>
        </w:rPr>
        <w:t>c)</w:t>
      </w:r>
      <w:r w:rsidRPr="00794712">
        <w:rPr>
          <w:lang w:val="ru-RU"/>
        </w:rPr>
        <w:t xml:space="preserve"> 祂升天为我们开启了进入天国的门：因此，</w:t>
      </w:r>
      <w:r w:rsidRPr="00B061BA">
        <w:rPr>
          <w:i/>
          <w:iCs/>
          <w:lang w:val="ru-RU"/>
        </w:rPr>
        <w:t>我们要</w:t>
      </w:r>
      <w:r w:rsidRPr="00794712">
        <w:rPr>
          <w:lang w:val="ru-RU"/>
        </w:rPr>
        <w:t>凭着信心、盼望和爱心</w:t>
      </w:r>
      <w:r w:rsidRPr="00B061BA">
        <w:rPr>
          <w:i/>
          <w:iCs/>
          <w:lang w:val="ru-RU"/>
        </w:rPr>
        <w:t>，“奔那摆在我们前头的路程，仰望那信心创始成终的耶稣 ”</w:t>
      </w:r>
      <w:r w:rsidRPr="00794712">
        <w:rPr>
          <w:lang w:val="ru-RU"/>
        </w:rPr>
        <w:t>（希伯来书 12</w:t>
      </w:r>
      <w:r w:rsidRPr="00B061BA">
        <w:rPr>
          <w:lang w:val="ru-RU"/>
        </w:rPr>
        <w:t>:</w:t>
      </w:r>
      <w:r w:rsidRPr="00794712">
        <w:rPr>
          <w:lang w:val="ru-RU"/>
        </w:rPr>
        <w:t>1-2），</w:t>
      </w:r>
      <w:r w:rsidRPr="00B061BA">
        <w:rPr>
          <w:lang w:val="ru-RU"/>
        </w:rPr>
        <w:t>使</w:t>
      </w:r>
      <w:r>
        <w:rPr>
          <w:lang w:val="ru-RU"/>
        </w:rPr>
        <w:t>我们</w:t>
      </w:r>
      <w:r w:rsidRPr="00B061BA">
        <w:rPr>
          <w:lang w:val="ru-RU"/>
        </w:rPr>
        <w:t>也能与</w:t>
      </w:r>
      <w:r>
        <w:rPr>
          <w:lang w:val="ru-RU"/>
        </w:rPr>
        <w:t>祂</w:t>
      </w:r>
      <w:r w:rsidRPr="00B061BA">
        <w:rPr>
          <w:lang w:val="ru-RU"/>
        </w:rPr>
        <w:t>同在</w:t>
      </w:r>
      <w:r w:rsidR="005864AB">
        <w:rPr>
          <w:lang w:val="ru-RU"/>
        </w:rPr>
        <w:t>（约翰福音</w:t>
      </w:r>
      <w:r w:rsidRPr="00794712">
        <w:rPr>
          <w:lang w:val="ru-RU"/>
        </w:rPr>
        <w:t xml:space="preserve"> 14</w:t>
      </w:r>
      <w:r w:rsidRPr="00B061BA">
        <w:rPr>
          <w:lang w:val="ru-RU"/>
        </w:rPr>
        <w:t>:</w:t>
      </w:r>
      <w:r w:rsidRPr="00794712">
        <w:rPr>
          <w:lang w:val="ru-RU"/>
        </w:rPr>
        <w:t>3）。</w:t>
      </w:r>
    </w:p>
    <w:p w14:paraId="42F16ACB" w14:textId="77777777" w:rsidR="00BE1885" w:rsidRPr="00BE1885" w:rsidRDefault="00BE1885">
      <w:pPr>
        <w:rPr>
          <w:lang w:val="ru-RU"/>
        </w:rPr>
      </w:pPr>
    </w:p>
    <w:p w14:paraId="444F950A" w14:textId="77777777" w:rsidR="00BE1885" w:rsidRPr="00BE1885" w:rsidRDefault="00BE1885">
      <w:pPr>
        <w:rPr>
          <w:lang w:val="ru-RU"/>
        </w:rPr>
      </w:pPr>
    </w:p>
    <w:p w14:paraId="199C43EC" w14:textId="77777777" w:rsidR="00BE1885" w:rsidRPr="00BE1885" w:rsidRDefault="00BE1885" w:rsidP="00BE1885">
      <w:pPr>
        <w:pStyle w:val="Heading1"/>
        <w:rPr>
          <w:lang w:val="ru-RU"/>
        </w:rPr>
      </w:pPr>
      <w:bookmarkStart w:id="383" w:name="_Toc238454319"/>
      <w:bookmarkStart w:id="384" w:name="_Toc238466401"/>
      <w:bookmarkStart w:id="385" w:name="_Toc238576512"/>
      <w:r w:rsidRPr="001E4083">
        <w:t>第二</w:t>
      </w:r>
      <w:r w:rsidRPr="006A21F9">
        <w:rPr>
          <w:lang w:val="ru-RU"/>
        </w:rPr>
        <w:t>部分。</w:t>
      </w:r>
      <w:r>
        <w:rPr>
          <w:lang w:val="ru-RU"/>
        </w:rPr>
        <w:t xml:space="preserve"> </w:t>
      </w:r>
      <w:r>
        <w:rPr>
          <w:lang w:val="ru-RU"/>
        </w:rPr>
        <w:br/>
      </w:r>
      <w:r w:rsidRPr="006A21F9">
        <w:rPr>
          <w:lang w:val="ru-RU"/>
        </w:rPr>
        <w:t xml:space="preserve">论救主上帝在 </w:t>
      </w:r>
      <w:r>
        <w:rPr>
          <w:lang w:val="ru-RU"/>
        </w:rPr>
        <w:br/>
      </w:r>
      <w:r w:rsidRPr="006A21F9">
        <w:rPr>
          <w:lang w:val="ru-RU"/>
        </w:rPr>
        <w:t xml:space="preserve">祂对 </w:t>
      </w:r>
      <w:r>
        <w:rPr>
          <w:lang w:val="ru-RU"/>
        </w:rPr>
        <w:br/>
      </w:r>
      <w:r w:rsidRPr="006A21F9">
        <w:rPr>
          <w:lang w:val="ru-RU"/>
        </w:rPr>
        <w:t>与人类的关系</w:t>
      </w:r>
      <w:bookmarkEnd w:id="383"/>
      <w:bookmarkEnd w:id="384"/>
      <w:bookmarkEnd w:id="385"/>
    </w:p>
    <w:p w14:paraId="1AE6837D" w14:textId="77777777" w:rsidR="00BE1885" w:rsidRPr="006A21F9" w:rsidRDefault="00BE1885" w:rsidP="00BE1885">
      <w:pPr>
        <w:ind w:left="5664"/>
        <w:rPr>
          <w:lang w:val="ru-RU"/>
        </w:rPr>
      </w:pPr>
      <w:r w:rsidRPr="006A21F9">
        <w:rPr>
          <w:i/>
          <w:iCs/>
          <w:lang w:val="ru-RU"/>
        </w:rPr>
        <w:t>“天上地下所有的权柄都赐给我了。所以，你们要去，使万民作我的门徒，奉父、子、圣灵的名给他们施洗”</w:t>
      </w:r>
      <w:r w:rsidRPr="006A21F9">
        <w:rPr>
          <w:lang w:val="ru-RU"/>
        </w:rPr>
        <w:t>（太28:18-20）。</w:t>
      </w:r>
    </w:p>
    <w:p w14:paraId="184F0238" w14:textId="77777777" w:rsidR="00BE1885" w:rsidRPr="006A21F9" w:rsidRDefault="00BE1885" w:rsidP="00BE1885">
      <w:pPr>
        <w:ind w:left="5664"/>
        <w:rPr>
          <w:lang w:val="ru-RU"/>
        </w:rPr>
      </w:pPr>
    </w:p>
    <w:p w14:paraId="2A14CD7A" w14:textId="77777777" w:rsidR="00BE1885" w:rsidRPr="006A21F9" w:rsidRDefault="00BE1885" w:rsidP="00BE1885">
      <w:pPr>
        <w:ind w:left="5664"/>
        <w:rPr>
          <w:lang w:val="ru-RU"/>
        </w:rPr>
      </w:pPr>
      <w:r w:rsidRPr="006A21F9">
        <w:rPr>
          <w:i/>
          <w:iCs/>
          <w:lang w:val="ru-RU"/>
        </w:rPr>
        <w:t>“信而受洗的，必然得救；不信的，必被定罪”</w:t>
      </w:r>
      <w:r w:rsidRPr="006A21F9">
        <w:rPr>
          <w:lang w:val="ru-RU"/>
        </w:rPr>
        <w:t>（可16:16）。</w:t>
      </w:r>
    </w:p>
    <w:p w14:paraId="7B1B7E75" w14:textId="77777777" w:rsidR="00BE1885" w:rsidRPr="00430F02" w:rsidRDefault="00BE1885" w:rsidP="00BE1885">
      <w:pPr>
        <w:rPr>
          <w:lang w:val="ru-RU"/>
        </w:rPr>
      </w:pPr>
    </w:p>
    <w:p w14:paraId="68CF5719" w14:textId="77777777" w:rsidR="00BE1885" w:rsidRPr="006A21F9" w:rsidRDefault="00BE1885" w:rsidP="00BE1885">
      <w:pPr>
        <w:pStyle w:val="Heading5"/>
        <w:rPr>
          <w:lang w:val="ru-RU"/>
        </w:rPr>
      </w:pPr>
      <w:bookmarkStart w:id="386" w:name="_Toc133142919"/>
      <w:bookmarkStart w:id="387" w:name="_Toc133166276"/>
      <w:bookmarkStart w:id="388" w:name="_Toc182221486"/>
      <w:bookmarkStart w:id="389" w:name="_Toc238453053"/>
      <w:bookmarkStart w:id="390" w:name="_Toc238453853"/>
      <w:bookmarkStart w:id="391" w:name="_Toc238576513"/>
      <w:r w:rsidRPr="006A21F9">
        <w:rPr>
          <w:bCs/>
          <w:lang w:val="ru-RU"/>
        </w:rPr>
        <w:t>§164.</w:t>
      </w:r>
      <w:r w:rsidRPr="006A21F9">
        <w:rPr>
          <w:lang w:val="ru-RU"/>
        </w:rPr>
        <w:t xml:space="preserve"> 与前文的关联及本节的主题</w:t>
      </w:r>
      <w:bookmarkEnd w:id="386"/>
      <w:bookmarkEnd w:id="387"/>
      <w:bookmarkEnd w:id="388"/>
      <w:bookmarkEnd w:id="389"/>
      <w:bookmarkEnd w:id="390"/>
      <w:bookmarkEnd w:id="391"/>
    </w:p>
    <w:p w14:paraId="754D3903" w14:textId="77777777" w:rsidR="00BE1885" w:rsidRPr="006A21F9" w:rsidRDefault="00BE1885" w:rsidP="00BE1885">
      <w:pPr>
        <w:ind w:firstLine="708"/>
        <w:rPr>
          <w:lang w:val="ru-RU"/>
        </w:rPr>
      </w:pPr>
      <w:r w:rsidRPr="006A21F9">
        <w:rPr>
          <w:lang w:val="ru-RU"/>
        </w:rPr>
        <w:t xml:space="preserve">神的儿子道成肉身，成就了我们的救赎。作为先知，祂向我们宣告了救赎的奥秘，并指明了从死亡通往生命的正道；作为大祭司，祂救赎了我们脱离罪恶及一切因罪而受的刑罚，并为我们赢得了永恒的福分； 作为君王，祂通过一系列神迹证实了福音的真理，摧毁了死亡与地狱的权势，并为我们敞开了通往天国的门户。 </w:t>
      </w:r>
      <w:r w:rsidRPr="006A21F9">
        <w:rPr>
          <w:lang w:val="ru-RU"/>
        </w:rPr>
        <w:lastRenderedPageBreak/>
        <w:t>但还需要，这位神的儿子为我们、因我们所成就的这伟大事工，能被我们领受，并成为我们自己的：否则，它对我们来说仍将是陌生的，主耶稣也还不会成为我们的救主。 具体而言：</w:t>
      </w:r>
      <w:r w:rsidRPr="006A21F9">
        <w:rPr>
          <w:b/>
          <w:bCs/>
          <w:lang w:val="ru-RU"/>
        </w:rPr>
        <w:t xml:space="preserve">a) </w:t>
      </w:r>
      <w:r w:rsidRPr="006A21F9">
        <w:rPr>
          <w:lang w:val="ru-RU"/>
        </w:rPr>
        <w:t>我们必须真正从祂已为我们赎罪的罪中得洁净，从罪人变成义人，即得着成圣；</w:t>
      </w:r>
      <w:r w:rsidRPr="006A21F9">
        <w:rPr>
          <w:b/>
          <w:bCs/>
          <w:lang w:val="ru-RU"/>
        </w:rPr>
        <w:t>b)</w:t>
      </w:r>
      <w:r w:rsidRPr="006A21F9">
        <w:rPr>
          <w:lang w:val="ru-RU"/>
        </w:rPr>
        <w:t xml:space="preserve"> 随后，我们必须真正从罪所带来的所有毁灭性后果——无论是暂时的还是永恒的——中得释放，并获得永恒的福乐。 我们救主如今的一切作为，正是为了实现这两项目标，为了使我们真正领受救恩，这彰显了祂对堕落的人类所怀有的特殊关怀（§51）。而且：</w:t>
      </w:r>
    </w:p>
    <w:p w14:paraId="2E912D9D" w14:textId="77777777" w:rsidR="00BE1885" w:rsidRPr="006A21F9" w:rsidRDefault="00BE1885" w:rsidP="00BE1885">
      <w:pPr>
        <w:ind w:firstLine="708"/>
        <w:rPr>
          <w:lang w:val="ru-RU"/>
        </w:rPr>
      </w:pPr>
      <w:r w:rsidRPr="006A21F9">
        <w:rPr>
          <w:b/>
          <w:bCs/>
          <w:lang w:val="ru-RU"/>
        </w:rPr>
        <w:t>1.</w:t>
      </w:r>
      <w:r w:rsidRPr="006A21F9">
        <w:rPr>
          <w:lang w:val="ru-RU"/>
        </w:rPr>
        <w:t xml:space="preserve"> 主耶稣运用一切手段，使我们得以成圣，从罪人变成义人，从愤怒之子变成神的儿女，使我们</w:t>
      </w:r>
      <w:r w:rsidRPr="006A21F9">
        <w:rPr>
          <w:i/>
          <w:iCs/>
          <w:lang w:val="ru-RU"/>
        </w:rPr>
        <w:t>脱去旧人那随从虚妄情欲而朽坏的生活方式…… 并穿上那按着神的形像、在真理中被造的新人</w:t>
      </w:r>
      <w:r w:rsidRPr="006A21F9">
        <w:rPr>
          <w:lang w:val="ru-RU"/>
        </w:rPr>
        <w:t>（弗4:22-24）：这对个人而言，是在其整个尘世生命中持续进行的；而对整个人类而言，则将一直持续到世界终结之时。</w:t>
      </w:r>
    </w:p>
    <w:p w14:paraId="128FADE4" w14:textId="77777777" w:rsidR="00BE1885" w:rsidRPr="006A21F9" w:rsidRDefault="00BE1885" w:rsidP="00BE1885">
      <w:pPr>
        <w:ind w:firstLine="708"/>
        <w:rPr>
          <w:lang w:val="ru-RU"/>
        </w:rPr>
      </w:pPr>
      <w:r w:rsidRPr="006A21F9">
        <w:rPr>
          <w:b/>
          <w:bCs/>
          <w:lang w:val="ru-RU"/>
        </w:rPr>
        <w:t>2.</w:t>
      </w:r>
      <w:r w:rsidRPr="006A21F9">
        <w:rPr>
          <w:lang w:val="ru-RU"/>
        </w:rPr>
        <w:t xml:space="preserve"> 主耶稣会在每个人死后，根据死者是否善用此前所赐予的成圣手段，来判定是否赦免其罪所应得的公正惩罚，并决定是否赐予永恒的福乐； 而在世界末日，祂将施行普世审判，并最终按各人的行为予以报应。</w:t>
      </w:r>
    </w:p>
    <w:p w14:paraId="2D0EACBE" w14:textId="77777777" w:rsidR="00BE1885" w:rsidRPr="006A21F9" w:rsidRDefault="00BE1885" w:rsidP="00BE1885">
      <w:pPr>
        <w:rPr>
          <w:lang w:val="ru-RU"/>
        </w:rPr>
      </w:pPr>
      <w:r w:rsidRPr="006A21F9">
        <w:rPr>
          <w:lang w:val="ru-RU"/>
        </w:rPr>
        <w:tab/>
        <w:t>因此，救主上帝对我们的特殊关切——这与祂作为造物主和护佑者对其他所有受造物的关切不同——体现在祂的两项主要作为中：</w:t>
      </w:r>
      <w:r w:rsidRPr="006F72D5">
        <w:rPr>
          <w:b/>
          <w:bCs/>
        </w:rPr>
        <w:t>I</w:t>
      </w:r>
      <w:r w:rsidRPr="006F72D5">
        <w:rPr>
          <w:b/>
          <w:bCs/>
          <w:lang w:val="ru-RU"/>
        </w:rPr>
        <w:t>）</w:t>
      </w:r>
      <w:r w:rsidRPr="006A21F9">
        <w:rPr>
          <w:lang w:val="ru-RU"/>
        </w:rPr>
        <w:t>祂是我们的成圣者；</w:t>
      </w:r>
      <w:r w:rsidRPr="006F72D5">
        <w:rPr>
          <w:b/>
          <w:bCs/>
        </w:rPr>
        <w:t>II</w:t>
      </w:r>
      <w:r w:rsidRPr="006F72D5">
        <w:rPr>
          <w:b/>
          <w:bCs/>
          <w:lang w:val="ru-RU"/>
        </w:rPr>
        <w:t>）</w:t>
      </w:r>
      <w:r w:rsidRPr="006A21F9">
        <w:rPr>
          <w:lang w:val="ru-RU"/>
        </w:rPr>
        <w:t>祂是我们的审判者和赏赐者。</w:t>
      </w:r>
    </w:p>
    <w:p w14:paraId="2705AF3F" w14:textId="77777777" w:rsidR="00BE1885" w:rsidRPr="006A21F9" w:rsidRDefault="00BE1885" w:rsidP="00BE1885">
      <w:pPr>
        <w:rPr>
          <w:lang w:val="ru-RU"/>
        </w:rPr>
      </w:pPr>
    </w:p>
    <w:p w14:paraId="2020BC89" w14:textId="77777777" w:rsidR="00BE1885" w:rsidRPr="006A21F9" w:rsidRDefault="00BE1885" w:rsidP="00BE1885">
      <w:pPr>
        <w:rPr>
          <w:lang w:val="ru-RU"/>
        </w:rPr>
      </w:pPr>
    </w:p>
    <w:p w14:paraId="22ED9389" w14:textId="77777777" w:rsidR="00BE1885" w:rsidRPr="006A21F9" w:rsidRDefault="00BE1885" w:rsidP="00BE1885">
      <w:pPr>
        <w:rPr>
          <w:lang w:val="ru-RU"/>
        </w:rPr>
      </w:pPr>
    </w:p>
    <w:p w14:paraId="0F41B85A" w14:textId="77777777" w:rsidR="00BE1885" w:rsidRPr="006A21F9" w:rsidRDefault="00BE1885" w:rsidP="00BE1885">
      <w:pPr>
        <w:pStyle w:val="Heading2"/>
        <w:rPr>
          <w:lang w:val="ru-RU"/>
        </w:rPr>
      </w:pPr>
      <w:bookmarkStart w:id="392" w:name="_Toc133142600"/>
      <w:bookmarkStart w:id="393" w:name="_Toc133142920"/>
      <w:bookmarkStart w:id="394" w:name="_Toc133166277"/>
      <w:bookmarkStart w:id="395" w:name="_Toc182221487"/>
      <w:bookmarkStart w:id="396" w:name="_Toc238453054"/>
      <w:bookmarkStart w:id="397" w:name="_Toc238453854"/>
      <w:bookmarkStart w:id="398" w:name="_Toc238454320"/>
      <w:bookmarkStart w:id="399" w:name="_Toc238466402"/>
      <w:bookmarkStart w:id="400" w:name="_Toc238576514"/>
      <w:r w:rsidRPr="001E4083">
        <w:rPr>
          <w:bCs/>
        </w:rPr>
        <w:t>第一</w:t>
      </w:r>
      <w:r w:rsidRPr="001E4083">
        <w:t>章</w:t>
      </w:r>
      <w:r w:rsidRPr="006A21F9">
        <w:rPr>
          <w:bCs/>
          <w:lang w:val="ru-RU"/>
        </w:rPr>
        <w:t xml:space="preserve">。 </w:t>
      </w:r>
      <w:r w:rsidRPr="006A21F9">
        <w:rPr>
          <w:lang w:val="ru-RU"/>
        </w:rPr>
        <w:br/>
        <w:t>论上帝作为圣化者</w:t>
      </w:r>
      <w:bookmarkEnd w:id="392"/>
      <w:bookmarkEnd w:id="393"/>
      <w:bookmarkEnd w:id="394"/>
      <w:bookmarkEnd w:id="395"/>
      <w:bookmarkEnd w:id="396"/>
      <w:bookmarkEnd w:id="397"/>
      <w:bookmarkEnd w:id="398"/>
      <w:bookmarkEnd w:id="399"/>
      <w:bookmarkEnd w:id="400"/>
    </w:p>
    <w:p w14:paraId="674A1668" w14:textId="77777777" w:rsidR="00BE1885" w:rsidRPr="006A21F9" w:rsidRDefault="00BE1885" w:rsidP="00BE1885">
      <w:pPr>
        <w:rPr>
          <w:lang w:val="ru-RU"/>
        </w:rPr>
      </w:pPr>
    </w:p>
    <w:p w14:paraId="204A7916" w14:textId="77777777" w:rsidR="00BE1885" w:rsidRPr="006A21F9" w:rsidRDefault="00BE1885" w:rsidP="00BE1885">
      <w:pPr>
        <w:pStyle w:val="Heading5"/>
        <w:rPr>
          <w:lang w:val="ru-RU"/>
        </w:rPr>
      </w:pPr>
      <w:bookmarkStart w:id="401" w:name="_Toc133142921"/>
      <w:bookmarkStart w:id="402" w:name="_Toc133166278"/>
      <w:bookmarkStart w:id="403" w:name="_Toc182221488"/>
      <w:bookmarkStart w:id="404" w:name="_Toc238453055"/>
      <w:bookmarkStart w:id="405" w:name="_Toc238453855"/>
      <w:bookmarkStart w:id="406" w:name="_Toc238576515"/>
      <w:r w:rsidRPr="006A21F9">
        <w:rPr>
          <w:bCs/>
          <w:lang w:val="ru-RU"/>
        </w:rPr>
        <w:t>§165.</w:t>
      </w:r>
      <w:r w:rsidRPr="006A21F9">
        <w:rPr>
          <w:lang w:val="ru-RU"/>
        </w:rPr>
        <w:t xml:space="preserve"> 关于成圣的概念、圣三一所有位格在成圣事工中的参与，以及成圣的途径或条件的阐述</w:t>
      </w:r>
      <w:bookmarkEnd w:id="401"/>
      <w:bookmarkEnd w:id="402"/>
      <w:bookmarkEnd w:id="403"/>
      <w:bookmarkEnd w:id="404"/>
      <w:bookmarkEnd w:id="405"/>
      <w:bookmarkEnd w:id="406"/>
    </w:p>
    <w:p w14:paraId="64140AA5" w14:textId="77777777" w:rsidR="00BE1885" w:rsidRPr="006A21F9" w:rsidRDefault="00BE1885" w:rsidP="00BE1885">
      <w:pPr>
        <w:ind w:firstLine="708"/>
        <w:rPr>
          <w:lang w:val="ru-RU"/>
        </w:rPr>
      </w:pPr>
      <w:r w:rsidRPr="006A21F9">
        <w:rPr>
          <w:lang w:val="ru-RU"/>
        </w:rPr>
        <w:t>所谓成圣（</w:t>
      </w:r>
      <w:r w:rsidRPr="001E4083">
        <w:t>άγιασμός</w:t>
      </w:r>
      <w:r w:rsidRPr="006A21F9">
        <w:rPr>
          <w:lang w:val="ru-RU"/>
        </w:rPr>
        <w:t xml:space="preserve">, </w:t>
      </w:r>
      <w:r w:rsidRPr="001E4083">
        <w:t>δικαιοσίνη</w:t>
      </w:r>
      <w:r w:rsidRPr="006A21F9">
        <w:rPr>
          <w:lang w:val="ru-RU"/>
        </w:rPr>
        <w:t xml:space="preserve">, </w:t>
      </w:r>
      <w:r w:rsidRPr="001E4083">
        <w:t>sanctificatio</w:t>
      </w:r>
      <w:r w:rsidRPr="006A21F9">
        <w:rPr>
          <w:lang w:val="ru-RU"/>
        </w:rPr>
        <w:t xml:space="preserve">, </w:t>
      </w:r>
      <w:r w:rsidRPr="001E4083">
        <w:t>justificatio</w:t>
      </w:r>
      <w:r w:rsidRPr="006A21F9">
        <w:rPr>
          <w:lang w:val="ru-RU"/>
        </w:rPr>
        <w:t>），是指我们切实领受基督的功绩，亦即在满足我们方面特定条件的前提下，至圣的上帝确实将我们从罪中洁净、称义，并使我们成为成圣且圣洁的人[(林前 1:1)； (林后 1:2)]。圣使徒保罗在致哥林多基督徒的书信中，列举了各种罪人的类型后写道：</w:t>
      </w:r>
      <w:r w:rsidRPr="006A21F9">
        <w:rPr>
          <w:i/>
          <w:iCs/>
          <w:lang w:val="ru-RU"/>
        </w:rPr>
        <w:t>“你们中间也有人原是这样，但如今你们已经洗净了，已经成圣了，已经称义了，是借着我们主耶稣基督的名，并借着我们神的灵</w:t>
      </w:r>
      <w:r w:rsidRPr="006A21F9">
        <w:rPr>
          <w:lang w:val="ru-RU"/>
        </w:rPr>
        <w:t>”（林前 6:11）。 据古代信仰导师所言，这种成圣仿佛是我们得救的核心，并以此作为得救的圆满，因此若无前者，后者便仍未完成。</w:t>
      </w:r>
      <w:r w:rsidRPr="001E4083">
        <w:rPr>
          <w:rStyle w:val="FootnoteReference"/>
        </w:rPr>
        <w:footnoteReference w:id="428"/>
      </w:r>
    </w:p>
    <w:p w14:paraId="6FE94AFC" w14:textId="5FBAB18B" w:rsidR="00BE1885" w:rsidRPr="006A21F9" w:rsidRDefault="00BE1885" w:rsidP="00BE1885">
      <w:pPr>
        <w:rPr>
          <w:lang w:val="ru-RU"/>
        </w:rPr>
      </w:pPr>
      <w:r w:rsidRPr="006A21F9">
        <w:rPr>
          <w:lang w:val="ru-RU"/>
        </w:rPr>
        <w:tab/>
      </w:r>
      <w:r w:rsidRPr="001E4083">
        <w:rPr>
          <w:b/>
          <w:bCs/>
        </w:rPr>
        <w:t>二</w:t>
      </w:r>
      <w:r w:rsidRPr="006A21F9">
        <w:rPr>
          <w:b/>
          <w:bCs/>
          <w:lang w:val="ru-RU"/>
        </w:rPr>
        <w:t>、</w:t>
      </w:r>
      <w:r w:rsidRPr="006A21F9">
        <w:rPr>
          <w:lang w:val="ru-RU"/>
        </w:rPr>
        <w:t>至圣三位一体的所有位格——圣父、圣子和圣灵——都参与了我们的成圣之工。圣子在世传道期间，曾为信靠祂的人向圣父祈祷：</w:t>
      </w:r>
      <w:r w:rsidRPr="006A21F9">
        <w:rPr>
          <w:i/>
          <w:iCs/>
          <w:lang w:val="ru-RU"/>
        </w:rPr>
        <w:t>“圣父啊！ ……求祢用祢的真理使他们成圣</w:t>
      </w:r>
      <w:r w:rsidRPr="006A21F9">
        <w:rPr>
          <w:lang w:val="ru-RU"/>
        </w:rPr>
        <w:t>（约17:11,17），后来使徒也向基督徒写道：</w:t>
      </w:r>
      <w:r w:rsidRPr="006A21F9">
        <w:rPr>
          <w:i/>
          <w:iCs/>
          <w:lang w:val="ru-RU"/>
        </w:rPr>
        <w:t>“愿赐平安的神亲自使你们</w:t>
      </w:r>
      <w:r w:rsidRPr="006A21F9">
        <w:rPr>
          <w:i/>
          <w:iCs/>
          <w:lang w:val="ru-RU"/>
        </w:rPr>
        <w:lastRenderedPageBreak/>
        <w:t>全然成圣”</w:t>
      </w:r>
      <w:r w:rsidRPr="006A21F9">
        <w:rPr>
          <w:lang w:val="ru-RU"/>
        </w:rPr>
        <w:t>（帖前5:23）。 圣子正是为此将自己献给教会</w:t>
      </w:r>
      <w:r w:rsidRPr="006A21F9">
        <w:rPr>
          <w:i/>
          <w:iCs/>
          <w:lang w:val="ru-RU"/>
        </w:rPr>
        <w:t>，“要用水藉着道把教会洗净，成为圣洁，好将她献给自己，作荣耀的教会，毫无玷污、皱纹等类，乃是圣洁没有瑕疵的”</w:t>
      </w:r>
      <w:r w:rsidRPr="006A21F9">
        <w:rPr>
          <w:lang w:val="ru-RU"/>
        </w:rPr>
        <w:t xml:space="preserve"> （以弗所书 5:26-27）——而且，确实</w:t>
      </w:r>
      <w:r w:rsidRPr="006A21F9">
        <w:rPr>
          <w:i/>
          <w:iCs/>
          <w:lang w:val="ru-RU"/>
        </w:rPr>
        <w:t>，“祂成了我们的智慧、公义、圣洁和救赎”</w:t>
      </w:r>
      <w:r w:rsidRPr="006A21F9">
        <w:rPr>
          <w:lang w:val="ru-RU"/>
        </w:rPr>
        <w:t>（哥林多前书 1:30）。圣灵正因如此，在首要意义上被称为“圣”[（哥林多前书 8:6）；</w:t>
      </w:r>
      <w:r w:rsidRPr="006A21F9">
        <w:rPr>
          <w:rFonts w:cs="Cambria Math"/>
          <w:lang w:val="ru-RU"/>
        </w:rPr>
        <w:t xml:space="preserve"> （</w:t>
      </w:r>
      <w:r w:rsidRPr="006A21F9">
        <w:rPr>
          <w:lang w:val="ru-RU"/>
        </w:rPr>
        <w:t>林前12:3）等]，意指祂使万物成圣；</w:t>
      </w:r>
      <w:r w:rsidRPr="001E4083">
        <w:rPr>
          <w:rStyle w:val="FootnoteReference"/>
        </w:rPr>
        <w:footnoteReference w:id="429"/>
      </w:r>
      <w:r w:rsidRPr="006A21F9">
        <w:rPr>
          <w:lang w:val="ru-RU"/>
        </w:rPr>
        <w:t xml:space="preserve"> 也被称为圣灵（罗1:4），照亮我们[（彼前1:2）；（帖后2:13）]。 总体而言，圣使徒在</w:t>
      </w:r>
      <w:r w:rsidRPr="006A21F9">
        <w:rPr>
          <w:i/>
          <w:iCs/>
          <w:lang w:val="ru-RU"/>
        </w:rPr>
        <w:t>谈到“恩赐虽有不同，圣灵却是一位；职分虽有不同，主却是一位；工作虽有不同，神却是一位，在众人中运行万事”时</w:t>
      </w:r>
      <w:r w:rsidRPr="006A21F9">
        <w:rPr>
          <w:lang w:val="ru-RU"/>
        </w:rPr>
        <w:t>，表达了圣三一所有位格都参与我们成圣之事的思想 （《哥林多前书》12:4-6）；又如：</w:t>
      </w:r>
      <w:r w:rsidRPr="006A21F9">
        <w:rPr>
          <w:i/>
          <w:iCs/>
          <w:lang w:val="ru-RU"/>
        </w:rPr>
        <w:t>“愿我们主耶稣基督的恩惠、父神的慈爱、圣灵的交通，与你们众人同在。阿们。</w:t>
      </w:r>
      <w:r w:rsidRPr="006A21F9">
        <w:rPr>
          <w:lang w:val="ru-RU"/>
        </w:rPr>
        <w:t>”（《哥林多后书》13:13）。 还有：</w:t>
      </w:r>
      <w:r w:rsidRPr="006A21F9">
        <w:rPr>
          <w:i/>
          <w:iCs/>
          <w:lang w:val="ru-RU"/>
        </w:rPr>
        <w:t>“当我们救主上帝的恩典和对人的慈爱显明的时候，祂拯救我们，并不是因我们自己所行的义，乃是照祂的怜悯，藉着重生和更新的洗礼，就是圣灵所施的；祂藉着耶稣基督， 我们的救主，好叫我们因祂的恩典称义，凭着盼望成为永生的继承人”</w:t>
      </w:r>
      <w:r w:rsidRPr="006A21F9">
        <w:rPr>
          <w:lang w:val="ru-RU"/>
        </w:rPr>
        <w:t xml:space="preserve">（提多书 3:4-7）。教会的圣父们也表达了同样的思想，例如： </w:t>
      </w:r>
    </w:p>
    <w:p w14:paraId="63EE86BA" w14:textId="77777777" w:rsidR="00BE1885" w:rsidRPr="006A21F9" w:rsidRDefault="00BE1885" w:rsidP="00BE1885">
      <w:pPr>
        <w:ind w:firstLine="708"/>
        <w:rPr>
          <w:lang w:val="ru-RU"/>
        </w:rPr>
      </w:pPr>
      <w:r w:rsidRPr="006A21F9">
        <w:rPr>
          <w:lang w:val="ru-RU"/>
        </w:rPr>
        <w:t>大圣巴西尔：“蒙福的保罗在写给信徒的书信中曾说：</w:t>
      </w:r>
      <w:r w:rsidRPr="006A21F9">
        <w:rPr>
          <w:i/>
          <w:iCs/>
          <w:lang w:val="ru-RU"/>
        </w:rPr>
        <w:t>‘愿我们主耶稣基督的恩典、父神的爱，以及圣灵的交通，与你们众人同在。 阿们”</w:t>
      </w:r>
      <w:r w:rsidRPr="006A21F9">
        <w:rPr>
          <w:lang w:val="ru-RU"/>
        </w:rPr>
        <w:t>（哥林多后书 13:13）。因为当一切都是由上帝藉着耶稣基督在圣灵里所成就时，我便看见圣父、圣子和圣灵的作为是不可分割的。 正因如此，所有圣徒都是上帝、圣子和圣灵的殿宇；在他们里面，借着洗礼这一共同的圣礼，居住着圣父、圣子和圣灵的唯一神性、唯一的主权和唯一的圣洁。”</w:t>
      </w:r>
      <w:r>
        <w:rPr>
          <w:rStyle w:val="FootnoteReference"/>
        </w:rPr>
        <w:footnoteReference w:id="430"/>
      </w:r>
      <w:r w:rsidRPr="006A21F9">
        <w:rPr>
          <w:lang w:val="ru-RU"/>
        </w:rPr>
        <w:t xml:space="preserve"> 而在另一处经文中：“圣灵在一切作为中都与圣父和圣子联合且不可分割； 与分施作为的神，以及分派事奉的主一同同在的，还有圣灵，祂全权 地管理着按各人应得的分施恩赐。因为经上说：‘恩赐的分施……’等等。</w:t>
      </w:r>
      <w:r>
        <w:rPr>
          <w:rStyle w:val="FootnoteReference"/>
        </w:rPr>
        <w:footnoteReference w:id="431"/>
      </w:r>
    </w:p>
    <w:p w14:paraId="50B37E09" w14:textId="77777777" w:rsidR="00BE1885" w:rsidRPr="006A21F9" w:rsidRDefault="00BE1885" w:rsidP="00BE1885">
      <w:pPr>
        <w:rPr>
          <w:lang w:val="ru-RU"/>
        </w:rPr>
      </w:pPr>
      <w:r w:rsidRPr="006A21F9">
        <w:rPr>
          <w:lang w:val="ru-RU"/>
        </w:rPr>
        <w:tab/>
        <w:t>大圣亚法纳西：“蒙福的保罗并不将圣三一分割，相反，他教导</w:t>
      </w:r>
      <w:r w:rsidRPr="001E4083">
        <w:t>圣三一的</w:t>
      </w:r>
      <w:r w:rsidRPr="006A21F9">
        <w:rPr>
          <w:lang w:val="ru-RU"/>
        </w:rPr>
        <w:t xml:space="preserve">合一。当他在致哥林多前书中论及属灵恩赐时，将一切归于作为元首的独一上帝圣父，如下所述： </w:t>
      </w:r>
      <w:r w:rsidRPr="006A21F9">
        <w:rPr>
          <w:i/>
          <w:iCs/>
          <w:lang w:val="ru-RU"/>
        </w:rPr>
        <w:t>‘恩赐虽有分别，圣灵却是一位；职分虽有分别，主却是一位；工作虽有分别，神却是一位，在众人里面运行一切’</w:t>
      </w:r>
      <w:r w:rsidRPr="006A21F9">
        <w:rPr>
          <w:lang w:val="ru-RU"/>
        </w:rPr>
        <w:t>（林前12:4-6）。 因为圣灵分给各人的恩赐，都是由父借着道赐给各人的：凡属于父的，也属于子；因此，由子在圣灵里所赐的恩赐，本质上也是父的恩赐。 同样，当圣灵住在我们里面时，赐给我们圣灵的道也住在我们里面；而在道里面有父，于是便应验了所说的话：</w:t>
      </w:r>
      <w:r w:rsidRPr="006A21F9">
        <w:rPr>
          <w:i/>
          <w:iCs/>
          <w:lang w:val="ru-RU"/>
        </w:rPr>
        <w:t>“我们（我和父）要到他那里去，在他那里造一个家”</w:t>
      </w:r>
      <w:r w:rsidRPr="006A21F9">
        <w:rPr>
          <w:lang w:val="ru-RU"/>
        </w:rPr>
        <w:t>（约14:23）。 因为哪里有光，哪里就有光辉；哪里有光辉，哪里就有它的作为和益处。保罗在《哥林多后书》中正是这样教导的：</w:t>
      </w:r>
      <w:r w:rsidRPr="006A21F9">
        <w:rPr>
          <w:i/>
          <w:iCs/>
          <w:lang w:val="ru-RU"/>
        </w:rPr>
        <w:t>“愿我们主耶稣基督的恩惠、父神的爱、圣灵的交通，与你们众人同在。 阿们”</w:t>
      </w:r>
      <w:r w:rsidRPr="006A21F9">
        <w:rPr>
          <w:lang w:val="ru-RU"/>
        </w:rPr>
        <w:t>（林后13:13）。圣三一所赐的恩典与恩赐，是从父经由子在圣灵里赐下的。因为正如恩典是从（</w:t>
      </w:r>
      <w:r w:rsidRPr="001E4083">
        <w:lastRenderedPageBreak/>
        <w:t>έκ</w:t>
      </w:r>
      <w:r w:rsidRPr="006A21F9">
        <w:rPr>
          <w:lang w:val="ru-RU"/>
        </w:rPr>
        <w:t>）父经由（</w:t>
      </w:r>
      <w:r w:rsidRPr="001E4083">
        <w:t>διά</w:t>
      </w:r>
      <w:r w:rsidRPr="006A21F9">
        <w:rPr>
          <w:lang w:val="ru-RU"/>
        </w:rPr>
        <w:t>）子赐给我们的；同样，我们领受这恩赐也只能在（</w:t>
      </w:r>
      <w:r w:rsidRPr="001E4083">
        <w:t>έν</w:t>
      </w:r>
      <w:r w:rsidRPr="006A21F9">
        <w:rPr>
          <w:lang w:val="ru-RU"/>
        </w:rPr>
        <w:t>）圣灵里。 我们领受了祂，便同时拥有了父的爱、子的恩典，以及圣灵本身的交通。”</w:t>
      </w:r>
      <w:r>
        <w:rPr>
          <w:rStyle w:val="FootnoteReference"/>
        </w:rPr>
        <w:footnoteReference w:id="432"/>
      </w:r>
    </w:p>
    <w:p w14:paraId="10F711C3" w14:textId="77777777" w:rsidR="00BE1885" w:rsidRPr="006A21F9" w:rsidRDefault="00BE1885" w:rsidP="00BE1885">
      <w:pPr>
        <w:rPr>
          <w:lang w:val="ru-RU"/>
        </w:rPr>
      </w:pPr>
      <w:r w:rsidRPr="006A21F9">
        <w:rPr>
          <w:lang w:val="ru-RU"/>
        </w:rPr>
        <w:tab/>
        <w:t>特别是，无论是在圣经中，还是在教会教师的著作中——</w:t>
      </w:r>
    </w:p>
    <w:p w14:paraId="71712E4B" w14:textId="77777777" w:rsidR="00BE1885" w:rsidRPr="006A21F9" w:rsidRDefault="00BE1885" w:rsidP="00BE1885">
      <w:pPr>
        <w:ind w:firstLine="708"/>
        <w:rPr>
          <w:lang w:val="ru-RU"/>
        </w:rPr>
      </w:pPr>
      <w:r w:rsidRPr="006A21F9">
        <w:rPr>
          <w:b/>
          <w:bCs/>
          <w:lang w:val="ru-RU"/>
        </w:rPr>
        <w:t>1.</w:t>
      </w:r>
      <w:r w:rsidRPr="006A21F9">
        <w:rPr>
          <w:lang w:val="ru-RU"/>
        </w:rPr>
        <w:t xml:space="preserve"> 圣父被视为我们成圣的源泉。救主最初正是从祂那里将圣灵降临到世上：</w:t>
      </w:r>
      <w:r w:rsidRPr="006A21F9">
        <w:rPr>
          <w:i/>
          <w:iCs/>
          <w:lang w:val="ru-RU"/>
        </w:rPr>
        <w:t>“我要求父，父就另外赐给你们一位保惠师，叫祂永远与你们同在”</w:t>
      </w:r>
      <w:r w:rsidRPr="006A21F9">
        <w:rPr>
          <w:lang w:val="ru-RU"/>
        </w:rPr>
        <w:t xml:space="preserve">（约14:16）； </w:t>
      </w:r>
      <w:r w:rsidRPr="006A21F9">
        <w:rPr>
          <w:i/>
          <w:iCs/>
          <w:lang w:val="ru-RU"/>
        </w:rPr>
        <w:t>“但保惠师，就是父因我的名所要差来的圣灵，他要将一切的事指教你们”</w:t>
      </w:r>
      <w:r w:rsidRPr="006A21F9">
        <w:rPr>
          <w:lang w:val="ru-RU"/>
        </w:rPr>
        <w:t>（约翰福音14:26）</w:t>
      </w:r>
      <w:r w:rsidRPr="006A21F9">
        <w:rPr>
          <w:i/>
          <w:iCs/>
          <w:lang w:val="ru-RU"/>
        </w:rPr>
        <w:t>；“但那保惠师，就是我从父那里差来的，那从父出来的真理的圣灵”</w:t>
      </w:r>
      <w:r w:rsidRPr="006A21F9">
        <w:rPr>
          <w:lang w:val="ru-RU"/>
        </w:rPr>
        <w:t>（约翰福音15:26）。 使徒们以及随后向信徒分赐恩典之礼的一切行为，首先都源于父神：</w:t>
      </w:r>
      <w:r w:rsidRPr="006A21F9">
        <w:rPr>
          <w:i/>
          <w:iCs/>
          <w:lang w:val="ru-RU"/>
        </w:rPr>
        <w:t>“愿恩惠、平安从我们的父神和主耶稣基督归给你们”</w:t>
      </w:r>
      <w:r w:rsidRPr="006A21F9">
        <w:rPr>
          <w:lang w:val="ru-RU"/>
        </w:rPr>
        <w:t>[（罗 1:7）；（林前 1:3）；（林后 1:2）； （加拉太书 1:3）；（以弗所书 1:2）；（歌罗西书 1:3）等]；或者：</w:t>
      </w:r>
      <w:r w:rsidRPr="006A21F9">
        <w:rPr>
          <w:i/>
          <w:iCs/>
          <w:lang w:val="ru-RU"/>
        </w:rPr>
        <w:t xml:space="preserve">“愿恩惠、怜悯、平安从我们的父神和我们的主耶稣基督临到你们” </w:t>
      </w:r>
      <w:r w:rsidRPr="006A21F9">
        <w:rPr>
          <w:lang w:val="ru-RU"/>
        </w:rPr>
        <w:t>[(提摩太前书 1:2)；(提摩太后书 1:2)； （提多书 1:4）]——这是使徒们在向基督徒致以祝福时通常使用的措辞。</w:t>
      </w:r>
      <w:r>
        <w:rPr>
          <w:rStyle w:val="FootnoteReference"/>
        </w:rPr>
        <w:footnoteReference w:id="433"/>
      </w:r>
      <w:r w:rsidRPr="006A21F9">
        <w:rPr>
          <w:lang w:val="ru-RU"/>
        </w:rPr>
        <w:t xml:space="preserve"> 基督的话语也应在此意义上理解：</w:t>
      </w:r>
      <w:r w:rsidRPr="006A21F9">
        <w:rPr>
          <w:i/>
          <w:iCs/>
          <w:lang w:val="ru-RU"/>
        </w:rPr>
        <w:t>“若不是差我来的父吸引人，就没有人能到我这里来”</w:t>
      </w:r>
      <w:r w:rsidRPr="006A21F9">
        <w:rPr>
          <w:lang w:val="ru-RU"/>
        </w:rPr>
        <w:t>（约翰福音 6:44）。</w:t>
      </w:r>
    </w:p>
    <w:p w14:paraId="1E09E5E4" w14:textId="77777777" w:rsidR="00BE1885" w:rsidRPr="006A21F9" w:rsidRDefault="00BE1885" w:rsidP="00BE1885">
      <w:pPr>
        <w:ind w:firstLine="708"/>
        <w:rPr>
          <w:lang w:val="ru-RU"/>
        </w:rPr>
      </w:pPr>
      <w:r w:rsidRPr="006A21F9">
        <w:rPr>
          <w:b/>
          <w:bCs/>
          <w:lang w:val="ru-RU"/>
        </w:rPr>
        <w:t>2.</w:t>
      </w:r>
      <w:r w:rsidRPr="006A21F9">
        <w:rPr>
          <w:lang w:val="ru-RU"/>
        </w:rPr>
        <w:t xml:space="preserve"> 圣灵被视为我们成圣的施行者。在救主升天后不久，圣灵便降临人间，为要使我们领受救恩， 圣灵自那时起便永远住在教会中（约14:16），在洗礼圣事中使罪人重生（约3:5），并</w:t>
      </w:r>
      <w:r w:rsidRPr="006A21F9">
        <w:rPr>
          <w:i/>
          <w:iCs/>
          <w:lang w:val="ru-RU"/>
        </w:rPr>
        <w:t>以“智慧和聪明的灵、谋略和刚强的灵、知识和敬虔的灵、 敬畏神的灵”</w:t>
      </w:r>
      <w:r w:rsidRPr="006A21F9">
        <w:rPr>
          <w:lang w:val="ru-RU"/>
        </w:rPr>
        <w:t xml:space="preserve">（赛11:2-3），祂将我们当作自己的殿宇而居住其中（林前6:19），在我们软弱时帮助我们（罗8:26），并在我们里面结出属灵的果子： </w:t>
      </w:r>
      <w:r w:rsidRPr="006A21F9">
        <w:rPr>
          <w:i/>
          <w:iCs/>
          <w:lang w:val="ru-RU"/>
        </w:rPr>
        <w:t>“仁爱、喜乐、和平、忍耐、恩慈、良善、信实、温柔、节制”</w:t>
      </w:r>
      <w:r w:rsidRPr="006A21F9">
        <w:rPr>
          <w:lang w:val="ru-RU"/>
        </w:rPr>
        <w:t>（加拉太书 5:22-23）以及其他一切美德，以致</w:t>
      </w:r>
      <w:r w:rsidRPr="006A21F9">
        <w:rPr>
          <w:i/>
          <w:iCs/>
          <w:lang w:val="ru-RU"/>
        </w:rPr>
        <w:t>“若不是被圣灵感动的，没有人能说‘耶稣是主’”</w:t>
      </w:r>
      <w:r w:rsidRPr="006A21F9">
        <w:rPr>
          <w:lang w:val="ru-RU"/>
        </w:rPr>
        <w:t>（哥林多前书 12:3）。</w:t>
      </w:r>
      <w:r>
        <w:rPr>
          <w:rStyle w:val="FootnoteReference"/>
        </w:rPr>
        <w:footnoteReference w:id="434"/>
      </w:r>
    </w:p>
    <w:p w14:paraId="7CC50C01" w14:textId="77777777" w:rsidR="00BE1885" w:rsidRPr="006A21F9" w:rsidRDefault="00BE1885" w:rsidP="00BE1885">
      <w:pPr>
        <w:ind w:firstLine="708"/>
        <w:rPr>
          <w:lang w:val="ru-RU"/>
        </w:rPr>
      </w:pPr>
      <w:r w:rsidRPr="006A21F9">
        <w:rPr>
          <w:b/>
          <w:bCs/>
          <w:lang w:val="ru-RU"/>
        </w:rPr>
        <w:t>3.</w:t>
      </w:r>
      <w:r w:rsidRPr="006A21F9">
        <w:rPr>
          <w:lang w:val="ru-RU"/>
        </w:rPr>
        <w:t xml:space="preserve"> 圣子被视为我们成圣的根源。祂借着在十字架上的受死，为我们赢得了圣灵的一切恩赐。因此，若圣灵是从父那里降临到世上的，那必定是因着圣子的代求（约14:16），奉圣子的名（约14:26）， 若非圣子在十字架上完成了我们的救赎之工，并因其功绩而得着荣耀（约7:39），圣灵绝不会被差遣下来， 。 正因如此，圣子被描绘为向所有信徒和渴慕活水的人施予圣灵者（约7:37-38），而圣灵的恩典通常被称为我们主耶稣基督的恩典[(罗16:24)； (林前 16:23)；(林后 13:13)；(加 6:18)；(腓 4:23)；(帖后 3:18)]，或称为基督的恩典 [(加 1:6)； (林后 12:9)]，即在基督耶稣里赐给我们的恩典 [(林前 1:4)；(提后 1:9)]，而圣灵本身——就是基督的灵 (罗 8:9)，也是圣子的灵 (加 4:6)。 正因如此，经上说正是基督用圣灵为我们施洗（太 3:16），基督作为永恒的大祭司</w:t>
      </w:r>
      <w:r w:rsidRPr="006A21F9">
        <w:rPr>
          <w:i/>
          <w:iCs/>
          <w:lang w:val="ru-RU"/>
        </w:rPr>
        <w:t>，“只一次献上自己</w:t>
      </w:r>
      <w:r w:rsidRPr="006A21F9">
        <w:rPr>
          <w:lang w:val="ru-RU"/>
        </w:rPr>
        <w:t>，</w:t>
      </w:r>
      <w:r w:rsidRPr="006A21F9">
        <w:rPr>
          <w:i/>
          <w:iCs/>
          <w:lang w:val="ru-RU"/>
        </w:rPr>
        <w:t>就使那些被圣化的人永远完全”</w:t>
      </w:r>
      <w:r w:rsidRPr="006A21F9">
        <w:rPr>
          <w:lang w:val="ru-RU"/>
        </w:rPr>
        <w:t xml:space="preserve"> （希伯来书 10:14），祂在天上不断为我们代求，并将生活和敬虔所需的一切赐给我们（彼得后书 </w:t>
      </w:r>
      <w:r w:rsidRPr="006A21F9">
        <w:rPr>
          <w:lang w:val="ru-RU"/>
        </w:rPr>
        <w:lastRenderedPageBreak/>
        <w:t>1:3），圣灵住在我们里面，就是基督自己住在我们里面 [(罗马书 8:9-10)； (林后 13:5)；(加 2:20)]，</w:t>
      </w:r>
      <w:r>
        <w:rPr>
          <w:rStyle w:val="FootnoteReference"/>
        </w:rPr>
        <w:footnoteReference w:id="435"/>
      </w:r>
      <w:r w:rsidRPr="006A21F9">
        <w:rPr>
          <w:lang w:val="ru-RU"/>
        </w:rPr>
        <w:t xml:space="preserve"> 因为离开基督，我们什么也不能做（约 15:5），而且正是祂借着圣灵使我们成圣，</w:t>
      </w:r>
      <w:r>
        <w:rPr>
          <w:rStyle w:val="FootnoteReference"/>
        </w:rPr>
        <w:footnoteReference w:id="436"/>
      </w:r>
      <w:r w:rsidRPr="006A21F9">
        <w:rPr>
          <w:lang w:val="ru-RU"/>
        </w:rPr>
        <w:t xml:space="preserve"> 而我们则是被成圣的 [(来 2:11)； （希伯来书 10:29）；（希伯来书 13:12）]，或是因基督耶稣而蒙圣化的（哥林多前书 1:2）。</w:t>
      </w:r>
    </w:p>
    <w:p w14:paraId="2E6A7AB3" w14:textId="77777777" w:rsidR="00BE1885" w:rsidRPr="006A21F9" w:rsidRDefault="00BE1885" w:rsidP="00BE1885">
      <w:pPr>
        <w:ind w:firstLine="708"/>
        <w:rPr>
          <w:lang w:val="ru-RU"/>
        </w:rPr>
      </w:pPr>
      <w:r w:rsidRPr="006A21F9">
        <w:rPr>
          <w:b/>
          <w:bCs/>
          <w:lang w:val="ru-RU"/>
        </w:rPr>
        <w:t>4.</w:t>
      </w:r>
      <w:r w:rsidRPr="006A21F9">
        <w:rPr>
          <w:lang w:val="ru-RU"/>
        </w:rPr>
        <w:t xml:space="preserve"> 为了使我们能够领受我们救主的功绩，并真正地得以</w:t>
      </w:r>
      <w:r w:rsidRPr="006A21F9">
        <w:rPr>
          <w:b/>
          <w:bCs/>
          <w:lang w:val="ru-RU"/>
        </w:rPr>
        <w:t xml:space="preserve">成圣，祂——1) </w:t>
      </w:r>
      <w:r w:rsidRPr="006A21F9">
        <w:rPr>
          <w:lang w:val="ru-RU"/>
        </w:rPr>
        <w:t xml:space="preserve">在地上建立了祂的恩典之国——教会，作为祂成全我们成圣的活的器皿； </w:t>
      </w:r>
      <w:r w:rsidRPr="006A21F9">
        <w:rPr>
          <w:b/>
          <w:bCs/>
          <w:lang w:val="ru-RU"/>
        </w:rPr>
        <w:t>2）</w:t>
      </w:r>
      <w:r w:rsidRPr="006A21F9">
        <w:rPr>
          <w:lang w:val="ru-RU"/>
        </w:rPr>
        <w:t>在教会中并借着教会将圣灵的恩典赐予我们，作为使我们成圣的力量；以及</w:t>
      </w:r>
      <w:r w:rsidRPr="006A21F9">
        <w:rPr>
          <w:b/>
          <w:bCs/>
          <w:lang w:val="ru-RU"/>
        </w:rPr>
        <w:t xml:space="preserve"> 3）</w:t>
      </w:r>
      <w:r w:rsidRPr="006A21F9">
        <w:rPr>
          <w:lang w:val="ru-RU"/>
        </w:rPr>
        <w:t>在教会中设立了圣礼，作为将圣灵的恩典传给我们的媒介。</w:t>
      </w:r>
    </w:p>
    <w:p w14:paraId="45F1F414" w14:textId="77777777" w:rsidR="00BE1885" w:rsidRPr="006A21F9" w:rsidRDefault="00BE1885" w:rsidP="00BE1885">
      <w:pPr>
        <w:rPr>
          <w:lang w:val="ru-RU"/>
        </w:rPr>
      </w:pPr>
    </w:p>
    <w:p w14:paraId="6E2D6EF1" w14:textId="77777777" w:rsidR="00BE1885" w:rsidRPr="006A21F9" w:rsidRDefault="00BE1885" w:rsidP="00BE1885">
      <w:pPr>
        <w:rPr>
          <w:lang w:val="ru-RU"/>
        </w:rPr>
      </w:pPr>
    </w:p>
    <w:p w14:paraId="6005FEEC" w14:textId="77777777" w:rsidR="00BE1885" w:rsidRPr="006A21F9" w:rsidRDefault="00BE1885" w:rsidP="00BE1885">
      <w:pPr>
        <w:pStyle w:val="Heading3"/>
        <w:rPr>
          <w:lang w:val="ru-RU"/>
        </w:rPr>
      </w:pPr>
      <w:bookmarkStart w:id="407" w:name="_Toc133142601"/>
      <w:bookmarkStart w:id="408" w:name="_Toc133142922"/>
      <w:bookmarkStart w:id="409" w:name="_Toc133166279"/>
      <w:bookmarkStart w:id="410" w:name="_Toc182221489"/>
      <w:bookmarkStart w:id="411" w:name="_Toc238453056"/>
      <w:bookmarkStart w:id="412" w:name="_Toc238453856"/>
      <w:bookmarkStart w:id="413" w:name="_Toc238454321"/>
      <w:bookmarkStart w:id="414" w:name="_Toc238466403"/>
      <w:bookmarkStart w:id="415" w:name="_Toc238576516"/>
      <w:r w:rsidRPr="001E4083">
        <w:rPr>
          <w:bCs/>
        </w:rPr>
        <w:t>第一条</w:t>
      </w:r>
      <w:r w:rsidRPr="006A21F9">
        <w:rPr>
          <w:bCs/>
          <w:lang w:val="ru-RU"/>
        </w:rPr>
        <w:t xml:space="preserve">。 </w:t>
      </w:r>
      <w:r w:rsidRPr="006A21F9">
        <w:rPr>
          <w:lang w:val="ru-RU"/>
        </w:rPr>
        <w:br/>
        <w:t>关于圣教会——作为主借以成就我们成圣的器皿</w:t>
      </w:r>
      <w:bookmarkEnd w:id="407"/>
      <w:bookmarkEnd w:id="408"/>
      <w:bookmarkEnd w:id="409"/>
      <w:bookmarkEnd w:id="410"/>
      <w:bookmarkEnd w:id="411"/>
      <w:bookmarkEnd w:id="412"/>
      <w:bookmarkEnd w:id="413"/>
      <w:bookmarkEnd w:id="414"/>
      <w:bookmarkEnd w:id="415"/>
    </w:p>
    <w:p w14:paraId="611188D0" w14:textId="77777777" w:rsidR="00BE1885" w:rsidRPr="006A21F9" w:rsidRDefault="00BE1885" w:rsidP="00BE1885">
      <w:pPr>
        <w:rPr>
          <w:lang w:val="ru-RU"/>
        </w:rPr>
      </w:pPr>
    </w:p>
    <w:p w14:paraId="78BA6EAC" w14:textId="77777777" w:rsidR="00BE1885" w:rsidRPr="006A21F9" w:rsidRDefault="00BE1885" w:rsidP="00BE1885">
      <w:pPr>
        <w:pStyle w:val="Heading5"/>
        <w:rPr>
          <w:lang w:val="ru-RU"/>
        </w:rPr>
      </w:pPr>
      <w:bookmarkStart w:id="416" w:name="_Toc133142923"/>
      <w:bookmarkStart w:id="417" w:name="_Toc133166280"/>
      <w:bookmarkStart w:id="418" w:name="_Toc182221490"/>
      <w:bookmarkStart w:id="419" w:name="_Toc238453057"/>
      <w:bookmarkStart w:id="420" w:name="_Toc238453857"/>
      <w:bookmarkStart w:id="421" w:name="_Toc238576517"/>
      <w:r w:rsidRPr="006A21F9">
        <w:rPr>
          <w:bCs/>
          <w:lang w:val="ru-RU"/>
        </w:rPr>
        <w:t xml:space="preserve">§166. </w:t>
      </w:r>
      <w:r w:rsidRPr="006A21F9">
        <w:rPr>
          <w:lang w:val="ru-RU"/>
        </w:rPr>
        <w:t>“教会”一词的不同含义；本文将以此词阐述相关教义，以及对此主题的观点</w:t>
      </w:r>
      <w:bookmarkEnd w:id="416"/>
      <w:bookmarkEnd w:id="417"/>
      <w:bookmarkEnd w:id="418"/>
      <w:bookmarkEnd w:id="419"/>
      <w:bookmarkEnd w:id="420"/>
      <w:bookmarkEnd w:id="421"/>
    </w:p>
    <w:p w14:paraId="2334B7E5" w14:textId="77777777" w:rsidR="00BE1885" w:rsidRPr="006A21F9" w:rsidRDefault="00BE1885" w:rsidP="00BE1885">
      <w:pPr>
        <w:ind w:firstLine="708"/>
        <w:rPr>
          <w:lang w:val="ru-RU"/>
        </w:rPr>
      </w:pPr>
      <w:r w:rsidRPr="006A21F9">
        <w:rPr>
          <w:lang w:val="ru-RU"/>
        </w:rPr>
        <w:t>“基督的教会”这一名称（</w:t>
      </w:r>
      <w:r>
        <w:rPr>
          <w:rStyle w:val="FootnoteReference"/>
        </w:rPr>
        <w:footnoteReference w:id="437"/>
      </w:r>
      <w:r w:rsidRPr="006A21F9">
        <w:rPr>
          <w:lang w:val="ru-RU"/>
        </w:rPr>
        <w:t xml:space="preserve"> ）具有多种或多或少广泛的含义。</w:t>
      </w:r>
    </w:p>
    <w:p w14:paraId="387F85F6" w14:textId="77777777" w:rsidR="00BE1885" w:rsidRPr="006A21F9" w:rsidRDefault="00BE1885" w:rsidP="00BE1885">
      <w:pPr>
        <w:rPr>
          <w:lang w:val="ru-RU"/>
        </w:rPr>
      </w:pPr>
      <w:r w:rsidRPr="006A21F9">
        <w:rPr>
          <w:lang w:val="ru-RU"/>
        </w:rPr>
        <w:tab/>
        <w:t>其中最广义的解释是：基督教会指所有具有理性与自由的受造物所组成的共同体，即包括天使和人类在内，凡信靠基督救主并以祂为唯一元首而联合于祂之下的众生。 圣使徒在谈及“教会”一词时，正是以此含义来理解的。他指出</w:t>
      </w:r>
      <w:r w:rsidRPr="006A21F9">
        <w:rPr>
          <w:i/>
          <w:iCs/>
          <w:lang w:val="ru-RU"/>
        </w:rPr>
        <w:t>，神在“时机的圆满”中，为了将天上地上的一切都联合在基督元首之下</w:t>
      </w:r>
      <w:r w:rsidRPr="006A21F9">
        <w:rPr>
          <w:lang w:val="ru-RU"/>
        </w:rPr>
        <w:t>，</w:t>
      </w:r>
      <w:r w:rsidRPr="006A21F9">
        <w:rPr>
          <w:i/>
          <w:iCs/>
          <w:lang w:val="ru-RU"/>
        </w:rPr>
        <w:t xml:space="preserve">便使天上地上的一切都联合在基督元首之下……将祂安置在天上，在祂的右边，高过一切执政的、 和权柄、能力、主权，以及一切名字——不仅是在今世，也在来世——都高过祂，并将万有都服在祂的脚下，并使祂高过万有，作教会的元首，教会就是祂的身体，是那充满万有者所充满的丰满 </w:t>
      </w:r>
      <w:r w:rsidRPr="006A21F9">
        <w:rPr>
          <w:lang w:val="ru-RU"/>
        </w:rPr>
        <w:t>[(弗 1:10, 20-23)； 另见（来 12:22-23）；（西 1:18-20）]。</w:t>
      </w:r>
    </w:p>
    <w:p w14:paraId="0F4309EF" w14:textId="77777777" w:rsidR="00BE1885" w:rsidRPr="006A21F9" w:rsidRDefault="00BE1885" w:rsidP="00BE1885">
      <w:pPr>
        <w:rPr>
          <w:lang w:val="ru-RU"/>
        </w:rPr>
      </w:pPr>
      <w:r w:rsidRPr="006A21F9">
        <w:rPr>
          <w:lang w:val="ru-RU"/>
        </w:rPr>
        <w:tab/>
        <w:t>古代教会教师有时也会以同样的方式使用这个词，</w:t>
      </w:r>
      <w:r>
        <w:rPr>
          <w:rStyle w:val="FootnoteReference"/>
        </w:rPr>
        <w:footnoteReference w:id="438"/>
      </w:r>
      <w:r w:rsidRPr="006A21F9">
        <w:rPr>
          <w:lang w:val="ru-RU"/>
        </w:rPr>
        <w:t xml:space="preserve"> ，甚至在教会圣诗中也能见到，例如以下这首：“基督啊，祢将地上的 与天上的不可言喻地结合在一起，并使天使与人成为一个教会，我们不断地颂扬祢。”</w:t>
      </w:r>
      <w:r>
        <w:rPr>
          <w:rStyle w:val="FootnoteReference"/>
        </w:rPr>
        <w:footnoteReference w:id="439"/>
      </w:r>
      <w:r w:rsidRPr="006A21F9">
        <w:rPr>
          <w:lang w:val="ru-RU"/>
        </w:rPr>
        <w:t xml:space="preserve"> 如果我们考虑到，所有天上的权能无疑都信靠耶稣基督——这位将世界与上帝和好的真神人，并且还作为祂的器皿来建立地上的教会</w:t>
      </w:r>
      <w:r w:rsidRPr="006A21F9">
        <w:rPr>
          <w:i/>
          <w:iCs/>
          <w:lang w:val="ru-RU"/>
        </w:rPr>
        <w:t>，“被差遣去服侍那些将要承</w:t>
      </w:r>
      <w:r w:rsidRPr="006A21F9">
        <w:rPr>
          <w:i/>
          <w:iCs/>
          <w:lang w:val="ru-RU"/>
        </w:rPr>
        <w:lastRenderedPageBreak/>
        <w:t>受救恩的人”</w:t>
      </w:r>
      <w:r w:rsidRPr="006A21F9">
        <w:rPr>
          <w:lang w:val="ru-RU"/>
        </w:rPr>
        <w:t xml:space="preserve"> （希伯来书 1:14）：那么，关于基督教会这一概念的含义对我们来说将更加清晰。不过，必须指出的是，这个词在此意义上使用得非常少。</w:t>
      </w:r>
    </w:p>
    <w:p w14:paraId="19E0C7F4" w14:textId="77777777" w:rsidR="00BE1885" w:rsidRPr="006A21F9" w:rsidRDefault="00BE1885" w:rsidP="00BE1885">
      <w:pPr>
        <w:rPr>
          <w:lang w:val="ru-RU"/>
        </w:rPr>
      </w:pPr>
      <w:r w:rsidRPr="006A21F9">
        <w:rPr>
          <w:lang w:val="ru-RU"/>
        </w:rPr>
        <w:tab/>
        <w:t>就第二种含义而言——这种含义范围较小且更为常用——基督的教会实际上涵盖了所有曾信奉并正在信奉基督信仰的人，无论他们何时生活，无论他们如今身在何处，无论是仍活在世上，还是已进入亡者之国。</w:t>
      </w:r>
    </w:p>
    <w:p w14:paraId="5F63A2F9" w14:textId="77777777" w:rsidR="00BE1885" w:rsidRPr="006A21F9" w:rsidRDefault="00BE1885" w:rsidP="00BE1885">
      <w:pPr>
        <w:rPr>
          <w:lang w:val="ru-RU"/>
        </w:rPr>
      </w:pPr>
      <w:r w:rsidRPr="006A21F9">
        <w:rPr>
          <w:lang w:val="ru-RU"/>
        </w:rPr>
        <w:tab/>
        <w:t>就第一方面而言，即就时间而言，所有曾信奉和信奉耶稣基督的人都被视为基督教会的成员，无论是救世主降临之前生活的人，还是祂降临之后生活的人。 基督教会的起源可追溯至伊甸园时期，当时公义且满有怜悯的审判者向我们不幸的始祖作出了甘美的应许：女人的后裔将击碎蛇的头；随后，对这位未来救主的信仰便由此萌生（《详尽基督教教理问答》，</w:t>
      </w:r>
      <w:r w:rsidRPr="001E4083">
        <w:t>第九条</w:t>
      </w:r>
      <w:r w:rsidRPr="006A21F9">
        <w:rPr>
          <w:lang w:val="ru-RU"/>
        </w:rPr>
        <w:t xml:space="preserve">）。 教会的延续——贯穿整个世纪，直至世界末日。通常，它被分为旧约教会（《使徒行传》7:38），包括族长时代和律法时代的教会，以及新约教会。 这一关于基督教会的概念是无可争议的，因为众所周知，对基督的信仰确实并非始于祂降临之时，而是始于关于祂的最初应许之时；正因如此，早在远古时期，主就向世人赐下应许、预言和预表，也正因如此，祂颁布了律法， </w:t>
      </w:r>
      <w:r w:rsidRPr="006A21F9">
        <w:rPr>
          <w:i/>
          <w:iCs/>
          <w:lang w:val="ru-RU"/>
        </w:rPr>
        <w:t>“作为我们通往基督的保姆”</w:t>
      </w:r>
      <w:r w:rsidRPr="006A21F9">
        <w:rPr>
          <w:lang w:val="ru-RU"/>
        </w:rPr>
        <w:t>（加拉太书 3:24），而且信靠祂的人在世上从未匮乏。 圣使徒保罗列举了自世界起初以来所有在信仰上蒙见证（希伯来书 11:2）并因信得着应许、行出公义等事的人， （希伯来书11:33），最终得出结论：他们这信心的创始者与成全者，正是我们的主耶稣（希伯来书12:2）。 正因如此，圣父们在他们的著作中经常指出，所谓“基督教会”一词，不仅指救主降生后的信徒，也包括此前存在的信徒。因此，圣金口若望在解释使徒的话：“一个身体，一个圣灵……” （以弗所书 4:4）时，便问道：“那么，‘一个身体’究竟指什么？就是宇宙中所有曾经存在、现在存在以及将来会存在的信徒。同样，那些在基督降临之前就蒙神喜悦的人，也是‘一个身体’。为什么？因为他们也认识基督。”</w:t>
      </w:r>
      <w:r>
        <w:rPr>
          <w:rStyle w:val="FootnoteReference"/>
        </w:rPr>
        <w:footnoteReference w:id="440"/>
      </w:r>
      <w:r w:rsidRPr="006A21F9">
        <w:rPr>
          <w:lang w:val="ru-RU"/>
        </w:rPr>
        <w:t xml:space="preserve"> 圣奥古斯丁说： “不要以为‘教会’仅指那些在主降生后才成为圣徒的人；所有曾经存在过的圣徒也都属于教会。”</w:t>
      </w:r>
      <w:r>
        <w:rPr>
          <w:rStyle w:val="FootnoteReference"/>
        </w:rPr>
        <w:footnoteReference w:id="441"/>
      </w:r>
      <w:r w:rsidRPr="006A21F9">
        <w:rPr>
          <w:lang w:val="ru-RU"/>
        </w:rPr>
        <w:t xml:space="preserve"> 其他古代教父也持同样观点。</w:t>
      </w:r>
      <w:r>
        <w:rPr>
          <w:rStyle w:val="FootnoteReference"/>
        </w:rPr>
        <w:footnoteReference w:id="442"/>
      </w:r>
      <w:r w:rsidRPr="006A21F9">
        <w:rPr>
          <w:lang w:val="ru-RU"/>
        </w:rPr>
        <w:t xml:space="preserve"> “将</w:t>
      </w:r>
      <w:r w:rsidRPr="001E4083">
        <w:t>她的</w:t>
      </w:r>
      <w:r w:rsidRPr="006A21F9">
        <w:rPr>
          <w:lang w:val="ru-RU"/>
        </w:rPr>
        <w:t>（教会的）起源置于伊甸园中”——我们在某项教会礼仪中也能读到这句话。</w:t>
      </w:r>
      <w:r>
        <w:rPr>
          <w:rStyle w:val="FootnoteReference"/>
        </w:rPr>
        <w:footnoteReference w:id="443"/>
      </w:r>
    </w:p>
    <w:p w14:paraId="0C70014D" w14:textId="77777777" w:rsidR="00BE1885" w:rsidRPr="006A21F9" w:rsidRDefault="00BE1885" w:rsidP="00BE1885">
      <w:pPr>
        <w:rPr>
          <w:lang w:val="ru-RU"/>
        </w:rPr>
      </w:pPr>
      <w:r w:rsidRPr="006A21F9">
        <w:rPr>
          <w:lang w:val="ru-RU"/>
        </w:rPr>
        <w:tab/>
        <w:t>在关注信奉耶稣基督之人的状况时——无论他们是否仍在世，抑或已移居彼岸——基督的教会成员都将前者与后者一视同仁地接纳为教会成员：因为这种状态的转变在我们眼中是显而易见的，而</w:t>
      </w:r>
      <w:r w:rsidRPr="006A21F9">
        <w:rPr>
          <w:i/>
          <w:iCs/>
          <w:lang w:val="ru-RU"/>
        </w:rPr>
        <w:t>“主上帝不是死人的上帝，而是活人的上帝，因为在祂那里，万物都活着”</w:t>
      </w:r>
      <w:r w:rsidRPr="006A21F9">
        <w:rPr>
          <w:lang w:val="ru-RU"/>
        </w:rPr>
        <w:t xml:space="preserve"> （路加福音 20:37-38）。 不过，在已故者中，唯有以下两类人属于基督的教会：第一，那些在世上持守信仰，已在天上领受了公义冠冕的人——这冠冕是神为所有爱慕祂显现的人所预备的（提后 4:8）——</w:t>
      </w:r>
      <w:r w:rsidRPr="006A21F9">
        <w:rPr>
          <w:lang w:val="ru-RU"/>
        </w:rPr>
        <w:lastRenderedPageBreak/>
        <w:t>显然，这些人正是基督身体中最有生命力的肢体。</w:t>
      </w:r>
      <w:r>
        <w:rPr>
          <w:rStyle w:val="FootnoteReference"/>
        </w:rPr>
        <w:footnoteReference w:id="444"/>
      </w:r>
      <w:r w:rsidRPr="006A21F9">
        <w:rPr>
          <w:lang w:val="ru-RU"/>
        </w:rPr>
        <w:t xml:space="preserve"> 其次，是在信仰与悔改中离世的人， 他们虽然未能亲自结出与悔改相称的果子，也未领受天上的赏赐，但凭借教会的祈祷，仍怀有获得永恒福乐的希望：因为这些人同样信靠基督，并通过悔改与祂和好； 因此绝非被排斥在教会身体之外，教会正因如此为他们祈祷。</w:t>
      </w:r>
      <w:r>
        <w:rPr>
          <w:rStyle w:val="FootnoteReference"/>
        </w:rPr>
        <w:footnoteReference w:id="445"/>
      </w:r>
      <w:r w:rsidRPr="006A21F9">
        <w:rPr>
          <w:lang w:val="ru-RU"/>
        </w:rPr>
        <w:t xml:space="preserve"> 然而，那些在世时便自行脱离教会、完全丧失或歪曲了对基督的信仰，且在未悔改的状态下离世、甚至使自己丧失了教会祈祷之恩的亡者，则不属于教会（约壹5:16）。</w:t>
      </w:r>
      <w:r>
        <w:rPr>
          <w:rStyle w:val="FootnoteReference"/>
        </w:rPr>
        <w:footnoteReference w:id="446"/>
      </w:r>
      <w:r w:rsidRPr="006A21F9">
        <w:rPr>
          <w:lang w:val="ru-RU"/>
        </w:rPr>
        <w:t xml:space="preserve"> 就我们所讨论的方面而言，众所周知，基督的教会分为“争战的教会”或“寄居的教会”以及“得胜的教会”。</w:t>
      </w:r>
      <w:r>
        <w:rPr>
          <w:rStyle w:val="FootnoteReference"/>
        </w:rPr>
        <w:footnoteReference w:id="447"/>
      </w:r>
      <w:r w:rsidRPr="006A21F9">
        <w:rPr>
          <w:lang w:val="ru-RU"/>
        </w:rPr>
        <w:t xml:space="preserve"> 前者指地上的教会，它在此地没有永久的城邑（希伯来书 13:14），并在这一客旅之地引导其属灵的儿女前往天上的故乡，同时与阻碍他们得救的仇敌进行不间断的争战 [(彼得前书 5:8-9)； （以弗所书 6:11-12）]。 最后一个名称通常指天上的教会，其中包含那些已经走完尘世旅程、结束了与救恩之敌的争战，如今正与战胜死亡和地狱的基督以及圣天使们一同庆祝对敌人的胜利的基督徒 [(提摩太后书 4:7)； （希伯来书 12:22-23）；（启示录 3:21）；（启示录 12:11-12）]。 显然，得胜的教会可以说已经是争战之教会的果实：后者孕育、培育并最终引领了所有如今侍奉前者成员的人达到目标。 正因如此，绝不可将这两座教会混为一谈（《东方宗主教关于正统信仰的通谕》第10条）。争战的教会也被称为恩典之国或基督的恩典之国，而得胜的教会则被称为荣耀之国。</w:t>
      </w:r>
    </w:p>
    <w:p w14:paraId="3FEEAE74" w14:textId="77777777" w:rsidR="00BE1885" w:rsidRPr="006A21F9" w:rsidRDefault="00BE1885" w:rsidP="00BE1885">
      <w:pPr>
        <w:rPr>
          <w:lang w:val="ru-RU"/>
        </w:rPr>
      </w:pPr>
      <w:r w:rsidRPr="006A21F9">
        <w:rPr>
          <w:lang w:val="ru-RU"/>
        </w:rPr>
        <w:tab/>
        <w:t>最后，在更狭义但最普遍和常见的意义上，基督的教会实际上仅指新约中的、属世的教会，即基督的恩典之国。 “我们相信，正如我们所受的教导那样，”东方诸圣父在关于东正教信仰的信函中说道，“相信所谓的那样，也相信其本质本身，即 那唯一、圣洁、普世、使徒的教会，它包容了所有无论身在何处、身份如何、信靠基督的人，这些人如今尚在尘世旅途中，尚未定居于天上的家园”（第10条）。 在阐述关于教会的教义时，我们也将以此意义来理解教会。</w:t>
      </w:r>
      <w:r>
        <w:rPr>
          <w:rStyle w:val="FootnoteReference"/>
        </w:rPr>
        <w:footnoteReference w:id="448"/>
      </w:r>
    </w:p>
    <w:p w14:paraId="42A77CEB" w14:textId="77777777" w:rsidR="00BE1885" w:rsidRPr="006A21F9" w:rsidRDefault="00BE1885" w:rsidP="00BE1885">
      <w:pPr>
        <w:rPr>
          <w:lang w:val="ru-RU"/>
        </w:rPr>
      </w:pPr>
      <w:r w:rsidRPr="006A21F9">
        <w:rPr>
          <w:lang w:val="ru-RU"/>
        </w:rPr>
        <w:tab/>
        <w:t>为了使这一阐述尽可能清晰，我们将从以下几个方面来考察教会：</w:t>
      </w:r>
      <w:r w:rsidRPr="006A21F9">
        <w:rPr>
          <w:b/>
          <w:bCs/>
          <w:lang w:val="ru-RU"/>
        </w:rPr>
        <w:t>1）</w:t>
      </w:r>
      <w:r w:rsidRPr="006A21F9">
        <w:rPr>
          <w:lang w:val="ru-RU"/>
        </w:rPr>
        <w:t>从较为外在的角度，即</w:t>
      </w:r>
      <w:r w:rsidRPr="001E4083">
        <w:t>从其</w:t>
      </w:r>
      <w:r w:rsidRPr="006A21F9">
        <w:rPr>
          <w:lang w:val="ru-RU"/>
        </w:rPr>
        <w:t xml:space="preserve">起源、范围和宗旨方面； </w:t>
      </w:r>
      <w:r w:rsidRPr="006A21F9">
        <w:rPr>
          <w:b/>
          <w:bCs/>
          <w:lang w:val="ru-RU"/>
        </w:rPr>
        <w:t>2）</w:t>
      </w:r>
      <w:r w:rsidRPr="006A21F9">
        <w:rPr>
          <w:lang w:val="ru-RU"/>
        </w:rPr>
        <w:t>从更内在的层面（之所以说“更”，是因为教会的外在与内在层面无法完全割裂），探讨教会的构成及其内部组织；</w:t>
      </w:r>
      <w:r w:rsidRPr="006A21F9">
        <w:rPr>
          <w:b/>
          <w:bCs/>
          <w:lang w:val="ru-RU"/>
        </w:rPr>
        <w:t>3）</w:t>
      </w:r>
      <w:r w:rsidRPr="006A21F9">
        <w:rPr>
          <w:lang w:val="ru-RU"/>
        </w:rPr>
        <w:t>最后，作为前文论述的推论，我们将阐明关于教会本质</w:t>
      </w:r>
      <w:r w:rsidRPr="001E4083">
        <w:t>及其</w:t>
      </w:r>
      <w:r w:rsidRPr="006A21F9">
        <w:rPr>
          <w:lang w:val="ru-RU"/>
        </w:rPr>
        <w:t>核心属性的精确概念。</w:t>
      </w:r>
    </w:p>
    <w:p w14:paraId="2E7028FA" w14:textId="77777777" w:rsidR="00BE1885" w:rsidRPr="006A21F9" w:rsidRDefault="00BE1885" w:rsidP="00BE1885">
      <w:pPr>
        <w:rPr>
          <w:lang w:val="ru-RU"/>
        </w:rPr>
      </w:pPr>
      <w:r w:rsidRPr="006A21F9">
        <w:rPr>
          <w:lang w:val="ru-RU"/>
        </w:rPr>
        <w:lastRenderedPageBreak/>
        <w:tab/>
      </w:r>
    </w:p>
    <w:p w14:paraId="1FE0BDFD" w14:textId="77777777" w:rsidR="00BE1885" w:rsidRPr="006A21F9" w:rsidRDefault="00BE1885" w:rsidP="00BE1885">
      <w:pPr>
        <w:pStyle w:val="Heading4"/>
        <w:rPr>
          <w:lang w:val="ru-RU"/>
        </w:rPr>
      </w:pPr>
      <w:bookmarkStart w:id="422" w:name="_Toc133142602"/>
      <w:bookmarkStart w:id="423" w:name="_Toc133142924"/>
      <w:bookmarkStart w:id="424" w:name="_Toc133166281"/>
      <w:bookmarkStart w:id="425" w:name="_Toc182221491"/>
      <w:bookmarkStart w:id="426" w:name="_Toc238453058"/>
      <w:bookmarkStart w:id="427" w:name="_Toc238453858"/>
      <w:bookmarkStart w:id="428" w:name="_Toc238454322"/>
      <w:bookmarkStart w:id="429" w:name="_Toc238466404"/>
      <w:bookmarkStart w:id="430" w:name="_Toc238576518"/>
      <w:r w:rsidRPr="001E4083">
        <w:rPr>
          <w:bCs/>
        </w:rPr>
        <w:t>I</w:t>
      </w:r>
      <w:r w:rsidRPr="006A21F9">
        <w:rPr>
          <w:bCs/>
          <w:lang w:val="ru-RU"/>
        </w:rPr>
        <w:t>.</w:t>
      </w:r>
      <w:r w:rsidRPr="006A21F9">
        <w:rPr>
          <w:lang w:val="ru-RU"/>
        </w:rPr>
        <w:t xml:space="preserve"> 关于教会的起源、范围与宗旨</w:t>
      </w:r>
      <w:bookmarkEnd w:id="422"/>
      <w:bookmarkEnd w:id="423"/>
      <w:bookmarkEnd w:id="424"/>
      <w:bookmarkEnd w:id="425"/>
      <w:bookmarkEnd w:id="426"/>
      <w:bookmarkEnd w:id="427"/>
      <w:bookmarkEnd w:id="428"/>
      <w:bookmarkEnd w:id="429"/>
      <w:bookmarkEnd w:id="430"/>
    </w:p>
    <w:p w14:paraId="0BE54B1C" w14:textId="77777777" w:rsidR="00BE1885" w:rsidRPr="006A21F9" w:rsidRDefault="00BE1885" w:rsidP="00BE1885">
      <w:pPr>
        <w:rPr>
          <w:lang w:val="ru-RU"/>
        </w:rPr>
      </w:pPr>
    </w:p>
    <w:p w14:paraId="767F2D7C" w14:textId="77777777" w:rsidR="00BE1885" w:rsidRPr="006A21F9" w:rsidRDefault="00BE1885" w:rsidP="00BE1885">
      <w:pPr>
        <w:pStyle w:val="Heading5"/>
        <w:rPr>
          <w:lang w:val="ru-RU"/>
        </w:rPr>
      </w:pPr>
      <w:bookmarkStart w:id="431" w:name="_Toc133142925"/>
      <w:bookmarkStart w:id="432" w:name="_Toc133166282"/>
      <w:bookmarkStart w:id="433" w:name="_Toc182221492"/>
      <w:bookmarkStart w:id="434" w:name="_Toc238453059"/>
      <w:bookmarkStart w:id="435" w:name="_Toc238453859"/>
      <w:bookmarkStart w:id="436" w:name="_Toc238576519"/>
      <w:r w:rsidRPr="006A21F9">
        <w:rPr>
          <w:bCs/>
          <w:lang w:val="ru-RU"/>
        </w:rPr>
        <w:t>§167.</w:t>
      </w:r>
      <w:r w:rsidRPr="006A21F9">
        <w:rPr>
          <w:lang w:val="ru-RU"/>
        </w:rPr>
        <w:t xml:space="preserve"> 主耶稣基督建立教会</w:t>
      </w:r>
      <w:bookmarkEnd w:id="431"/>
      <w:bookmarkEnd w:id="432"/>
      <w:bookmarkEnd w:id="433"/>
      <w:bookmarkEnd w:id="434"/>
      <w:bookmarkEnd w:id="435"/>
      <w:bookmarkEnd w:id="436"/>
    </w:p>
    <w:p w14:paraId="0800F6B8" w14:textId="77777777" w:rsidR="00BE1885" w:rsidRPr="006A21F9" w:rsidRDefault="00BE1885" w:rsidP="00BE1885">
      <w:pPr>
        <w:ind w:firstLine="708"/>
        <w:rPr>
          <w:lang w:val="ru-RU"/>
        </w:rPr>
      </w:pPr>
      <w:r w:rsidRPr="006A21F9">
        <w:rPr>
          <w:lang w:val="ru-RU"/>
        </w:rPr>
        <w:t>主耶稣为拯救人类降临人间，并为他们带来了救赎的教义，祂希望人们在接受新信仰后，不要各自为政，而是为此组建一个特定的宗教团体； 祂亲自奠定了这个团体的根基，随后又通过门徒和使徒，将其传播并确立于 全地。因此，我们相信并宣认：“除了唯一的基督之外，教会别无根基，正如使徒所言： ‘</w:t>
      </w:r>
      <w:r w:rsidRPr="006A21F9">
        <w:rPr>
          <w:i/>
          <w:iCs/>
          <w:lang w:val="ru-RU"/>
        </w:rPr>
        <w:t>因为除了那已经立好的根基——就是耶稣基督——以外，没有人能另立根基’</w:t>
      </w:r>
      <w:r w:rsidRPr="006A21F9">
        <w:rPr>
          <w:lang w:val="ru-RU"/>
        </w:rPr>
        <w:t>（林前3:11）”（《正统信条》第一卷，对第85个问题的回答）。</w:t>
      </w:r>
    </w:p>
    <w:p w14:paraId="2805B04F" w14:textId="77777777" w:rsidR="00BE1885" w:rsidRPr="006A21F9" w:rsidRDefault="00BE1885" w:rsidP="00BE1885">
      <w:pPr>
        <w:ind w:firstLine="708"/>
        <w:rPr>
          <w:lang w:val="ru-RU"/>
        </w:rPr>
      </w:pPr>
      <w:r w:rsidRPr="006A21F9">
        <w:rPr>
          <w:b/>
          <w:bCs/>
          <w:lang w:val="ru-RU"/>
        </w:rPr>
        <w:t>1)</w:t>
      </w:r>
      <w:r w:rsidRPr="006A21F9">
        <w:rPr>
          <w:lang w:val="ru-RU"/>
        </w:rPr>
        <w:t xml:space="preserve"> 救主曾多次表达过希望将自己的追随者凝聚成一个统一团体的愿望，例如：</w:t>
      </w:r>
      <w:r w:rsidRPr="006A21F9">
        <w:rPr>
          <w:b/>
          <w:bCs/>
          <w:lang w:val="ru-RU"/>
        </w:rPr>
        <w:t xml:space="preserve">a) </w:t>
      </w:r>
      <w:r w:rsidRPr="006A21F9">
        <w:rPr>
          <w:lang w:val="ru-RU"/>
        </w:rPr>
        <w:t xml:space="preserve">当使徒彼得代表所有使徒承认祂是神的儿子后，主便在这块磐石（即这一告白）上说： </w:t>
      </w:r>
      <w:r w:rsidRPr="006A21F9">
        <w:rPr>
          <w:i/>
          <w:iCs/>
          <w:lang w:val="ru-RU"/>
        </w:rPr>
        <w:t>“我要建立我的教会，阴间的权柄不能胜过它”</w:t>
      </w:r>
      <w:r w:rsidRPr="006A21F9">
        <w:rPr>
          <w:lang w:val="ru-RU"/>
        </w:rPr>
        <w:t>（太16:18）；</w:t>
      </w:r>
      <w:r w:rsidRPr="006A21F9">
        <w:rPr>
          <w:b/>
          <w:bCs/>
          <w:lang w:val="ru-RU"/>
        </w:rPr>
        <w:t>b）</w:t>
      </w:r>
      <w:r w:rsidRPr="006A21F9">
        <w:rPr>
          <w:lang w:val="ru-RU"/>
        </w:rPr>
        <w:t>在“善牧”的比喻中——祂说：</w:t>
      </w:r>
      <w:r w:rsidRPr="006A21F9">
        <w:rPr>
          <w:i/>
          <w:iCs/>
          <w:lang w:val="ru-RU"/>
        </w:rPr>
        <w:t>“我是善牧；我认识我的羊，我的羊也认识我…… “我还有别的羊，不是这羊圈里的；我必须领他们来，他们也要听我的声音，并且要合成一群，归一位牧人</w:t>
      </w:r>
      <w:r w:rsidRPr="006A21F9">
        <w:rPr>
          <w:lang w:val="ru-RU"/>
        </w:rPr>
        <w:t xml:space="preserve">”（约10:14-16）； </w:t>
      </w:r>
      <w:r w:rsidRPr="006A21F9">
        <w:rPr>
          <w:b/>
          <w:bCs/>
          <w:lang w:val="ru-RU"/>
        </w:rPr>
        <w:t xml:space="preserve">c) </w:t>
      </w:r>
      <w:r w:rsidRPr="006A21F9">
        <w:rPr>
          <w:lang w:val="ru-RU"/>
        </w:rPr>
        <w:t>在向天父的祷告中：</w:t>
      </w:r>
      <w:r w:rsidRPr="006A21F9">
        <w:rPr>
          <w:i/>
          <w:iCs/>
          <w:lang w:val="ru-RU"/>
        </w:rPr>
        <w:t>“使他们都合而为一，正如你父在我里面，我在你里面，使他们也在我们里面合而为一”</w:t>
      </w:r>
      <w:r w:rsidRPr="006A21F9">
        <w:rPr>
          <w:lang w:val="ru-RU"/>
        </w:rPr>
        <w:t xml:space="preserve">（约17:21）。怀着在世上建立自己恩典之国的想法，他向众人开始了第一次讲道，正如福音书作者马太所记载的： </w:t>
      </w:r>
      <w:r w:rsidRPr="006A21F9">
        <w:rPr>
          <w:i/>
          <w:iCs/>
          <w:lang w:val="ru-RU"/>
        </w:rPr>
        <w:t>“从那时起，耶稣就开始传道，说：‘你们要悔改，因为天国近了’”</w:t>
      </w:r>
      <w:r w:rsidRPr="006A21F9">
        <w:rPr>
          <w:lang w:val="ru-RU"/>
        </w:rPr>
        <w:t>（太4:17）。主正是带着同样的信息，差遣门徒前往犹太全地：</w:t>
      </w:r>
      <w:r w:rsidRPr="006A21F9">
        <w:rPr>
          <w:i/>
          <w:iCs/>
          <w:lang w:val="ru-RU"/>
        </w:rPr>
        <w:t>“你们要去，特别是要向以色列家迷失的羊； 你们行路的时候，要传讲：天国近了</w:t>
      </w:r>
      <w:r w:rsidRPr="006A21F9">
        <w:rPr>
          <w:lang w:val="ru-RU"/>
        </w:rPr>
        <w:t>”（太10:6-7）。而且，祂究竟有多少次向人们讲论这神的国，无论是用比喻还是不用比喻 [(太13:24)； (太13:44-47)；  （太22:2）；（太25:1）；（路9:11）；（路10:11）；（路17:21）；（路21:31）等]</w:t>
      </w:r>
    </w:p>
    <w:p w14:paraId="7D499AC4" w14:textId="77777777" w:rsidR="00BE1885" w:rsidRPr="006A21F9" w:rsidRDefault="00BE1885" w:rsidP="00BE1885">
      <w:pPr>
        <w:ind w:firstLine="708"/>
        <w:rPr>
          <w:lang w:val="ru-RU"/>
        </w:rPr>
      </w:pPr>
      <w:r w:rsidRPr="006A21F9">
        <w:rPr>
          <w:b/>
          <w:bCs/>
          <w:lang w:val="ru-RU"/>
        </w:rPr>
        <w:t xml:space="preserve">2) </w:t>
      </w:r>
      <w:r w:rsidRPr="006A21F9">
        <w:rPr>
          <w:lang w:val="ru-RU"/>
        </w:rPr>
        <w:t>但基督所愿意的，祂就成就了。当祂拣选了最初的十二位门徒时，祂亲自为自己的教会奠定了开端与根基；这些门徒因信靠祂、服从祂的权柄，在一位元首之下*（约17:13）组成一个合一的团体，并形成了祂的初代教会； 另一方面，祂亲自确立了将追随者组织成一个特定团体所需的一切。 具体而言：</w:t>
      </w:r>
      <w:r w:rsidRPr="006A21F9">
        <w:rPr>
          <w:b/>
          <w:bCs/>
          <w:lang w:val="ru-RU"/>
        </w:rPr>
        <w:t>a)</w:t>
      </w:r>
      <w:r w:rsidRPr="006A21F9">
        <w:rPr>
          <w:lang w:val="ru-RU"/>
        </w:rPr>
        <w:t xml:space="preserve"> 设立了教师的职分，使他们能在万民中传播祂的信仰（以弗所书 4:11-12）；</w:t>
      </w:r>
      <w:r w:rsidRPr="006A21F9">
        <w:rPr>
          <w:b/>
          <w:bCs/>
          <w:lang w:val="ru-RU"/>
        </w:rPr>
        <w:t>b)</w:t>
      </w:r>
      <w:r w:rsidRPr="006A21F9">
        <w:rPr>
          <w:lang w:val="ru-RU"/>
        </w:rPr>
        <w:t xml:space="preserve"> 设立了洗礼圣礼，接纳所有信靠祂的人进入这个团体 [(马太福音 28:19)； （约3:3；4:1）；（可16:15-16)]；</w:t>
      </w:r>
      <w:r w:rsidRPr="006A21F9">
        <w:rPr>
          <w:b/>
          <w:bCs/>
          <w:lang w:val="ru-RU"/>
        </w:rPr>
        <w:t>c)</w:t>
      </w:r>
      <w:r w:rsidRPr="006A21F9">
        <w:rPr>
          <w:lang w:val="ru-RU"/>
        </w:rPr>
        <w:t xml:space="preserve"> 设立圣餐礼，使团契成员之间以及与祂——作为元首——之间建立最紧密的联结 [(太26:26-28)；（可14:22-24)； （路加福音 22:19-20）；（哥林多前书 12:23-26)]；</w:t>
      </w:r>
      <w:r w:rsidRPr="006A21F9">
        <w:rPr>
          <w:b/>
          <w:bCs/>
          <w:lang w:val="ru-RU"/>
        </w:rPr>
        <w:t>d)</w:t>
      </w:r>
      <w:r w:rsidRPr="006A21F9">
        <w:rPr>
          <w:lang w:val="ru-RU"/>
        </w:rPr>
        <w:t xml:space="preserve"> 告解圣事，旨在使那些违背祂律法和章程的成员与祂及教会和好并重新联合 [(马太福音 18:18)； （约20:21-23）]，以及所有其他圣礼 [</w:t>
      </w:r>
      <w:r w:rsidRPr="006A21F9">
        <w:rPr>
          <w:rFonts w:cs="Cambria Math"/>
          <w:lang w:val="ru-RU"/>
        </w:rPr>
        <w:t>(</w:t>
      </w:r>
      <w:r w:rsidRPr="006A21F9">
        <w:rPr>
          <w:lang w:val="ru-RU"/>
        </w:rPr>
        <w:t>太19:4-6)；(可6:13) 等]。正因如此，主在公开事奉期间就曾将祂的教会视为已经存在（太18:17）。 但实际上，基督是在十字架上才真正建立或奠定了他的教会，</w:t>
      </w:r>
      <w:r>
        <w:rPr>
          <w:rStyle w:val="FootnoteReference"/>
        </w:rPr>
        <w:footnoteReference w:id="449"/>
      </w:r>
      <w:r w:rsidRPr="006A21F9">
        <w:rPr>
          <w:lang w:val="ru-RU"/>
        </w:rPr>
        <w:t xml:space="preserve"> 在那里，用使徒的话说，他用自己的血赎买了教会（使徒行传 </w:t>
      </w:r>
      <w:r w:rsidRPr="006A21F9">
        <w:rPr>
          <w:lang w:val="ru-RU"/>
        </w:rPr>
        <w:lastRenderedPageBreak/>
        <w:t>20:28）。因为唯有在十字架上，主才真正救赎了我们，并将我们与上帝重新联合——若没有这一点，基督教便毫无意义； 唯有在经历了十字架的苦难之后，祂才进入了祂的荣耀（路加福音 24:26），并能将圣灵——那位引导人进入一切真理的导师——赐给祂的门徒；也唯有在进入祂的荣耀之后，祂才庄严地对他们宣告：</w:t>
      </w:r>
      <w:r w:rsidRPr="006A21F9">
        <w:rPr>
          <w:i/>
          <w:iCs/>
          <w:lang w:val="ru-RU"/>
        </w:rPr>
        <w:t>“天上地下所有的权柄都赐给我了。 所以，你们要去，使万民作我的门徒，奉父、子、圣灵的名给他们施洗……”</w:t>
      </w:r>
      <w:r w:rsidRPr="006A21F9">
        <w:rPr>
          <w:lang w:val="ru-RU"/>
        </w:rPr>
        <w:t xml:space="preserve"> （马太福音28:18-20）。倘若基督没有借着祂的死使我们与上帝和好，也没有借着十字架进入祂的荣耀，更没有将圣灵赐给使徒们，那么基督的教会就不可能在地上站立得住，而</w:t>
      </w:r>
      <w:r w:rsidRPr="001E4083">
        <w:t>它</w:t>
      </w:r>
      <w:r w:rsidRPr="006A21F9">
        <w:rPr>
          <w:lang w:val="ru-RU"/>
        </w:rPr>
        <w:t>以往的一切开端也会悄无声息地消失殆尽。</w:t>
      </w:r>
    </w:p>
    <w:p w14:paraId="0BC349C4" w14:textId="77777777" w:rsidR="00BE1885" w:rsidRPr="006A21F9" w:rsidRDefault="00BE1885" w:rsidP="00BE1885">
      <w:pPr>
        <w:ind w:firstLine="708"/>
        <w:rPr>
          <w:lang w:val="ru-RU"/>
        </w:rPr>
      </w:pPr>
      <w:r w:rsidRPr="006A21F9">
        <w:rPr>
          <w:b/>
          <w:bCs/>
          <w:lang w:val="ru-RU"/>
        </w:rPr>
        <w:t>3)</w:t>
      </w:r>
      <w:r w:rsidRPr="006A21F9">
        <w:rPr>
          <w:lang w:val="ru-RU"/>
        </w:rPr>
        <w:t xml:space="preserve"> 蒙从上头来的能力充满（路加福音 24:49），圣使徒们因着神的使命</w:t>
      </w:r>
      <w:r w:rsidRPr="006A21F9">
        <w:rPr>
          <w:i/>
          <w:iCs/>
          <w:lang w:val="ru-RU"/>
        </w:rPr>
        <w:t>，“就出去，到处传道，主的道随着他们，又用神迹奇事来证实”</w:t>
      </w:r>
      <w:r w:rsidRPr="006A21F9">
        <w:rPr>
          <w:lang w:val="ru-RU"/>
        </w:rPr>
        <w:t xml:space="preserve">（马可福音 16:20）。 </w:t>
      </w:r>
      <w:r w:rsidRPr="006A21F9">
        <w:rPr>
          <w:b/>
          <w:bCs/>
          <w:lang w:val="ru-RU"/>
        </w:rPr>
        <w:t>于是——a)</w:t>
      </w:r>
      <w:r w:rsidRPr="006A21F9">
        <w:rPr>
          <w:lang w:val="ru-RU"/>
        </w:rPr>
        <w:t xml:space="preserve"> 他们尽力在各地的信徒中组建团体，称之为“教会”（林前1:2；16:19）；</w:t>
      </w:r>
      <w:r w:rsidRPr="006A21F9">
        <w:rPr>
          <w:b/>
          <w:bCs/>
          <w:lang w:val="ru-RU"/>
        </w:rPr>
        <w:t>b)</w:t>
      </w:r>
      <w:r w:rsidRPr="006A21F9">
        <w:rPr>
          <w:lang w:val="ru-RU"/>
        </w:rPr>
        <w:t xml:space="preserve"> 吩咐这些信徒要聚会，聆听上帝的话语并一同祷告（徒2:42-46；</w:t>
      </w:r>
      <w:r w:rsidRPr="006A21F9">
        <w:rPr>
          <w:rFonts w:cs="Cambria Math"/>
          <w:lang w:val="ru-RU"/>
        </w:rPr>
        <w:t xml:space="preserve"> </w:t>
      </w:r>
      <w:r w:rsidRPr="006A21F9">
        <w:rPr>
          <w:lang w:val="ru-RU"/>
        </w:rPr>
        <w:t>20:7）；</w:t>
      </w:r>
      <w:r w:rsidRPr="006A21F9">
        <w:rPr>
          <w:b/>
          <w:bCs/>
          <w:lang w:val="ru-RU"/>
        </w:rPr>
        <w:t>c）</w:t>
      </w:r>
      <w:r w:rsidRPr="006A21F9">
        <w:rPr>
          <w:lang w:val="ru-RU"/>
        </w:rPr>
        <w:t xml:space="preserve">劝勉他们要在和平的联合中保持圣灵的合一——向他们阐明，他们共同构成主耶稣的一个身体，自己只是这身体的不同肢体，拥有同一位主、同一个信仰、同一个洗礼[（弗4:3-4）； （林前12:27）]， ，并且众人都是从同一块饼领受的（林前10:17），即在内在与外在的合一上都具备一切条件； </w:t>
      </w:r>
      <w:r w:rsidRPr="006A21F9">
        <w:rPr>
          <w:b/>
          <w:bCs/>
          <w:lang w:val="ru-RU"/>
        </w:rPr>
        <w:t>g)</w:t>
      </w:r>
      <w:r w:rsidRPr="006A21F9">
        <w:rPr>
          <w:lang w:val="ru-RU"/>
        </w:rPr>
        <w:t xml:space="preserve"> 最后，吩咐他们不可离弃自己的聚会，否则将面临被逐出教会和永恒灭亡的危险（希伯来书 10:24-25）。因此，凭着救主——祂亲自为自己的教会奠定了根基——的旨意和协助，教会随后便在宇宙的各个角落得以建立。</w:t>
      </w:r>
    </w:p>
    <w:p w14:paraId="5DF1A1B8" w14:textId="77777777" w:rsidR="00BE1885" w:rsidRPr="006A21F9" w:rsidRDefault="00BE1885" w:rsidP="00BE1885">
      <w:pPr>
        <w:rPr>
          <w:lang w:val="ru-RU"/>
        </w:rPr>
      </w:pPr>
      <w:r w:rsidRPr="006A21F9">
        <w:rPr>
          <w:lang w:val="ru-RU"/>
        </w:rPr>
        <w:tab/>
        <w:t>在此再列举基督教教会自身的相关见证已属多余，因为自其起源至今，教会始终相信并坚称，它正是由耶稣基督所建立的：这是众所周知的真理；这一事实不仅得到基督教历史的证实，更得到整个人类历史的无可置疑的印证。</w:t>
      </w:r>
    </w:p>
    <w:p w14:paraId="19D5EE8E" w14:textId="77777777" w:rsidR="00BE1885" w:rsidRPr="006A21F9" w:rsidRDefault="00BE1885" w:rsidP="00BE1885">
      <w:pPr>
        <w:rPr>
          <w:lang w:val="ru-RU"/>
        </w:rPr>
      </w:pPr>
    </w:p>
    <w:p w14:paraId="3F2D87D7" w14:textId="77777777" w:rsidR="00BE1885" w:rsidRPr="006A21F9" w:rsidRDefault="00BE1885" w:rsidP="00BE1885">
      <w:pPr>
        <w:pStyle w:val="Heading5"/>
        <w:rPr>
          <w:lang w:val="ru-RU"/>
        </w:rPr>
      </w:pPr>
      <w:bookmarkStart w:id="437" w:name="_Toc133142926"/>
      <w:bookmarkStart w:id="438" w:name="_Toc133166283"/>
      <w:bookmarkStart w:id="439" w:name="_Toc182221493"/>
      <w:bookmarkStart w:id="440" w:name="_Toc238453060"/>
      <w:bookmarkStart w:id="441" w:name="_Toc238453860"/>
      <w:bookmarkStart w:id="442" w:name="_Toc238576520"/>
      <w:r w:rsidRPr="006A21F9">
        <w:rPr>
          <w:lang w:val="ru-RU"/>
        </w:rPr>
        <w:t>§168. 基督教会的范围：谁属于教会，谁不属于教会</w:t>
      </w:r>
      <w:bookmarkEnd w:id="437"/>
      <w:bookmarkEnd w:id="438"/>
      <w:bookmarkEnd w:id="439"/>
      <w:bookmarkEnd w:id="440"/>
      <w:bookmarkEnd w:id="441"/>
      <w:bookmarkEnd w:id="442"/>
    </w:p>
    <w:p w14:paraId="50C11D2B" w14:textId="77777777" w:rsidR="00BE1885" w:rsidRPr="006A21F9" w:rsidRDefault="00BE1885" w:rsidP="00BE1885">
      <w:pPr>
        <w:ind w:firstLine="708"/>
        <w:rPr>
          <w:lang w:val="ru-RU"/>
        </w:rPr>
      </w:pPr>
      <w:r w:rsidRPr="006A21F9">
        <w:rPr>
          <w:lang w:val="ru-RU"/>
        </w:rPr>
        <w:t>基督救主在建立自己的教会时，便预先</w:t>
      </w:r>
      <w:r w:rsidRPr="001E4083">
        <w:t>界定了教会的</w:t>
      </w:r>
      <w:r w:rsidRPr="006A21F9">
        <w:rPr>
          <w:lang w:val="ru-RU"/>
        </w:rPr>
        <w:t>范围或规模。教会的这一规模可以从两个方面来考察：</w:t>
      </w:r>
      <w:r w:rsidRPr="006A21F9">
        <w:rPr>
          <w:b/>
          <w:bCs/>
          <w:lang w:val="ru-RU"/>
        </w:rPr>
        <w:t>a）</w:t>
      </w:r>
      <w:r w:rsidRPr="006A21F9">
        <w:rPr>
          <w:lang w:val="ru-RU"/>
        </w:rPr>
        <w:t>从</w:t>
      </w:r>
      <w:r w:rsidRPr="001E4083">
        <w:t>其</w:t>
      </w:r>
      <w:r w:rsidRPr="006A21F9">
        <w:rPr>
          <w:lang w:val="ru-RU"/>
        </w:rPr>
        <w:t>使命来看；</w:t>
      </w:r>
      <w:r w:rsidRPr="006A21F9">
        <w:rPr>
          <w:b/>
          <w:bCs/>
          <w:lang w:val="ru-RU"/>
        </w:rPr>
        <w:t>b）</w:t>
      </w:r>
      <w:r w:rsidRPr="006A21F9">
        <w:rPr>
          <w:lang w:val="ru-RU"/>
        </w:rPr>
        <w:t>从其现实状况来看。</w:t>
      </w:r>
    </w:p>
    <w:p w14:paraId="1B88E133" w14:textId="77777777" w:rsidR="00BE1885" w:rsidRPr="006A21F9" w:rsidRDefault="00BE1885" w:rsidP="00BE1885">
      <w:pPr>
        <w:rPr>
          <w:lang w:val="ru-RU"/>
        </w:rPr>
      </w:pPr>
      <w:r w:rsidRPr="006A21F9">
        <w:rPr>
          <w:lang w:val="ru-RU"/>
        </w:rPr>
        <w:tab/>
      </w:r>
      <w:r w:rsidRPr="001E4083">
        <w:rPr>
          <w:b/>
          <w:bCs/>
        </w:rPr>
        <w:t>一</w:t>
      </w:r>
      <w:r w:rsidRPr="006A21F9">
        <w:rPr>
          <w:b/>
          <w:bCs/>
          <w:lang w:val="ru-RU"/>
        </w:rPr>
        <w:t>、</w:t>
      </w:r>
      <w:r w:rsidRPr="006A21F9">
        <w:rPr>
          <w:lang w:val="ru-RU"/>
        </w:rPr>
        <w:t>从第一层意义来看，基督的教会不应像旧约时代的教会那样仅涵盖某个特定民族，而应包容所有民族、全人类。主早在远古时期就通过向列祖所作的应许（创世记 22:17、</w:t>
      </w:r>
      <w:r w:rsidRPr="006A21F9">
        <w:rPr>
          <w:rFonts w:cs="Cambria Math"/>
          <w:lang w:val="ru-RU"/>
        </w:rPr>
        <w:t xml:space="preserve"> </w:t>
      </w:r>
      <w:r w:rsidRPr="006A21F9">
        <w:rPr>
          <w:lang w:val="ru-RU"/>
        </w:rPr>
        <w:t>28:14)中向全人类启示的真理；随后又通过无数的预言和预表向整个犹太民族启示的真理[(诗篇 2:7-8)，(诗篇 71:8-11)； （赛2:2-3），</w:t>
      </w:r>
      <w:r w:rsidRPr="006A21F9">
        <w:rPr>
          <w:rFonts w:cs="Cambria Math"/>
          <w:lang w:val="ru-RU"/>
        </w:rPr>
        <w:t>（</w:t>
      </w:r>
      <w:r w:rsidRPr="006A21F9">
        <w:rPr>
          <w:lang w:val="ru-RU"/>
        </w:rPr>
        <w:t>赛9:6-7）；</w:t>
      </w:r>
      <w:r w:rsidRPr="006A21F9">
        <w:rPr>
          <w:rFonts w:cs="Cambria Math"/>
          <w:lang w:val="ru-RU"/>
        </w:rPr>
        <w:t>（</w:t>
      </w:r>
      <w:r w:rsidRPr="006A21F9">
        <w:rPr>
          <w:lang w:val="ru-RU"/>
        </w:rPr>
        <w:t>赛42:4-7），</w:t>
      </w:r>
      <w:r w:rsidRPr="006A21F9">
        <w:rPr>
          <w:rFonts w:cs="Cambria Math"/>
          <w:lang w:val="ru-RU"/>
        </w:rPr>
        <w:t>（</w:t>
      </w:r>
      <w:r w:rsidRPr="006A21F9">
        <w:rPr>
          <w:lang w:val="ru-RU"/>
        </w:rPr>
        <w:t>赛49:6）；（弥4:1）；（亚9:10）； （玛拉基书 1:11）等]；最后，当祂降临人间以成就古老的应许、预表和预言时，亲自以极其明确的方式宣告，并吩咐门徒说：</w:t>
      </w:r>
      <w:r w:rsidRPr="006A21F9">
        <w:rPr>
          <w:i/>
          <w:iCs/>
          <w:lang w:val="ru-RU"/>
        </w:rPr>
        <w:t>“你们往普天下去，向万物传讲福音”</w:t>
      </w:r>
      <w:r w:rsidRPr="006A21F9">
        <w:rPr>
          <w:lang w:val="ru-RU"/>
        </w:rPr>
        <w:t xml:space="preserve">（马可福音 16:15）； </w:t>
      </w:r>
      <w:r w:rsidRPr="006A21F9">
        <w:rPr>
          <w:i/>
          <w:iCs/>
          <w:lang w:val="ru-RU"/>
        </w:rPr>
        <w:t>“你们要去，使万民作我的门徒</w:t>
      </w:r>
      <w:r w:rsidRPr="006A21F9">
        <w:rPr>
          <w:lang w:val="ru-RU"/>
        </w:rPr>
        <w:t>”（太28:19）。因此，凡是曾听闻过福音宣讲的人，都理应成为基督教会的一员。所有人都有此义务：因为按其本性而言，所有人都同样被召唤进入与上帝的宗教联合之中。</w:t>
      </w:r>
      <w:r>
        <w:rPr>
          <w:rStyle w:val="FootnoteReference"/>
        </w:rPr>
        <w:footnoteReference w:id="450"/>
      </w:r>
      <w:r w:rsidRPr="006A21F9">
        <w:rPr>
          <w:lang w:val="ru-RU"/>
        </w:rPr>
        <w:t xml:space="preserve"> 这意味着，当他们破坏了这一联合，而主为了恢复它，亲自向世人提供了基督教信仰这一唯一途径（§§147-148）时，他们既因其本性，也因上帝的权能，有义务接受并运用这一所提供的途径。 正因如此，救主在向使徒们颁布向万物传讲福音的诫命时，附加了以下话语：</w:t>
      </w:r>
      <w:r w:rsidRPr="006A21F9">
        <w:rPr>
          <w:i/>
          <w:iCs/>
          <w:lang w:val="ru-RU"/>
        </w:rPr>
        <w:t>“信而受洗的，必然得救</w:t>
      </w:r>
      <w:r w:rsidRPr="006A21F9">
        <w:rPr>
          <w:i/>
          <w:iCs/>
          <w:lang w:val="ru-RU"/>
        </w:rPr>
        <w:lastRenderedPageBreak/>
        <w:t>；不信的，必被定罪”</w:t>
      </w:r>
      <w:r w:rsidRPr="006A21F9">
        <w:rPr>
          <w:lang w:val="ru-RU"/>
        </w:rPr>
        <w:t xml:space="preserve">（可16:16）； </w:t>
      </w:r>
      <w:r w:rsidRPr="006A21F9">
        <w:rPr>
          <w:i/>
          <w:iCs/>
          <w:lang w:val="ru-RU"/>
        </w:rPr>
        <w:t>“若有人不接待你们，也不听你们的话，你们就离开那家或那城，把脚上的尘土跺下去；我实在告诉你们：在审判的日子，所多玛和蛾摩拉所受的，比那城还容易受些”</w:t>
      </w:r>
      <w:r w:rsidRPr="006A21F9">
        <w:rPr>
          <w:lang w:val="ru-RU"/>
        </w:rPr>
        <w:t>（太10:14-15）。</w:t>
      </w:r>
    </w:p>
    <w:p w14:paraId="6D342E8D" w14:textId="77777777" w:rsidR="00BE1885" w:rsidRPr="006A21F9" w:rsidRDefault="00BE1885" w:rsidP="00BE1885">
      <w:pPr>
        <w:rPr>
          <w:lang w:val="ru-RU"/>
        </w:rPr>
      </w:pPr>
      <w:r w:rsidRPr="006A21F9">
        <w:rPr>
          <w:lang w:val="ru-RU"/>
        </w:rPr>
        <w:tab/>
      </w:r>
      <w:r w:rsidRPr="001E4083">
        <w:rPr>
          <w:b/>
          <w:bCs/>
        </w:rPr>
        <w:t>二</w:t>
      </w:r>
      <w:r w:rsidRPr="006A21F9">
        <w:rPr>
          <w:b/>
          <w:bCs/>
          <w:lang w:val="ru-RU"/>
        </w:rPr>
        <w:t>、</w:t>
      </w:r>
      <w:r w:rsidRPr="006A21F9">
        <w:rPr>
          <w:lang w:val="ru-RU"/>
        </w:rPr>
        <w:t>所有人都应当成为基督教会的一员；但实际上并非所有人都属于教会。救主曾说，</w:t>
      </w:r>
      <w:r w:rsidRPr="006A21F9">
        <w:rPr>
          <w:i/>
          <w:iCs/>
          <w:lang w:val="ru-RU"/>
        </w:rPr>
        <w:t>人若不从水和圣灵</w:t>
      </w:r>
      <w:r w:rsidRPr="006A21F9">
        <w:rPr>
          <w:lang w:val="ru-RU"/>
        </w:rPr>
        <w:t>重生</w:t>
      </w:r>
      <w:r w:rsidRPr="006A21F9">
        <w:rPr>
          <w:i/>
          <w:iCs/>
          <w:lang w:val="ru-RU"/>
        </w:rPr>
        <w:t>，就不能进入神的</w:t>
      </w:r>
      <w:r w:rsidRPr="006A21F9">
        <w:rPr>
          <w:lang w:val="ru-RU"/>
        </w:rPr>
        <w:t>国或教会（约3:5）。 因此，唯有那些按照使徒的话，已</w:t>
      </w:r>
      <w:r w:rsidRPr="006A21F9">
        <w:rPr>
          <w:i/>
          <w:iCs/>
          <w:lang w:val="ru-RU"/>
        </w:rPr>
        <w:t>借着同一位圣灵受洗归入一个身体</w:t>
      </w:r>
      <w:r w:rsidRPr="006A21F9">
        <w:rPr>
          <w:lang w:val="ru-RU"/>
        </w:rPr>
        <w:t>的人</w:t>
      </w:r>
      <w:r w:rsidRPr="006A21F9">
        <w:rPr>
          <w:i/>
          <w:iCs/>
          <w:lang w:val="ru-RU"/>
        </w:rPr>
        <w:t>——无论是犹太人，还是希腊人——</w:t>
      </w:r>
      <w:r w:rsidRPr="006A21F9">
        <w:rPr>
          <w:lang w:val="ru-RU"/>
        </w:rPr>
        <w:t>才真正属于基督的教会[（林前12:13）；参（徒2:41）]。 相反，不属于教会</w:t>
      </w:r>
      <w:r w:rsidRPr="006A21F9">
        <w:rPr>
          <w:b/>
          <w:bCs/>
          <w:lang w:val="ru-RU"/>
        </w:rPr>
        <w:t>的是——a)</w:t>
      </w:r>
      <w:r w:rsidRPr="006A21F9">
        <w:rPr>
          <w:lang w:val="ru-RU"/>
        </w:rPr>
        <w:t xml:space="preserve"> 尚未接受基督福音和洗礼的犹太人、穆斯林和异教徒。</w:t>
      </w:r>
      <w:r w:rsidRPr="006A21F9">
        <w:rPr>
          <w:b/>
          <w:bCs/>
          <w:lang w:val="ru-RU"/>
        </w:rPr>
        <w:t>甚至——b)</w:t>
      </w:r>
      <w:r w:rsidRPr="006A21F9">
        <w:rPr>
          <w:lang w:val="ru-RU"/>
        </w:rPr>
        <w:t xml:space="preserve"> 那些已经听闻福音并接受了福音，却尚未蒙受洗礼的人也不属于教会。 “受过福音教导的人对信徒来说仍是陌生的，”——圣约翰·金口如此指出。</w:t>
      </w:r>
      <w:r>
        <w:rPr>
          <w:rStyle w:val="FootnoteReference"/>
        </w:rPr>
        <w:footnoteReference w:id="451"/>
      </w:r>
      <w:r w:rsidRPr="006A21F9">
        <w:rPr>
          <w:lang w:val="ru-RU"/>
        </w:rPr>
        <w:t xml:space="preserve"> “只要你还是受过福音教导的人，”圣格里高利·神学家也对一位推迟受洗的人说，“你就仍停留在虔诚的门槛上； 而你应当进入其中，穿过庭院，看见圣所，以目光穿透至圣所，与圣三同在。”</w:t>
      </w:r>
      <w:r>
        <w:rPr>
          <w:rStyle w:val="FootnoteReference"/>
        </w:rPr>
        <w:footnoteReference w:id="452"/>
      </w:r>
      <w:r w:rsidRPr="006A21F9">
        <w:rPr>
          <w:lang w:val="ru-RU"/>
        </w:rPr>
        <w:t xml:space="preserve"> 此外，特土良还谴责异端分子未能区分慕道者与受洗者。</w:t>
      </w:r>
      <w:r>
        <w:rPr>
          <w:rStyle w:val="FootnoteReference"/>
        </w:rPr>
        <w:footnoteReference w:id="453"/>
      </w:r>
    </w:p>
    <w:p w14:paraId="05EACCF0" w14:textId="77777777" w:rsidR="00BE1885" w:rsidRPr="006A21F9" w:rsidRDefault="00BE1885" w:rsidP="00BE1885">
      <w:pPr>
        <w:rPr>
          <w:lang w:val="ru-RU"/>
        </w:rPr>
      </w:pPr>
      <w:r w:rsidRPr="006A21F9">
        <w:rPr>
          <w:lang w:val="ru-RU"/>
        </w:rPr>
        <w:tab/>
        <w:t>至于那些已经通过洗礼之门进入教会的人，我们——“相信，天主教会的一切成员都是信徒，而且是真正的信徒，即毫无疑问地信奉救主基督的纯正信仰 （这信仰是我们从基督本人、使徒以及普世大公会议那里领受的）， 尽管其中有些人曾犯过各种罪过。因为，倘若那些虽属信徒却犯了罪的人不是教会的成员，他们就不会受到</w:t>
      </w:r>
      <w:r w:rsidRPr="001E4083">
        <w:t>教会的</w:t>
      </w:r>
      <w:r w:rsidRPr="006A21F9">
        <w:rPr>
          <w:lang w:val="ru-RU"/>
        </w:rPr>
        <w:t>审判。 但教会审判他们，呼吁他们悔改，并引导他们走上救赎诫命的道路：因此，尽管他们会犯下罪过，只要他们不成为背教者，并坚守普世正统信仰，他们仍然是并被承认为普世教会的成员” （《东方宗主教关于正统信仰的书信》，</w:t>
      </w:r>
      <w:r w:rsidRPr="001E4083">
        <w:t>第二条</w:t>
      </w:r>
      <w:r w:rsidRPr="006A21F9">
        <w:rPr>
          <w:lang w:val="ru-RU"/>
        </w:rPr>
        <w:t>）。也就是说——所有持正统信仰的人都属于基督的教会，不仅包括义人，也包括罪人。</w:t>
      </w:r>
      <w:r>
        <w:rPr>
          <w:rStyle w:val="FootnoteReference"/>
        </w:rPr>
        <w:footnoteReference w:id="454"/>
      </w:r>
      <w:r w:rsidRPr="006A21F9">
        <w:rPr>
          <w:lang w:val="ru-RU"/>
        </w:rPr>
        <w:t xml:space="preserve"> 我们信仰的元首和救主本人就是这样教导的，他将自己的教会比作婚筵，其中善人与恶人都参与其中（马太福音22:2-13）； 又比作那片田地，在田主旨意下，小麦与稗子一同生长，直到收割之时（马太福音 13:24-30）；又比作那群羊群，其中既有绵羊也有山羊（马太福音 25:33）； 或是那撒入海中的网，从中捞出好鱼和坏鱼（马太福音 13:47）；或是那十个童女，其中五个是聪明的，五个是愚拙的（马太福音 25:1-13）。 正是出于这个目的，祂在教会中设立了悔改的圣礼，使罪人得以从罪中得洁净（约20:22-23），并教导我们向天上的父祷告：赦免我们的债（太6:12）。</w:t>
      </w:r>
      <w:r>
        <w:rPr>
          <w:rStyle w:val="FootnoteReference"/>
        </w:rPr>
        <w:footnoteReference w:id="455"/>
      </w:r>
    </w:p>
    <w:p w14:paraId="1BC4D474" w14:textId="77777777" w:rsidR="00BE1885" w:rsidRPr="006A21F9" w:rsidRDefault="00BE1885" w:rsidP="00BE1885">
      <w:pPr>
        <w:rPr>
          <w:lang w:val="ru-RU"/>
        </w:rPr>
      </w:pPr>
      <w:r w:rsidRPr="006A21F9">
        <w:rPr>
          <w:lang w:val="ru-RU"/>
        </w:rPr>
        <w:tab/>
        <w:t>圣使徒们也是这样教导和实践的。圣保罗写道：</w:t>
      </w:r>
      <w:r w:rsidRPr="006A21F9">
        <w:rPr>
          <w:i/>
          <w:iCs/>
          <w:lang w:val="ru-RU"/>
        </w:rPr>
        <w:t>在大</w:t>
      </w:r>
      <w:r w:rsidRPr="006A21F9">
        <w:rPr>
          <w:lang w:val="ru-RU"/>
        </w:rPr>
        <w:t>屋里，</w:t>
      </w:r>
      <w:r w:rsidRPr="006A21F9">
        <w:rPr>
          <w:i/>
          <w:iCs/>
          <w:lang w:val="ru-RU"/>
        </w:rPr>
        <w:t>不仅有金器银器，也有木器和瓦器</w:t>
      </w:r>
      <w:r w:rsidRPr="006A21F9">
        <w:rPr>
          <w:lang w:val="ru-RU"/>
        </w:rPr>
        <w:t xml:space="preserve">（提后2:20）。 </w:t>
      </w:r>
      <w:r w:rsidRPr="006A21F9">
        <w:rPr>
          <w:lang w:val="ru-RU"/>
        </w:rPr>
        <w:lastRenderedPageBreak/>
        <w:t>另一位使徒在整个基督教会面前见证说，</w:t>
      </w:r>
      <w:r w:rsidRPr="006A21F9">
        <w:rPr>
          <w:i/>
          <w:iCs/>
          <w:lang w:val="ru-RU"/>
        </w:rPr>
        <w:t>若我们说自己没有</w:t>
      </w:r>
      <w:r w:rsidRPr="006A21F9">
        <w:rPr>
          <w:lang w:val="ru-RU"/>
        </w:rPr>
        <w:t>罪</w:t>
      </w:r>
      <w:r w:rsidRPr="006A21F9">
        <w:rPr>
          <w:i/>
          <w:iCs/>
          <w:lang w:val="ru-RU"/>
        </w:rPr>
        <w:t>，便是自欺，真理就不在我们心里</w:t>
      </w:r>
      <w:r w:rsidRPr="006A21F9">
        <w:rPr>
          <w:lang w:val="ru-RU"/>
        </w:rPr>
        <w:t>（《约翰一书》1:8），</w:t>
      </w:r>
      <w:r>
        <w:rPr>
          <w:rStyle w:val="FootnoteReference"/>
        </w:rPr>
        <w:footnoteReference w:id="456"/>
      </w:r>
      <w:r w:rsidRPr="006A21F9">
        <w:rPr>
          <w:lang w:val="ru-RU"/>
        </w:rPr>
        <w:t xml:space="preserve"> ，并继续说道：</w:t>
      </w:r>
      <w:r w:rsidRPr="006A21F9">
        <w:rPr>
          <w:i/>
          <w:iCs/>
          <w:lang w:val="ru-RU"/>
        </w:rPr>
        <w:t>“我的儿女们！我写这些给你们，是要你们不犯罪； 倘若有人犯罪，我们有一位在父面前的代求者，就是那义者耶稣基督”</w:t>
      </w:r>
      <w:r w:rsidRPr="006A21F9">
        <w:rPr>
          <w:lang w:val="ru-RU"/>
        </w:rPr>
        <w:t>（《约翰一书》2:1）。使徒雅各给基督徒的诫命是：</w:t>
      </w:r>
      <w:r w:rsidRPr="006A21F9">
        <w:rPr>
          <w:i/>
          <w:iCs/>
          <w:lang w:val="ru-RU"/>
        </w:rPr>
        <w:t>“你们要彼此认罪，互相代求，使你们可以得医治”</w:t>
      </w:r>
      <w:r w:rsidRPr="006A21F9">
        <w:rPr>
          <w:lang w:val="ru-RU"/>
        </w:rPr>
        <w:t>（《雅各书》5:16）。 使徒时代的教会本身也并非没有缺点，或某些成员曾陷入过罪中，正如使徒书信中所示 [(林前 1:10)，</w:t>
      </w:r>
      <w:r w:rsidRPr="006A21F9">
        <w:rPr>
          <w:rFonts w:cs="Cambria Math"/>
          <w:lang w:val="ru-RU"/>
        </w:rPr>
        <w:t>(</w:t>
      </w:r>
      <w:r w:rsidRPr="006A21F9">
        <w:rPr>
          <w:lang w:val="ru-RU"/>
        </w:rPr>
        <w:t>林前 4:18-21)，</w:t>
      </w:r>
      <w:r w:rsidRPr="006A21F9">
        <w:rPr>
          <w:rFonts w:cs="Cambria Math"/>
          <w:lang w:val="ru-RU"/>
        </w:rPr>
        <w:t>(</w:t>
      </w:r>
      <w:r w:rsidRPr="006A21F9">
        <w:rPr>
          <w:lang w:val="ru-RU"/>
        </w:rPr>
        <w:t>林前 6:6)； （腓 2:21），（腓 3:18-19）；（帖前 2:14），（帖后 3:6）；（约壹 1:8-10）；（约壹 2:1-12）]。</w:t>
      </w:r>
    </w:p>
    <w:p w14:paraId="691721A2" w14:textId="77777777" w:rsidR="00BE1885" w:rsidRPr="006A21F9" w:rsidRDefault="00BE1885" w:rsidP="00BE1885">
      <w:pPr>
        <w:rPr>
          <w:lang w:val="ru-RU"/>
        </w:rPr>
      </w:pPr>
      <w:r w:rsidRPr="006A21F9">
        <w:rPr>
          <w:lang w:val="ru-RU"/>
        </w:rPr>
        <w:tab/>
        <w:t>特别是，据记载，甚至连一个犯有乱伦罪的人也曾属于哥林多教会，直到使徒下令将他开除。他曾属于该教会，这一点可从使徒对哥林多人的责备中看出：</w:t>
      </w:r>
      <w:r w:rsidRPr="006A21F9">
        <w:rPr>
          <w:i/>
          <w:iCs/>
          <w:lang w:val="ru-RU"/>
        </w:rPr>
        <w:t>“有确凿的传闻说，你们中间出现了</w:t>
      </w:r>
      <w:r w:rsidRPr="006A21F9">
        <w:rPr>
          <w:lang w:val="ru-RU"/>
        </w:rPr>
        <w:t xml:space="preserve">淫乱…… </w:t>
      </w:r>
      <w:r w:rsidRPr="006A21F9">
        <w:rPr>
          <w:i/>
          <w:iCs/>
          <w:lang w:val="ru-RU"/>
        </w:rPr>
        <w:t>你们竟还自高自大，倒不如该痛哭，好叫行这事的人从你们中间被除掉</w:t>
      </w:r>
      <w:r w:rsidRPr="006A21F9">
        <w:rPr>
          <w:lang w:val="ru-RU"/>
        </w:rPr>
        <w:t>”（林前5:1-2）。这正是将他开除教籍的命令所必然蕴含的（林前5:3-5）：否则，将一个本就不属于教会的人开除教籍又有何意义？</w:t>
      </w:r>
    </w:p>
    <w:p w14:paraId="3772263C" w14:textId="77777777" w:rsidR="00BE1885" w:rsidRPr="006A21F9" w:rsidRDefault="00BE1885" w:rsidP="00BE1885">
      <w:pPr>
        <w:rPr>
          <w:lang w:val="ru-RU"/>
        </w:rPr>
      </w:pPr>
      <w:r w:rsidRPr="006A21F9">
        <w:rPr>
          <w:lang w:val="ru-RU"/>
        </w:rPr>
        <w:tab/>
        <w:t>古代教会的教师们也始终如此教导，他们经常就这一问题与异端分子争辩，例如：</w:t>
      </w:r>
      <w:r w:rsidRPr="006A21F9">
        <w:rPr>
          <w:b/>
          <w:bCs/>
          <w:lang w:val="ru-RU"/>
        </w:rPr>
        <w:t>a)</w:t>
      </w:r>
      <w:r w:rsidRPr="006A21F9">
        <w:rPr>
          <w:lang w:val="ru-RU"/>
        </w:rPr>
        <w:t xml:space="preserve"> 圣基普里安：“当我们看到教会中有稗子时，我们的信仰和爱不应动摇，这并不给我们权利自己离开教会；”</w:t>
      </w:r>
      <w:r>
        <w:rPr>
          <w:rStyle w:val="FootnoteReference"/>
        </w:rPr>
        <w:footnoteReference w:id="457"/>
      </w:r>
      <w:r w:rsidRPr="006A21F9">
        <w:rPr>
          <w:lang w:val="ru-RU"/>
        </w:rPr>
        <w:t xml:space="preserve"> </w:t>
      </w:r>
      <w:r w:rsidRPr="006A21F9">
        <w:rPr>
          <w:b/>
          <w:bCs/>
          <w:lang w:val="ru-RU"/>
        </w:rPr>
        <w:t>b)</w:t>
      </w:r>
      <w:r w:rsidRPr="006A21F9">
        <w:rPr>
          <w:lang w:val="ru-RU"/>
        </w:rPr>
        <w:t xml:space="preserve"> 圣安布罗斯： “全善者（基督）照亮所有人，祂不愿轻易弃绝轻微犯罪者，而是希望引导其悔改；不愿将顽固者逐出教会，而是希望感化其心；”</w:t>
      </w:r>
      <w:r>
        <w:rPr>
          <w:rStyle w:val="FootnoteReference"/>
        </w:rPr>
        <w:footnoteReference w:id="458"/>
      </w:r>
      <w:r w:rsidRPr="006A21F9">
        <w:rPr>
          <w:lang w:val="ru-RU"/>
        </w:rPr>
        <w:t xml:space="preserve"> </w:t>
      </w:r>
      <w:r w:rsidRPr="006A21F9">
        <w:rPr>
          <w:b/>
          <w:bCs/>
          <w:lang w:val="ru-RU"/>
        </w:rPr>
        <w:t>c)</w:t>
      </w:r>
      <w:r w:rsidRPr="006A21F9">
        <w:rPr>
          <w:lang w:val="ru-RU"/>
        </w:rPr>
        <w:t xml:space="preserve"> 福者 狄奥多里特：“整个上帝的教会并非仅由完美之人组成，而是也包含那些放任自流、生活放纵，并 沉溺于邪恶享乐的人；”</w:t>
      </w:r>
      <w:r>
        <w:rPr>
          <w:rStyle w:val="FootnoteReference"/>
        </w:rPr>
        <w:footnoteReference w:id="459"/>
      </w:r>
      <w:r w:rsidRPr="006A21F9">
        <w:rPr>
          <w:lang w:val="ru-RU"/>
        </w:rPr>
        <w:t xml:space="preserve"> </w:t>
      </w:r>
      <w:r w:rsidRPr="006A21F9">
        <w:rPr>
          <w:b/>
          <w:bCs/>
          <w:lang w:val="ru-RU"/>
        </w:rPr>
        <w:t>d)</w:t>
      </w:r>
      <w:r w:rsidRPr="006A21F9">
        <w:rPr>
          <w:lang w:val="ru-RU"/>
        </w:rPr>
        <w:t xml:space="preserve"> 福者 杰罗姆：“诺亚的方舟是教会的预表；正如方舟中容纳了各类动物：教会中也容纳了来自各族、品行各异的人； 正如方舟中既有豹和山羊，也有狼和羔羊；这里同样既有义人也有罪人，即金器、银器与木器、陶器并用；”</w:t>
      </w:r>
      <w:r>
        <w:rPr>
          <w:rStyle w:val="FootnoteReference"/>
        </w:rPr>
        <w:footnoteReference w:id="460"/>
      </w:r>
      <w:r w:rsidRPr="006A21F9">
        <w:rPr>
          <w:lang w:val="ru-RU"/>
        </w:rPr>
        <w:t xml:space="preserve"> </w:t>
      </w:r>
      <w:r w:rsidRPr="006A21F9">
        <w:rPr>
          <w:b/>
          <w:bCs/>
          <w:lang w:val="ru-RU"/>
        </w:rPr>
        <w:t>d)</w:t>
      </w:r>
      <w:r w:rsidRPr="006A21F9">
        <w:rPr>
          <w:lang w:val="ru-RU"/>
        </w:rPr>
        <w:t xml:space="preserve"> 福者 奥古斯丁：“如果约柜预表了教会；那么你们自己也能由此看出，在当今这个时代的洪流之中，教会必须容纳这两类动物，即乌鸦和鸽子。谁是乌鸦呢？就是那些</w:t>
      </w:r>
      <w:r w:rsidRPr="006A21F9">
        <w:rPr>
          <w:i/>
          <w:iCs/>
          <w:lang w:val="ru-RU"/>
        </w:rPr>
        <w:t>只顾自己利益的人</w:t>
      </w:r>
      <w:r w:rsidRPr="006A21F9">
        <w:rPr>
          <w:lang w:val="ru-RU"/>
        </w:rPr>
        <w:t>。 而鸽子呢？就是</w:t>
      </w:r>
      <w:r w:rsidRPr="006A21F9">
        <w:rPr>
          <w:i/>
          <w:iCs/>
          <w:lang w:val="ru-RU"/>
        </w:rPr>
        <w:t>那些寻求耶稣基督所喜悦之事的人</w:t>
      </w:r>
      <w:r w:rsidRPr="006A21F9">
        <w:rPr>
          <w:lang w:val="ru-RU"/>
        </w:rPr>
        <w:t>（腓 2:21）</w:t>
      </w:r>
      <w:r w:rsidRPr="006A21F9">
        <w:rPr>
          <w:rFonts w:ascii="Georgia" w:hAnsi="Georgia" w:cs="Microsoft Sans Serif"/>
          <w:lang w:val="ru-RU"/>
        </w:rPr>
        <w:t>。</w:t>
      </w:r>
      <w:r w:rsidRPr="006A21F9">
        <w:rPr>
          <w:lang w:val="ru-RU"/>
        </w:rPr>
        <w:t>无论善恶，都在普世教会之中。”</w:t>
      </w:r>
      <w:r>
        <w:rPr>
          <w:rStyle w:val="FootnoteReference"/>
        </w:rPr>
        <w:footnoteReference w:id="461"/>
      </w:r>
      <w:r w:rsidRPr="006A21F9">
        <w:rPr>
          <w:lang w:val="ru-RU"/>
        </w:rPr>
        <w:t xml:space="preserve"> 奥利金、塔西安、赫拉克利乌斯的西奥多、大格里高利等人都曾阐述过这一教义。</w:t>
      </w:r>
      <w:r>
        <w:rPr>
          <w:rStyle w:val="FootnoteReference"/>
        </w:rPr>
        <w:footnoteReference w:id="462"/>
      </w:r>
    </w:p>
    <w:p w14:paraId="3131923B" w14:textId="77777777" w:rsidR="00BE1885" w:rsidRPr="006A21F9" w:rsidRDefault="00BE1885" w:rsidP="00BE1885">
      <w:pPr>
        <w:ind w:firstLine="708"/>
        <w:rPr>
          <w:lang w:val="ru-RU"/>
        </w:rPr>
      </w:pPr>
      <w:r w:rsidRPr="006A21F9">
        <w:rPr>
          <w:lang w:val="ru-RU"/>
        </w:rPr>
        <w:lastRenderedPageBreak/>
        <w:t>2) 但存在一条界限，若罪人逾越此界，则“或通过教会权柄的可见行动，或通过上帝审判的不可见行动，如同死去的肢体一般，被从教会这身体上割除”（《基督教教理问答》</w:t>
      </w:r>
      <w:r w:rsidRPr="001E4083">
        <w:t>第九条</w:t>
      </w:r>
      <w:r w:rsidRPr="006A21F9">
        <w:rPr>
          <w:lang w:val="ru-RU"/>
        </w:rPr>
        <w:t>，第74页，莫斯科，1840年）。 因此，以下人员已不再属于基督的教会：</w:t>
      </w:r>
    </w:p>
    <w:p w14:paraId="55C3B162"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背离基督教信仰者，他们彻底背弃信仰，重新成为异教徒或他教信徒，正如使徒所言</w:t>
      </w:r>
      <w:r w:rsidRPr="006A21F9">
        <w:rPr>
          <w:i/>
          <w:iCs/>
          <w:lang w:val="ru-RU"/>
        </w:rPr>
        <w:t>，“藐视神的儿子，不把那使他们成圣的约之血当作圣物，又亵渎施恩的圣灵”</w:t>
      </w:r>
      <w:r w:rsidRPr="006A21F9">
        <w:rPr>
          <w:lang w:val="ru-RU"/>
        </w:rPr>
        <w:t xml:space="preserve"> （希伯来书 10:29）。</w:t>
      </w:r>
      <w:r>
        <w:rPr>
          <w:rStyle w:val="FootnoteReference"/>
        </w:rPr>
        <w:footnoteReference w:id="463"/>
      </w:r>
    </w:p>
    <w:p w14:paraId="4F78CF2C"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异端分子，他们虽然没有完全背弃基督教信仰，</w:t>
      </w:r>
      <w:r w:rsidRPr="001E4083">
        <w:t>但在其</w:t>
      </w:r>
      <w:r w:rsidRPr="006A21F9">
        <w:rPr>
          <w:lang w:val="ru-RU"/>
        </w:rPr>
        <w:t>基本教义上却予以否定并加以歪曲。</w:t>
      </w:r>
      <w:r w:rsidRPr="006A21F9">
        <w:rPr>
          <w:i/>
          <w:iCs/>
          <w:lang w:val="ru-RU"/>
        </w:rPr>
        <w:t>“但无论是我们，还是从天上来的天使，若传给你们的与我们所传给你们的不同，他就应当被咒诅”</w:t>
      </w:r>
      <w:r w:rsidRPr="006A21F9">
        <w:rPr>
          <w:lang w:val="ru-RU"/>
        </w:rPr>
        <w:t>（加拉太书 1:7-8）。 对于异端分子，同一位使徒嘱咐他的门徒——提多主教说：</w:t>
      </w:r>
      <w:r w:rsidRPr="006A21F9">
        <w:rPr>
          <w:i/>
          <w:iCs/>
          <w:lang w:val="ru-RU"/>
        </w:rPr>
        <w:t>“经了一两次劝戒之后，就要远离他，因为你知道，这样的人已经偏离正道，犯了罪，自取定罪”</w:t>
      </w:r>
      <w:r w:rsidRPr="006A21F9">
        <w:rPr>
          <w:lang w:val="ru-RU"/>
        </w:rPr>
        <w:t>（提多书 3:10-11）： 使徒绝不会吩咐牧者这样对待那些仍属于他羊群的人。使徒约翰在谈到那些被称为“敌基督者”的异端时写道：</w:t>
      </w:r>
      <w:r w:rsidRPr="006A21F9">
        <w:rPr>
          <w:i/>
          <w:iCs/>
          <w:lang w:val="ru-RU"/>
        </w:rPr>
        <w:t>“他们从我们中间出去</w:t>
      </w:r>
      <w:r w:rsidRPr="006A21F9">
        <w:rPr>
          <w:lang w:val="ru-RU"/>
        </w:rPr>
        <w:t>，</w:t>
      </w:r>
      <w:r w:rsidRPr="006A21F9">
        <w:rPr>
          <w:i/>
          <w:iCs/>
          <w:lang w:val="ru-RU"/>
        </w:rPr>
        <w:t>却不是属我们的；若是属我们的，就必仍与我们同在</w:t>
      </w:r>
      <w:r w:rsidRPr="006A21F9">
        <w:rPr>
          <w:lang w:val="ru-RU"/>
        </w:rPr>
        <w:t>”（约一2:19）。 正因如此，自使徒时代起，克林菲派、埃维奥尼派及其他异端分子便已被逐出教会；</w:t>
      </w:r>
      <w:r>
        <w:rPr>
          <w:rStyle w:val="FootnoteReference"/>
        </w:rPr>
        <w:footnoteReference w:id="464"/>
      </w:r>
      <w:r w:rsidRPr="006A21F9">
        <w:rPr>
          <w:lang w:val="ru-RU"/>
        </w:rPr>
        <w:t xml:space="preserve"> 随后，在历次大公会议上，后来出现的其他所有异端分子也都遭到了开除。 这一点无疑也体现在那些大公会议的规则之中，这些规则规定应将悔改的异端分子重新接纳回教会的怀抱。</w:t>
      </w:r>
      <w:r>
        <w:rPr>
          <w:rStyle w:val="FootnoteReference"/>
        </w:rPr>
        <w:footnoteReference w:id="465"/>
      </w:r>
      <w:r w:rsidRPr="006A21F9">
        <w:rPr>
          <w:lang w:val="ru-RU"/>
        </w:rPr>
        <w:t xml:space="preserve"> 这一点得到了圣父们和教会导师们一致教导的证实，他们追随圣使徒的脚步，将异端分子称为“敌基督者”，</w:t>
      </w:r>
      <w:r>
        <w:rPr>
          <w:rStyle w:val="FootnoteReference"/>
        </w:rPr>
        <w:footnoteReference w:id="466"/>
      </w:r>
      <w:r w:rsidRPr="006A21F9">
        <w:rPr>
          <w:lang w:val="ru-RU"/>
        </w:rPr>
        <w:t xml:space="preserve"> 即背离基督之人，</w:t>
      </w:r>
      <w:r>
        <w:rPr>
          <w:rStyle w:val="FootnoteReference"/>
        </w:rPr>
        <w:footnoteReference w:id="467"/>
      </w:r>
      <w:r w:rsidRPr="006A21F9">
        <w:rPr>
          <w:lang w:val="ru-RU"/>
        </w:rPr>
        <w:t xml:space="preserve"> 不配称为基督徒之人，</w:t>
      </w:r>
      <w:r>
        <w:rPr>
          <w:rStyle w:val="FootnoteReference"/>
        </w:rPr>
        <w:footnoteReference w:id="468"/>
      </w:r>
      <w:r w:rsidRPr="006A21F9">
        <w:rPr>
          <w:lang w:val="ru-RU"/>
        </w:rPr>
        <w:t xml:space="preserve"> 如同异教徒一般。</w:t>
      </w:r>
      <w:r>
        <w:rPr>
          <w:rStyle w:val="FootnoteReference"/>
        </w:rPr>
        <w:footnoteReference w:id="469"/>
      </w:r>
    </w:p>
    <w:p w14:paraId="68B0AB44"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那些虽未歪曲信仰教义，却不服从教会权威，因而擅自脱离教会的异端分子或分裂分子。 这一观点的正确性可从救主的话语中看出：</w:t>
      </w:r>
      <w:r w:rsidRPr="006A21F9">
        <w:rPr>
          <w:i/>
          <w:iCs/>
          <w:lang w:val="ru-RU"/>
        </w:rPr>
        <w:t>“倘若他不听从教会，你就把他当作外邦人和税吏一样对待”</w:t>
      </w:r>
      <w:r w:rsidRPr="006A21F9">
        <w:rPr>
          <w:lang w:val="ru-RU"/>
        </w:rPr>
        <w:t>（马太福音18:17）； 见 第一届大公会议的规则，其中规定应接纳回归教会怀抱的卡法尔派或诺瓦蒂安派信徒——</w:t>
      </w:r>
      <w:r w:rsidRPr="006A21F9">
        <w:rPr>
          <w:lang w:val="ru-RU"/>
        </w:rPr>
        <w:lastRenderedPageBreak/>
        <w:t>而卡法尔派不过是分裂分子；</w:t>
      </w:r>
      <w:r>
        <w:rPr>
          <w:rStyle w:val="FootnoteReference"/>
        </w:rPr>
        <w:footnoteReference w:id="470"/>
      </w:r>
      <w:r w:rsidRPr="006A21F9">
        <w:rPr>
          <w:lang w:val="ru-RU"/>
        </w:rPr>
        <w:t xml:space="preserve"> 见拉奥狄基亚大公会议第33条规则，该规则禁止与分裂分子一同祷告；</w:t>
      </w:r>
      <w:r>
        <w:rPr>
          <w:rStyle w:val="FootnoteReference"/>
        </w:rPr>
        <w:footnoteReference w:id="471"/>
      </w:r>
      <w:r w:rsidRPr="006A21F9">
        <w:rPr>
          <w:lang w:val="ru-RU"/>
        </w:rPr>
        <w:t xml:space="preserve"> 以及圣父们的教导，例如：</w:t>
      </w:r>
    </w:p>
    <w:p w14:paraId="5CA73933" w14:textId="77777777" w:rsidR="00BE1885" w:rsidRPr="006A21F9" w:rsidRDefault="00BE1885" w:rsidP="00BE1885">
      <w:pPr>
        <w:rPr>
          <w:lang w:val="ru-RU"/>
        </w:rPr>
      </w:pPr>
      <w:r w:rsidRPr="006A21F9">
        <w:rPr>
          <w:lang w:val="ru-RU"/>
        </w:rPr>
        <w:tab/>
        <w:t>圣基普里安：“你应当知道，主教在教会中，教会也在主教之中；凡与主教不合一者，亦不在教会之中；那些与神的祭司不和， 却妄想在某些人那里为自己寻求不光彩的团契，这实属徒劳；因为普世教会是合一的、不可分割的、不可摧毁的，而是处处通过彼此和谐的牧者们所缔结的纽带而联结并巩固的。”</w:t>
      </w:r>
      <w:r>
        <w:rPr>
          <w:rStyle w:val="FootnoteReference"/>
        </w:rPr>
        <w:footnoteReference w:id="472"/>
      </w:r>
      <w:r w:rsidRPr="006A21F9">
        <w:rPr>
          <w:lang w:val="ru-RU"/>
        </w:rPr>
        <w:t xml:space="preserve"> 另有一处写道：“当圣保罗论及此事并阐明合一的奥秘时，他说：‘一个身体，一个圣灵，正如你们蒙召同有一个指望；一个主，一位救主，就是我们众人的救主；’（腓1:6-8）那些抗拒教会并脱离教会的人，岂能指望成为教会的肢体呢？” 保罗在论及此题、阐明合一奥秘时曾说：</w:t>
      </w:r>
      <w:r w:rsidRPr="006A21F9">
        <w:rPr>
          <w:i/>
          <w:iCs/>
          <w:lang w:val="ru-RU"/>
        </w:rPr>
        <w:t>‘一个身体，一个圣灵，正如你们蒙召同有一个指望；一位主，一种信仰，一个洗礼，一位上帝，就是众人的父，超乎众人之上，贯乎众人之中，也住在众人之内’</w:t>
      </w:r>
      <w:r w:rsidRPr="006A21F9">
        <w:rPr>
          <w:lang w:val="ru-RU"/>
        </w:rPr>
        <w:t>（弗4:4）？”</w:t>
      </w:r>
      <w:r>
        <w:rPr>
          <w:rStyle w:val="FootnoteReference"/>
        </w:rPr>
        <w:footnoteReference w:id="473"/>
      </w:r>
    </w:p>
    <w:p w14:paraId="164A5024" w14:textId="77777777" w:rsidR="00BE1885" w:rsidRPr="006A21F9" w:rsidRDefault="00BE1885" w:rsidP="00BE1885">
      <w:pPr>
        <w:rPr>
          <w:lang w:val="ru-RU"/>
        </w:rPr>
      </w:pPr>
      <w:r w:rsidRPr="006A21F9">
        <w:rPr>
          <w:lang w:val="ru-RU"/>
        </w:rPr>
        <w:tab/>
        <w:t>圣约翰·金口：“我宣告并作证，分裂教会与陷入异端同样是巨大的罪恶。”</w:t>
      </w:r>
      <w:r>
        <w:rPr>
          <w:rStyle w:val="FootnoteReference"/>
        </w:rPr>
        <w:footnoteReference w:id="474"/>
      </w:r>
    </w:p>
    <w:p w14:paraId="3BF13D29" w14:textId="77777777" w:rsidR="00BE1885" w:rsidRPr="006A21F9" w:rsidRDefault="00BE1885" w:rsidP="00BE1885">
      <w:pPr>
        <w:rPr>
          <w:lang w:val="ru-RU"/>
        </w:rPr>
      </w:pPr>
      <w:r w:rsidRPr="006A21F9">
        <w:rPr>
          <w:lang w:val="ru-RU"/>
        </w:rPr>
        <w:tab/>
        <w:t>大圣巴西尔：“在教会中，那位唯一且真正独一的元首——基督——使每个成员在同心合意中与他人结合在一起。 倘若成员之间缺乏同心合意，无法维系和平的联合，也不遵守心灵的温和，反而充斥着分裂、纷争和嫉妒：那么，将这样的人称为基督的肢体，或说他们处于基督的治理之下，便是极其狂妄的。”</w:t>
      </w:r>
      <w:r>
        <w:rPr>
          <w:rStyle w:val="FootnoteReference"/>
        </w:rPr>
        <w:footnoteReference w:id="475"/>
      </w:r>
    </w:p>
    <w:p w14:paraId="30C41DB2" w14:textId="77777777" w:rsidR="00BE1885" w:rsidRPr="006A21F9" w:rsidRDefault="00BE1885" w:rsidP="00BE1885">
      <w:pPr>
        <w:rPr>
          <w:lang w:val="ru-RU"/>
        </w:rPr>
      </w:pPr>
      <w:r w:rsidRPr="006A21F9">
        <w:rPr>
          <w:lang w:val="ru-RU"/>
        </w:rPr>
        <w:tab/>
        <w:t>圣奥古斯丁：“无论谁若曾接受基督的洗礼，即便是在教会之外，无论是从异端分子还是分裂分子那里受的洗——当他进入教会怀抱时，都不应否定那使他成圣的真理圣礼。”</w:t>
      </w:r>
      <w:r>
        <w:rPr>
          <w:rStyle w:val="FootnoteReference"/>
        </w:rPr>
        <w:footnoteReference w:id="476"/>
      </w:r>
    </w:p>
    <w:p w14:paraId="6EB3FA4C"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总之，凡是教会依据主所赋予的捆绑与裁决之权，认为有必要将其逐出信徒群体（玛18:17-18）的人，教会至今仍照此行事，</w:t>
      </w:r>
      <w:r>
        <w:rPr>
          <w:rStyle w:val="FootnoteReference"/>
        </w:rPr>
        <w:footnoteReference w:id="477"/>
      </w:r>
      <w:r w:rsidRPr="006A21F9">
        <w:rPr>
          <w:lang w:val="ru-RU"/>
        </w:rPr>
        <w:t xml:space="preserve"> ，</w:t>
      </w:r>
      <w:r w:rsidRPr="001E4083">
        <w:t>这从其</w:t>
      </w:r>
      <w:r w:rsidRPr="006A21F9">
        <w:rPr>
          <w:lang w:val="ru-RU"/>
        </w:rPr>
        <w:t>古老的规条</w:t>
      </w:r>
      <w:r>
        <w:rPr>
          <w:rStyle w:val="FootnoteReference"/>
        </w:rPr>
        <w:footnoteReference w:id="478"/>
      </w:r>
      <w:r w:rsidRPr="006A21F9">
        <w:rPr>
          <w:lang w:val="ru-RU"/>
        </w:rPr>
        <w:t xml:space="preserve"> </w:t>
      </w:r>
      <w:r w:rsidRPr="001E4083">
        <w:t>及其</w:t>
      </w:r>
      <w:r w:rsidRPr="006A21F9">
        <w:rPr>
          <w:lang w:val="ru-RU"/>
        </w:rPr>
        <w:t>古代导师的见证中可见一斑。 例如：</w:t>
      </w:r>
      <w:r w:rsidRPr="006A21F9">
        <w:rPr>
          <w:b/>
          <w:bCs/>
          <w:lang w:val="ru-RU"/>
        </w:rPr>
        <w:t>a)</w:t>
      </w:r>
      <w:r w:rsidRPr="006A21F9">
        <w:rPr>
          <w:lang w:val="ru-RU"/>
        </w:rPr>
        <w:t xml:space="preserve"> 圣基普里安：“那些骄傲顽固之人，当被逐出教会时，便会被属灵的宝剑斩断：因为他们无法在</w:t>
      </w:r>
      <w:r w:rsidRPr="001E4083">
        <w:t>教会之外</w:t>
      </w:r>
      <w:r w:rsidRPr="006A21F9">
        <w:rPr>
          <w:lang w:val="ru-RU"/>
        </w:rPr>
        <w:t>生存——因为唯有教会是主的殿，除了在教会之中，无人能得救；”</w:t>
      </w:r>
      <w:r>
        <w:rPr>
          <w:rStyle w:val="FootnoteReference"/>
        </w:rPr>
        <w:footnoteReference w:id="479"/>
      </w:r>
      <w:r w:rsidRPr="006A21F9">
        <w:rPr>
          <w:lang w:val="ru-RU"/>
        </w:rPr>
        <w:t xml:space="preserve"> </w:t>
      </w:r>
      <w:r w:rsidRPr="006A21F9">
        <w:rPr>
          <w:b/>
          <w:bCs/>
          <w:lang w:val="ru-RU"/>
        </w:rPr>
        <w:t xml:space="preserve">b) </w:t>
      </w:r>
      <w:r w:rsidRPr="006A21F9">
        <w:rPr>
          <w:lang w:val="ru-RU"/>
        </w:rPr>
        <w:t>大圣巴西尔：“教会法规将那些被揭露犯有严重罪过的人从教会身体中驱逐出去，以免一点面酵使全团</w:t>
      </w:r>
      <w:r w:rsidRPr="006A21F9">
        <w:rPr>
          <w:lang w:val="ru-RU"/>
        </w:rPr>
        <w:lastRenderedPageBreak/>
        <w:t>面酵发酸（林前5:6）。因此，按照仁慈上帝的旨意——要把不法之徒从百姓中除掉。 因为不法之徒不能与圣徒一同进入圣所，因为主手中拿着簸箕（太3:12）。但那些如今作为不法之徒被逐出教会的人，却平静地承受着 发生在他们身上的事，并未意识到这正是他们在上帝可怕的审判中所将遭遇之事的预兆。 至于不将不法之徒与基督圣洁的肢体隔离开来是多么有害，使徒在责备哥林多信徒时已明确指出，因他们没有为将行此恶事者从他们中间除名而痛哭（林前5:2）；”</w:t>
      </w:r>
      <w:r>
        <w:rPr>
          <w:rStyle w:val="FootnoteReference"/>
        </w:rPr>
        <w:footnoteReference w:id="480"/>
      </w:r>
      <w:r w:rsidRPr="006A21F9">
        <w:rPr>
          <w:lang w:val="ru-RU"/>
        </w:rPr>
        <w:t xml:space="preserve"> </w:t>
      </w:r>
      <w:r w:rsidRPr="006A21F9">
        <w:rPr>
          <w:b/>
          <w:bCs/>
          <w:lang w:val="ru-RU"/>
        </w:rPr>
        <w:t>c)</w:t>
      </w:r>
      <w:r w:rsidRPr="006A21F9">
        <w:rPr>
          <w:lang w:val="ru-RU"/>
        </w:rPr>
        <w:t xml:space="preserve"> 福者 耶罗尼莫：“通奸者、男色者、杀人犯及其他不法之徒，由牧者将其逐出教会；而异端分子则自行宣判，自愿离开教会。”</w:t>
      </w:r>
      <w:r>
        <w:rPr>
          <w:rStyle w:val="FootnoteReference"/>
        </w:rPr>
        <w:footnoteReference w:id="481"/>
      </w:r>
    </w:p>
    <w:p w14:paraId="09961E23" w14:textId="77777777" w:rsidR="00BE1885" w:rsidRPr="006A21F9" w:rsidRDefault="00BE1885" w:rsidP="00BE1885">
      <w:pPr>
        <w:rPr>
          <w:lang w:val="ru-RU"/>
        </w:rPr>
      </w:pPr>
      <w:r w:rsidRPr="006A21F9">
        <w:rPr>
          <w:lang w:val="ru-RU"/>
        </w:rPr>
        <w:tab/>
        <w:t>为了更准确地理解我们所阐述的关于异端分子和分裂分子的观点，有必要了解什么是异端、什么是分裂，以及此处所指的异端分子究竟是哪些人。关于异端和分裂，古代教会导师们给出了以下定义：</w:t>
      </w:r>
    </w:p>
    <w:p w14:paraId="5F0EE72D"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圣大巴西尔：“古人将某些现象称为异端，某些称为分裂，还有些称为擅自聚集的团体——他们将那些完全背离并从信仰本身中脱离的人称为异端； 将那些在某些教会事务及可调和的问题上意见分歧者称为‘分裂者’；而所谓‘擅自聚集的团体’，则是指由不服从的长老或主教，以及未经教导的民众所组成的集会。”</w:t>
      </w:r>
      <w:r>
        <w:rPr>
          <w:rStyle w:val="FootnoteReference"/>
        </w:rPr>
        <w:footnoteReference w:id="482"/>
      </w:r>
    </w:p>
    <w:p w14:paraId="59C7879B"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圣杰罗姆：“在我看来，异端与分裂之间的区别在于：异端在于歪曲教义，而分裂则是因与主教意见不合（</w:t>
      </w:r>
      <w:r w:rsidRPr="001E4083">
        <w:t>propter</w:t>
      </w:r>
      <w:r w:rsidRPr="0097554A">
        <w:rPr>
          <w:lang w:val="ru-RU"/>
        </w:rPr>
        <w:t xml:space="preserve"> </w:t>
      </w:r>
      <w:r w:rsidRPr="001E4083">
        <w:t>episcopalem</w:t>
      </w:r>
      <w:r w:rsidRPr="0097554A">
        <w:rPr>
          <w:lang w:val="ru-RU"/>
        </w:rPr>
        <w:t xml:space="preserve"> </w:t>
      </w:r>
      <w:r w:rsidRPr="001E4083">
        <w:t>dissensionem</w:t>
      </w:r>
      <w:r w:rsidRPr="006A21F9">
        <w:rPr>
          <w:lang w:val="ru-RU"/>
        </w:rPr>
        <w:t>）而被逐出教会。 因此，这两者在起源上可能在某些方面看似不同；但从根本上说，没有哪一场分裂不因反抗教会而与某种异端有着共同之处。”</w:t>
      </w:r>
      <w:r>
        <w:rPr>
          <w:rStyle w:val="FootnoteReference"/>
        </w:rPr>
        <w:footnoteReference w:id="483"/>
      </w:r>
    </w:p>
    <w:p w14:paraId="56AA327A"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圣奥古斯丁：“异端分子对信仰、信经和上帝进行错误的推论，从而破坏了信仰本身；而分裂分子则因其不义的解释而背离了兄弟之爱，尽管他们所信的与我们相同。”</w:t>
      </w:r>
      <w:r>
        <w:rPr>
          <w:rStyle w:val="FootnoteReference"/>
        </w:rPr>
        <w:footnoteReference w:id="484"/>
      </w:r>
    </w:p>
    <w:p w14:paraId="5A5F651C" w14:textId="77777777" w:rsidR="00BE1885" w:rsidRPr="006A21F9" w:rsidRDefault="00BE1885" w:rsidP="00BE1885">
      <w:pPr>
        <w:rPr>
          <w:lang w:val="ru-RU"/>
        </w:rPr>
      </w:pPr>
      <w:r w:rsidRPr="006A21F9">
        <w:rPr>
          <w:lang w:val="ru-RU"/>
        </w:rPr>
        <w:tab/>
        <w:t>当我们说异端分子和分裂分子不属于教会时，——我们指的并非那些暗中坚持异端或分裂、竭力伪装成教会成员、表面上遵守</w:t>
      </w:r>
      <w:r w:rsidRPr="001E4083">
        <w:t>教会</w:t>
      </w:r>
      <w:r w:rsidRPr="006A21F9">
        <w:rPr>
          <w:lang w:val="ru-RU"/>
        </w:rPr>
        <w:t>规条的人； 或是因无知而陷入异端和分裂的谬误，且毫无恶意与顽固之心：因为显然，他们既未明显地将自己从信徒群体中割裂出来，也未被教会当局开除——尽管或许早已被我们和他们都未察觉的上帝审判所弃绝：</w:t>
      </w:r>
      <w:r>
        <w:rPr>
          <w:rStyle w:val="FootnoteReference"/>
        </w:rPr>
        <w:footnoteReference w:id="485"/>
      </w:r>
      <w:r w:rsidRPr="006A21F9">
        <w:rPr>
          <w:lang w:val="ru-RU"/>
        </w:rPr>
        <w:t xml:space="preserve"> 对于这样的人，最好将他们交由那位洞悉人类内心意念、察验人心肺腑的主来审判。但我们所指的是那</w:t>
      </w:r>
      <w:r w:rsidRPr="006A21F9">
        <w:rPr>
          <w:lang w:val="ru-RU"/>
        </w:rPr>
        <w:lastRenderedPageBreak/>
        <w:t>些已经与教会分离或已被教会开除的明显异端分子和分裂分子，以及那些蓄意、顽固、因而罪责最重的异端分子和分裂分子。 圣父们和教会导师们上述的言论，正是针对这些人而发的。</w:t>
      </w:r>
    </w:p>
    <w:p w14:paraId="18B6C781" w14:textId="77777777" w:rsidR="00BE1885" w:rsidRPr="006A21F9" w:rsidRDefault="00BE1885" w:rsidP="00BE1885">
      <w:pPr>
        <w:rPr>
          <w:lang w:val="ru-RU"/>
        </w:rPr>
      </w:pPr>
      <w:r w:rsidRPr="006A21F9">
        <w:rPr>
          <w:lang w:val="ru-RU"/>
        </w:rPr>
        <w:tab/>
      </w:r>
    </w:p>
    <w:p w14:paraId="37105BA8" w14:textId="77777777" w:rsidR="00BE1885" w:rsidRPr="006A21F9" w:rsidRDefault="00BE1885" w:rsidP="00BE1885">
      <w:pPr>
        <w:pStyle w:val="Heading5"/>
        <w:rPr>
          <w:lang w:val="ru-RU"/>
        </w:rPr>
      </w:pPr>
      <w:bookmarkStart w:id="443" w:name="_Toc133142927"/>
      <w:bookmarkStart w:id="444" w:name="_Toc133166284"/>
      <w:bookmarkStart w:id="445" w:name="_Toc182221494"/>
      <w:bookmarkStart w:id="446" w:name="_Toc238453061"/>
      <w:bookmarkStart w:id="447" w:name="_Toc238453861"/>
      <w:bookmarkStart w:id="448" w:name="_Toc238576521"/>
      <w:r w:rsidRPr="006A21F9">
        <w:rPr>
          <w:lang w:val="ru-RU"/>
        </w:rPr>
        <w:t>§169. 基督教会的宗旨及其为实现该宗旨而获得的手段</w:t>
      </w:r>
      <w:bookmarkEnd w:id="443"/>
      <w:bookmarkEnd w:id="444"/>
      <w:bookmarkEnd w:id="445"/>
      <w:bookmarkEnd w:id="446"/>
      <w:bookmarkEnd w:id="447"/>
      <w:bookmarkEnd w:id="448"/>
    </w:p>
    <w:p w14:paraId="099913ED"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主建立祂的教会，其目的是使有罪的人得以成圣，进而使他们与上帝重新联合。圣保罗在论及救主时，明确指出了这一目的： </w:t>
      </w:r>
      <w:r w:rsidRPr="006A21F9">
        <w:rPr>
          <w:i/>
          <w:iCs/>
          <w:lang w:val="ru-RU"/>
        </w:rPr>
        <w:t>“他所设立的，有使徒，有先知，有传福音的，有牧师和教师，为要成全圣徒，各尽其职，建立基督的身体，直等到我们众人在真道上同归于一，认识神的儿子，得以长大成人，满有基督长成的身量”</w:t>
      </w:r>
      <w:r w:rsidRPr="006A21F9">
        <w:rPr>
          <w:lang w:val="ru-RU"/>
        </w:rPr>
        <w:t xml:space="preserve"> （以弗所书 4:11-13）。 但这一目标同样显而易见</w:t>
      </w:r>
      <w:r w:rsidRPr="006A21F9">
        <w:rPr>
          <w:b/>
          <w:bCs/>
          <w:lang w:val="ru-RU"/>
        </w:rPr>
        <w:t xml:space="preserve">——a) </w:t>
      </w:r>
      <w:r w:rsidRPr="006A21F9">
        <w:rPr>
          <w:lang w:val="ru-RU"/>
        </w:rPr>
        <w:t>从教会与信仰的关系来看：如果基督教会是由持守基督教信仰的人所组成的团体，而基督教信仰正是赐给我们，为要使我们成为圣洁，并在神里面得着永生与福乐 [(弗 1:4)； (可16:16)；(约3:15-16)]；那么，教会的目标就不可能是别的；</w:t>
      </w:r>
      <w:r w:rsidRPr="006A21F9">
        <w:rPr>
          <w:b/>
          <w:bCs/>
          <w:lang w:val="ru-RU"/>
        </w:rPr>
        <w:t xml:space="preserve">b) </w:t>
      </w:r>
      <w:r w:rsidRPr="006A21F9">
        <w:rPr>
          <w:lang w:val="ru-RU"/>
        </w:rPr>
        <w:t xml:space="preserve">从教会是由耶稣基督亲自建立这一点来看：祂降临世上的唯一目的就是我们的救赎（约3:16）； 因此，祂在世上所做的一切，无非是为了寻找并拯救那些迷失的人（太18:11等）； </w:t>
      </w:r>
      <w:r w:rsidRPr="006A21F9">
        <w:rPr>
          <w:b/>
          <w:bCs/>
          <w:lang w:val="ru-RU"/>
        </w:rPr>
        <w:t>c)</w:t>
      </w:r>
      <w:r w:rsidRPr="006A21F9">
        <w:rPr>
          <w:lang w:val="ru-RU"/>
        </w:rPr>
        <w:t xml:space="preserve"> 最后，祂在升天之前，差遣使徒们到世界各地建立教会，并将祂从父那里领受的神圣使命传给了他们及其所有继任者：</w:t>
      </w:r>
      <w:r w:rsidRPr="006A21F9">
        <w:rPr>
          <w:i/>
          <w:iCs/>
          <w:lang w:val="ru-RU"/>
        </w:rPr>
        <w:t>“父怎样差遣了我，我也照样差遣你们”</w:t>
      </w:r>
      <w:r w:rsidRPr="006A21F9">
        <w:rPr>
          <w:lang w:val="ru-RU"/>
        </w:rPr>
        <w:t xml:space="preserve"> （约20:21），并以此嘱托他们仿佛在祂的协助下，继续祂亲自降世所为的同一项事工（约4:34）——而这项事工正是要使罪恶的人类得以成圣[（弗5:26-27）； （提多书 2:14）]，并使人类脱离因第一次及随后所有堕落而遭受的灾祸 [(马太福音 20:28)；(希伯来书 2:11-15)；等]。</w:t>
      </w:r>
    </w:p>
    <w:p w14:paraId="509E210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现在不难确定主赐予祂的教会以实现这一目标的手段。这些手段，首先必须符合目标，即使人类脱离上述灾难、使罪人成圣并引领他们进入永恒的福乐；其次，必须与我们的救赎主所使用的手段相同。</w:t>
      </w:r>
    </w:p>
    <w:p w14:paraId="5D669ACE" w14:textId="77777777" w:rsidR="00BE1885" w:rsidRPr="006A21F9" w:rsidRDefault="00BE1885" w:rsidP="00BE1885">
      <w:pPr>
        <w:rPr>
          <w:lang w:val="ru-RU"/>
        </w:rPr>
      </w:pPr>
      <w:r w:rsidRPr="006A21F9">
        <w:rPr>
          <w:lang w:val="ru-RU"/>
        </w:rPr>
        <w:tab/>
        <w:t xml:space="preserve">堕落之人所面临的第一个灾难，是其心灵的蒙蔽，遗忘了原始信仰、爱与希望的真理，进而不知如何回归上帝。因此，救赎主降临世间时，首先以先知（太13:57）或教师的身份出现[（可4:38）；（太19:16）]，走遍城镇和乡村，在聚会中教导，并传讲天国的福音[（太9:35）；（可6:6）； （路加福音 13:22）]，并宣告祂正是为此被差遣（路加福音 4:43），也是为此而来（马可福音 1:38）。 </w:t>
      </w:r>
      <w:r w:rsidRPr="006A21F9">
        <w:rPr>
          <w:i/>
          <w:iCs/>
          <w:lang w:val="ru-RU"/>
        </w:rPr>
        <w:t>因此，祂</w:t>
      </w:r>
      <w:r w:rsidRPr="006A21F9">
        <w:rPr>
          <w:lang w:val="ru-RU"/>
        </w:rPr>
        <w:t>在自己的教会</w:t>
      </w:r>
      <w:r w:rsidRPr="006A21F9">
        <w:rPr>
          <w:i/>
          <w:iCs/>
          <w:lang w:val="ru-RU"/>
        </w:rPr>
        <w:t>中“设立了使徒、先知、传福音的、牧师和教师”</w:t>
      </w:r>
      <w:r w:rsidRPr="006A21F9">
        <w:rPr>
          <w:lang w:val="ru-RU"/>
        </w:rPr>
        <w:t>（以弗所书 4:11），并吩咐他们向世人传授教义，即祂亲自所传讲的 （马太福音 28:19-20），这教义后来由圣使徒们传遍了全地，并在圣灵的启示下，将其记录在经文中，并以口传的方式永远传承给教会。</w:t>
      </w:r>
      <w:r>
        <w:rPr>
          <w:rStyle w:val="FootnoteReference"/>
        </w:rPr>
        <w:footnoteReference w:id="486"/>
      </w:r>
    </w:p>
    <w:p w14:paraId="444DBBAF" w14:textId="77777777" w:rsidR="00BE1885" w:rsidRPr="006A21F9" w:rsidRDefault="00BE1885" w:rsidP="00BE1885">
      <w:pPr>
        <w:rPr>
          <w:lang w:val="ru-RU"/>
        </w:rPr>
      </w:pPr>
      <w:r w:rsidRPr="006A21F9">
        <w:rPr>
          <w:lang w:val="ru-RU"/>
        </w:rPr>
        <w:tab/>
        <w:t>罪人面临的第二大困境，是他在神面前的罪咎；正因如此，即使得知了回归天父的道路，罪人也不敢踏上这条路，或者无法沿着这条路抵达他所渴望的目标。 为满足这一需求，我们的救赎主乐意成为大祭司（来 4:15；</w:t>
      </w:r>
      <w:r w:rsidRPr="006A21F9">
        <w:rPr>
          <w:rFonts w:cs="Cambria Math"/>
          <w:lang w:val="ru-RU"/>
        </w:rPr>
        <w:t xml:space="preserve"> </w:t>
      </w:r>
      <w:r w:rsidRPr="006A21F9">
        <w:rPr>
          <w:lang w:val="ru-RU"/>
        </w:rPr>
        <w:t>5:1），为罪孽深重的人类献上自己为祭（希伯来书 7:26-28），并借着十字架使我们与神和好，在十字架上消除了仇恨（以弗所书 2:16）。而在祂的教会中，祂设立了圣礼 [(马太福音 28:19)； （路加福音 22:19）；（约翰福音 20:21-23）；（哥林多前书 11:24）； （太16:19）等]以及各项圣礼，借此使人们领受祂在十字架上的功绩，赐予他们救赎的恩典，使他们成</w:t>
      </w:r>
      <w:r w:rsidRPr="006A21F9">
        <w:rPr>
          <w:lang w:val="ru-RU"/>
        </w:rPr>
        <w:lastRenderedPageBreak/>
        <w:t>圣，并藉着圣灵在神的殿中建造他们（弗2:22）。 祂还设立了圣职人员或“上帝奥秘的建造者”（林前4:1）的职分，当时祂将权柄和能力赐给圣使徒们[（路22:19）；（约20:22）]，使他们能够施行圣礼[（太28:19）； （路加福音 22:12）；（约翰福音 20:22）]以及其他圣礼仪式[（马太福音 9:38）；（马可福音 6:13）；引自 (雅各书 5:14)]；而使徒们又将这权柄和能力传给了他们的继任者 [(哥林多前书 2:12-16)；(提摩太前书 2:1-2)]。</w:t>
      </w:r>
    </w:p>
    <w:p w14:paraId="75260329" w14:textId="77777777" w:rsidR="00BE1885" w:rsidRPr="006A21F9" w:rsidRDefault="00BE1885" w:rsidP="00BE1885">
      <w:pPr>
        <w:rPr>
          <w:lang w:val="ru-RU"/>
        </w:rPr>
      </w:pPr>
      <w:r w:rsidRPr="006A21F9">
        <w:rPr>
          <w:lang w:val="ru-RU"/>
        </w:rPr>
        <w:tab/>
        <w:t>最后，堕落之人所面临的最终困境在于其道德上的无力——尽管他已知晓与上帝重归于一的道路，并获得了走这条路的胆量及一切恩典的帮助，却仍可能停滞不前，在自己心中熄灭恩典之灵 （帖前 5:19），可能会偏离正道，甚至——掉头后退（路 9:62）。在这方面，罪人 需要可靠的引导者，他们能通过律法和规则精确地指引他们的前行方向，持续监督他们，并通过奖赏与惩罚来激励他们。 主耶稣作为人类的救赎主，仅凭向他们传授各种引导他们走向救恩的律法这一方面，就已经完全满足了他们的这一需求 [(太 6:5-6；16-17)； （约14:1；15:9-12）]，指明行事的动机（太5:2-12），对罪人施行属灵的审判，并赦免罪孽[（路5:23-24）；</w:t>
      </w:r>
      <w:r w:rsidRPr="006A21F9">
        <w:rPr>
          <w:rFonts w:cs="Cambria Math"/>
          <w:lang w:val="ru-RU"/>
        </w:rPr>
        <w:t>（</w:t>
      </w:r>
      <w:r w:rsidRPr="006A21F9">
        <w:rPr>
          <w:lang w:val="ru-RU"/>
        </w:rPr>
        <w:t>路7:48-49）]。 但最重要的是——祂在地上建立了自己的教会，作为最完善的团体，以引导人们获得永生。 在这个团体中，祂设立了属灵的管理体制和管理者，起初就是那些被祂赋予牧养教会权柄的圣使徒（约21:15-17），并因此拥有捆绑与释放的权柄[(太16:19)；(太18:18)； （约20:22-23）]，宽恕顺服者，并将悖逆者从教会中驱逐出去（太18:17）；随后，使徒们的继任者们从他们那里承接了同样的、由上帝所赐的牧养教会的权柄[（徒20:28）； (彼得前书 5:2-3)]，并管理教会 [(提摩太前书 5:19-22)； （提多书 1:5；2:1-3）]。正因如此，主被称为主牧（彼得前书 5:4）和祂恩典之国的君王（约翰福音 18:36-37）是完全恰当的。</w:t>
      </w:r>
    </w:p>
    <w:p w14:paraId="4E542CE3" w14:textId="77777777" w:rsidR="00BE1885" w:rsidRPr="006A21F9" w:rsidRDefault="00BE1885" w:rsidP="00BE1885">
      <w:pPr>
        <w:rPr>
          <w:lang w:val="ru-RU"/>
        </w:rPr>
      </w:pPr>
      <w:r w:rsidRPr="006A21F9">
        <w:rPr>
          <w:lang w:val="ru-RU"/>
        </w:rPr>
        <w:tab/>
        <w:t>既然如此，为了实现教会的最高目标，耶稣基督赐予了教会这三项至关重要且不可或缺的手段：由此自然揭示了</w:t>
      </w:r>
      <w:r w:rsidRPr="001E4083">
        <w:t>教会的</w:t>
      </w:r>
      <w:r w:rsidRPr="006A21F9">
        <w:rPr>
          <w:lang w:val="ru-RU"/>
        </w:rPr>
        <w:t>近期目标，即恰恰在于遵守并恰当地运用所有这些手段。 也就是说，教会被赋予使命，因此有义务：</w:t>
      </w:r>
      <w:r w:rsidRPr="006A21F9">
        <w:rPr>
          <w:b/>
          <w:bCs/>
          <w:lang w:val="ru-RU"/>
        </w:rPr>
        <w:t>a)</w:t>
      </w:r>
      <w:r w:rsidRPr="006A21F9">
        <w:rPr>
          <w:lang w:val="ru-RU"/>
        </w:rPr>
        <w:t xml:space="preserve"> 守护宝贵的救赎性信仰教义的信物 [(提摩太前书 6:20)； （提后 1:12-14）），并将这一教义传扬于万民之中；</w:t>
      </w:r>
      <w:r w:rsidRPr="006A21F9">
        <w:rPr>
          <w:b/>
          <w:bCs/>
          <w:lang w:val="ru-RU"/>
        </w:rPr>
        <w:t>b)</w:t>
      </w:r>
      <w:r w:rsidRPr="006A21F9">
        <w:rPr>
          <w:lang w:val="ru-RU"/>
        </w:rPr>
        <w:t xml:space="preserve"> 保存并为人的益处施行神圣的圣礼及一切圣事；</w:t>
      </w:r>
      <w:r w:rsidRPr="006A21F9">
        <w:rPr>
          <w:b/>
          <w:bCs/>
          <w:lang w:val="ru-RU"/>
        </w:rPr>
        <w:t>c)</w:t>
      </w:r>
      <w:r w:rsidRPr="006A21F9">
        <w:rPr>
          <w:lang w:val="ru-RU"/>
        </w:rPr>
        <w:t xml:space="preserve"> 维护神在教会中设立的治理体系，并按照主的旨意运用它。</w:t>
      </w:r>
    </w:p>
    <w:p w14:paraId="0E4AD703" w14:textId="77777777" w:rsidR="00BE1885" w:rsidRPr="006A21F9" w:rsidRDefault="00BE1885" w:rsidP="00BE1885">
      <w:pPr>
        <w:rPr>
          <w:lang w:val="ru-RU"/>
        </w:rPr>
      </w:pPr>
      <w:r w:rsidRPr="006A21F9">
        <w:rPr>
          <w:lang w:val="ru-RU"/>
        </w:rPr>
        <w:tab/>
      </w:r>
    </w:p>
    <w:p w14:paraId="682739B2" w14:textId="77777777" w:rsidR="00BE1885" w:rsidRPr="006A21F9" w:rsidRDefault="00BE1885" w:rsidP="00BE1885">
      <w:pPr>
        <w:pStyle w:val="Heading5"/>
        <w:rPr>
          <w:lang w:val="ru-RU"/>
        </w:rPr>
      </w:pPr>
      <w:bookmarkStart w:id="449" w:name="_Toc133142928"/>
      <w:bookmarkStart w:id="450" w:name="_Toc133166285"/>
      <w:bookmarkStart w:id="451" w:name="_Toc182221495"/>
      <w:bookmarkStart w:id="452" w:name="_Toc238453062"/>
      <w:bookmarkStart w:id="453" w:name="_Toc238453862"/>
      <w:bookmarkStart w:id="454" w:name="_Toc238576522"/>
      <w:r w:rsidRPr="006A21F9">
        <w:rPr>
          <w:lang w:val="ru-RU"/>
        </w:rPr>
        <w:t>§170. 为了获得救赎，必须隶属于基督的教会</w:t>
      </w:r>
      <w:bookmarkEnd w:id="449"/>
      <w:bookmarkEnd w:id="450"/>
      <w:bookmarkEnd w:id="451"/>
      <w:bookmarkEnd w:id="452"/>
      <w:bookmarkEnd w:id="453"/>
      <w:bookmarkEnd w:id="454"/>
    </w:p>
    <w:p w14:paraId="43DD56ED" w14:textId="77777777" w:rsidR="00BE1885" w:rsidRPr="006A21F9" w:rsidRDefault="00BE1885" w:rsidP="00BE1885">
      <w:pPr>
        <w:ind w:firstLine="708"/>
        <w:rPr>
          <w:lang w:val="ru-RU"/>
        </w:rPr>
      </w:pPr>
      <w:r w:rsidRPr="006A21F9">
        <w:rPr>
          <w:lang w:val="ru-RU"/>
        </w:rPr>
        <w:t>关于基督教会首要且中介性目标的教义所必然引出的结论是：在教会之外没有救恩。因为要得救，人必须具备：</w:t>
      </w:r>
    </w:p>
    <w:p w14:paraId="1D5CA634" w14:textId="77777777" w:rsidR="00BE1885" w:rsidRPr="006A21F9" w:rsidRDefault="00BE1885" w:rsidP="00BE1885">
      <w:pPr>
        <w:ind w:firstLine="708"/>
        <w:rPr>
          <w:lang w:val="ru-RU"/>
        </w:rPr>
      </w:pPr>
      <w:r w:rsidRPr="006A21F9">
        <w:rPr>
          <w:b/>
          <w:bCs/>
          <w:lang w:val="ru-RU"/>
        </w:rPr>
        <w:t>1)</w:t>
      </w:r>
      <w:r w:rsidRPr="006A21F9">
        <w:rPr>
          <w:lang w:val="ru-RU"/>
        </w:rPr>
        <w:t xml:space="preserve"> 信靠耶稣基督，因祂使我们与神和好：</w:t>
      </w:r>
      <w:r w:rsidRPr="006A21F9">
        <w:rPr>
          <w:i/>
          <w:iCs/>
          <w:lang w:val="ru-RU"/>
        </w:rPr>
        <w:t>“因为在天下人间，没有赐下别的名，我们可以靠着得救”</w:t>
      </w:r>
      <w:r w:rsidRPr="006A21F9">
        <w:rPr>
          <w:lang w:val="ru-RU"/>
        </w:rPr>
        <w:t xml:space="preserve">（徒4:12）；而且救主自己先前曾说过： </w:t>
      </w:r>
      <w:r w:rsidRPr="006A21F9">
        <w:rPr>
          <w:i/>
          <w:iCs/>
          <w:lang w:val="ru-RU"/>
        </w:rPr>
        <w:t>“信子的人有永生；不信子的人不得见永生，神的震怒常在他身上”</w:t>
      </w:r>
      <w:r w:rsidRPr="006A21F9">
        <w:rPr>
          <w:lang w:val="ru-RU"/>
        </w:rPr>
        <w:t>（约3:36）。 但关于基督及其教义的真道，唯有在祂的教会中、并借着教会才得以保存和传扬；若无教会，便无真正的信仰（罗马书 10:17）。</w:t>
      </w:r>
    </w:p>
    <w:p w14:paraId="0660E625" w14:textId="77777777" w:rsidR="00BE1885" w:rsidRPr="006A21F9" w:rsidRDefault="00BE1885" w:rsidP="00BE1885">
      <w:pPr>
        <w:ind w:firstLine="708"/>
        <w:rPr>
          <w:lang w:val="ru-RU"/>
        </w:rPr>
      </w:pPr>
      <w:r w:rsidRPr="006A21F9">
        <w:rPr>
          <w:b/>
          <w:bCs/>
          <w:lang w:val="ru-RU"/>
        </w:rPr>
        <w:t>2)</w:t>
      </w:r>
      <w:r w:rsidRPr="006A21F9">
        <w:rPr>
          <w:lang w:val="ru-RU"/>
        </w:rPr>
        <w:t xml:space="preserve"> 参与圣礼，借此我们得以领受生命与敬虔所必需的一切神圣能力（彼得后书 1:3）。因为经上说：</w:t>
      </w:r>
      <w:r w:rsidRPr="006A21F9">
        <w:rPr>
          <w:i/>
          <w:iCs/>
          <w:lang w:val="ru-RU"/>
        </w:rPr>
        <w:t>“人若不重生，就不能见神的国”</w:t>
      </w:r>
      <w:r w:rsidRPr="006A21F9">
        <w:rPr>
          <w:lang w:val="ru-RU"/>
        </w:rPr>
        <w:t xml:space="preserve">（约翰福音 3:3）； </w:t>
      </w:r>
      <w:r w:rsidRPr="006A21F9">
        <w:rPr>
          <w:i/>
          <w:iCs/>
          <w:lang w:val="ru-RU"/>
        </w:rPr>
        <w:t>“你们若不吃人子的肉，不喝他的血，就没有生命在你们里面”</w:t>
      </w:r>
      <w:r w:rsidRPr="006A21F9">
        <w:rPr>
          <w:lang w:val="ru-RU"/>
        </w:rPr>
        <w:t>（约6:53）等等。然而，唯有在基督的教会中，才能找到神所设立的圣礼及其恰当的施行方式。</w:t>
      </w:r>
    </w:p>
    <w:p w14:paraId="4E69D755" w14:textId="77777777" w:rsidR="00BE1885" w:rsidRPr="006A21F9" w:rsidRDefault="00BE1885" w:rsidP="00BE1885">
      <w:pPr>
        <w:ind w:firstLine="708"/>
        <w:rPr>
          <w:lang w:val="ru-RU"/>
        </w:rPr>
      </w:pPr>
      <w:r w:rsidRPr="006A21F9">
        <w:rPr>
          <w:b/>
          <w:bCs/>
          <w:lang w:val="ru-RU"/>
        </w:rPr>
        <w:lastRenderedPageBreak/>
        <w:t>3)</w:t>
      </w:r>
      <w:r w:rsidRPr="006A21F9">
        <w:rPr>
          <w:lang w:val="ru-RU"/>
        </w:rPr>
        <w:t xml:space="preserve"> 最后是良善、虔敬的生活：</w:t>
      </w:r>
      <w:r w:rsidRPr="006A21F9">
        <w:rPr>
          <w:i/>
          <w:iCs/>
          <w:lang w:val="ru-RU"/>
        </w:rPr>
        <w:t>“不是每一个对我说‘主啊，主啊’的人都能进天国，惟独遵行我天父旨意的人才能进去”</w:t>
      </w:r>
      <w:r w:rsidRPr="006A21F9">
        <w:rPr>
          <w:lang w:val="ru-RU"/>
        </w:rPr>
        <w:t>（太7:21）；</w:t>
      </w:r>
      <w:r w:rsidRPr="006A21F9">
        <w:rPr>
          <w:i/>
          <w:iCs/>
          <w:lang w:val="ru-RU"/>
        </w:rPr>
        <w:t>“你若要进入永生，就当遵守诫命”</w:t>
      </w:r>
      <w:r w:rsidRPr="006A21F9">
        <w:rPr>
          <w:lang w:val="ru-RU"/>
        </w:rPr>
        <w:t xml:space="preserve"> （马太福音 19:17）。但要在这条道路上取得成功，软弱的人需要可靠的指引；而且，由于常会陷入罪中，他们还需要从罪中得洁净并与上帝和好——若缺少这些，既无法过上良善的生活，也无法得救。 而这种可靠的引导，连同赦免人罪孽的神圣权柄，也仅存在于基督的教会之中。</w:t>
      </w:r>
    </w:p>
    <w:p w14:paraId="4D76B311" w14:textId="77777777" w:rsidR="00BE1885" w:rsidRPr="006A21F9" w:rsidRDefault="00BE1885" w:rsidP="00BE1885">
      <w:pPr>
        <w:rPr>
          <w:lang w:val="ru-RU"/>
        </w:rPr>
      </w:pPr>
      <w:r w:rsidRPr="006A21F9">
        <w:rPr>
          <w:lang w:val="ru-RU"/>
        </w:rPr>
        <w:tab/>
        <w:t>由此看来，救主那些证实我们所探讨之真理的箴言就应当完全明了了：</w:t>
      </w:r>
      <w:r w:rsidRPr="006A21F9">
        <w:rPr>
          <w:i/>
          <w:iCs/>
          <w:lang w:val="ru-RU"/>
        </w:rPr>
        <w:t>“不信的，必被定罪”</w:t>
      </w:r>
      <w:r w:rsidRPr="006A21F9">
        <w:rPr>
          <w:lang w:val="ru-RU"/>
        </w:rPr>
        <w:t xml:space="preserve">（可16:16）；不相信圣子的人已经受了定罪（约3:18）； </w:t>
      </w:r>
      <w:r w:rsidRPr="006A21F9">
        <w:rPr>
          <w:i/>
          <w:iCs/>
          <w:lang w:val="ru-RU"/>
        </w:rPr>
        <w:t>“倘若（有人）不听从教会，你就把他当作外邦人和税吏一样对待”</w:t>
      </w:r>
      <w:r w:rsidRPr="006A21F9">
        <w:rPr>
          <w:lang w:val="ru-RU"/>
        </w:rPr>
        <w:t>（马太福音 18:17）。同样，圣使徒们的教导也将异端分子称为“谎言的教师”，他们传播毁灭性的异端，并招致自己速速灭亡 （彼得后书 2:1），是迷惑人的，他们将永远被黑暗所笼罩（犹大书</w:t>
      </w:r>
      <w:r w:rsidRPr="006A21F9">
        <w:rPr>
          <w:rFonts w:cs="Cambria Math"/>
          <w:lang w:val="ru-RU"/>
        </w:rPr>
        <w:t xml:space="preserve"> 1:</w:t>
      </w:r>
      <w:r w:rsidRPr="006A21F9">
        <w:rPr>
          <w:lang w:val="ru-RU"/>
        </w:rPr>
        <w:t>13），是自取沉沦的人（提多书 3:11）。最后——圣父们和教会古代教师们的教诲：</w:t>
      </w:r>
    </w:p>
    <w:p w14:paraId="5DC06F30" w14:textId="77777777" w:rsidR="00BE1885" w:rsidRPr="006A21F9" w:rsidRDefault="00BE1885" w:rsidP="00BE1885">
      <w:pPr>
        <w:rPr>
          <w:lang w:val="ru-RU"/>
        </w:rPr>
      </w:pPr>
      <w:r w:rsidRPr="006A21F9">
        <w:rPr>
          <w:lang w:val="ru-RU"/>
        </w:rPr>
        <w:tab/>
        <w:t>圣伊格纳提乌斯·神载者：“弟兄们，不要被迷惑——凡追随制造分裂者的人，都不能承受神的国。”</w:t>
      </w:r>
      <w:r>
        <w:rPr>
          <w:rStyle w:val="FootnoteReference"/>
        </w:rPr>
        <w:footnoteReference w:id="487"/>
      </w:r>
      <w:r w:rsidRPr="006A21F9">
        <w:rPr>
          <w:lang w:val="ru-RU"/>
        </w:rPr>
        <w:t xml:space="preserve"> 圣爱任纽： “正如圣经所言，上帝在教会中设立了使徒、先知、教师（林前12:28）以及一切属灵的事工；凡不来教会的人，都失去了这些恩赐，反而因自己邪恶的意念和更恶劣的行为，将自己从真生命中隔绝出来。 因为哪里有教会，哪里就有上帝的圣灵；哪里有上帝的圣灵，哪里就有教会和一切恩典：因为圣灵就是真理。因此，那些与祂无份的人，无法从母亲的乳头汲取生命之养，也无法在耶稣基督的身体中找到最丰沛的泉源， 反而在地上为自己挖掘破败的宝库，从水洼中饮用腐朽之水，远离教会的信仰，以免被引向其中；并拒绝圣灵，以免被祂启迪。”</w:t>
      </w:r>
      <w:r>
        <w:rPr>
          <w:rStyle w:val="FootnoteReference"/>
        </w:rPr>
        <w:footnoteReference w:id="488"/>
      </w:r>
      <w:r w:rsidRPr="006A21F9">
        <w:rPr>
          <w:lang w:val="ru-RU"/>
        </w:rPr>
        <w:t xml:space="preserve"> “在教会中，向全世界显明了一条通往救赎的道路。 因为上帝的光和上帝的智慧已托付给她，她正是藉此拯救所有的人。”</w:t>
      </w:r>
      <w:r>
        <w:rPr>
          <w:rStyle w:val="FootnoteReference"/>
        </w:rPr>
        <w:footnoteReference w:id="489"/>
      </w:r>
      <w:r w:rsidRPr="006A21F9">
        <w:rPr>
          <w:lang w:val="ru-RU"/>
        </w:rPr>
        <w:t xml:space="preserve"> 安提阿的西奥菲勒：“对于因罪恶而动荡不安、饱受煎熬的世界，上帝赐予了聚会场所，即圣洁的教会；在那里，如同岛屿上的安全避风港一般，真理的教义得以保存，渴望得救的人便投奔于此。”</w:t>
      </w:r>
      <w:r>
        <w:rPr>
          <w:rStyle w:val="FootnoteReference"/>
        </w:rPr>
        <w:footnoteReference w:id="490"/>
      </w:r>
      <w:r w:rsidRPr="006A21F9">
        <w:rPr>
          <w:lang w:val="ru-RU"/>
        </w:rPr>
        <w:t xml:space="preserve"> 圣基普里安：“凡脱离教会者，便是与淫妇结合，并使自己与教会的应许隔绝；离开基督教会的人，便剥夺了自己本应从基督那里获得的赏赐。他对教会而言是陌生的，对教会而言是多余的，是教会的敌人。没有教会这身体的人，就不能以神为父。 倘若有人能从诺亚方舟之外得救，那么身处教会之外的人也同样能得救。 主为教导我们说：</w:t>
      </w:r>
      <w:r w:rsidRPr="006A21F9">
        <w:rPr>
          <w:i/>
          <w:iCs/>
          <w:lang w:val="ru-RU"/>
        </w:rPr>
        <w:t>‘不与我同在的，就是敌我的；不与我一同聚集的，就是分散的’</w:t>
      </w:r>
      <w:r w:rsidRPr="006A21F9">
        <w:rPr>
          <w:lang w:val="ru-RU"/>
        </w:rPr>
        <w:t>（马太福音12:30）。”接着说：“那些对神父怀有仇恨的人，打算献上什么样的祭物呢？难道他们以为在基督的教会之外聚集，就能与基督同在吗？ 这些人，即使为了宣认基督之名而献出生命，他们的罪孽也无法被鲜血洗净。分裂所带来的不可磨灭且沉重的罪孽，即便是通过受难也无法得到赦免。身处教会之外者不能成为殉道者；背离那将要掌权的教会者，无法有份于天国。”</w:t>
      </w:r>
      <w:r>
        <w:rPr>
          <w:rStyle w:val="FootnoteReference"/>
        </w:rPr>
        <w:footnoteReference w:id="491"/>
      </w:r>
      <w:r w:rsidRPr="006A21F9">
        <w:rPr>
          <w:lang w:val="ru-RU"/>
        </w:rPr>
        <w:t xml:space="preserve"> 此外：“在教会之外没有救恩。”</w:t>
      </w:r>
      <w:r>
        <w:rPr>
          <w:rStyle w:val="FootnoteReference"/>
        </w:rPr>
        <w:footnoteReference w:id="492"/>
      </w:r>
      <w:r w:rsidRPr="006A21F9">
        <w:rPr>
          <w:lang w:val="ru-RU"/>
        </w:rPr>
        <w:t xml:space="preserve"> 圣杰罗姆：“我们说，凡得救者皆在教会中得救，”</w:t>
      </w:r>
      <w:r>
        <w:rPr>
          <w:rStyle w:val="FootnoteReference"/>
        </w:rPr>
        <w:footnoteReference w:id="493"/>
      </w:r>
      <w:r w:rsidRPr="006A21F9">
        <w:rPr>
          <w:lang w:val="ru-RU"/>
        </w:rPr>
        <w:t xml:space="preserve"> “凡远离教会者，必立即因疮痍而死。”</w:t>
      </w:r>
      <w:r>
        <w:rPr>
          <w:rStyle w:val="FootnoteReference"/>
        </w:rPr>
        <w:footnoteReference w:id="494"/>
      </w:r>
      <w:r w:rsidRPr="006A21F9">
        <w:rPr>
          <w:lang w:val="ru-RU"/>
        </w:rPr>
        <w:t xml:space="preserve"> 圣 </w:t>
      </w:r>
      <w:r w:rsidRPr="006A21F9">
        <w:rPr>
          <w:lang w:val="ru-RU"/>
        </w:rPr>
        <w:lastRenderedPageBreak/>
        <w:t>奥古斯丁：“除了以基督为元首的人之外，无人能获得救赎与永生；而唯有身处祂的身体——即教会——之中的人，才能以基督为元首。”</w:t>
      </w:r>
      <w:r>
        <w:rPr>
          <w:rStyle w:val="FootnoteReference"/>
        </w:rPr>
        <w:footnoteReference w:id="495"/>
      </w:r>
      <w:r w:rsidRPr="006A21F9">
        <w:rPr>
          <w:lang w:val="ru-RU"/>
        </w:rPr>
        <w:t xml:space="preserve"> “凡不在基督肢体之中的人，就不能获得基督徒的救恩。”</w:t>
      </w:r>
      <w:r>
        <w:rPr>
          <w:rStyle w:val="FootnoteReference"/>
        </w:rPr>
        <w:footnoteReference w:id="496"/>
      </w:r>
      <w:r w:rsidRPr="006A21F9">
        <w:rPr>
          <w:lang w:val="ru-RU"/>
        </w:rPr>
        <w:t xml:space="preserve"> “凡脱离与教会相交的人，即使其生活值得称赞，但仅因这一项不法之举——即脱离了与基督的合一——便不会得着生命，而是神的忿怒仍停留在他身上。”</w:t>
      </w:r>
      <w:r>
        <w:rPr>
          <w:rStyle w:val="FootnoteReference"/>
        </w:rPr>
        <w:footnoteReference w:id="497"/>
      </w:r>
      <w:r w:rsidRPr="006A21F9">
        <w:rPr>
          <w:lang w:val="ru-RU"/>
        </w:rPr>
        <w:t xml:space="preserve"> 福者狄奥多里特：“救恩是通过教会临到我们的；而身处教会之外的人则无法获得永生。”</w:t>
      </w:r>
      <w:r>
        <w:rPr>
          <w:rStyle w:val="FootnoteReference"/>
        </w:rPr>
        <w:footnoteReference w:id="498"/>
      </w:r>
      <w:r w:rsidRPr="006A21F9">
        <w:rPr>
          <w:lang w:val="ru-RU"/>
        </w:rPr>
        <w:t xml:space="preserve"> 总之，根据古代基督教牧者的教导：</w:t>
      </w:r>
    </w:p>
    <w:p w14:paraId="3A766060" w14:textId="77777777" w:rsidR="00BE1885" w:rsidRPr="006A21F9" w:rsidRDefault="00BE1885" w:rsidP="00BE1885">
      <w:pPr>
        <w:ind w:firstLine="708"/>
        <w:rPr>
          <w:lang w:val="ru-RU"/>
        </w:rPr>
      </w:pPr>
      <w:r w:rsidRPr="006A21F9">
        <w:rPr>
          <w:b/>
          <w:bCs/>
          <w:lang w:val="ru-RU"/>
        </w:rPr>
        <w:t>1)</w:t>
      </w:r>
      <w:r w:rsidRPr="006A21F9">
        <w:rPr>
          <w:lang w:val="ru-RU"/>
        </w:rPr>
        <w:t xml:space="preserve"> 离开教会，既无法听见，</w:t>
      </w:r>
      <w:r>
        <w:rPr>
          <w:rStyle w:val="FootnoteReference"/>
        </w:rPr>
        <w:footnoteReference w:id="499"/>
      </w:r>
      <w:r w:rsidRPr="006A21F9">
        <w:rPr>
          <w:lang w:val="ru-RU"/>
        </w:rPr>
        <w:t xml:space="preserve"> 也无法领悟上帝的话语；</w:t>
      </w:r>
      <w:r>
        <w:rPr>
          <w:rStyle w:val="FootnoteReference"/>
        </w:rPr>
        <w:footnoteReference w:id="500"/>
      </w:r>
      <w:r w:rsidRPr="006A21F9">
        <w:rPr>
          <w:lang w:val="ru-RU"/>
        </w:rPr>
        <w:t xml:space="preserve"> 也没有真正的敬拜；</w:t>
      </w:r>
      <w:r>
        <w:rPr>
          <w:rStyle w:val="FootnoteReference"/>
        </w:rPr>
        <w:footnoteReference w:id="501"/>
      </w:r>
      <w:r w:rsidRPr="006A21F9">
        <w:rPr>
          <w:lang w:val="ru-RU"/>
        </w:rPr>
        <w:t xml:space="preserve"> 无法得见基督，</w:t>
      </w:r>
      <w:r>
        <w:rPr>
          <w:rStyle w:val="FootnoteReference"/>
        </w:rPr>
        <w:footnoteReference w:id="502"/>
      </w:r>
      <w:r w:rsidRPr="006A21F9">
        <w:rPr>
          <w:lang w:val="ru-RU"/>
        </w:rPr>
        <w:t xml:space="preserve"> 圣灵也不被赐予；</w:t>
      </w:r>
      <w:r>
        <w:rPr>
          <w:rStyle w:val="FootnoteReference"/>
        </w:rPr>
        <w:footnoteReference w:id="503"/>
      </w:r>
      <w:r w:rsidRPr="006A21F9">
        <w:rPr>
          <w:lang w:val="ru-RU"/>
        </w:rPr>
        <w:t xml:space="preserve"> 救主的死亡无法带来救赎；</w:t>
      </w:r>
      <w:r>
        <w:rPr>
          <w:rStyle w:val="FootnoteReference"/>
        </w:rPr>
        <w:footnoteReference w:id="504"/>
      </w:r>
      <w:r w:rsidRPr="006A21F9">
        <w:rPr>
          <w:lang w:val="ru-RU"/>
        </w:rPr>
        <w:t xml:space="preserve"> 没有基督圣体的圣餐；</w:t>
      </w:r>
      <w:r>
        <w:rPr>
          <w:rStyle w:val="FootnoteReference"/>
        </w:rPr>
        <w:footnoteReference w:id="505"/>
      </w:r>
      <w:r w:rsidRPr="006A21F9">
        <w:rPr>
          <w:lang w:val="ru-RU"/>
        </w:rPr>
        <w:t xml:space="preserve"> 没有结出果实的祷告；</w:t>
      </w:r>
      <w:r>
        <w:rPr>
          <w:rStyle w:val="FootnoteReference"/>
        </w:rPr>
        <w:footnoteReference w:id="506"/>
      </w:r>
      <w:r w:rsidRPr="006A21F9">
        <w:rPr>
          <w:lang w:val="ru-RU"/>
        </w:rPr>
        <w:t xml:space="preserve"> 既没有救赎之举，</w:t>
      </w:r>
      <w:r>
        <w:rPr>
          <w:rStyle w:val="FootnoteReference"/>
        </w:rPr>
        <w:footnoteReference w:id="507"/>
      </w:r>
      <w:r w:rsidRPr="006A21F9">
        <w:rPr>
          <w:lang w:val="ru-RU"/>
        </w:rPr>
        <w:t xml:space="preserve"> 也没有真正的殉道，</w:t>
      </w:r>
      <w:r>
        <w:rPr>
          <w:rStyle w:val="FootnoteReference"/>
        </w:rPr>
        <w:footnoteReference w:id="508"/>
      </w:r>
      <w:r w:rsidRPr="006A21F9">
        <w:rPr>
          <w:lang w:val="ru-RU"/>
        </w:rPr>
        <w:t xml:space="preserve"> 更没有崇高的贞洁</w:t>
      </w:r>
      <w:r>
        <w:rPr>
          <w:rStyle w:val="FootnoteReference"/>
        </w:rPr>
        <w:footnoteReference w:id="509"/>
      </w:r>
      <w:r w:rsidRPr="006A21F9">
        <w:rPr>
          <w:lang w:val="ru-RU"/>
        </w:rPr>
        <w:t xml:space="preserve"> 和纯洁，</w:t>
      </w:r>
      <w:r>
        <w:rPr>
          <w:rStyle w:val="FootnoteReference"/>
        </w:rPr>
        <w:footnoteReference w:id="510"/>
      </w:r>
      <w:r w:rsidRPr="006A21F9">
        <w:rPr>
          <w:lang w:val="ru-RU"/>
        </w:rPr>
        <w:t xml:space="preserve"> 既没有有益于灵魂的斋戒，</w:t>
      </w:r>
      <w:r>
        <w:rPr>
          <w:rStyle w:val="FootnoteReference"/>
        </w:rPr>
        <w:footnoteReference w:id="511"/>
      </w:r>
      <w:r w:rsidRPr="006A21F9">
        <w:rPr>
          <w:lang w:val="ru-RU"/>
        </w:rPr>
        <w:t xml:space="preserve"> 也没有神的祝福。</w:t>
      </w:r>
      <w:r>
        <w:rPr>
          <w:rStyle w:val="FootnoteReference"/>
        </w:rPr>
        <w:footnoteReference w:id="512"/>
      </w:r>
    </w:p>
    <w:p w14:paraId="6A5C17D7"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而在教会中，恰恰相反，有上帝的恩宠与恩典；</w:t>
      </w:r>
      <w:r>
        <w:rPr>
          <w:rStyle w:val="FootnoteReference"/>
        </w:rPr>
        <w:footnoteReference w:id="513"/>
      </w:r>
      <w:r w:rsidRPr="006A21F9">
        <w:rPr>
          <w:lang w:val="ru-RU"/>
        </w:rPr>
        <w:t xml:space="preserve"> 三一上帝居住在教会中；</w:t>
      </w:r>
      <w:r>
        <w:rPr>
          <w:rStyle w:val="FootnoteReference"/>
        </w:rPr>
        <w:footnoteReference w:id="514"/>
      </w:r>
      <w:r w:rsidRPr="006A21F9">
        <w:rPr>
          <w:lang w:val="ru-RU"/>
        </w:rPr>
        <w:t xml:space="preserve"> 教会中有真理的认知，</w:t>
      </w:r>
      <w:r>
        <w:rPr>
          <w:rStyle w:val="FootnoteReference"/>
        </w:rPr>
        <w:footnoteReference w:id="515"/>
      </w:r>
      <w:r w:rsidRPr="006A21F9">
        <w:rPr>
          <w:lang w:val="ru-RU"/>
        </w:rPr>
        <w:t xml:space="preserve"> 对上帝和基督的认知，</w:t>
      </w:r>
      <w:r>
        <w:rPr>
          <w:rStyle w:val="FootnoteReference"/>
        </w:rPr>
        <w:footnoteReference w:id="516"/>
      </w:r>
      <w:r w:rsidRPr="006A21F9">
        <w:rPr>
          <w:lang w:val="ru-RU"/>
        </w:rPr>
        <w:t xml:space="preserve"> 丰富的属灵恩赐；</w:t>
      </w:r>
      <w:r>
        <w:rPr>
          <w:rStyle w:val="FootnoteReference"/>
        </w:rPr>
        <w:footnoteReference w:id="517"/>
      </w:r>
      <w:r w:rsidRPr="006A21F9">
        <w:rPr>
          <w:lang w:val="ru-RU"/>
        </w:rPr>
        <w:t xml:space="preserve"> 教会中有真实、救赎的教义，</w:t>
      </w:r>
      <w:r>
        <w:rPr>
          <w:rStyle w:val="FootnoteReference"/>
        </w:rPr>
        <w:footnoteReference w:id="518"/>
      </w:r>
      <w:r w:rsidRPr="006A21F9">
        <w:rPr>
          <w:lang w:val="ru-RU"/>
        </w:rPr>
        <w:t xml:space="preserve"> 源自使徒们的真实信仰，</w:t>
      </w:r>
      <w:r>
        <w:rPr>
          <w:rStyle w:val="FootnoteReference"/>
        </w:rPr>
        <w:footnoteReference w:id="519"/>
      </w:r>
      <w:r w:rsidRPr="006A21F9">
        <w:rPr>
          <w:lang w:val="ru-RU"/>
        </w:rPr>
        <w:t xml:space="preserve"> 真实的爱，</w:t>
      </w:r>
      <w:r>
        <w:rPr>
          <w:rStyle w:val="FootnoteReference"/>
        </w:rPr>
        <w:footnoteReference w:id="520"/>
      </w:r>
      <w:r w:rsidRPr="006A21F9">
        <w:rPr>
          <w:lang w:val="ru-RU"/>
        </w:rPr>
        <w:t xml:space="preserve"> 以及通往永生的正道。</w:t>
      </w:r>
      <w:r>
        <w:rPr>
          <w:rStyle w:val="FootnoteReference"/>
        </w:rPr>
        <w:footnoteReference w:id="521"/>
      </w:r>
    </w:p>
    <w:p w14:paraId="6A0B928E" w14:textId="77777777" w:rsidR="00BE1885" w:rsidRPr="006A21F9" w:rsidRDefault="00BE1885" w:rsidP="00BE1885">
      <w:pPr>
        <w:rPr>
          <w:lang w:val="ru-RU"/>
        </w:rPr>
      </w:pPr>
    </w:p>
    <w:p w14:paraId="590250AA" w14:textId="77777777" w:rsidR="00BE1885" w:rsidRPr="006A21F9" w:rsidRDefault="00BE1885" w:rsidP="00BE1885">
      <w:pPr>
        <w:pStyle w:val="Heading4"/>
        <w:rPr>
          <w:lang w:val="ru-RU"/>
        </w:rPr>
      </w:pPr>
      <w:bookmarkStart w:id="455" w:name="_Toc133142603"/>
      <w:bookmarkStart w:id="456" w:name="_Toc133142929"/>
      <w:bookmarkStart w:id="457" w:name="_Toc133166286"/>
      <w:bookmarkStart w:id="458" w:name="_Toc182221496"/>
      <w:bookmarkStart w:id="459" w:name="_Toc238453063"/>
      <w:bookmarkStart w:id="460" w:name="_Toc238453863"/>
      <w:bookmarkStart w:id="461" w:name="_Toc238454323"/>
      <w:bookmarkStart w:id="462" w:name="_Toc238466405"/>
      <w:bookmarkStart w:id="463" w:name="_Toc238576523"/>
      <w:r w:rsidRPr="001E4083">
        <w:rPr>
          <w:bCs/>
        </w:rPr>
        <w:t>II</w:t>
      </w:r>
      <w:r w:rsidRPr="006A21F9">
        <w:rPr>
          <w:bCs/>
          <w:lang w:val="ru-RU"/>
        </w:rPr>
        <w:t>.</w:t>
      </w:r>
      <w:r w:rsidRPr="006A21F9">
        <w:rPr>
          <w:lang w:val="ru-RU"/>
        </w:rPr>
        <w:t xml:space="preserve"> 关于教会的组成与结构</w:t>
      </w:r>
      <w:bookmarkEnd w:id="455"/>
      <w:bookmarkEnd w:id="456"/>
      <w:bookmarkEnd w:id="457"/>
      <w:bookmarkEnd w:id="458"/>
      <w:bookmarkEnd w:id="459"/>
      <w:bookmarkEnd w:id="460"/>
      <w:bookmarkEnd w:id="461"/>
      <w:bookmarkEnd w:id="462"/>
      <w:bookmarkEnd w:id="463"/>
    </w:p>
    <w:p w14:paraId="48DD65FF" w14:textId="77777777" w:rsidR="00BE1885" w:rsidRPr="006A21F9" w:rsidRDefault="00BE1885" w:rsidP="00BE1885">
      <w:pPr>
        <w:rPr>
          <w:lang w:val="ru-RU"/>
        </w:rPr>
      </w:pPr>
    </w:p>
    <w:p w14:paraId="709EB21D" w14:textId="77777777" w:rsidR="00BE1885" w:rsidRPr="006A21F9" w:rsidRDefault="00BE1885" w:rsidP="00BE1885">
      <w:pPr>
        <w:pStyle w:val="Heading5"/>
        <w:rPr>
          <w:lang w:val="ru-RU"/>
        </w:rPr>
      </w:pPr>
      <w:bookmarkStart w:id="464" w:name="_Toc133142930"/>
      <w:bookmarkStart w:id="465" w:name="_Toc133166287"/>
      <w:bookmarkStart w:id="466" w:name="_Toc182221497"/>
      <w:bookmarkStart w:id="467" w:name="_Toc238453064"/>
      <w:bookmarkStart w:id="468" w:name="_Toc238453864"/>
      <w:bookmarkStart w:id="469" w:name="_Toc238576524"/>
      <w:r w:rsidRPr="006A21F9">
        <w:rPr>
          <w:bCs/>
          <w:lang w:val="ru-RU"/>
        </w:rPr>
        <w:t>§171.</w:t>
      </w:r>
      <w:r w:rsidRPr="006A21F9">
        <w:rPr>
          <w:lang w:val="ru-RU"/>
        </w:rPr>
        <w:t xml:space="preserve"> 该体制的总体概述</w:t>
      </w:r>
      <w:bookmarkEnd w:id="464"/>
      <w:bookmarkEnd w:id="465"/>
      <w:bookmarkEnd w:id="466"/>
      <w:bookmarkEnd w:id="467"/>
      <w:bookmarkEnd w:id="468"/>
      <w:bookmarkEnd w:id="469"/>
    </w:p>
    <w:p w14:paraId="1323F182" w14:textId="77777777" w:rsidR="00BE1885" w:rsidRPr="006A21F9" w:rsidRDefault="00BE1885" w:rsidP="00BE1885">
      <w:pPr>
        <w:ind w:firstLine="708"/>
        <w:rPr>
          <w:lang w:val="ru-RU"/>
        </w:rPr>
      </w:pPr>
      <w:r w:rsidRPr="006A21F9">
        <w:rPr>
          <w:lang w:val="ru-RU"/>
        </w:rPr>
        <w:t>主耶稣在界定了祂的教会的范围、指明了其目标并提供了实现该目标的必要手段之后，还赋予了教会相应的组织结构，这一结构充分保障并促进了该目标的实现。 教会的组织结构体现在：</w:t>
      </w:r>
      <w:r w:rsidRPr="006A21F9">
        <w:rPr>
          <w:b/>
          <w:bCs/>
          <w:lang w:val="ru-RU"/>
        </w:rPr>
        <w:t>a)</w:t>
      </w:r>
      <w:r w:rsidRPr="006A21F9">
        <w:rPr>
          <w:lang w:val="ru-RU"/>
        </w:rPr>
        <w:t xml:space="preserve"> 根据其构成，教会分为两个基本部分：信众与神所设立的圣职体系，二者之间存在特定的关系；</w:t>
      </w:r>
      <w:r w:rsidRPr="006A21F9">
        <w:rPr>
          <w:b/>
          <w:bCs/>
          <w:lang w:val="ru-RU"/>
        </w:rPr>
        <w:t>b)</w:t>
      </w:r>
      <w:r w:rsidRPr="006A21F9">
        <w:rPr>
          <w:lang w:val="ru-RU"/>
        </w:rPr>
        <w:t xml:space="preserve"> 圣职体系又细分为三个基本等级，这些等级彼此不同且相互关联； </w:t>
      </w:r>
      <w:r w:rsidRPr="006A21F9">
        <w:rPr>
          <w:b/>
          <w:bCs/>
          <w:lang w:val="ru-RU"/>
        </w:rPr>
        <w:t>c)</w:t>
      </w:r>
      <w:r w:rsidRPr="006A21F9">
        <w:rPr>
          <w:lang w:val="ru-RU"/>
        </w:rPr>
        <w:t xml:space="preserve"> 信众与圣职体系均服从于大公会议这一最高司法机构；以及</w:t>
      </w:r>
      <w:r w:rsidRPr="006A21F9">
        <w:rPr>
          <w:b/>
          <w:bCs/>
          <w:lang w:val="ru-RU"/>
        </w:rPr>
        <w:t>——d)</w:t>
      </w:r>
      <w:r w:rsidRPr="006A21F9">
        <w:rPr>
          <w:lang w:val="ru-RU"/>
        </w:rPr>
        <w:t xml:space="preserve"> 最后，由如此不同且彼此间智慧安排的成员所构成的整个有条不紊的教会躯体，在主耶稣基督本人那里拥有唯一的元首，祂以祂的圣灵赋予教会生命。</w:t>
      </w:r>
    </w:p>
    <w:p w14:paraId="64F4BC26" w14:textId="77777777" w:rsidR="00BE1885" w:rsidRPr="006A21F9" w:rsidRDefault="00BE1885" w:rsidP="00BE1885">
      <w:pPr>
        <w:rPr>
          <w:lang w:val="ru-RU"/>
        </w:rPr>
      </w:pPr>
      <w:r w:rsidRPr="006A21F9">
        <w:rPr>
          <w:lang w:val="ru-RU"/>
        </w:rPr>
        <w:tab/>
      </w:r>
    </w:p>
    <w:p w14:paraId="1BE2F94A" w14:textId="77777777" w:rsidR="00BE1885" w:rsidRPr="006A21F9" w:rsidRDefault="00BE1885" w:rsidP="00BE1885">
      <w:pPr>
        <w:pStyle w:val="Heading5"/>
        <w:rPr>
          <w:lang w:val="ru-RU"/>
        </w:rPr>
      </w:pPr>
      <w:bookmarkStart w:id="470" w:name="_Toc133142931"/>
      <w:bookmarkStart w:id="471" w:name="_Toc133166288"/>
      <w:bookmarkStart w:id="472" w:name="_Toc182221498"/>
      <w:bookmarkStart w:id="473" w:name="_Toc238453065"/>
      <w:bookmarkStart w:id="474" w:name="_Toc238453865"/>
      <w:bookmarkStart w:id="475" w:name="_Toc238576525"/>
      <w:r w:rsidRPr="006A21F9">
        <w:rPr>
          <w:bCs/>
          <w:lang w:val="ru-RU"/>
        </w:rPr>
        <w:t>§172.</w:t>
      </w:r>
      <w:r w:rsidRPr="006A21F9">
        <w:rPr>
          <w:lang w:val="ru-RU"/>
        </w:rPr>
        <w:t xml:space="preserve"> 信众与神所设立的教会层级及其相互关系</w:t>
      </w:r>
      <w:bookmarkEnd w:id="470"/>
      <w:bookmarkEnd w:id="471"/>
      <w:bookmarkEnd w:id="472"/>
      <w:bookmarkEnd w:id="473"/>
      <w:bookmarkEnd w:id="474"/>
      <w:bookmarkEnd w:id="475"/>
    </w:p>
    <w:p w14:paraId="6D824C8B"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尽管某些异端分子持相反观点，但不难证明</w:t>
      </w:r>
      <w:r>
        <w:rPr>
          <w:rStyle w:val="FootnoteReference"/>
        </w:rPr>
        <w:footnoteReference w:id="522"/>
      </w:r>
      <w:r w:rsidRPr="006A21F9">
        <w:rPr>
          <w:lang w:val="ru-RU"/>
        </w:rPr>
        <w:t xml:space="preserve"> ，将教会成员划分为上述两类，其渊源可追溯至救主本人。 无可争辩的是，主亲自 在祂的教会中设立了一个特殊阶层，即神职阶层；而且正是这些人——且仅限于他们——被祂授权管理祂赐予教会以实现</w:t>
      </w:r>
      <w:r w:rsidRPr="001E4083">
        <w:t>其</w:t>
      </w:r>
      <w:r w:rsidRPr="006A21F9">
        <w:rPr>
          <w:lang w:val="ru-RU"/>
        </w:rPr>
        <w:t>宗旨的各种资源： 即授权他们在教会中担任教师、神职人员和属灵治理者，绝非将此权柄不加区分地授予所有信徒；相反，祂命令信徒仅需顺服牧者（《东正教信条》第1卷，对第109个问题的回答； 《东方诸宗主教论正信》第10条；《基督教要理问答》</w:t>
      </w:r>
      <w:r w:rsidRPr="001E4083">
        <w:t>第九条</w:t>
      </w:r>
      <w:r w:rsidRPr="006A21F9">
        <w:rPr>
          <w:lang w:val="ru-RU"/>
        </w:rPr>
        <w:t>）。</w:t>
      </w:r>
    </w:p>
    <w:p w14:paraId="3ABF6755" w14:textId="77777777" w:rsidR="00BE1885" w:rsidRPr="006A21F9" w:rsidRDefault="00BE1885" w:rsidP="00BE1885">
      <w:pPr>
        <w:ind w:firstLine="708"/>
        <w:rPr>
          <w:lang w:val="ru-RU"/>
        </w:rPr>
      </w:pPr>
      <w:r w:rsidRPr="006A21F9">
        <w:rPr>
          <w:lang w:val="ru-RU"/>
        </w:rPr>
        <w:t>阅读记载着我们救主生平与事迹的《圣经》时，我们可以看到：</w:t>
      </w:r>
    </w:p>
    <w:p w14:paraId="5BEC0503"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祂亲自从所有门徒中直接拣选了十二人，并称他们为自己的使徒。圣路加记载道：</w:t>
      </w:r>
      <w:r w:rsidRPr="006A21F9">
        <w:rPr>
          <w:i/>
          <w:iCs/>
          <w:lang w:val="ru-RU"/>
        </w:rPr>
        <w:t>“到了那一天，（耶</w:t>
      </w:r>
      <w:r w:rsidRPr="006A21F9">
        <w:rPr>
          <w:i/>
          <w:iCs/>
          <w:lang w:val="ru-RU"/>
        </w:rPr>
        <w:lastRenderedPageBreak/>
        <w:t>稣）召聚了祂的门徒，从他们中间拣选了十二人，称他们为使徒”</w:t>
      </w:r>
      <w:r w:rsidRPr="006A21F9">
        <w:rPr>
          <w:lang w:val="ru-RU"/>
        </w:rPr>
        <w:t xml:space="preserve"> （路加福音 6:13），因此祂对他们说：</w:t>
      </w:r>
      <w:r w:rsidRPr="006A21F9">
        <w:rPr>
          <w:i/>
          <w:iCs/>
          <w:lang w:val="ru-RU"/>
        </w:rPr>
        <w:t>“不是你们拣选了我，而是我拣选了你们”</w:t>
      </w:r>
      <w:r w:rsidRPr="006A21F9">
        <w:rPr>
          <w:lang w:val="ru-RU"/>
        </w:rPr>
        <w:t>（约翰福音 15:16）。</w:t>
      </w:r>
    </w:p>
    <w:p w14:paraId="08893BD4"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祂只赐予他们诫命和权柄，去教导万民，为他们施行圣礼，并引导信徒走向救恩 [(玛28:19)；(路22:19)；(玛18:18)]。</w:t>
      </w:r>
    </w:p>
    <w:p w14:paraId="13C8F189"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祂将这权柄赐予圣使徒们，正如祂自己从父那里领受的一样：</w:t>
      </w:r>
      <w:r w:rsidRPr="006A21F9">
        <w:rPr>
          <w:i/>
          <w:iCs/>
          <w:lang w:val="ru-RU"/>
        </w:rPr>
        <w:t>“天上地下所有的权柄都赐给我了。所以，你们要去，使万民作我的门徒，奉父、子、圣灵的名给他们施洗”</w:t>
      </w:r>
      <w:r w:rsidRPr="006A21F9">
        <w:rPr>
          <w:lang w:val="ru-RU"/>
        </w:rPr>
        <w:t xml:space="preserve">（太28:18-19）； </w:t>
      </w:r>
      <w:r w:rsidRPr="006A21F9">
        <w:rPr>
          <w:i/>
          <w:iCs/>
          <w:lang w:val="ru-RU"/>
        </w:rPr>
        <w:t>“父怎样差遣了我，我也照样差遣你们。说了这话，就向他们吹了一口气，说：‘你们受圣灵吧！你们赦免谁的罪，谁的罪就得赦免；你们留下谁的罪，谁的罪就留下。’”</w:t>
      </w:r>
      <w:r w:rsidRPr="006A21F9">
        <w:rPr>
          <w:lang w:val="ru-RU"/>
        </w:rPr>
        <w:t>（约20:21-23）。</w:t>
      </w:r>
    </w:p>
    <w:p w14:paraId="1EE6CD1E"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祂亲自将另外七十位特定的门徒直接加添到这十二位门徒之中，并差遣他们去从事同样伟大的事工（路加福音10章）。</w:t>
      </w:r>
    </w:p>
    <w:p w14:paraId="1757C228" w14:textId="77777777" w:rsidR="00BE1885" w:rsidRPr="006A21F9" w:rsidRDefault="00BE1885" w:rsidP="00BE1885">
      <w:pPr>
        <w:rPr>
          <w:lang w:val="ru-RU"/>
        </w:rPr>
      </w:pPr>
      <w:r w:rsidRPr="006A21F9">
        <w:rPr>
          <w:lang w:val="ru-RU"/>
        </w:rPr>
        <w:tab/>
      </w:r>
      <w:r w:rsidRPr="006A21F9">
        <w:rPr>
          <w:b/>
          <w:bCs/>
          <w:lang w:val="ru-RU"/>
        </w:rPr>
        <w:t>戊）</w:t>
      </w:r>
      <w:r w:rsidRPr="006A21F9">
        <w:rPr>
          <w:lang w:val="ru-RU"/>
        </w:rPr>
        <w:t>祂将天上的使命托付给十二门徒时，是希望这使命能由他们直接传承给继任者，并由这些继任者代代相传，在世上保存直到世界的末了。 因为祂对使徒们说：</w:t>
      </w:r>
      <w:r w:rsidRPr="006A21F9">
        <w:rPr>
          <w:i/>
          <w:iCs/>
          <w:lang w:val="ru-RU"/>
        </w:rPr>
        <w:t>“你们往普天下去，向万民传福音”</w:t>
      </w:r>
      <w:r w:rsidRPr="006A21F9">
        <w:rPr>
          <w:lang w:val="ru-RU"/>
        </w:rPr>
        <w:t>（《马可福音》16:15），随即补充道：</w:t>
      </w:r>
      <w:r w:rsidRPr="006A21F9">
        <w:rPr>
          <w:i/>
          <w:iCs/>
          <w:lang w:val="ru-RU"/>
        </w:rPr>
        <w:t>“看哪，我常与你们同在，直到世界的末了”</w:t>
      </w:r>
      <w:r w:rsidRPr="006A21F9">
        <w:rPr>
          <w:lang w:val="ru-RU"/>
        </w:rPr>
        <w:t>（《马太福音》28:20）。 因此，祂借着使徒们派遣他们从事同一事工，并以祂的同在给所有未来的继任者带来了希望；从严格意义上说，祂亲自赐给教会的不只是使徒、先知和传福音的，还有牧师和教师（以弗所书 4:11）。</w:t>
      </w:r>
    </w:p>
    <w:p w14:paraId="1CC02C3C" w14:textId="77777777" w:rsidR="00BE1885" w:rsidRPr="006A21F9" w:rsidRDefault="00BE1885" w:rsidP="00BE1885">
      <w:pPr>
        <w:rPr>
          <w:lang w:val="ru-RU"/>
        </w:rPr>
      </w:pPr>
      <w:r w:rsidRPr="006A21F9">
        <w:rPr>
          <w:lang w:val="ru-RU"/>
        </w:rPr>
        <w:tab/>
      </w:r>
      <w:r w:rsidRPr="006A21F9">
        <w:rPr>
          <w:b/>
          <w:bCs/>
          <w:lang w:val="ru-RU"/>
        </w:rPr>
        <w:t>e)</w:t>
      </w:r>
      <w:r w:rsidRPr="006A21F9">
        <w:rPr>
          <w:lang w:val="ru-RU"/>
        </w:rPr>
        <w:t xml:space="preserve"> 最后，祂既以这种方式将神圣的权柄赋予了祂的圣使徒们，另一方面，祂又以极其明确的方式，并伴随着严厉的警告，要求所有人和未来的基督徒都必须从使徒那里接受教义和圣礼，并服从他们的教导。 </w:t>
      </w:r>
      <w:r w:rsidRPr="006A21F9">
        <w:rPr>
          <w:i/>
          <w:iCs/>
          <w:lang w:val="ru-RU"/>
        </w:rPr>
        <w:t>“听从你们的，就是听从我；弃绝你们的，就是弃绝我；弃绝我的，就是弃绝那差我来的”</w:t>
      </w:r>
      <w:r w:rsidRPr="006A21F9">
        <w:rPr>
          <w:lang w:val="ru-RU"/>
        </w:rPr>
        <w:t>（路加福音 10:16）。</w:t>
      </w:r>
      <w:r w:rsidRPr="006A21F9">
        <w:rPr>
          <w:i/>
          <w:iCs/>
          <w:lang w:val="ru-RU"/>
        </w:rPr>
        <w:t>“你们要去，使万民作我的门徒，奉父、子、圣灵的名给他们施洗。 信而受洗的，必然得救；不信的，必被定罪”</w:t>
      </w:r>
      <w:r w:rsidRPr="006A21F9">
        <w:rPr>
          <w:lang w:val="ru-RU"/>
        </w:rPr>
        <w:t>[(可16:15-16)；参见(太10:14)、(太18:15-19)]。</w:t>
      </w:r>
    </w:p>
    <w:p w14:paraId="136DBA03" w14:textId="77777777" w:rsidR="00BE1885" w:rsidRPr="006A21F9" w:rsidRDefault="00BE1885" w:rsidP="00BE1885">
      <w:pPr>
        <w:rPr>
          <w:lang w:val="ru-RU"/>
        </w:rPr>
      </w:pPr>
      <w:r w:rsidRPr="006A21F9">
        <w:rPr>
          <w:lang w:val="ru-RU"/>
        </w:rPr>
        <w:tab/>
        <w:t>正因如此，即使在主升天之后，也唯有根据祂的指示，马太才被列入十一使徒之列，接替背道的犹大（使徒行传 1:26）； 而且唯有在圣灵亲自的引导下，巴拿巴和扫罗才被拣选出来，从事我们救赎主呼召他们去做的工 [(使徒行传 13:2)；参见 (使徒行传 9:15)]。</w:t>
      </w:r>
    </w:p>
    <w:p w14:paraId="7385D21D" w14:textId="77777777" w:rsidR="00BE1885" w:rsidRPr="006A21F9" w:rsidRDefault="00BE1885" w:rsidP="00BE1885">
      <w:pPr>
        <w:ind w:firstLine="708"/>
        <w:rPr>
          <w:lang w:val="ru-RU"/>
        </w:rPr>
      </w:pPr>
      <w:r w:rsidRPr="006A21F9">
        <w:rPr>
          <w:b/>
          <w:bCs/>
          <w:lang w:val="ru-RU"/>
        </w:rPr>
        <w:t xml:space="preserve">2. </w:t>
      </w:r>
      <w:r w:rsidRPr="006A21F9">
        <w:rPr>
          <w:lang w:val="ru-RU"/>
        </w:rPr>
        <w:t>从使徒们受圣灵引导的行动中，主的这一意图显得更为清晰。这些行动分为两类，同样有助于证实我们正在探讨的真理。</w:t>
      </w:r>
    </w:p>
    <w:p w14:paraId="6FDA983F" w14:textId="77777777" w:rsidR="00BE1885" w:rsidRPr="006A21F9" w:rsidRDefault="00BE1885" w:rsidP="00BE1885">
      <w:pPr>
        <w:rPr>
          <w:lang w:val="ru-RU"/>
        </w:rPr>
      </w:pPr>
      <w:r w:rsidRPr="006A21F9">
        <w:rPr>
          <w:lang w:val="ru-RU"/>
        </w:rPr>
        <w:tab/>
        <w:t>第一类行为如下：</w:t>
      </w:r>
    </w:p>
    <w:p w14:paraId="300F9084"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圣使徒们始终坚守主亲自托付给他们的权利，并履行主所赋予的职责 [(使徒行传 5:42)；</w:t>
      </w:r>
      <w:r w:rsidRPr="006A21F9">
        <w:rPr>
          <w:rFonts w:cs="Cambria Math"/>
          <w:lang w:val="ru-RU"/>
        </w:rPr>
        <w:t>(</w:t>
      </w:r>
      <w:r w:rsidRPr="006A21F9">
        <w:rPr>
          <w:lang w:val="ru-RU"/>
        </w:rPr>
        <w:t>使徒行传 6:1-5)；(哥林多前书 4:1)；</w:t>
      </w:r>
      <w:r w:rsidRPr="006A21F9">
        <w:rPr>
          <w:rFonts w:cs="Cambria Math"/>
          <w:lang w:val="ru-RU"/>
        </w:rPr>
        <w:t>(</w:t>
      </w:r>
      <w:r w:rsidRPr="006A21F9">
        <w:rPr>
          <w:lang w:val="ru-RU"/>
        </w:rPr>
        <w:t>哥林多前书 5:4-5)； （林前9:16）]，无论敌人如何设法剥夺他们这一神圣权利，他们都毫不退让 [(徒4:19)；</w:t>
      </w:r>
      <w:r w:rsidRPr="006A21F9">
        <w:rPr>
          <w:rFonts w:cs="Cambria Math"/>
          <w:lang w:val="ru-RU"/>
        </w:rPr>
        <w:t>(</w:t>
      </w:r>
      <w:r w:rsidRPr="006A21F9">
        <w:rPr>
          <w:lang w:val="ru-RU"/>
        </w:rPr>
        <w:t>徒5:28-29)]。</w:t>
      </w:r>
    </w:p>
    <w:p w14:paraId="6027D385"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在传播福音并于各地建立众多教会时，使徒们在所有这些教会中按立了长老，并在认为必要的地方还按立了主教（使徒行传 14:23；20:28）。</w:t>
      </w:r>
      <w:r>
        <w:rPr>
          <w:rStyle w:val="FootnoteReference"/>
        </w:rPr>
        <w:footnoteReference w:id="523"/>
      </w:r>
      <w:r w:rsidRPr="006A21F9">
        <w:rPr>
          <w:lang w:val="ru-RU"/>
        </w:rPr>
        <w:t xml:space="preserve">  </w:t>
      </w:r>
      <w:r w:rsidRPr="006A21F9">
        <w:rPr>
          <w:lang w:val="ru-RU"/>
        </w:rPr>
        <w:lastRenderedPageBreak/>
        <w:t>正是通过这种特意拣选的人，作为他们的代表和继任者（提多书 1:5），借着神圣的按立仪式，将他们自己从耶稣基督那里领受的神圣权柄传授给他们，并向他们证实，是圣灵亲自将他们设立在教会中（使徒行传 20:28）。 特别是，他们将教导基督徒的权利和义务，仅通过这些蒙圣化的仆人来传承 [(提摩太前书 6:20；(提摩太后书 1:16；4:2)； （提多书 2:1-13）]、施行圣礼（提摩太前书 2:1-2）以及牧养基督的羊群的权利和义务 [(使徒行传 20:28)；（彼得前书 5:1-4）]。</w:t>
      </w:r>
    </w:p>
    <w:p w14:paraId="72EA7EAA"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最后，圣使徒们嘱咐那些由他们亲自拣选并按立的主教，要通过神圣的按立礼，将自己的神圣权柄传给其他经过特别拣选和预备的人 [(提摩太后书 2:2)； (提多书 1:16)]；详细描述了那些被召唤担任如此崇高事工的人所应具备的特殊品格 [(提摩太前书 3:1-10)； （提多书 1:6）及以下经文]；制定了针对他们的特殊审判规则（提摩太前书 6:19），并命令要奖赏那些在职责上勤勉尽责的人 [(提摩太前书 5:22)；(提摩太前书 6:17)；(提多书 1:5)]。</w:t>
      </w:r>
    </w:p>
    <w:p w14:paraId="290A286F" w14:textId="77777777" w:rsidR="00BE1885" w:rsidRPr="006A21F9" w:rsidRDefault="00BE1885" w:rsidP="00BE1885">
      <w:pPr>
        <w:rPr>
          <w:lang w:val="ru-RU"/>
        </w:rPr>
      </w:pPr>
      <w:r w:rsidRPr="006A21F9">
        <w:rPr>
          <w:lang w:val="ru-RU"/>
        </w:rPr>
        <w:tab/>
        <w:t>从使徒们的其他行为可以看出，——</w:t>
      </w:r>
    </w:p>
    <w:p w14:paraId="05BDFAB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对于未被授予合法权柄施行圣礼的人，他们严禁其擅自夺取此权柄。</w:t>
      </w:r>
      <w:r w:rsidRPr="006A21F9">
        <w:rPr>
          <w:i/>
          <w:iCs/>
          <w:lang w:val="ru-RU"/>
        </w:rPr>
        <w:t>“若不被差遣，怎能传道呢？</w:t>
      </w:r>
      <w:r w:rsidRPr="006A21F9">
        <w:rPr>
          <w:lang w:val="ru-RU"/>
        </w:rPr>
        <w:t>”这位伟大的外邦人之师问道（罗马书 10:15）</w:t>
      </w:r>
      <w:r w:rsidRPr="006A21F9">
        <w:rPr>
          <w:i/>
          <w:iCs/>
          <w:lang w:val="ru-RU"/>
        </w:rPr>
        <w:t>，“难道都是使徒吗？难道都是先知吗？ 难道都是教师吗？”</w:t>
      </w:r>
      <w:r w:rsidRPr="006A21F9">
        <w:rPr>
          <w:lang w:val="ru-RU"/>
        </w:rPr>
        <w:t>（林前12:29）。他在另一封书信中回答道：</w:t>
      </w:r>
      <w:r w:rsidRPr="006A21F9">
        <w:rPr>
          <w:i/>
          <w:iCs/>
          <w:lang w:val="ru-RU"/>
        </w:rPr>
        <w:t>“没有人能凭自己接受这荣耀，除非是蒙神呼召的，就像亚伦一样。 同样，基督也不是自己取了大祭司的荣耀，而是那位对他说：‘你是我的儿子，我今日生了你’的那一位”</w:t>
      </w:r>
      <w:r w:rsidRPr="006A21F9">
        <w:rPr>
          <w:lang w:val="ru-RU"/>
        </w:rPr>
        <w:t>（希伯来书 5:4-5）。</w:t>
      </w:r>
    </w:p>
    <w:p w14:paraId="64486139" w14:textId="77777777" w:rsidR="00BE1885" w:rsidRPr="006A21F9" w:rsidRDefault="00BE1885" w:rsidP="00BE1885">
      <w:pPr>
        <w:rPr>
          <w:lang w:val="ru-RU"/>
        </w:rPr>
      </w:pPr>
      <w:r w:rsidRPr="006A21F9">
        <w:rPr>
          <w:lang w:val="ru-RU"/>
        </w:rPr>
        <w:tab/>
        <w:t>（</w:t>
      </w:r>
      <w:r w:rsidRPr="006A21F9">
        <w:rPr>
          <w:b/>
          <w:bCs/>
          <w:lang w:val="ru-RU"/>
        </w:rPr>
        <w:t>b）</w:t>
      </w:r>
      <w:r w:rsidRPr="006A21F9">
        <w:rPr>
          <w:lang w:val="ru-RU"/>
        </w:rPr>
        <w:t>并要求并劝勉所有信徒：</w:t>
      </w:r>
      <w:r w:rsidRPr="006A21F9">
        <w:rPr>
          <w:i/>
          <w:iCs/>
          <w:lang w:val="ru-RU"/>
        </w:rPr>
        <w:t>“要顺服你们的引导者，并要服从他们，因为他们为你们的灵魂日夜操劳”</w:t>
      </w:r>
      <w:r w:rsidRPr="006A21F9">
        <w:rPr>
          <w:lang w:val="ru-RU"/>
        </w:rPr>
        <w:t xml:space="preserve">（希伯来书 13:17）； </w:t>
      </w:r>
      <w:r w:rsidRPr="006A21F9">
        <w:rPr>
          <w:i/>
          <w:iCs/>
          <w:lang w:val="ru-RU"/>
        </w:rPr>
        <w:t>“弟兄们，我们恳求你们，要尊重在你们中间劳苦的人，就是在主里面作你们领袖和劝导你们的人，又要因他们所作的工，用爱心格外尊重他们”</w:t>
      </w:r>
      <w:r w:rsidRPr="006A21F9">
        <w:rPr>
          <w:lang w:val="ru-RU"/>
        </w:rPr>
        <w:t>（帖前5:12-13）。</w:t>
      </w:r>
    </w:p>
    <w:p w14:paraId="47C6B5A0" w14:textId="77777777" w:rsidR="00BE1885" w:rsidRPr="006A21F9" w:rsidRDefault="00BE1885" w:rsidP="00BE1885">
      <w:pPr>
        <w:ind w:firstLine="708"/>
        <w:rPr>
          <w:lang w:val="ru-RU"/>
        </w:rPr>
      </w:pPr>
      <w:r w:rsidRPr="006A21F9">
        <w:rPr>
          <w:b/>
          <w:bCs/>
          <w:lang w:val="ru-RU"/>
        </w:rPr>
        <w:t>3.</w:t>
      </w:r>
      <w:r w:rsidRPr="006A21F9">
        <w:rPr>
          <w:lang w:val="ru-RU"/>
        </w:rPr>
        <w:t xml:space="preserve"> 回溯到使徒时代之后不久的时期，我们可以看到：</w:t>
      </w:r>
    </w:p>
    <w:p w14:paraId="2D32A6E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在基督的教会中，始终存在着一个特殊的牧者阶层，其他所有信徒都必须服从他们。 这一思想被使徒的门徒们明确表达出来，他们无疑深知自己导师的意愿，例如：罗马的圣克利门特，</w:t>
      </w:r>
      <w:r>
        <w:rPr>
          <w:rStyle w:val="FootnoteReference"/>
        </w:rPr>
        <w:footnoteReference w:id="524"/>
      </w:r>
      <w:r w:rsidRPr="006A21F9">
        <w:rPr>
          <w:lang w:val="ru-RU"/>
        </w:rPr>
        <w:t xml:space="preserve"> 圣伊格纳提乌斯，</w:t>
      </w:r>
      <w:r>
        <w:rPr>
          <w:rStyle w:val="FootnoteReference"/>
        </w:rPr>
        <w:footnoteReference w:id="525"/>
      </w:r>
      <w:r w:rsidRPr="006A21F9">
        <w:rPr>
          <w:lang w:val="ru-RU"/>
        </w:rPr>
        <w:t xml:space="preserve"> 以及后来的牧者们：圣伊雷奈乌斯，</w:t>
      </w:r>
      <w:r>
        <w:rPr>
          <w:rStyle w:val="FootnoteReference"/>
        </w:rPr>
        <w:footnoteReference w:id="526"/>
      </w:r>
      <w:r w:rsidRPr="006A21F9">
        <w:rPr>
          <w:lang w:val="ru-RU"/>
        </w:rPr>
        <w:t xml:space="preserve"> 圣基普里安，</w:t>
      </w:r>
      <w:r>
        <w:rPr>
          <w:rStyle w:val="FootnoteReference"/>
        </w:rPr>
        <w:footnoteReference w:id="527"/>
      </w:r>
      <w:r w:rsidRPr="006A21F9">
        <w:rPr>
          <w:lang w:val="ru-RU"/>
        </w:rPr>
        <w:t xml:space="preserve"> 优西比乌，</w:t>
      </w:r>
      <w:r>
        <w:rPr>
          <w:rStyle w:val="FootnoteReference"/>
        </w:rPr>
        <w:footnoteReference w:id="528"/>
      </w:r>
      <w:r w:rsidRPr="006A21F9">
        <w:rPr>
          <w:lang w:val="ru-RU"/>
        </w:rPr>
        <w:t xml:space="preserve"> 格里高利·神学家，</w:t>
      </w:r>
      <w:r>
        <w:rPr>
          <w:rStyle w:val="FootnoteReference"/>
        </w:rPr>
        <w:footnoteReference w:id="529"/>
      </w:r>
      <w:r w:rsidRPr="006A21F9">
        <w:rPr>
          <w:lang w:val="ru-RU"/>
        </w:rPr>
        <w:t xml:space="preserve"> 黄金口，</w:t>
      </w:r>
      <w:r>
        <w:rPr>
          <w:rStyle w:val="FootnoteReference"/>
        </w:rPr>
        <w:footnoteReference w:id="530"/>
      </w:r>
      <w:r w:rsidRPr="006A21F9">
        <w:rPr>
          <w:lang w:val="ru-RU"/>
        </w:rPr>
        <w:t xml:space="preserve"> 安布罗斯，</w:t>
      </w:r>
      <w:r>
        <w:rPr>
          <w:rStyle w:val="FootnoteReference"/>
        </w:rPr>
        <w:footnoteReference w:id="531"/>
      </w:r>
      <w:r w:rsidRPr="006A21F9">
        <w:rPr>
          <w:lang w:val="ru-RU"/>
        </w:rPr>
        <w:t xml:space="preserve"> 杰罗姆，</w:t>
      </w:r>
      <w:r>
        <w:rPr>
          <w:rStyle w:val="FootnoteReference"/>
        </w:rPr>
        <w:footnoteReference w:id="532"/>
      </w:r>
      <w:r w:rsidRPr="006A21F9">
        <w:rPr>
          <w:lang w:val="ru-RU"/>
        </w:rPr>
        <w:t xml:space="preserve"> 奥古斯丁，</w:t>
      </w:r>
      <w:r>
        <w:rPr>
          <w:rStyle w:val="FootnoteReference"/>
        </w:rPr>
        <w:footnoteReference w:id="533"/>
      </w:r>
      <w:r w:rsidRPr="006A21F9">
        <w:rPr>
          <w:lang w:val="ru-RU"/>
        </w:rPr>
        <w:t xml:space="preserve"> 等。</w:t>
      </w:r>
    </w:p>
    <w:p w14:paraId="0B389A7F" w14:textId="77777777" w:rsidR="00BE1885" w:rsidRPr="006A21F9" w:rsidRDefault="00BE1885" w:rsidP="00BE1885">
      <w:pPr>
        <w:rPr>
          <w:lang w:val="ru-RU"/>
        </w:rPr>
      </w:pPr>
      <w:r w:rsidRPr="006A21F9">
        <w:rPr>
          <w:lang w:val="ru-RU"/>
        </w:rPr>
        <w:lastRenderedPageBreak/>
        <w:tab/>
      </w:r>
      <w:r w:rsidRPr="006A21F9">
        <w:rPr>
          <w:b/>
          <w:bCs/>
          <w:lang w:val="ru-RU"/>
        </w:rPr>
        <w:t>b)</w:t>
      </w:r>
      <w:r w:rsidRPr="006A21F9">
        <w:rPr>
          <w:lang w:val="ru-RU"/>
        </w:rPr>
        <w:t xml:space="preserve"> 而且，构成这一特殊阶层的牧者们，始终将自己的权柄溯源于耶稣基督本人，自称是使徒的继承者，是救世主在教会中的代表。 例如，罗马的圣克莱门特曾说：“使徒们在获得完全的预知后，任命了上述人员（即主教和执事），并共同制定了一条规则：当其中一些人离世时，应由其他经过考验的人接替他们的职务。”</w:t>
      </w:r>
      <w:r>
        <w:rPr>
          <w:rStyle w:val="FootnoteReference"/>
        </w:rPr>
        <w:footnoteReference w:id="534"/>
      </w:r>
      <w:r w:rsidRPr="006A21F9">
        <w:rPr>
          <w:lang w:val="ru-RU"/>
        </w:rPr>
        <w:t xml:space="preserve"> 圣伊格纳提乌斯·神载者： “主教们是按照耶稣基督的旨意，被派往世界各地的。”</w:t>
      </w:r>
      <w:r>
        <w:rPr>
          <w:rStyle w:val="FootnoteReference"/>
        </w:rPr>
        <w:footnoteReference w:id="535"/>
      </w:r>
      <w:r w:rsidRPr="006A21F9">
        <w:rPr>
          <w:lang w:val="ru-RU"/>
        </w:rPr>
        <w:t xml:space="preserve"> 圣爱任纽：“我们可以列举那些被使徒们立为各教会主教的人，以及直至我们这一代的他们的继任者，他们既未教导过异端分子所杜撰的任何内容，也不曾知晓任何此类教义。因为如果使徒们确实知晓那些仅向完全之人启示、而不向其他人启示的隐秘奥义； 那么他们更会将这些奥秘告知那些受教会委托的人：因为使徒们希望，那些被他们立为继任者、并向其传承教导事工的人，在各方面都极为完美且无可指摘。”</w:t>
      </w:r>
      <w:r>
        <w:rPr>
          <w:rStyle w:val="FootnoteReference"/>
        </w:rPr>
        <w:footnoteReference w:id="536"/>
      </w:r>
      <w:r w:rsidRPr="006A21F9">
        <w:rPr>
          <w:lang w:val="ru-RU"/>
        </w:rPr>
        <w:t xml:space="preserve"> 圣基普里安：“我们是使徒的继任者，以同样的权柄治理上帝的教会。”</w:t>
      </w:r>
      <w:r>
        <w:rPr>
          <w:rStyle w:val="FootnoteReference"/>
        </w:rPr>
        <w:footnoteReference w:id="537"/>
      </w:r>
      <w:r w:rsidRPr="006A21F9">
        <w:rPr>
          <w:lang w:val="ru-RU"/>
        </w:rPr>
        <w:t xml:space="preserve"> 圣安布罗斯：“主教代表基督本人，是主的代表。”</w:t>
      </w:r>
      <w:r>
        <w:rPr>
          <w:rStyle w:val="FootnoteReference"/>
        </w:rPr>
        <w:footnoteReference w:id="538"/>
      </w:r>
      <w:r w:rsidRPr="006A21F9">
        <w:rPr>
          <w:lang w:val="ru-RU"/>
        </w:rPr>
        <w:t xml:space="preserve"> 福者杰罗姆：“在我们这里，主教们占据了使徒的位置。”</w:t>
      </w:r>
      <w:r>
        <w:rPr>
          <w:rStyle w:val="FootnoteReference"/>
        </w:rPr>
        <w:footnoteReference w:id="539"/>
      </w:r>
    </w:p>
    <w:p w14:paraId="158BB9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由此可见，基督教会各组成部分之间应当保持何种相互关系。牧者有责任教导自己的羊群[(提摩太前书 6:20)； （提多书 2:1-13)]；为他们施行圣礼（提摩太前书 2:1-2）；在属灵上牧养这群听道的人[（使徒行传 20:28）；（彼得前书 5:1-2）]。 信徒有义务听从牧者的教导 [(路加福音 10:16)；(帖撒罗尼迦前书 5:12-13)]；接受他们的圣礼 (马可福音 16:15-16)，并顺服他们的属灵权柄 (希伯来书 13:17)。 因此，尽管在神的话语中，“教会”一词有时特指羊群——与受托看顾他们的牧者相区别[（使徒行传 20:28）；（提摩太前书 3:5）]——有时则仅指牧者本人，例如：在救主以下的教导中： </w:t>
      </w:r>
      <w:r w:rsidRPr="006A21F9">
        <w:rPr>
          <w:i/>
          <w:iCs/>
          <w:lang w:val="ru-RU"/>
        </w:rPr>
        <w:t>“倘若你的弟兄得罪你，你就去，趁着只有你和他一个人的时候，指出他的过错；他若听从你，你就得了你的弟兄；他若不听从，你就再带一两个人同去，要凭两三个人的口作见证，句句都可定准； 若他不听从他们，就告诉教会；若连教会也不听从，他就与你一样，如同外邦人和税吏。我实在告诉你们：你们在地上所捆绑的，在天上也要捆绑；你们在地上所释放的，在天上也要释放”</w:t>
      </w:r>
      <w:r w:rsidRPr="006A21F9">
        <w:rPr>
          <w:lang w:val="ru-RU"/>
        </w:rPr>
        <w:t xml:space="preserve"> （太18:15-19）：</w:t>
      </w:r>
      <w:r>
        <w:rPr>
          <w:rStyle w:val="FootnoteReference"/>
        </w:rPr>
        <w:footnoteReference w:id="540"/>
      </w:r>
      <w:r w:rsidRPr="006A21F9">
        <w:rPr>
          <w:lang w:val="ru-RU"/>
        </w:rPr>
        <w:t xml:space="preserve"> 然而，从严格意义上说，基督的教会仅由这两类教会的结合而构成，其中前者被称为“从属的”，后者被</w:t>
      </w:r>
      <w:r w:rsidRPr="006A21F9">
        <w:rPr>
          <w:lang w:val="ru-RU"/>
        </w:rPr>
        <w:lastRenderedPageBreak/>
        <w:t>称为“神圣的领导层”； 凡只有一个会众或信徒群体，却没有神所设立的等级制度，且该制度被拒绝之处，便没有教会（《东方宗主教关于正统信仰的信函》第10条）。 因为正如主自己所愿，信靠祂的人组成教会；同样，主也在祂的教会中建立了圣职体系，并且根据祂的旨意，唯有牧者才有权教导人们信仰、藉圣礼使他们成圣，并引导他们走向救赎。 因此，若没有合法的牧者，基督徒便无法获得成圣…… 古代的教师们曾竭力向信徒们灌输这一思想，例如：圣伊格纳提乌斯·神承者：“没有他们（即主教、长老和执事），教会便不复存在——对此，我深信你们也会认同；”</w:t>
      </w:r>
      <w:r>
        <w:rPr>
          <w:rStyle w:val="FootnoteReference"/>
        </w:rPr>
        <w:footnoteReference w:id="541"/>
      </w:r>
      <w:r w:rsidRPr="006A21F9">
        <w:rPr>
          <w:lang w:val="ru-RU"/>
        </w:rPr>
        <w:t xml:space="preserve"> 特土良：“没有主教就没有教会；”</w:t>
      </w:r>
      <w:r>
        <w:rPr>
          <w:rStyle w:val="FootnoteReference"/>
        </w:rPr>
        <w:footnoteReference w:id="542"/>
      </w:r>
      <w:r w:rsidRPr="006A21F9">
        <w:rPr>
          <w:lang w:val="ru-RU"/>
        </w:rPr>
        <w:t xml:space="preserve"> 圣希波吕托：“主教不可在执事或长老面前自高自大，长老也不可在信众面前自高自大：因为教会这身体是由这两类人组成的；”</w:t>
      </w:r>
      <w:r>
        <w:rPr>
          <w:rStyle w:val="FootnoteReference"/>
        </w:rPr>
        <w:footnoteReference w:id="543"/>
      </w:r>
      <w:r w:rsidRPr="006A21F9">
        <w:rPr>
          <w:lang w:val="ru-RU"/>
        </w:rPr>
        <w:t xml:space="preserve"> 圣基普里安： “教会是由与司祭联合的信众，以及顺服其牧者的羊群所组成的； 因此你应当知道，主教在教会中， 教会也在主教之中；如此，凡不与主教合一者，便不在教会之中；”</w:t>
      </w:r>
      <w:r>
        <w:rPr>
          <w:rStyle w:val="FootnoteReference"/>
        </w:rPr>
        <w:footnoteReference w:id="544"/>
      </w:r>
      <w:r w:rsidRPr="006A21F9">
        <w:rPr>
          <w:lang w:val="ru-RU"/>
        </w:rPr>
        <w:t xml:space="preserve"> 圣格里高利·神学家：“正如在身体中，有的掌权并仿佛居于主导地位，有的则处于受管辖和治理之下：在教会中也是如此…… 上帝规定：对于那些更需要这样的人，他们通过言语和行为被引导履行自己的职责，应当保持被牧养和受管辖的状态；而那些在美德和亲近上帝方面高于他人的人，则应当成为牧者和教师，以完善教会， 他们与他人的关系，正如灵魂之于身体、理智之于灵魂；使这两者——一者不足，一者有余——如同身体的肢体一般，结合并协调为一个整体，借着圣灵的纽带联合起来，共同构成一个完美的身体，真正配得基督——我们的元首。”</w:t>
      </w:r>
      <w:r>
        <w:rPr>
          <w:rStyle w:val="FootnoteReference"/>
        </w:rPr>
        <w:footnoteReference w:id="545"/>
      </w:r>
      <w:r w:rsidRPr="006A21F9">
        <w:rPr>
          <w:lang w:val="ru-RU"/>
        </w:rPr>
        <w:t xml:space="preserve"> 正因如此，那些擅自脱离对主教和长老的顺服、并在没有他们参与的情况下自行举行礼拜的基督徒团体，被古代教父们视为不配称为“教会”，并称其为异端、离经叛道的聚会、心怀恶意者、作恶多端者等等。</w:t>
      </w:r>
      <w:r>
        <w:rPr>
          <w:rStyle w:val="FootnoteReference"/>
        </w:rPr>
        <w:footnoteReference w:id="546"/>
      </w:r>
    </w:p>
    <w:p w14:paraId="2C5EFCE3" w14:textId="77777777" w:rsidR="00BE1885" w:rsidRPr="006A21F9" w:rsidRDefault="00BE1885" w:rsidP="00BE1885">
      <w:pPr>
        <w:rPr>
          <w:lang w:val="ru-RU"/>
        </w:rPr>
      </w:pPr>
      <w:r w:rsidRPr="006A21F9">
        <w:rPr>
          <w:lang w:val="ru-RU"/>
        </w:rPr>
        <w:tab/>
      </w:r>
    </w:p>
    <w:p w14:paraId="53185E8A" w14:textId="77777777" w:rsidR="00BE1885" w:rsidRPr="006A21F9" w:rsidRDefault="00BE1885" w:rsidP="00BE1885">
      <w:pPr>
        <w:pStyle w:val="Heading5"/>
        <w:rPr>
          <w:lang w:val="ru-RU"/>
        </w:rPr>
      </w:pPr>
      <w:bookmarkStart w:id="476" w:name="_Toc133142932"/>
      <w:bookmarkStart w:id="477" w:name="_Toc133166289"/>
      <w:bookmarkStart w:id="478" w:name="_Toc182221499"/>
      <w:bookmarkStart w:id="479" w:name="_Toc238453066"/>
      <w:bookmarkStart w:id="480" w:name="_Toc238453866"/>
      <w:bookmarkStart w:id="481" w:name="_Toc238576526"/>
      <w:r w:rsidRPr="006A21F9">
        <w:rPr>
          <w:bCs/>
          <w:lang w:val="ru-RU"/>
        </w:rPr>
        <w:t>§173.</w:t>
      </w:r>
      <w:r w:rsidRPr="006A21F9">
        <w:rPr>
          <w:lang w:val="ru-RU"/>
        </w:rPr>
        <w:t xml:space="preserve"> 神所设立的教会等级制度的三个层次及其相互区别</w:t>
      </w:r>
      <w:bookmarkEnd w:id="476"/>
      <w:bookmarkEnd w:id="477"/>
      <w:bookmarkEnd w:id="478"/>
      <w:bookmarkEnd w:id="479"/>
      <w:bookmarkEnd w:id="480"/>
      <w:bookmarkEnd w:id="481"/>
    </w:p>
    <w:p w14:paraId="68EFB84F" w14:textId="77777777" w:rsidR="00BE1885" w:rsidRPr="006A21F9" w:rsidRDefault="00BE1885" w:rsidP="00BE1885">
      <w:pPr>
        <w:ind w:firstLine="708"/>
        <w:rPr>
          <w:lang w:val="ru-RU"/>
        </w:rPr>
      </w:pPr>
      <w:r w:rsidRPr="006A21F9">
        <w:rPr>
          <w:lang w:val="ru-RU"/>
        </w:rPr>
        <w:t>这三个由上帝设立的教会等级体系分别为：第一且最高的是主教等级；第二且从属的是长老或司祭等级；第三且更低的是执事等级（《基督教教理问答：论圣职》，第96页，莫斯科，1840年）。</w:t>
      </w:r>
    </w:p>
    <w:p w14:paraId="4F7EA948"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教会中主教职位的由上帝设立</w:t>
      </w:r>
      <w:r w:rsidRPr="001E4083">
        <w:t>及其</w:t>
      </w:r>
      <w:r w:rsidRPr="006A21F9">
        <w:rPr>
          <w:lang w:val="ru-RU"/>
        </w:rPr>
        <w:t>不仅优于执事职位（这一点无人争议），而且优于长老职位——尽管某些自由思想家对此提出异议——</w:t>
      </w:r>
      <w:r>
        <w:rPr>
          <w:rStyle w:val="FootnoteReference"/>
        </w:rPr>
        <w:footnoteReference w:id="547"/>
      </w:r>
      <w:r w:rsidRPr="006A21F9">
        <w:rPr>
          <w:lang w:val="ru-RU"/>
        </w:rPr>
        <w:t xml:space="preserve"> ，我们可从以下方面看出：</w:t>
      </w:r>
    </w:p>
    <w:p w14:paraId="49310F4A" w14:textId="77777777" w:rsidR="00BE1885" w:rsidRPr="006A21F9" w:rsidRDefault="00BE1885" w:rsidP="00BE1885">
      <w:pPr>
        <w:ind w:firstLine="708"/>
        <w:rPr>
          <w:lang w:val="ru-RU"/>
        </w:rPr>
      </w:pPr>
      <w:r w:rsidRPr="006A21F9">
        <w:rPr>
          <w:b/>
          <w:bCs/>
          <w:lang w:val="ru-RU"/>
        </w:rPr>
        <w:t>1)</w:t>
      </w:r>
      <w:r w:rsidRPr="006A21F9">
        <w:rPr>
          <w:lang w:val="ru-RU"/>
        </w:rPr>
        <w:t xml:space="preserve"> 来自圣经。 尽管毫无疑问，根据这些词的字面含义，</w:t>
      </w:r>
      <w:r>
        <w:rPr>
          <w:rStyle w:val="FootnoteReference"/>
        </w:rPr>
        <w:footnoteReference w:id="548"/>
      </w:r>
      <w:r w:rsidRPr="006A21F9">
        <w:rPr>
          <w:lang w:val="ru-RU"/>
        </w:rPr>
        <w:t xml:space="preserve"> 使徒们自然可以使用“长老”和“主教”这两个称谓，而且实际上他们确实</w:t>
      </w:r>
      <w:r>
        <w:rPr>
          <w:rStyle w:val="FootnoteReference"/>
        </w:rPr>
        <w:footnoteReference w:id="549"/>
      </w:r>
      <w:r w:rsidRPr="006A21F9">
        <w:rPr>
          <w:lang w:val="ru-RU"/>
        </w:rPr>
        <w:t xml:space="preserve"> </w:t>
      </w:r>
      <w:r w:rsidRPr="006A21F9">
        <w:rPr>
          <w:lang w:val="ru-RU"/>
        </w:rPr>
        <w:lastRenderedPageBreak/>
        <w:t>有时不加区分地使用，时而将其中一个称谓用于主教，时而用于长老</w:t>
      </w:r>
      <w:r>
        <w:rPr>
          <w:rStyle w:val="FootnoteReference"/>
        </w:rPr>
        <w:footnoteReference w:id="550"/>
      </w:r>
      <w:r w:rsidRPr="006A21F9">
        <w:rPr>
          <w:lang w:val="ru-RU"/>
        </w:rPr>
        <w:t xml:space="preserve"> ，甚至用于他们自己[(彼得前书 5:1)； (约二 1:1)；(约三 1:1)]：不过，他们赋予其中某些人特殊的优待和按立其他长老的权柄 [(提多书 1:5)； (提摩太前书 5:22)]、审判他们（提摩太前书 5:19）、奖赏他们（提摩太前书 5:17）， ——这些特权和权柄显然使那些从使徒那里获得这些特权的人，高出普通的司祭之上；而根据历史记载，尤其是上述第一项权利，普通司祭从未拥有过。 “圣埃皮法尼乌斯指出：‘主教与长老绝不可能是同一身份：神圣经文教导我们谁是主教、谁是长老，它对提摩太说：不要责备长老……’ 如果主教并不优于长老，那么为何需要嘱咐主教不要责备长老呢？因此，经文还说：</w:t>
      </w:r>
      <w:r w:rsidRPr="006A21F9">
        <w:rPr>
          <w:i/>
          <w:iCs/>
          <w:lang w:val="ru-RU"/>
        </w:rPr>
        <w:t>‘对长老的控告，除非有两三个见证人，否则不可受理’</w:t>
      </w:r>
      <w:r>
        <w:rPr>
          <w:rStyle w:val="FootnoteReference"/>
        </w:rPr>
        <w:footnoteReference w:id="551"/>
      </w:r>
      <w:r w:rsidRPr="006A21F9">
        <w:rPr>
          <w:i/>
          <w:iCs/>
          <w:lang w:val="ru-RU"/>
        </w:rPr>
        <w:t xml:space="preserve"> </w:t>
      </w:r>
      <w:r w:rsidRPr="006A21F9">
        <w:rPr>
          <w:lang w:val="ru-RU"/>
        </w:rPr>
        <w:t>（提摩太前书5:19）。” 不过，由于圣经中“主教”和“长老”这两个称谓的互换使用，使我们无法直接从经文中严格且无可争议地确定，圣 使徒们当时是如何理解这些话的；因此，最自然的做法就是在此求教于使徒的门徒们。 他们曾与使徒们共同生活甚至共同事奉，是使徒们最亲近的门徒，自然深谙使徒们的思想。</w:t>
      </w:r>
    </w:p>
    <w:p w14:paraId="7A246571" w14:textId="77777777" w:rsidR="00BE1885" w:rsidRPr="006A21F9" w:rsidRDefault="00BE1885" w:rsidP="00BE1885">
      <w:pPr>
        <w:ind w:firstLine="708"/>
        <w:rPr>
          <w:lang w:val="ru-RU"/>
        </w:rPr>
      </w:pPr>
      <w:r w:rsidRPr="006A21F9">
        <w:rPr>
          <w:b/>
          <w:bCs/>
          <w:lang w:val="ru-RU"/>
        </w:rPr>
        <w:t>2)</w:t>
      </w:r>
      <w:r w:rsidRPr="006A21F9">
        <w:rPr>
          <w:lang w:val="ru-RU"/>
        </w:rPr>
        <w:t xml:space="preserve"> 使徒的门徒们让我们对主教圣职的神圣设立及其崇高重要性毫无疑义。罗马的圣克利门特在谈到他们时说： “（使徒们）在乡村和城镇传道时，根据属灵的试炼，为那些将要信主的人按立首批信徒为主教和执事”，并将旧约教会等级制度中的职称名称套用于新约教会等级制度，指出： “大祭司（即主教）被赋予了相应的职分，祭司（长老）被指定了相应的地位，利未人（</w:t>
      </w:r>
      <w:r w:rsidRPr="006A21F9">
        <w:rPr>
          <w:b/>
          <w:bCs/>
          <w:lang w:val="ru-RU"/>
        </w:rPr>
        <w:t>他以此称呼执事）</w:t>
      </w:r>
      <w:r w:rsidRPr="006A21F9">
        <w:rPr>
          <w:lang w:val="ru-RU"/>
        </w:rPr>
        <w:t>也被赋予了相应的职责。”</w:t>
      </w:r>
      <w:r>
        <w:rPr>
          <w:rStyle w:val="FootnoteReference"/>
        </w:rPr>
        <w:footnoteReference w:id="552"/>
      </w:r>
      <w:r w:rsidRPr="006A21F9">
        <w:rPr>
          <w:lang w:val="ru-RU"/>
        </w:rPr>
        <w:t xml:space="preserve"> 而圣伊格纳提乌斯·神承者则表达得更为明确：</w:t>
      </w:r>
      <w:r w:rsidRPr="006A21F9">
        <w:rPr>
          <w:b/>
          <w:bCs/>
          <w:lang w:val="ru-RU"/>
        </w:rPr>
        <w:t xml:space="preserve">a) </w:t>
      </w:r>
      <w:r w:rsidRPr="006A21F9">
        <w:rPr>
          <w:lang w:val="ru-RU"/>
        </w:rPr>
        <w:t>在致以弗所人的书信中：“主教们是按照耶稣基督的旨意被设立在世界各地的；”</w:t>
      </w:r>
      <w:r>
        <w:rPr>
          <w:rStyle w:val="FootnoteReference"/>
        </w:rPr>
        <w:footnoteReference w:id="553"/>
      </w:r>
      <w:r w:rsidRPr="006A21F9">
        <w:rPr>
          <w:lang w:val="ru-RU"/>
        </w:rPr>
        <w:t xml:space="preserve"> </w:t>
      </w:r>
      <w:r w:rsidRPr="006A21F9">
        <w:rPr>
          <w:b/>
          <w:bCs/>
          <w:lang w:val="ru-RU"/>
        </w:rPr>
        <w:t xml:space="preserve">b) </w:t>
      </w:r>
      <w:r w:rsidRPr="006A21F9">
        <w:rPr>
          <w:lang w:val="ru-RU"/>
        </w:rPr>
        <w:t>在致士每拿人的书信中： “你们都要顺服主教，如同顺服耶稣基督顺服天父一样；顺服长老，如同顺服使徒一样；并要尊荣执事，如同遵行神的诫命（</w:t>
      </w:r>
      <w:r w:rsidRPr="001E4083">
        <w:t>ώς</w:t>
      </w:r>
      <w:r w:rsidRPr="0097554A">
        <w:rPr>
          <w:lang w:val="ru-RU"/>
        </w:rPr>
        <w:t xml:space="preserve"> </w:t>
      </w:r>
      <w:r w:rsidRPr="001E4083">
        <w:t>Θεού</w:t>
      </w:r>
      <w:r w:rsidRPr="0097554A">
        <w:rPr>
          <w:lang w:val="ru-RU"/>
        </w:rPr>
        <w:t xml:space="preserve"> </w:t>
      </w:r>
      <w:r w:rsidRPr="001E4083">
        <w:t>έντολήν</w:t>
      </w:r>
      <w:r w:rsidRPr="006A21F9">
        <w:rPr>
          <w:lang w:val="ru-RU"/>
        </w:rPr>
        <w:t>）一样；”</w:t>
      </w:r>
      <w:r>
        <w:rPr>
          <w:rStyle w:val="FootnoteReference"/>
        </w:rPr>
        <w:footnoteReference w:id="554"/>
      </w:r>
      <w:r w:rsidRPr="006A21F9">
        <w:rPr>
          <w:lang w:val="ru-RU"/>
        </w:rPr>
        <w:t xml:space="preserve"> </w:t>
      </w:r>
      <w:r w:rsidRPr="006A21F9">
        <w:rPr>
          <w:b/>
          <w:bCs/>
          <w:lang w:val="ru-RU"/>
        </w:rPr>
        <w:t xml:space="preserve">c) </w:t>
      </w:r>
      <w:r w:rsidRPr="006A21F9">
        <w:rPr>
          <w:lang w:val="ru-RU"/>
        </w:rPr>
        <w:t>在致马格尼西亚人的书信中：“我恳求你们，凡事都要在神的平安中进行，由主教主持，代替神自己；由长老主持，代替使徒公会；并由我最亲爱的执事们主持，他们受托履行 （</w:t>
      </w:r>
      <w:r w:rsidRPr="001E4083">
        <w:t>διακονία</w:t>
      </w:r>
      <w:r w:rsidRPr="006A21F9">
        <w:rPr>
          <w:lang w:val="ru-RU"/>
        </w:rPr>
        <w:t>）的服事；”</w:t>
      </w:r>
      <w:r>
        <w:rPr>
          <w:rStyle w:val="FootnoteReference"/>
        </w:rPr>
        <w:footnoteReference w:id="555"/>
      </w:r>
      <w:r w:rsidRPr="006A21F9">
        <w:rPr>
          <w:lang w:val="ru-RU"/>
        </w:rPr>
        <w:t xml:space="preserve"> </w:t>
      </w:r>
      <w:r w:rsidRPr="006A21F9">
        <w:rPr>
          <w:b/>
          <w:bCs/>
          <w:lang w:val="ru-RU"/>
        </w:rPr>
        <w:t xml:space="preserve">d) </w:t>
      </w:r>
      <w:r w:rsidRPr="006A21F9">
        <w:rPr>
          <w:lang w:val="ru-RU"/>
        </w:rPr>
        <w:t>在致特拉利亚人的书信中：“你们每个人，尤其是长老们，都应当为主教带来甘美的安慰，以此荣耀圣父、耶稣基督和使徒们。”</w:t>
      </w:r>
      <w:r>
        <w:rPr>
          <w:rStyle w:val="FootnoteReference"/>
        </w:rPr>
        <w:footnoteReference w:id="556"/>
      </w:r>
    </w:p>
    <w:p w14:paraId="61549EE7" w14:textId="77777777" w:rsidR="00BE1885" w:rsidRPr="006A21F9" w:rsidRDefault="00BE1885" w:rsidP="00BE1885">
      <w:pPr>
        <w:ind w:firstLine="708"/>
        <w:rPr>
          <w:lang w:val="ru-RU"/>
        </w:rPr>
      </w:pPr>
      <w:r w:rsidRPr="006A21F9">
        <w:rPr>
          <w:b/>
          <w:bCs/>
          <w:lang w:val="ru-RU"/>
        </w:rPr>
        <w:t>3)</w:t>
      </w:r>
      <w:r w:rsidRPr="006A21F9">
        <w:rPr>
          <w:lang w:val="ru-RU"/>
        </w:rPr>
        <w:t xml:space="preserve"> 同样的教义后来也出现在二、三世纪的牧者著作中，例如：</w:t>
      </w:r>
      <w:r w:rsidRPr="006A21F9">
        <w:rPr>
          <w:b/>
          <w:bCs/>
          <w:lang w:val="ru-RU"/>
        </w:rPr>
        <w:t>a)</w:t>
      </w:r>
      <w:r w:rsidRPr="006A21F9">
        <w:rPr>
          <w:lang w:val="ru-RU"/>
        </w:rPr>
        <w:t xml:space="preserve"> 圣爱任纽：“所有反对教会教义的人，都比那些被使徒们托付教会的主教们晚出现得多；”</w:t>
      </w:r>
      <w:r>
        <w:rPr>
          <w:rStyle w:val="FootnoteReference"/>
        </w:rPr>
        <w:footnoteReference w:id="557"/>
      </w:r>
      <w:r w:rsidRPr="006A21F9">
        <w:rPr>
          <w:lang w:val="ru-RU"/>
        </w:rPr>
        <w:t xml:space="preserve"> </w:t>
      </w:r>
      <w:r w:rsidRPr="006A21F9">
        <w:rPr>
          <w:b/>
          <w:bCs/>
          <w:lang w:val="ru-RU"/>
        </w:rPr>
        <w:t xml:space="preserve">b) </w:t>
      </w:r>
      <w:r w:rsidRPr="006A21F9">
        <w:rPr>
          <w:lang w:val="ru-RU"/>
        </w:rPr>
        <w:t>特土良指出：“大祭司（</w:t>
      </w:r>
      <w:r w:rsidRPr="001E4083">
        <w:t>summus</w:t>
      </w:r>
      <w:r w:rsidRPr="0097554A">
        <w:rPr>
          <w:lang w:val="ru-RU"/>
        </w:rPr>
        <w:t xml:space="preserve"> </w:t>
      </w:r>
      <w:r w:rsidRPr="001E4083">
        <w:lastRenderedPageBreak/>
        <w:t>sacerdos</w:t>
      </w:r>
      <w:r w:rsidRPr="006A21F9">
        <w:rPr>
          <w:lang w:val="ru-RU"/>
        </w:rPr>
        <w:t>），即主教，有权施行洗礼；其次（</w:t>
      </w:r>
      <w:r w:rsidRPr="001E4083">
        <w:t>dehinc</w:t>
      </w:r>
      <w:r w:rsidRPr="006A21F9">
        <w:rPr>
          <w:lang w:val="ru-RU"/>
        </w:rPr>
        <w:t>）是长老和执事，但必须获得主教的授权（</w:t>
      </w:r>
      <w:r w:rsidRPr="001E4083">
        <w:t>auctoritate</w:t>
      </w:r>
      <w:r w:rsidRPr="006A21F9">
        <w:rPr>
          <w:lang w:val="ru-RU"/>
        </w:rPr>
        <w:t>）；”</w:t>
      </w:r>
      <w:r>
        <w:rPr>
          <w:rStyle w:val="FootnoteReference"/>
        </w:rPr>
        <w:footnoteReference w:id="558"/>
      </w:r>
      <w:r w:rsidRPr="006A21F9">
        <w:rPr>
          <w:lang w:val="ru-RU"/>
        </w:rPr>
        <w:t xml:space="preserve"> </w:t>
      </w:r>
      <w:r w:rsidRPr="006A21F9">
        <w:rPr>
          <w:b/>
          <w:bCs/>
          <w:lang w:val="ru-RU"/>
        </w:rPr>
        <w:t>c)</w:t>
      </w:r>
      <w:r w:rsidRPr="006A21F9">
        <w:rPr>
          <w:lang w:val="ru-RU"/>
        </w:rPr>
        <w:t xml:space="preserve"> 奥利金指出： “对我（长老）的要求高于对执事的要求，对执事的要求又高于对平信徒的要求；但对于那位掌握着对我们所有人教会管辖权的人，所要求的是无可比拟的更高标准；”</w:t>
      </w:r>
      <w:r>
        <w:rPr>
          <w:rStyle w:val="FootnoteReference"/>
        </w:rPr>
        <w:footnoteReference w:id="559"/>
      </w:r>
      <w:r w:rsidRPr="006A21F9">
        <w:rPr>
          <w:lang w:val="ru-RU"/>
        </w:rPr>
        <w:t xml:space="preserve"> 以及其他著作。</w:t>
      </w:r>
      <w:r>
        <w:rPr>
          <w:rStyle w:val="FootnoteReference"/>
        </w:rPr>
        <w:footnoteReference w:id="560"/>
      </w:r>
    </w:p>
    <w:p w14:paraId="0660F1B1" w14:textId="77777777" w:rsidR="00BE1885" w:rsidRPr="006A21F9" w:rsidRDefault="00BE1885" w:rsidP="00BE1885">
      <w:pPr>
        <w:ind w:firstLine="708"/>
        <w:rPr>
          <w:lang w:val="ru-RU"/>
        </w:rPr>
      </w:pPr>
      <w:r w:rsidRPr="006A21F9">
        <w:rPr>
          <w:b/>
          <w:bCs/>
          <w:lang w:val="ru-RU"/>
        </w:rPr>
        <w:t>4)</w:t>
      </w:r>
      <w:r w:rsidRPr="006A21F9">
        <w:rPr>
          <w:lang w:val="ru-RU"/>
        </w:rPr>
        <w:t xml:space="preserve"> 最后，我们不仅在随后各世纪的各位牧者身上，而且在整个大公会议的决议中——例如尼西亚大公会议、第一次普世大公会议（参见第 18）和拉奥狄基亚大公会议（第56、57条），因此，当阿里乌斯在四世纪出现并开始宣称主教在长老面前没有任何优越性时，根据埃皮法尼乌斯和奥古斯丁的见证，他被整个教会认定为异端。</w:t>
      </w:r>
      <w:r>
        <w:rPr>
          <w:rStyle w:val="FootnoteReference"/>
        </w:rPr>
        <w:footnoteReference w:id="561"/>
      </w:r>
    </w:p>
    <w:p w14:paraId="5024CABF" w14:textId="77777777" w:rsidR="00BE1885" w:rsidRPr="006A21F9" w:rsidRDefault="00BE1885" w:rsidP="00BE1885">
      <w:pPr>
        <w:ind w:firstLine="708"/>
        <w:rPr>
          <w:lang w:val="ru-RU"/>
        </w:rPr>
      </w:pPr>
      <w:r w:rsidRPr="006A21F9">
        <w:rPr>
          <w:b/>
          <w:bCs/>
          <w:lang w:val="ru-RU"/>
        </w:rPr>
        <w:t>5)</w:t>
      </w:r>
      <w:r w:rsidRPr="006A21F9">
        <w:rPr>
          <w:lang w:val="ru-RU"/>
        </w:rPr>
        <w:t xml:space="preserve"> 最直观的新证据，证明主教权柄的神圣渊源及其优越性，便是各使徒教会最早的主教名录，这些名录甚至曾是古代正统信仰捍卫者对抗异端分子的重要武器。 “我们可以，”圣爱任纽说，“列举那些由使徒在各教会中任命为主教的人，以及他们的继任者，一直延续到我们这一代，”而且，他确实按继任顺序列举了从罗马教会创立之初直至二世纪末的罗马主教名单。</w:t>
      </w:r>
      <w:r>
        <w:rPr>
          <w:rStyle w:val="FootnoteReference"/>
        </w:rPr>
        <w:footnoteReference w:id="562"/>
      </w:r>
      <w:r w:rsidRPr="006A21F9">
        <w:rPr>
          <w:lang w:val="ru-RU"/>
        </w:rPr>
        <w:t xml:space="preserve"> “另一位教会导师对异端分子说：‘让他们展示自己教会的起源，并公布他们的主教序列，该序列应具有这样的传承：他们的第一位主教必须以某位使徒，或是长期与使徒们共事的使徒时代人物为始祖或前任。’ 因为使徒教会正是这样记录（主教）名录的：例如，士每拿教会列出了由约翰 任命的波利卡普，罗马教会列出了由彼得按立的克莱门特； 其他教会同样列举了那些被视为由使徒本人擢升为主教、并作为使徒后裔的领袖。”</w:t>
      </w:r>
      <w:r>
        <w:rPr>
          <w:rStyle w:val="FootnoteReference"/>
        </w:rPr>
        <w:footnoteReference w:id="563"/>
      </w:r>
      <w:r w:rsidRPr="006A21F9">
        <w:rPr>
          <w:lang w:val="ru-RU"/>
        </w:rPr>
        <w:t xml:space="preserve"> 优西比乌保存了埃格西普的古代名录，其中列出了科林斯、罗马和耶路撒冷教会主教的传承序列；而他本人则依据其他文献，转述了所有著名教会的主教名录。</w:t>
      </w:r>
      <w:r>
        <w:rPr>
          <w:rStyle w:val="FootnoteReference"/>
        </w:rPr>
        <w:footnoteReference w:id="564"/>
      </w:r>
      <w:r w:rsidRPr="006A21F9">
        <w:rPr>
          <w:lang w:val="ru-RU"/>
        </w:rPr>
        <w:t xml:space="preserve"> 由此可见，古人不仅将主教与长老区分开来，而且仅将前者尊为使徒的继承人，从而使前者完全优于后者。</w:t>
      </w:r>
    </w:p>
    <w:p w14:paraId="2E82EB1D" w14:textId="77777777" w:rsidR="00BE1885" w:rsidRPr="006A21F9" w:rsidRDefault="00BE1885" w:rsidP="00BE1885">
      <w:pPr>
        <w:rPr>
          <w:lang w:val="ru-RU"/>
        </w:rPr>
      </w:pPr>
      <w:r w:rsidRPr="006A21F9">
        <w:rPr>
          <w:lang w:val="ru-RU"/>
        </w:rPr>
        <w:tab/>
      </w:r>
      <w:r w:rsidRPr="001E4083">
        <w:rPr>
          <w:b/>
          <w:bCs/>
        </w:rPr>
        <w:t>一</w:t>
      </w:r>
      <w:r w:rsidRPr="006A21F9">
        <w:rPr>
          <w:lang w:val="ru-RU"/>
        </w:rPr>
        <w:t>、教会中长老职权的上帝设立性，首先体现在使徒们亲自为各教会按立长老（使徒行传 14:23），并吩咐主教在各城设立长老（提多书 1:5）。 其次，可从古代教父的见证中看出，例如：</w:t>
      </w:r>
      <w:r w:rsidRPr="006A21F9">
        <w:rPr>
          <w:b/>
          <w:bCs/>
          <w:lang w:val="ru-RU"/>
        </w:rPr>
        <w:t>a)</w:t>
      </w:r>
      <w:r w:rsidRPr="006A21F9">
        <w:rPr>
          <w:lang w:val="ru-RU"/>
        </w:rPr>
        <w:t xml:space="preserve"> 圣伊格纳提乌斯·神载者曾说：“长老是按耶稣的旨意设立的”；</w:t>
      </w:r>
      <w:r>
        <w:rPr>
          <w:rStyle w:val="FootnoteReference"/>
        </w:rPr>
        <w:footnoteReference w:id="565"/>
      </w:r>
      <w:r w:rsidRPr="006A21F9">
        <w:rPr>
          <w:lang w:val="ru-RU"/>
        </w:rPr>
        <w:t xml:space="preserve"> </w:t>
      </w:r>
      <w:r w:rsidRPr="006A21F9">
        <w:rPr>
          <w:b/>
          <w:bCs/>
          <w:lang w:val="ru-RU"/>
        </w:rPr>
        <w:t xml:space="preserve">b) </w:t>
      </w:r>
      <w:r w:rsidRPr="006A21F9">
        <w:rPr>
          <w:lang w:val="ru-RU"/>
        </w:rPr>
        <w:t>圣爱任纽，据他所言，“长老们蒙父神恩准，通过主教的传承获得了真理不可动摇的恩赐”；</w:t>
      </w:r>
      <w:r>
        <w:rPr>
          <w:rStyle w:val="FootnoteReference"/>
        </w:rPr>
        <w:footnoteReference w:id="566"/>
      </w:r>
      <w:r w:rsidRPr="006A21F9">
        <w:rPr>
          <w:lang w:val="ru-RU"/>
        </w:rPr>
        <w:t xml:space="preserve"> </w:t>
      </w:r>
      <w:r w:rsidRPr="006A21F9">
        <w:rPr>
          <w:b/>
          <w:bCs/>
          <w:lang w:val="ru-RU"/>
        </w:rPr>
        <w:t>c)</w:t>
      </w:r>
      <w:r w:rsidRPr="006A21F9">
        <w:rPr>
          <w:lang w:val="ru-RU"/>
        </w:rPr>
        <w:t xml:space="preserve"> 福者杰罗姆：“使徒们在各省设立长老和主教”</w:t>
      </w:r>
      <w:r>
        <w:rPr>
          <w:rStyle w:val="FootnoteReference"/>
        </w:rPr>
        <w:footnoteReference w:id="567"/>
      </w:r>
      <w:r w:rsidRPr="006A21F9">
        <w:rPr>
          <w:lang w:val="ru-RU"/>
        </w:rPr>
        <w:t xml:space="preserve"> 以及其他人的见证。</w:t>
      </w:r>
    </w:p>
    <w:p w14:paraId="6F827653" w14:textId="77777777" w:rsidR="00BE1885" w:rsidRPr="006A21F9" w:rsidRDefault="00BE1885" w:rsidP="00BE1885">
      <w:pPr>
        <w:rPr>
          <w:lang w:val="ru-RU"/>
        </w:rPr>
      </w:pPr>
      <w:r w:rsidRPr="006A21F9">
        <w:rPr>
          <w:lang w:val="ru-RU"/>
        </w:rPr>
        <w:tab/>
        <w:t>至于长老圣职与主教圣职的区别，我们已经从许多见证中看到了，这些见证表明后者优于前者。</w:t>
      </w:r>
      <w:r>
        <w:rPr>
          <w:rStyle w:val="FootnoteReference"/>
        </w:rPr>
        <w:footnoteReference w:id="568"/>
      </w:r>
      <w:r w:rsidRPr="006A21F9">
        <w:rPr>
          <w:lang w:val="ru-RU"/>
        </w:rPr>
        <w:t xml:space="preserve"> 此外还可以补充以下内容：</w:t>
      </w:r>
      <w:r w:rsidRPr="006A21F9">
        <w:rPr>
          <w:b/>
          <w:bCs/>
          <w:lang w:val="ru-RU"/>
        </w:rPr>
        <w:t xml:space="preserve">a) </w:t>
      </w:r>
      <w:r w:rsidRPr="006A21F9">
        <w:rPr>
          <w:lang w:val="ru-RU"/>
        </w:rPr>
        <w:t>《使徒规条》第15条； “若任何长老、执事，或任何列入教职人员名册者，离开自己的辖区，前往他处，并完全迁居，在未经其主教许可的情况下在别处居住：我们命令此类人不得再担任圣职，尤其是若其未听从召唤其归返的主</w:t>
      </w:r>
      <w:r w:rsidRPr="006A21F9">
        <w:rPr>
          <w:lang w:val="ru-RU"/>
        </w:rPr>
        <w:lastRenderedPageBreak/>
        <w:t xml:space="preserve">教的命令；” 31：“若有长老轻视自己的主教，擅自举行聚会，并设立另一祭坛，却未能通过主教法庭指控其在虔诚与公义方面有任何过失，则应将其驱逐，视为恣意妄为者；” 39：“长老和执事未经主教许可，不得擅自行事；因为主的子民已托付给他，他将为这些灵魂负责；” </w:t>
      </w:r>
      <w:r w:rsidRPr="006A21F9">
        <w:rPr>
          <w:b/>
          <w:bCs/>
          <w:lang w:val="ru-RU"/>
        </w:rPr>
        <w:t>b）</w:t>
      </w:r>
      <w:r w:rsidRPr="006A21F9">
        <w:rPr>
          <w:lang w:val="ru-RU"/>
        </w:rPr>
        <w:t>同样——拉奥狄凯亚大公会议的规则——66：“长老不应在主教进入之前先行进入并坐在祭坛内，而应与主教一同进入，除非主教体弱或缺席；”57：“长老未经主教许可不得行事”（参见两次大公会议规则第13和14条）。</w:t>
      </w:r>
    </w:p>
    <w:p w14:paraId="7B02303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圣使徒保罗的书信中明确暗示了教会中执事职分的上帝设立性。 他在向腓立比教会及其事奉者致意时写道：</w:t>
      </w:r>
      <w:r w:rsidRPr="006A21F9">
        <w:rPr>
          <w:i/>
          <w:iCs/>
          <w:lang w:val="ru-RU"/>
        </w:rPr>
        <w:t>“致在腓立比所有在基督耶稣里的圣徒，以及那里的主教和执事：愿恩惠、平安从我们的父神和主耶稣基督归与你们”</w:t>
      </w:r>
      <w:r w:rsidRPr="006A21F9">
        <w:rPr>
          <w:lang w:val="ru-RU"/>
        </w:rPr>
        <w:t xml:space="preserve"> （腓 1:1-2），由此可见，教会事奉者包括主教和执事。同样，在《提摩太前书》中，当描述担任教会职分者应具备的品格时，也提到了主教和执事（提摩太前书 3:2-8）。</w:t>
      </w:r>
      <w:r>
        <w:rPr>
          <w:rStyle w:val="FootnoteReference"/>
        </w:rPr>
        <w:footnoteReference w:id="569"/>
      </w:r>
      <w:r w:rsidRPr="006A21F9">
        <w:rPr>
          <w:lang w:val="ru-RU"/>
        </w:rPr>
        <w:t xml:space="preserve"> 使徒时代的圣徒们也证实了这一点：</w:t>
      </w:r>
      <w:r w:rsidRPr="006A21F9">
        <w:rPr>
          <w:b/>
          <w:bCs/>
          <w:lang w:val="ru-RU"/>
        </w:rPr>
        <w:t>a)</w:t>
      </w:r>
      <w:r w:rsidRPr="006A21F9">
        <w:rPr>
          <w:lang w:val="ru-RU"/>
        </w:rPr>
        <w:t xml:space="preserve"> 罗马的圣克利门特：“上述事奉者（即主教和执事）是由使徒们设立的；”</w:t>
      </w:r>
      <w:r>
        <w:rPr>
          <w:rStyle w:val="FootnoteReference"/>
        </w:rPr>
        <w:footnoteReference w:id="570"/>
      </w:r>
      <w:r w:rsidRPr="006A21F9">
        <w:rPr>
          <w:lang w:val="ru-RU"/>
        </w:rPr>
        <w:t xml:space="preserve"> </w:t>
      </w:r>
      <w:r w:rsidRPr="006A21F9">
        <w:rPr>
          <w:b/>
          <w:bCs/>
          <w:lang w:val="ru-RU"/>
        </w:rPr>
        <w:t>b)</w:t>
      </w:r>
      <w:r w:rsidRPr="006A21F9">
        <w:rPr>
          <w:lang w:val="ru-RU"/>
        </w:rPr>
        <w:t xml:space="preserve"> 圣伊格纳提乌斯： “应当尽一切可能款待执事——这些耶稣基督圣礼的侍奉者，因为他们并非饮食的侍者，而是上帝教会的侍奉者；”</w:t>
      </w:r>
      <w:r>
        <w:rPr>
          <w:rStyle w:val="FootnoteReference"/>
        </w:rPr>
        <w:footnoteReference w:id="571"/>
      </w:r>
      <w:r w:rsidRPr="006A21F9">
        <w:rPr>
          <w:lang w:val="ru-RU"/>
        </w:rPr>
        <w:t xml:space="preserve"> </w:t>
      </w:r>
      <w:r w:rsidRPr="006A21F9">
        <w:rPr>
          <w:b/>
          <w:bCs/>
          <w:lang w:val="ru-RU"/>
        </w:rPr>
        <w:t>c)</w:t>
      </w:r>
      <w:r w:rsidRPr="006A21F9">
        <w:rPr>
          <w:lang w:val="ru-RU"/>
        </w:rPr>
        <w:t xml:space="preserve"> 圣波利卡普：“执事必须在祂的公义面前无瑕无疵，因为他们是基督里的上帝的侍奉者，而非人的侍奉者，” ——并接着说：“应当顺服长老和执事，如同顺服上帝和基督一样。”</w:t>
      </w:r>
      <w:r>
        <w:rPr>
          <w:rStyle w:val="FootnoteReference"/>
        </w:rPr>
        <w:footnoteReference w:id="572"/>
      </w:r>
      <w:r w:rsidRPr="006A21F9">
        <w:rPr>
          <w:lang w:val="ru-RU"/>
        </w:rPr>
        <w:t xml:space="preserve"> 继使徒时代的先贤们之后 ——后来的教师们：殉道者尤斯丁</w:t>
      </w:r>
      <w:r>
        <w:rPr>
          <w:rStyle w:val="FootnoteReference"/>
        </w:rPr>
        <w:footnoteReference w:id="573"/>
      </w:r>
      <w:r w:rsidRPr="006A21F9">
        <w:rPr>
          <w:lang w:val="ru-RU"/>
        </w:rPr>
        <w:t xml:space="preserve"> 特土良</w:t>
      </w:r>
      <w:r>
        <w:rPr>
          <w:rStyle w:val="FootnoteReference"/>
        </w:rPr>
        <w:footnoteReference w:id="574"/>
      </w:r>
      <w:r w:rsidRPr="006A21F9">
        <w:rPr>
          <w:lang w:val="ru-RU"/>
        </w:rPr>
        <w:t xml:space="preserve"> 亚历山大的克利门特</w:t>
      </w:r>
      <w:r>
        <w:rPr>
          <w:rStyle w:val="FootnoteReference"/>
        </w:rPr>
        <w:footnoteReference w:id="575"/>
      </w:r>
      <w:r w:rsidRPr="006A21F9">
        <w:rPr>
          <w:lang w:val="ru-RU"/>
        </w:rPr>
        <w:t xml:space="preserve"> 基普里安</w:t>
      </w:r>
      <w:r>
        <w:rPr>
          <w:rStyle w:val="FootnoteReference"/>
        </w:rPr>
        <w:footnoteReference w:id="576"/>
      </w:r>
      <w:r w:rsidRPr="006A21F9">
        <w:rPr>
          <w:lang w:val="ru-RU"/>
        </w:rPr>
        <w:t xml:space="preserve"> 安布罗斯</w:t>
      </w:r>
      <w:r>
        <w:rPr>
          <w:rStyle w:val="FootnoteReference"/>
        </w:rPr>
        <w:footnoteReference w:id="577"/>
      </w:r>
      <w:r w:rsidRPr="006A21F9">
        <w:rPr>
          <w:lang w:val="ru-RU"/>
        </w:rPr>
        <w:t xml:space="preserve"> 以及其他人。</w:t>
      </w:r>
      <w:r>
        <w:rPr>
          <w:rStyle w:val="FootnoteReference"/>
        </w:rPr>
        <w:footnoteReference w:id="578"/>
      </w:r>
      <w:r w:rsidRPr="006A21F9">
        <w:rPr>
          <w:lang w:val="ru-RU"/>
        </w:rPr>
        <w:t xml:space="preserve"> 同样，关于执事职分有别于主教和长老职分、且在其中地位最低的观点，首先可见于 圣使徒保罗的话语中，他在书信中明确区分了执事与主教（如前所述，当时“主教”一词也常指神父），并将执事列在主教之后 [(提摩太前书 3:2-8)；(腓立比书 1:1-2)]。 其次，这一区别得到了使徒时代圣徒及整个早期教会的见证。例如，圣伊格纳提乌斯指出：“执事在恩典和耶稣基督的律法下，服从主教和长老。”</w:t>
      </w:r>
      <w:r>
        <w:rPr>
          <w:rStyle w:val="FootnoteReference"/>
        </w:rPr>
        <w:footnoteReference w:id="579"/>
      </w:r>
      <w:r w:rsidRPr="006A21F9">
        <w:rPr>
          <w:lang w:val="ru-RU"/>
        </w:rPr>
        <w:t xml:space="preserve"> 奥普塔特将执事置于圣职的第三等级，而长老则置于第二等级。</w:t>
      </w:r>
      <w:r>
        <w:rPr>
          <w:rStyle w:val="FootnoteReference"/>
        </w:rPr>
        <w:footnoteReference w:id="580"/>
      </w:r>
      <w:r w:rsidRPr="006A21F9">
        <w:rPr>
          <w:lang w:val="ru-RU"/>
        </w:rPr>
        <w:t xml:space="preserve"> 第一次大公会议的第18条规则明确指出：“执事是主教的侍者，地位低于长老，且允许执事坐在长老中间”；同样，在拉奥狄凯亚会议的第20条规则中我们读到： “执事不应在长老面前就座，除非经长老吩咐方可就座。”</w:t>
      </w:r>
    </w:p>
    <w:p w14:paraId="1E013ECC" w14:textId="77777777" w:rsidR="00BE1885" w:rsidRPr="006A21F9" w:rsidRDefault="00BE1885" w:rsidP="00BE1885">
      <w:pPr>
        <w:rPr>
          <w:lang w:val="ru-RU"/>
        </w:rPr>
      </w:pPr>
      <w:r w:rsidRPr="006A21F9">
        <w:rPr>
          <w:lang w:val="ru-RU"/>
        </w:rPr>
        <w:tab/>
      </w:r>
      <w:r w:rsidRPr="001E4083">
        <w:rPr>
          <w:b/>
          <w:bCs/>
        </w:rPr>
        <w:t>四</w:t>
      </w:r>
      <w:r w:rsidRPr="006A21F9">
        <w:rPr>
          <w:b/>
          <w:bCs/>
          <w:lang w:val="ru-RU"/>
        </w:rPr>
        <w:t>、</w:t>
      </w:r>
      <w:r w:rsidRPr="006A21F9">
        <w:rPr>
          <w:lang w:val="ru-RU"/>
        </w:rPr>
        <w:t>从迄今关于教会等级制度的神圣设立及其差异的论述中可以得出，教会等级制度至少有三个：主教、长老和执事；但需要指出的是，仅此而已。 因为除了圣经中仅提及这三个等级之外——</w:t>
      </w:r>
      <w:r w:rsidRPr="006A21F9">
        <w:rPr>
          <w:lang w:val="ru-RU"/>
        </w:rPr>
        <w:lastRenderedPageBreak/>
        <w:t>若排除仅在特定时期存在的临时性事工，</w:t>
      </w:r>
      <w:r>
        <w:rPr>
          <w:rStyle w:val="FootnoteReference"/>
        </w:rPr>
        <w:footnoteReference w:id="581"/>
      </w:r>
      <w:r w:rsidRPr="006A21F9">
        <w:rPr>
          <w:lang w:val="ru-RU"/>
        </w:rPr>
        <w:t xml:space="preserve"> ——古代基督教作家们也明确列举的教会等级制度不超过这三个。我们引用以下话语：</w:t>
      </w:r>
    </w:p>
    <w:p w14:paraId="30D2D939" w14:textId="77777777" w:rsidR="00BE1885" w:rsidRPr="006A21F9" w:rsidRDefault="00BE1885" w:rsidP="00BE1885">
      <w:pPr>
        <w:rPr>
          <w:lang w:val="ru-RU"/>
        </w:rPr>
      </w:pPr>
      <w:r w:rsidRPr="006A21F9">
        <w:rPr>
          <w:lang w:val="ru-RU"/>
        </w:rPr>
        <w:tab/>
        <w:t>圣伊格纳提乌斯·神载者：“亲爱的弟兄们，你们要努力顺服主教、长老和执事；因为顺服他们的人，就是顺服设立他们的基督；而抗拒他们的人，就是抗拒基督耶稣；抗拒圣子的人，将不得见生命，神的忿怒必常在他身上。”</w:t>
      </w:r>
      <w:r>
        <w:rPr>
          <w:rStyle w:val="FootnoteReference"/>
        </w:rPr>
        <w:footnoteReference w:id="582"/>
      </w:r>
    </w:p>
    <w:p w14:paraId="23E433A1" w14:textId="77777777" w:rsidR="00BE1885" w:rsidRPr="006A21F9" w:rsidRDefault="00BE1885" w:rsidP="00BE1885">
      <w:pPr>
        <w:rPr>
          <w:lang w:val="ru-RU"/>
        </w:rPr>
      </w:pPr>
      <w:r w:rsidRPr="006A21F9">
        <w:rPr>
          <w:lang w:val="ru-RU"/>
        </w:rPr>
        <w:tab/>
        <w:t>亚历山大的克利门特：“在我看来，教会中主教、长老和执事的等级，恰似天使的品级。”</w:t>
      </w:r>
      <w:r>
        <w:rPr>
          <w:rStyle w:val="FootnoteReference"/>
        </w:rPr>
        <w:footnoteReference w:id="583"/>
      </w:r>
    </w:p>
    <w:p w14:paraId="049D6BC0" w14:textId="77777777" w:rsidR="00BE1885" w:rsidRPr="006A21F9" w:rsidRDefault="00BE1885" w:rsidP="00BE1885">
      <w:pPr>
        <w:rPr>
          <w:lang w:val="ru-RU"/>
        </w:rPr>
      </w:pPr>
      <w:r w:rsidRPr="006A21F9">
        <w:rPr>
          <w:lang w:val="ru-RU"/>
        </w:rPr>
        <w:tab/>
        <w:t>奥利金：“保罗是对教会中的治理者和领袖们说话，即那些审判教会中的人，具体来说就是主教、长老和执事。”</w:t>
      </w:r>
      <w:r>
        <w:rPr>
          <w:rStyle w:val="FootnoteReference"/>
        </w:rPr>
        <w:footnoteReference w:id="584"/>
      </w:r>
    </w:p>
    <w:p w14:paraId="263B6A6F" w14:textId="77777777" w:rsidR="00BE1885" w:rsidRPr="006A21F9" w:rsidRDefault="00BE1885" w:rsidP="00BE1885">
      <w:pPr>
        <w:rPr>
          <w:lang w:val="ru-RU"/>
        </w:rPr>
      </w:pPr>
      <w:r w:rsidRPr="006A21F9">
        <w:rPr>
          <w:lang w:val="ru-RU"/>
        </w:rPr>
        <w:tab/>
        <w:t>凯撒利亚的优西比乌：“三个等级：第一等级是主教，第二等级是长老，第三等级是执事。”</w:t>
      </w:r>
      <w:r>
        <w:rPr>
          <w:rStyle w:val="FootnoteReference"/>
        </w:rPr>
        <w:footnoteReference w:id="585"/>
      </w:r>
    </w:p>
    <w:p w14:paraId="506EFB51" w14:textId="77777777" w:rsidR="00BE1885" w:rsidRPr="006A21F9" w:rsidRDefault="00BE1885" w:rsidP="00BE1885">
      <w:pPr>
        <w:rPr>
          <w:lang w:val="ru-RU"/>
        </w:rPr>
      </w:pPr>
      <w:r w:rsidRPr="006A21F9">
        <w:rPr>
          <w:lang w:val="ru-RU"/>
        </w:rPr>
        <w:tab/>
        <w:t>我们还可以在以下著作中找到类似的论述：特土良的</w:t>
      </w:r>
      <w:r>
        <w:rPr>
          <w:rStyle w:val="FootnoteReference"/>
        </w:rPr>
        <w:footnoteReference w:id="586"/>
      </w:r>
      <w:r w:rsidRPr="006A21F9">
        <w:rPr>
          <w:lang w:val="ru-RU"/>
        </w:rPr>
        <w:t xml:space="preserve"> 、希波吕特的</w:t>
      </w:r>
      <w:r>
        <w:rPr>
          <w:rStyle w:val="FootnoteReference"/>
        </w:rPr>
        <w:footnoteReference w:id="587"/>
      </w:r>
      <w:r w:rsidRPr="006A21F9">
        <w:rPr>
          <w:lang w:val="ru-RU"/>
        </w:rPr>
        <w:t xml:space="preserve"> 、奥普塔的</w:t>
      </w:r>
      <w:r>
        <w:rPr>
          <w:rStyle w:val="FootnoteReference"/>
        </w:rPr>
        <w:footnoteReference w:id="588"/>
      </w:r>
      <w:r w:rsidRPr="006A21F9">
        <w:rPr>
          <w:lang w:val="ru-RU"/>
        </w:rPr>
        <w:t xml:space="preserve"> 、奥利金的</w:t>
      </w:r>
      <w:r>
        <w:rPr>
          <w:rStyle w:val="FootnoteReference"/>
        </w:rPr>
        <w:footnoteReference w:id="589"/>
      </w:r>
      <w:r w:rsidRPr="006A21F9">
        <w:rPr>
          <w:lang w:val="ru-RU"/>
        </w:rPr>
        <w:t xml:space="preserve"> 、杰罗姆的</w:t>
      </w:r>
      <w:r>
        <w:rPr>
          <w:rStyle w:val="FootnoteReference"/>
        </w:rPr>
        <w:footnoteReference w:id="590"/>
      </w:r>
      <w:r w:rsidRPr="006A21F9">
        <w:rPr>
          <w:lang w:val="ru-RU"/>
        </w:rPr>
        <w:t xml:space="preserve"> 等。</w:t>
      </w:r>
    </w:p>
    <w:p w14:paraId="4CAC27D8" w14:textId="77777777" w:rsidR="00BE1885" w:rsidRPr="006A21F9" w:rsidRDefault="00BE1885" w:rsidP="00BE1885">
      <w:pPr>
        <w:rPr>
          <w:lang w:val="ru-RU"/>
        </w:rPr>
      </w:pPr>
      <w:r w:rsidRPr="006A21F9">
        <w:rPr>
          <w:lang w:val="ru-RU"/>
        </w:rPr>
        <w:tab/>
      </w:r>
    </w:p>
    <w:p w14:paraId="03816602" w14:textId="77777777" w:rsidR="00BE1885" w:rsidRPr="006A21F9" w:rsidRDefault="00BE1885" w:rsidP="00BE1885">
      <w:pPr>
        <w:pStyle w:val="Heading5"/>
        <w:rPr>
          <w:lang w:val="ru-RU"/>
        </w:rPr>
      </w:pPr>
      <w:bookmarkStart w:id="482" w:name="_Toc133142933"/>
      <w:bookmarkStart w:id="483" w:name="_Toc133166290"/>
      <w:bookmarkStart w:id="484" w:name="_Toc182221500"/>
      <w:bookmarkStart w:id="485" w:name="_Toc238453067"/>
      <w:bookmarkStart w:id="486" w:name="_Toc238453867"/>
      <w:bookmarkStart w:id="487" w:name="_Toc238576527"/>
      <w:r w:rsidRPr="006A21F9">
        <w:rPr>
          <w:bCs/>
          <w:lang w:val="ru-RU"/>
        </w:rPr>
        <w:t>§174.</w:t>
      </w:r>
      <w:r w:rsidRPr="006A21F9">
        <w:rPr>
          <w:lang w:val="ru-RU"/>
        </w:rPr>
        <w:t xml:space="preserve"> 教会等级制度各层级之间以及与信众的关系</w:t>
      </w:r>
      <w:bookmarkEnd w:id="482"/>
      <w:bookmarkEnd w:id="483"/>
      <w:bookmarkEnd w:id="484"/>
      <w:bookmarkEnd w:id="485"/>
      <w:bookmarkEnd w:id="486"/>
      <w:bookmarkEnd w:id="487"/>
    </w:p>
    <w:p w14:paraId="16331AB8" w14:textId="77777777" w:rsidR="00BE1885" w:rsidRPr="006A21F9" w:rsidRDefault="00BE1885" w:rsidP="00BE1885">
      <w:pPr>
        <w:ind w:firstLine="708"/>
        <w:rPr>
          <w:lang w:val="ru-RU"/>
        </w:rPr>
      </w:pPr>
      <w:r w:rsidRPr="006A21F9">
        <w:rPr>
          <w:lang w:val="ru-RU"/>
        </w:rPr>
        <w:t>这些教会等级之间以及与信众的关系在于：主教在其所属的教会或教区中是基督的代理人（《东正教信条》</w:t>
      </w:r>
      <w:r w:rsidRPr="001E4083">
        <w:t>第一卷</w:t>
      </w:r>
      <w:r w:rsidRPr="006A21F9">
        <w:rPr>
          <w:lang w:val="ru-RU"/>
        </w:rPr>
        <w:t>，对第85个问题的回答），</w:t>
      </w:r>
      <w:r>
        <w:rPr>
          <w:rStyle w:val="FootnoteReference"/>
        </w:rPr>
        <w:footnoteReference w:id="591"/>
      </w:r>
      <w:r w:rsidRPr="006A21F9">
        <w:rPr>
          <w:lang w:val="ru-RU"/>
        </w:rPr>
        <w:t xml:space="preserve"> 因此，主教既是其管辖范围内整个教会等级体系的最高负责人，也是信众的最高负责人（《东方宗主教关于正统信仰的书信》第10条）。</w:t>
      </w:r>
      <w:r>
        <w:rPr>
          <w:rStyle w:val="FootnoteReference"/>
        </w:rPr>
        <w:footnoteReference w:id="592"/>
      </w:r>
      <w:r w:rsidRPr="006A21F9">
        <w:rPr>
          <w:lang w:val="ru-RU"/>
        </w:rPr>
        <w:t xml:space="preserve"> 因为，正如我们稍后将看到的，唯独他从使徒那里获得了为其教会按立所有下级牧者的专属权利，因此后者所拥有的权利及对信众的属灵权柄皆源于他；而所有受这些牧者看顾的信众，也通过他们的中介从他那里获得成圣。具体而言——</w:t>
      </w:r>
    </w:p>
    <w:p w14:paraId="4194BCF7" w14:textId="77777777" w:rsidR="00BE1885" w:rsidRPr="006A21F9" w:rsidRDefault="00BE1885" w:rsidP="00BE1885">
      <w:pPr>
        <w:rPr>
          <w:lang w:val="ru-RU"/>
        </w:rPr>
      </w:pPr>
      <w:r w:rsidRPr="006A21F9">
        <w:rPr>
          <w:lang w:val="ru-RU"/>
        </w:rPr>
        <w:tab/>
        <w:t>首先，主教是其教会中对普通信徒和牧者们的首席教师（《东方宗主教关于正统信仰的信函》第10条）。 以下几点证明了这一点：</w:t>
      </w:r>
      <w:r w:rsidRPr="006A21F9">
        <w:rPr>
          <w:b/>
          <w:bCs/>
          <w:lang w:val="ru-RU"/>
        </w:rPr>
        <w:t>a)</w:t>
      </w:r>
      <w:r w:rsidRPr="006A21F9">
        <w:rPr>
          <w:lang w:val="ru-RU"/>
        </w:rPr>
        <w:t xml:space="preserve"> 圣使徒保罗致提摩太主教的书信，使徒在信中以特别强烈的语气嘱咐他：</w:t>
      </w:r>
      <w:r w:rsidRPr="006A21F9">
        <w:rPr>
          <w:i/>
          <w:iCs/>
          <w:lang w:val="ru-RU"/>
        </w:rPr>
        <w:t>“你要谨慎自己和自己的教训”</w:t>
      </w:r>
      <w:r w:rsidRPr="006A21F9">
        <w:rPr>
          <w:lang w:val="ru-RU"/>
        </w:rPr>
        <w:t xml:space="preserve">[(提摩太前书 4:16)；参见(提摩太前书 6:12)]； </w:t>
      </w:r>
      <w:r w:rsidRPr="006A21F9">
        <w:rPr>
          <w:i/>
          <w:iCs/>
          <w:lang w:val="ru-RU"/>
        </w:rPr>
        <w:t>“传道，无论时机是否合适，都要坚持；要责备、禁止、劝勉，以一切的忍耐和教导”</w:t>
      </w:r>
      <w:r w:rsidRPr="006A21F9">
        <w:rPr>
          <w:lang w:val="ru-RU"/>
        </w:rPr>
        <w:t xml:space="preserve">（提摩太后书 4:2-5）； 同时嘱咐他要预备并教导未来信主的教师（提摩太后书 </w:t>
      </w:r>
      <w:r w:rsidRPr="006A21F9">
        <w:rPr>
          <w:lang w:val="ru-RU"/>
        </w:rPr>
        <w:lastRenderedPageBreak/>
        <w:t xml:space="preserve">2:2）；要监督长老们如何履行教导的职分，并给予那些在道上热心奋力的人以特别的尊荣（提摩太前书 6:17）； </w:t>
      </w:r>
      <w:r w:rsidRPr="006A21F9">
        <w:rPr>
          <w:b/>
          <w:bCs/>
          <w:lang w:val="ru-RU"/>
        </w:rPr>
        <w:t>b)</w:t>
      </w:r>
      <w:r w:rsidRPr="006A21F9">
        <w:rPr>
          <w:lang w:val="ru-RU"/>
        </w:rPr>
        <w:t xml:space="preserve"> 使徒规条，其中第58条规定：“主教若不关心教职人员和会众，也不教导他们敬虔，就当被开除； 若仍沉溺于这种疏忽与懒惰之中，则应被驱逐”；</w:t>
      </w:r>
      <w:r w:rsidRPr="006A21F9">
        <w:rPr>
          <w:b/>
          <w:bCs/>
          <w:lang w:val="ru-RU"/>
        </w:rPr>
        <w:t>c)</w:t>
      </w:r>
      <w:r w:rsidRPr="006A21F9">
        <w:rPr>
          <w:lang w:val="ru-RU"/>
        </w:rPr>
        <w:t xml:space="preserve"> 使徒决议，其中诫命主教须监督教会，以维护其纯洁与真理；</w:t>
      </w:r>
      <w:r>
        <w:rPr>
          <w:rStyle w:val="FootnoteReference"/>
        </w:rPr>
        <w:footnoteReference w:id="593"/>
      </w:r>
      <w:r w:rsidRPr="006A21F9">
        <w:rPr>
          <w:lang w:val="ru-RU"/>
        </w:rPr>
        <w:t xml:space="preserve"> </w:t>
      </w:r>
      <w:r w:rsidRPr="006A21F9">
        <w:rPr>
          <w:b/>
          <w:bCs/>
          <w:lang w:val="ru-RU"/>
        </w:rPr>
        <w:t>d)</w:t>
      </w:r>
      <w:r w:rsidRPr="006A21F9">
        <w:rPr>
          <w:lang w:val="ru-RU"/>
        </w:rPr>
        <w:t xml:space="preserve"> 后续大公会议的规条，其中命令“各教会的领袖当每日，尤以主日为重，用虔敬之言教导全体神职人员和信众”（特鲁尔规条第19条）。 正因如此，古代基督教护教者才针对异端主张：基督真正的传统与教义自使徒时代起便在教会中得以保存，正是通过主教的无间断传承。</w:t>
      </w:r>
      <w:r>
        <w:rPr>
          <w:rStyle w:val="FootnoteReference"/>
        </w:rPr>
        <w:footnoteReference w:id="594"/>
      </w:r>
    </w:p>
    <w:p w14:paraId="02222B72" w14:textId="77777777" w:rsidR="00BE1885" w:rsidRPr="006A21F9" w:rsidRDefault="00BE1885" w:rsidP="00BE1885">
      <w:pPr>
        <w:rPr>
          <w:lang w:val="ru-RU"/>
        </w:rPr>
      </w:pPr>
      <w:r w:rsidRPr="006A21F9">
        <w:rPr>
          <w:lang w:val="ru-RU"/>
        </w:rPr>
        <w:tab/>
        <w:t>长老们通过神圣的按立礼从主教那里获得全部权柄，同时也从主教那里接受了针对其所牧养之人的教导权（《东方宗主教关于正统信仰的信函》第10条），并有义务以极大的谨慎和热忱行使这一权柄 （提摩太前书5:17）；《使徒规条》第58条）。 不过，正如圣使徒的同样话语（《提摩太前书》5:17）和第39条使徒规条所表明的，长老们无论在任何方面，包括在教导信仰方面，都始终受其首席牧者的监督和审判。</w:t>
      </w:r>
      <w:r>
        <w:rPr>
          <w:rStyle w:val="FootnoteReference"/>
        </w:rPr>
        <w:footnoteReference w:id="595"/>
      </w:r>
      <w:r w:rsidRPr="006A21F9">
        <w:rPr>
          <w:lang w:val="ru-RU"/>
        </w:rPr>
        <w:t xml:space="preserve"> 主教有权在必要时完全禁止长老讲道，正如索克拉底和索佐门所记载的那样，亚历山大主教在阿里乌异端事件中，就在其教区采取了这一措施。</w:t>
      </w:r>
      <w:r>
        <w:rPr>
          <w:rStyle w:val="FootnoteReference"/>
        </w:rPr>
        <w:footnoteReference w:id="596"/>
      </w:r>
    </w:p>
    <w:p w14:paraId="73E9747A" w14:textId="77777777" w:rsidR="00BE1885" w:rsidRPr="006A21F9" w:rsidRDefault="00BE1885" w:rsidP="00BE1885">
      <w:pPr>
        <w:rPr>
          <w:lang w:val="ru-RU"/>
        </w:rPr>
      </w:pPr>
      <w:r w:rsidRPr="006A21F9">
        <w:rPr>
          <w:lang w:val="ru-RU"/>
        </w:rPr>
        <w:tab/>
        <w:t>执事也可根据主教的意愿被允许讲道，正如早期教会所允许的那样，效法圣史蒂芬（使徒行传6:8）和圣腓力（使徒行传8:5-35）这两位首位执事的榜样，特别是为了教导慕道者。</w:t>
      </w:r>
      <w:r>
        <w:rPr>
          <w:rStyle w:val="FootnoteReference"/>
        </w:rPr>
        <w:footnoteReference w:id="597"/>
      </w:r>
      <w:r w:rsidRPr="006A21F9">
        <w:rPr>
          <w:lang w:val="ru-RU"/>
        </w:rPr>
        <w:t xml:space="preserve"> 不过，这项职责当时并不被视为执事的重要且恒常的职责，如今亦然。</w:t>
      </w:r>
    </w:p>
    <w:p w14:paraId="5E2651C6" w14:textId="77777777" w:rsidR="00BE1885" w:rsidRPr="006A21F9" w:rsidRDefault="00BE1885" w:rsidP="00BE1885">
      <w:pPr>
        <w:rPr>
          <w:lang w:val="ru-RU"/>
        </w:rPr>
      </w:pPr>
      <w:r w:rsidRPr="006A21F9">
        <w:rPr>
          <w:lang w:val="ru-RU"/>
        </w:rPr>
        <w:tab/>
        <w:t>其次，主教在圣灵的引导下，是其所属教区中首位施行圣礼的司祭（《东方宗主教关于正统信仰的信函》第10条）。 某些圣事，无论是在 古代还是如今，都专属于他。因此，唯有他有权——根据上帝的话语[(提多书 1:5)； (提摩太前书 5:22)]，圣使徒</w:t>
      </w:r>
      <w:r>
        <w:rPr>
          <w:rStyle w:val="FootnoteReference"/>
        </w:rPr>
        <w:footnoteReference w:id="598"/>
      </w:r>
      <w:r w:rsidRPr="006A21F9">
        <w:rPr>
          <w:lang w:val="ru-RU"/>
        </w:rPr>
        <w:t xml:space="preserve"> 的规条以及圣公会议</w:t>
      </w:r>
      <w:r>
        <w:rPr>
          <w:rStyle w:val="FootnoteReference"/>
        </w:rPr>
        <w:footnoteReference w:id="599"/>
      </w:r>
      <w:r w:rsidRPr="006A21F9">
        <w:rPr>
          <w:lang w:val="ru-RU"/>
        </w:rPr>
        <w:t xml:space="preserve"> 的规定，并依据教会圣师们的一致教导——他们将此权利称为主教相对于司铎最重要的特权</w:t>
      </w:r>
      <w:r>
        <w:rPr>
          <w:rStyle w:val="FootnoteReference"/>
        </w:rPr>
        <w:footnoteReference w:id="600"/>
      </w:r>
      <w:r w:rsidRPr="006A21F9">
        <w:rPr>
          <w:lang w:val="ru-RU"/>
        </w:rPr>
        <w:t xml:space="preserve"> ，并指出： “主教的品级主要是为了孕育属灵的父亲：因为他有责任在教会中增殖属灵的父亲；而另一品级（长老），则无法孕育属灵的父亲；他为教会孕育的是重生之子，而非属灵的父亲或导师。 既然长老根本不具备按立长老的圣职授任权，他又如何能按立长老呢？或者，长老又凭什么能被称为与主教平等呢？”</w:t>
      </w:r>
      <w:r>
        <w:rPr>
          <w:rStyle w:val="FootnoteReference"/>
        </w:rPr>
        <w:footnoteReference w:id="601"/>
      </w:r>
      <w:r w:rsidRPr="006A21F9">
        <w:rPr>
          <w:lang w:val="ru-RU"/>
        </w:rPr>
        <w:t xml:space="preserve"> </w:t>
      </w:r>
      <w:r w:rsidRPr="006A21F9">
        <w:rPr>
          <w:lang w:val="ru-RU"/>
        </w:rPr>
        <w:lastRenderedPageBreak/>
        <w:t>同样，唯有助理主教才有权祝圣圣油、祭坛或圣布，这一点也可从大公会议的规条中看出，</w:t>
      </w:r>
      <w:r>
        <w:rPr>
          <w:rStyle w:val="FootnoteReference"/>
        </w:rPr>
        <w:footnoteReference w:id="602"/>
      </w:r>
      <w:r w:rsidRPr="006A21F9">
        <w:rPr>
          <w:lang w:val="ru-RU"/>
        </w:rPr>
        <w:t xml:space="preserve"> 以及东正教会的整体教义中。</w:t>
      </w:r>
      <w:r>
        <w:rPr>
          <w:rStyle w:val="FootnoteReference"/>
        </w:rPr>
        <w:footnoteReference w:id="603"/>
      </w:r>
      <w:r w:rsidRPr="006A21F9">
        <w:rPr>
          <w:lang w:val="ru-RU"/>
        </w:rPr>
        <w:t xml:space="preserve"> 至于其他圣事，虽然已不再专属于主教，但在其管辖的教堂内，也必须征得主教的同意和许可才能施行（鉴于当时独立教堂或教区数量较少，这种做法完全合乎情理）。</w:t>
      </w:r>
      <w:r>
        <w:rPr>
          <w:rStyle w:val="FootnoteReference"/>
        </w:rPr>
        <w:footnoteReference w:id="604"/>
      </w:r>
    </w:p>
    <w:p w14:paraId="7F1C0798" w14:textId="77777777" w:rsidR="00BE1885" w:rsidRPr="006A21F9" w:rsidRDefault="00BE1885" w:rsidP="00BE1885">
      <w:pPr>
        <w:rPr>
          <w:lang w:val="ru-RU"/>
        </w:rPr>
      </w:pPr>
      <w:r w:rsidRPr="006A21F9">
        <w:rPr>
          <w:lang w:val="ru-RU"/>
        </w:rPr>
        <w:tab/>
        <w:t>神父同样有权施行圣礼及一般圣事（除专属于主教的圣事外）[（雅各书 5:14）；《使徒规条》第31、47、49条； 尼西亚会议第18条]；但他是在按立时从其首席牧者那里获得这一权柄的（《东方宗主教关于正统信仰的书信》第10条）。此外，在履行这一职责的过程中，他须接受其首席牧者持续的监督、管辖和审判（《使徒规条》 39等）。特别是，在施行某些圣礼时，他完全依赖于主教；例如，他不能在没有圣油的情况下施行坚振圣礼，因为圣油只能由主教祝圣；也不能在没有祭坛或圣布的情况下秘密举行圣体圣事，因为这些物品同样只能由主教祝圣。</w:t>
      </w:r>
    </w:p>
    <w:p w14:paraId="715C5D48" w14:textId="77777777" w:rsidR="00BE1885" w:rsidRPr="006A21F9" w:rsidRDefault="00BE1885" w:rsidP="00BE1885">
      <w:pPr>
        <w:rPr>
          <w:lang w:val="ru-RU"/>
        </w:rPr>
      </w:pPr>
      <w:r w:rsidRPr="006A21F9">
        <w:rPr>
          <w:lang w:val="ru-RU"/>
        </w:rPr>
        <w:tab/>
        <w:t>执事无权施行圣事，也无权进行任何圣礼仪式。</w:t>
      </w:r>
      <w:r>
        <w:rPr>
          <w:rStyle w:val="FootnoteReference"/>
        </w:rPr>
        <w:footnoteReference w:id="605"/>
      </w:r>
      <w:r w:rsidRPr="006A21F9">
        <w:rPr>
          <w:lang w:val="ru-RU"/>
        </w:rPr>
        <w:t xml:space="preserve"> 因此，正如狄奥尼修斯·阿雷奥帕吉塔所言，他在此处的侍奉仅是辅助性的，而非通过实际行动来完成圣事本身。</w:t>
      </w:r>
      <w:r>
        <w:rPr>
          <w:rStyle w:val="FootnoteReference"/>
        </w:rPr>
        <w:footnoteReference w:id="606"/>
      </w:r>
      <w:r w:rsidRPr="006A21F9">
        <w:rPr>
          <w:lang w:val="ru-RU"/>
        </w:rPr>
        <w:t xml:space="preserve"> 执事仅仅是基督奥秘的侍奉者，</w:t>
      </w:r>
      <w:r>
        <w:rPr>
          <w:rStyle w:val="FootnoteReference"/>
        </w:rPr>
        <w:footnoteReference w:id="607"/>
      </w:r>
      <w:r w:rsidRPr="006A21F9">
        <w:rPr>
          <w:lang w:val="ru-RU"/>
        </w:rPr>
        <w:t xml:space="preserve"> 主教职的仆人，</w:t>
      </w:r>
      <w:r>
        <w:rPr>
          <w:rStyle w:val="FootnoteReference"/>
        </w:rPr>
        <w:footnoteReference w:id="608"/>
      </w:r>
      <w:r w:rsidRPr="006A21F9">
        <w:rPr>
          <w:lang w:val="ru-RU"/>
        </w:rPr>
        <w:t xml:space="preserve"> 而且，总体而言，他们只是长老的协助者和同工。</w:t>
      </w:r>
      <w:r>
        <w:rPr>
          <w:rStyle w:val="FootnoteReference"/>
        </w:rPr>
        <w:footnoteReference w:id="609"/>
      </w:r>
    </w:p>
    <w:p w14:paraId="7F739827" w14:textId="77777777" w:rsidR="00BE1885" w:rsidRPr="006A21F9" w:rsidRDefault="00BE1885" w:rsidP="00BE1885">
      <w:pPr>
        <w:rPr>
          <w:lang w:val="ru-RU"/>
        </w:rPr>
      </w:pPr>
      <w:r w:rsidRPr="006A21F9">
        <w:rPr>
          <w:lang w:val="ru-RU"/>
        </w:rPr>
        <w:tab/>
        <w:t>主教终究是其所属教区的主管 [(使徒行传 20:28)；参见《东方宗主教关于正统信仰的通谕》第10条]。 首先，他对隶属于他的教会层级和神职人员拥有管辖权。所有神职人员和教会侍奉者都有义务服从他的决定，未经其许可不得在教会中进行任何活动，</w:t>
      </w:r>
      <w:r>
        <w:rPr>
          <w:rStyle w:val="FootnoteReference"/>
        </w:rPr>
        <w:footnoteReference w:id="610"/>
      </w:r>
      <w:r w:rsidRPr="006A21F9">
        <w:rPr>
          <w:lang w:val="ru-RU"/>
        </w:rPr>
        <w:t xml:space="preserve"> 并受其监督和审判（提摩太前书 5:19），据此他可 对他们施以各种惩戒。</w:t>
      </w:r>
      <w:r>
        <w:rPr>
          <w:rStyle w:val="FootnoteReference"/>
        </w:rPr>
        <w:footnoteReference w:id="611"/>
      </w:r>
      <w:r w:rsidRPr="006A21F9">
        <w:rPr>
          <w:lang w:val="ru-RU"/>
        </w:rPr>
        <w:t xml:space="preserve"> 除了神职人员外，所有托付给他照管的信徒也都受主教的属灵管辖。他有责任监督其教区内神圣律法和教会诫命的执行情况。</w:t>
      </w:r>
      <w:r>
        <w:rPr>
          <w:rStyle w:val="FootnoteReference"/>
        </w:rPr>
        <w:footnoteReference w:id="612"/>
      </w:r>
      <w:r w:rsidRPr="006A21F9">
        <w:rPr>
          <w:lang w:val="ru-RU"/>
        </w:rPr>
        <w:t xml:space="preserve"> 他还“特别且主要地拥有束缚与裁决的权柄” （《东方宗主教关于正统信仰的信函》第10条），这依据圣使徒的规则、圣大公会议的规定，</w:t>
      </w:r>
      <w:r>
        <w:rPr>
          <w:rStyle w:val="FootnoteReference"/>
        </w:rPr>
        <w:footnoteReference w:id="613"/>
      </w:r>
      <w:r w:rsidRPr="006A21F9">
        <w:rPr>
          <w:lang w:val="ru-RU"/>
        </w:rPr>
        <w:t xml:space="preserve"> </w:t>
      </w:r>
      <w:r w:rsidRPr="006A21F9">
        <w:rPr>
          <w:lang w:val="ru-RU"/>
        </w:rPr>
        <w:lastRenderedPageBreak/>
        <w:t>以及古代教会导师们的一致见证。</w:t>
      </w:r>
      <w:r>
        <w:rPr>
          <w:rStyle w:val="FootnoteReference"/>
        </w:rPr>
        <w:footnoteReference w:id="614"/>
      </w:r>
      <w:r w:rsidRPr="006A21F9">
        <w:rPr>
          <w:lang w:val="ru-RU"/>
        </w:rPr>
        <w:t xml:space="preserve"> 正因如此，使徒们才以如此强大的力量敦促所有信徒服从主教。</w:t>
      </w:r>
      <w:r>
        <w:rPr>
          <w:rStyle w:val="FootnoteReference"/>
        </w:rPr>
        <w:footnoteReference w:id="615"/>
      </w:r>
    </w:p>
    <w:p w14:paraId="10A0F9E5" w14:textId="77777777" w:rsidR="00BE1885" w:rsidRPr="006A21F9" w:rsidRDefault="00BE1885" w:rsidP="00BE1885">
      <w:pPr>
        <w:rPr>
          <w:lang w:val="ru-RU"/>
        </w:rPr>
      </w:pPr>
      <w:r w:rsidRPr="006A21F9">
        <w:rPr>
          <w:lang w:val="ru-RU"/>
        </w:rPr>
        <w:tab/>
        <w:t>长老们同样有权作出决定、施行圣礼，并总体上牧养托付给他们的上帝羊群（彼得前书 5:1-2）；但他们是从自己的大牧者那里，通过神圣的按立礼获得这一权柄的（《东方宗主教关于正统信仰的书信》第10条）。 而某些被拣选者，经主教许可，可与主教共同分担教会管理的重担；</w:t>
      </w:r>
      <w:r>
        <w:rPr>
          <w:rStyle w:val="FootnoteReference"/>
        </w:rPr>
        <w:footnoteReference w:id="616"/>
      </w:r>
      <w:r w:rsidRPr="006A21F9">
        <w:rPr>
          <w:lang w:val="ru-RU"/>
        </w:rPr>
        <w:t xml:space="preserve"> 甚至为此在他麾下组成常设主教会议。</w:t>
      </w:r>
      <w:r>
        <w:rPr>
          <w:rStyle w:val="FootnoteReference"/>
        </w:rPr>
        <w:footnoteReference w:id="617"/>
      </w:r>
      <w:r w:rsidRPr="006A21F9">
        <w:rPr>
          <w:lang w:val="ru-RU"/>
        </w:rPr>
        <w:t xml:space="preserve"> 但正如古语所言，他们在此仅是主教的“眼睛”，</w:t>
      </w:r>
      <w:r>
        <w:rPr>
          <w:rStyle w:val="FootnoteReference"/>
        </w:rPr>
        <w:footnoteReference w:id="618"/>
      </w:r>
      <w:r w:rsidRPr="006A21F9">
        <w:rPr>
          <w:lang w:val="ru-RU"/>
        </w:rPr>
        <w:t xml:space="preserve"> 若未经主教同意，他们自身无法采取任何行动。</w:t>
      </w:r>
    </w:p>
    <w:p w14:paraId="0A9F850F" w14:textId="77777777" w:rsidR="00BE1885" w:rsidRPr="006A21F9" w:rsidRDefault="00BE1885" w:rsidP="00BE1885">
      <w:pPr>
        <w:rPr>
          <w:lang w:val="ru-RU"/>
        </w:rPr>
      </w:pPr>
      <w:r w:rsidRPr="006A21F9">
        <w:rPr>
          <w:lang w:val="ru-RU"/>
        </w:rPr>
        <w:tab/>
        <w:t>至于执事，他们并未从主那里获得束缚与裁决的权柄，因此，他们本身对信徒没有任何属灵的权柄。但执事可以成为主教和长老的眼睛和耳朵，</w:t>
      </w:r>
      <w:r>
        <w:rPr>
          <w:rStyle w:val="FootnoteReference"/>
        </w:rPr>
        <w:footnoteReference w:id="619"/>
      </w:r>
      <w:r w:rsidRPr="006A21F9">
        <w:rPr>
          <w:lang w:val="ru-RU"/>
        </w:rPr>
        <w:t xml:space="preserve"> 同时在获得他们的同意后，作为领袖的双手，来处理教会事务。</w:t>
      </w:r>
      <w:r>
        <w:rPr>
          <w:rStyle w:val="FootnoteReference"/>
        </w:rPr>
        <w:footnoteReference w:id="620"/>
      </w:r>
    </w:p>
    <w:p w14:paraId="24C05323" w14:textId="77777777" w:rsidR="00BE1885" w:rsidRPr="006A21F9" w:rsidRDefault="00BE1885" w:rsidP="00BE1885">
      <w:pPr>
        <w:rPr>
          <w:lang w:val="ru-RU"/>
        </w:rPr>
      </w:pPr>
      <w:r w:rsidRPr="006A21F9">
        <w:rPr>
          <w:lang w:val="ru-RU"/>
        </w:rPr>
        <w:tab/>
        <w:t>综上所述，那些通常用于形容主教的崇高称谓和表述便完全清晰了，例如：从严格意义上讲，唯有他们才是使徒的继承人；</w:t>
      </w:r>
      <w:r>
        <w:rPr>
          <w:rStyle w:val="FootnoteReference"/>
        </w:rPr>
        <w:footnoteReference w:id="621"/>
      </w:r>
      <w:r w:rsidRPr="006A21F9">
        <w:rPr>
          <w:lang w:val="ru-RU"/>
        </w:rPr>
        <w:t xml:space="preserve"> 教会以主教为支柱而得以维系；</w:t>
      </w:r>
      <w:r>
        <w:rPr>
          <w:rStyle w:val="FootnoteReference"/>
        </w:rPr>
        <w:footnoteReference w:id="622"/>
      </w:r>
      <w:r w:rsidRPr="006A21F9">
        <w:rPr>
          <w:lang w:val="ru-RU"/>
        </w:rPr>
        <w:t xml:space="preserve"> 主教是“地上活生生的上帝形象，并凭借圣灵的神圣大能，成为普世教会所有圣礼的丰沛源泉，借此获得救赎；因此，他对教会而言，正如呼吸之于人、太阳之于世界般不可或缺” （《东方教父论正统信仰书》第10条）；主教是其教区内信徒的凝聚中心；</w:t>
      </w:r>
      <w:r>
        <w:rPr>
          <w:rStyle w:val="FootnoteReference"/>
        </w:rPr>
        <w:footnoteReference w:id="623"/>
      </w:r>
      <w:r w:rsidRPr="006A21F9">
        <w:rPr>
          <w:lang w:val="ru-RU"/>
        </w:rPr>
        <w:t xml:space="preserve"> 他甚至是他所辖属灵领域的独立首领（《正统信经》 第1条，对第85个问题的回答）；最后，正如基普里安所言：“主教在教会中，而（隶属于他的）教会则在主教之中；凡与主教不共融者，便不在教会之中。”</w:t>
      </w:r>
      <w:r>
        <w:rPr>
          <w:rStyle w:val="FootnoteReference"/>
        </w:rPr>
        <w:footnoteReference w:id="624"/>
      </w:r>
    </w:p>
    <w:p w14:paraId="01423285" w14:textId="77777777" w:rsidR="00BE1885" w:rsidRPr="006A21F9" w:rsidRDefault="00BE1885" w:rsidP="00BE1885">
      <w:pPr>
        <w:rPr>
          <w:lang w:val="ru-RU"/>
        </w:rPr>
      </w:pPr>
    </w:p>
    <w:p w14:paraId="6398D2C2" w14:textId="77777777" w:rsidR="00BE1885" w:rsidRPr="006A21F9" w:rsidRDefault="00BE1885" w:rsidP="00BE1885">
      <w:pPr>
        <w:pStyle w:val="Heading5"/>
        <w:rPr>
          <w:lang w:val="ru-RU"/>
        </w:rPr>
      </w:pPr>
      <w:bookmarkStart w:id="488" w:name="_Toc133142934"/>
      <w:bookmarkStart w:id="489" w:name="_Toc133166291"/>
      <w:bookmarkStart w:id="490" w:name="_Toc182221501"/>
      <w:bookmarkStart w:id="491" w:name="_Toc238453068"/>
      <w:bookmarkStart w:id="492" w:name="_Toc238453868"/>
      <w:bookmarkStart w:id="493" w:name="_Toc238576528"/>
      <w:r w:rsidRPr="006A21F9">
        <w:rPr>
          <w:bCs/>
          <w:lang w:val="ru-RU"/>
        </w:rPr>
        <w:t>§175.</w:t>
      </w:r>
      <w:r w:rsidRPr="006A21F9">
        <w:rPr>
          <w:lang w:val="ru-RU"/>
        </w:rPr>
        <w:t xml:space="preserve"> 教会权力的中心</w:t>
      </w:r>
      <w:bookmarkEnd w:id="488"/>
      <w:bookmarkEnd w:id="489"/>
      <w:bookmarkEnd w:id="490"/>
      <w:bookmarkEnd w:id="491"/>
      <w:bookmarkEnd w:id="492"/>
      <w:bookmarkEnd w:id="493"/>
    </w:p>
    <w:p w14:paraId="78DA5063" w14:textId="77777777" w:rsidR="00BE1885" w:rsidRPr="006A21F9" w:rsidRDefault="00BE1885" w:rsidP="00BE1885">
      <w:pPr>
        <w:ind w:firstLine="708"/>
        <w:rPr>
          <w:lang w:val="ru-RU"/>
        </w:rPr>
      </w:pPr>
      <w:r w:rsidRPr="006A21F9">
        <w:rPr>
          <w:lang w:val="ru-RU"/>
        </w:rPr>
        <w:t>既然已经知道，对每一所地方教会的属灵权柄的中心</w:t>
      </w:r>
      <w:r w:rsidRPr="001E4083">
        <w:t>在于其</w:t>
      </w:r>
      <w:r w:rsidRPr="006A21F9">
        <w:rPr>
          <w:lang w:val="ru-RU"/>
        </w:rPr>
        <w:t xml:space="preserve">主教——教义、圣礼及管理皆源于他—— </w:t>
      </w:r>
      <w:r w:rsidRPr="006A21F9">
        <w:rPr>
          <w:lang w:val="ru-RU"/>
        </w:rPr>
        <w:lastRenderedPageBreak/>
        <w:t>基于前文所述，我们便可轻易确定：既要寻找对若干地方教会共同行使属灵权力的中心，进而也要寻找对整个基督教会行使属灵权力的中心。</w:t>
      </w:r>
    </w:p>
    <w:p w14:paraId="6A4AF18E" w14:textId="77777777" w:rsidR="00BE1885" w:rsidRPr="006A21F9" w:rsidRDefault="00BE1885" w:rsidP="00BE1885">
      <w:pPr>
        <w:rPr>
          <w:lang w:val="ru-RU"/>
        </w:rPr>
      </w:pPr>
      <w:r w:rsidRPr="006A21F9">
        <w:rPr>
          <w:lang w:val="ru-RU"/>
        </w:rPr>
        <w:tab/>
        <w:t>首先，若在教会等级制度中没有高于主教的等级；若主教们无一例外都是使徒的继承人，且正如使徒们从主那里领受并享有同等的尊荣与权柄，</w:t>
      </w:r>
      <w:r>
        <w:rPr>
          <w:rStyle w:val="FootnoteReference"/>
        </w:rPr>
        <w:footnoteReference w:id="625"/>
      </w:r>
      <w:r w:rsidRPr="006A21F9">
        <w:rPr>
          <w:lang w:val="ru-RU"/>
        </w:rPr>
        <w:t xml:space="preserve"> 那么他们的继承人也无论身处何地， 无论是在罗马、君士坦丁堡、亚历山大，还是其他任何地方：</w:t>
      </w:r>
      <w:r>
        <w:rPr>
          <w:rStyle w:val="FootnoteReference"/>
        </w:rPr>
        <w:footnoteReference w:id="626"/>
      </w:r>
      <w:r w:rsidRPr="006A21F9">
        <w:rPr>
          <w:lang w:val="ru-RU"/>
        </w:rPr>
        <w:t xml:space="preserve"> 因此，理所当然地，唯有主教会议才能对主教行使管辖权。 正因如此，根据圣使徒及普世和地方大公会议的规则，主教只能从主教会议接受按立；</w:t>
      </w:r>
      <w:r>
        <w:rPr>
          <w:rStyle w:val="FootnoteReference"/>
        </w:rPr>
        <w:footnoteReference w:id="627"/>
      </w:r>
      <w:r w:rsidRPr="006A21F9">
        <w:rPr>
          <w:lang w:val="ru-RU"/>
        </w:rPr>
        <w:t xml:space="preserve"> 只有主教会议才有权对其进行教会审判。</w:t>
      </w:r>
      <w:r>
        <w:rPr>
          <w:rStyle w:val="FootnoteReference"/>
        </w:rPr>
        <w:footnoteReference w:id="628"/>
      </w:r>
    </w:p>
    <w:p w14:paraId="5821BDB6" w14:textId="77777777" w:rsidR="00BE1885" w:rsidRPr="006A21F9" w:rsidRDefault="00BE1885" w:rsidP="00BE1885">
      <w:pPr>
        <w:rPr>
          <w:lang w:val="ru-RU"/>
        </w:rPr>
      </w:pPr>
      <w:r w:rsidRPr="006A21F9">
        <w:rPr>
          <w:lang w:val="ru-RU"/>
        </w:rPr>
        <w:tab/>
        <w:t>其次，如果每座地方教会仅服从于其所属的主教：那么，若干地方教会便只能服从于其所有主教的集体决议，或地方主教会议的决定。 正是出于这一目的，圣使徒们曾规定：“每年应召开两次主教会议，使他们彼此商讨虔诚的教义，并解决教会中发生的争议”（《使徒宪章》第37条）。 此后，普世大公会议和地方大公会议也颁布了相关规定，明确涉及若干地方教会的事务，只能由其主教会议来裁决。</w:t>
      </w:r>
      <w:r>
        <w:rPr>
          <w:rStyle w:val="FootnoteReference"/>
        </w:rPr>
        <w:footnoteReference w:id="629"/>
      </w:r>
    </w:p>
    <w:p w14:paraId="2177C2E4" w14:textId="77777777" w:rsidR="00BE1885" w:rsidRPr="006A21F9" w:rsidRDefault="00BE1885" w:rsidP="00BE1885">
      <w:pPr>
        <w:rPr>
          <w:lang w:val="ru-RU"/>
        </w:rPr>
      </w:pPr>
      <w:r w:rsidRPr="006A21F9">
        <w:rPr>
          <w:lang w:val="ru-RU"/>
        </w:rPr>
        <w:tab/>
        <w:t>最后，若我们再次重申：每间教会都特别托付给其主教： 那么，作为普世教会、将所有地方教会合而为一的基督教会，无疑是托付给全体主教的，正如圣约翰·达马斯库斯在其致非洲人的第四封书信中所言（参见《东方宗主教关于正统信仰的书信》第10条）。 因此，普世教会的属灵权柄的中心在于普世大公会议（《基督教教理问答》</w:t>
      </w:r>
      <w:r w:rsidRPr="001E4083">
        <w:t>第八条</w:t>
      </w:r>
      <w:r w:rsidRPr="006A21F9">
        <w:rPr>
          <w:lang w:val="ru-RU"/>
        </w:rPr>
        <w:t>，第79页，莫斯科，1840年）。 这一伟大真理已由圣使徒们本人明确阐述：当时，因新信徒之间就割礼及某些礼仪产生困惑，他们为制定适用于当时整个基督教会的一致准则，遂以大公会议的形式作出了决议（《使徒行传》15:5-29）。 自那时起，只要有机会召开普世大公会议，所有涉及整个教会的议题便都在会上得到最终裁决，正如这些大公会议的历史所证明的那样； 在信仰事务上，除普世大公会议之外，不承认任何其他权威；无条件服从普世大公会议的决议和法规，被视为所有信徒乃至牧者本人不可推卸的义务。</w:t>
      </w:r>
      <w:r>
        <w:rPr>
          <w:rStyle w:val="FootnoteReference"/>
        </w:rPr>
        <w:footnoteReference w:id="630"/>
      </w:r>
    </w:p>
    <w:p w14:paraId="0A7C5B28" w14:textId="77777777" w:rsidR="00BE1885" w:rsidRPr="006A21F9" w:rsidRDefault="00BE1885" w:rsidP="00BE1885">
      <w:pPr>
        <w:rPr>
          <w:lang w:val="ru-RU"/>
        </w:rPr>
      </w:pPr>
      <w:r w:rsidRPr="006A21F9">
        <w:rPr>
          <w:lang w:val="ru-RU"/>
        </w:rPr>
        <w:tab/>
        <w:t>由于基督普世教会具有这样的</w:t>
      </w:r>
      <w:r w:rsidRPr="001E4083">
        <w:t>结构</w:t>
      </w:r>
      <w:r w:rsidRPr="0097554A">
        <w:rPr>
          <w:lang w:val="ru-RU"/>
        </w:rPr>
        <w:t>，</w:t>
      </w:r>
      <w:r w:rsidRPr="001E4083">
        <w:t>其</w:t>
      </w:r>
      <w:r w:rsidRPr="006A21F9">
        <w:rPr>
          <w:lang w:val="ru-RU"/>
        </w:rPr>
        <w:t>完美的合一自然而然地得以实现：当所有地方教会都服从各自的牧者时，可以说，每处教会都集中于其主教之下； 而主教们无论在教义、圣事还是教会管理方面，都无条件地服从普世大公会议的同一套法规。</w:t>
      </w:r>
    </w:p>
    <w:p w14:paraId="5FC1B517" w14:textId="77777777" w:rsidR="00BE1885" w:rsidRPr="006A21F9" w:rsidRDefault="00BE1885" w:rsidP="00BE1885">
      <w:pPr>
        <w:rPr>
          <w:lang w:val="ru-RU"/>
        </w:rPr>
      </w:pPr>
      <w:r w:rsidRPr="006A21F9">
        <w:rPr>
          <w:lang w:val="ru-RU"/>
        </w:rPr>
        <w:lastRenderedPageBreak/>
        <w:tab/>
        <w:t>由此可见，无需任何新的证据，无论是地方大公会议还是普世大公会议，出席会议并裁决教会事务的权利，完全属于作为各地方教会首领的主教们；</w:t>
      </w:r>
      <w:r>
        <w:rPr>
          <w:rStyle w:val="FootnoteReference"/>
        </w:rPr>
        <w:footnoteReference w:id="631"/>
      </w:r>
      <w:r w:rsidRPr="006A21F9">
        <w:rPr>
          <w:lang w:val="ru-RU"/>
        </w:rPr>
        <w:t xml:space="preserve"> 而长老们在一切事务上均受制于其当地的主教，只有征得主教同意，方可被允许参加主教会议，且仅作为顾问、助手或受主教委派的代表，</w:t>
      </w:r>
      <w:r>
        <w:rPr>
          <w:rStyle w:val="FootnoteReference"/>
        </w:rPr>
        <w:footnoteReference w:id="632"/>
      </w:r>
      <w:r w:rsidRPr="006A21F9">
        <w:rPr>
          <w:lang w:val="ru-RU"/>
        </w:rPr>
        <w:t xml:space="preserve"> 并且只能居于次要地位。</w:t>
      </w:r>
      <w:r>
        <w:rPr>
          <w:rStyle w:val="FootnoteReference"/>
        </w:rPr>
        <w:footnoteReference w:id="633"/>
      </w:r>
      <w:r w:rsidRPr="006A21F9">
        <w:rPr>
          <w:lang w:val="ru-RU"/>
        </w:rPr>
        <w:t xml:space="preserve"> 同样，甚至 执事也可被允许参加，</w:t>
      </w:r>
      <w:r>
        <w:rPr>
          <w:rStyle w:val="FootnoteReference"/>
        </w:rPr>
        <w:footnoteReference w:id="634"/>
      </w:r>
      <w:r w:rsidRPr="006A21F9">
        <w:rPr>
          <w:lang w:val="ru-RU"/>
        </w:rPr>
        <w:t xml:space="preserve"> 他们必须在主教面前站立。</w:t>
      </w:r>
      <w:r>
        <w:rPr>
          <w:rStyle w:val="FootnoteReference"/>
        </w:rPr>
        <w:footnoteReference w:id="635"/>
      </w:r>
      <w:r w:rsidRPr="006A21F9">
        <w:rPr>
          <w:lang w:val="ru-RU"/>
        </w:rPr>
        <w:t xml:space="preserve"> 正因如此，圣父们通常将大公会议称为主教会议。第二次大公会议将第一次大公会议制定的信经称为318位圣父的信仰（当时参加主教会议的主教人数正是318位）； 特鲁尔大公会议将此前所有大公会议的信条定义，称为圣父主教们的信条或信仰，其数量即为当时出席那些大公会议的主教人数（第1条）。</w:t>
      </w:r>
    </w:p>
    <w:p w14:paraId="254D2FF7" w14:textId="77777777" w:rsidR="00BE1885" w:rsidRPr="006A21F9" w:rsidRDefault="00BE1885" w:rsidP="00BE1885">
      <w:pPr>
        <w:rPr>
          <w:lang w:val="ru-RU"/>
        </w:rPr>
      </w:pPr>
    </w:p>
    <w:p w14:paraId="1D35CCD5" w14:textId="77777777" w:rsidR="00BE1885" w:rsidRPr="006A21F9" w:rsidRDefault="00BE1885" w:rsidP="00BE1885">
      <w:pPr>
        <w:pStyle w:val="Heading5"/>
        <w:rPr>
          <w:lang w:val="ru-RU"/>
        </w:rPr>
      </w:pPr>
      <w:bookmarkStart w:id="494" w:name="_Toc133142935"/>
      <w:bookmarkStart w:id="495" w:name="_Toc133166292"/>
      <w:bookmarkStart w:id="496" w:name="_Toc182221502"/>
      <w:bookmarkStart w:id="497" w:name="_Toc238453069"/>
      <w:bookmarkStart w:id="498" w:name="_Toc238453869"/>
      <w:bookmarkStart w:id="499" w:name="_Toc238576529"/>
      <w:r w:rsidRPr="006A21F9">
        <w:rPr>
          <w:bCs/>
          <w:lang w:val="ru-RU"/>
        </w:rPr>
        <w:t>§176.</w:t>
      </w:r>
      <w:r w:rsidRPr="006A21F9">
        <w:rPr>
          <w:lang w:val="ru-RU"/>
        </w:rPr>
        <w:t xml:space="preserve"> 教会的元首是主耶稣</w:t>
      </w:r>
      <w:bookmarkEnd w:id="494"/>
      <w:bookmarkEnd w:id="495"/>
      <w:bookmarkEnd w:id="496"/>
      <w:bookmarkEnd w:id="497"/>
      <w:bookmarkEnd w:id="498"/>
      <w:bookmarkEnd w:id="499"/>
    </w:p>
    <w:p w14:paraId="33FFC067" w14:textId="77777777" w:rsidR="00BE1885" w:rsidRPr="006A21F9" w:rsidRDefault="00BE1885" w:rsidP="00BE1885">
      <w:pPr>
        <w:ind w:firstLine="708"/>
        <w:rPr>
          <w:lang w:val="ru-RU"/>
        </w:rPr>
      </w:pPr>
      <w:r w:rsidRPr="006A21F9">
        <w:rPr>
          <w:lang w:val="ru-RU"/>
        </w:rPr>
        <w:t>但他将教会可见的管理权托付给主教们，他们凭借所受的权柄，将所有信徒联合成一个外在的整体， 主耶稣作为教会的真正元首，亲自以不可见的方式掌舵教会，并以圣灵那唯一且相同的救赎恩典赋予教会生命，将所有教会成员联结为内在的团契（《正统信经》第1卷，对第85个问题的回答； 《东方教父论正统信仰》第10条）。</w:t>
      </w:r>
    </w:p>
    <w:p w14:paraId="7584EBA8" w14:textId="77777777" w:rsidR="00BE1885" w:rsidRPr="006A21F9" w:rsidRDefault="00BE1885" w:rsidP="00BE1885">
      <w:pPr>
        <w:rPr>
          <w:lang w:val="ru-RU"/>
        </w:rPr>
      </w:pPr>
      <w:r w:rsidRPr="006A21F9">
        <w:rPr>
          <w:lang w:val="ru-RU"/>
        </w:rPr>
        <w:tab/>
        <w:t>第一个论点——即主亲自以不可见的方式治理教会并作为</w:t>
      </w:r>
      <w:r w:rsidRPr="001E4083">
        <w:t>其</w:t>
      </w:r>
      <w:r w:rsidRPr="006A21F9">
        <w:rPr>
          <w:lang w:val="ru-RU"/>
        </w:rPr>
        <w:t>元首——的依据如下：</w:t>
      </w:r>
    </w:p>
    <w:p w14:paraId="07518DBC" w14:textId="77777777" w:rsidR="00BE1885" w:rsidRPr="006A21F9" w:rsidRDefault="00BE1885" w:rsidP="00BE1885">
      <w:pPr>
        <w:ind w:firstLine="708"/>
        <w:rPr>
          <w:lang w:val="ru-RU"/>
        </w:rPr>
      </w:pPr>
      <w:r w:rsidRPr="006A21F9">
        <w:rPr>
          <w:b/>
          <w:bCs/>
          <w:lang w:val="ru-RU"/>
        </w:rPr>
        <w:t>1)</w:t>
      </w:r>
      <w:r w:rsidRPr="006A21F9">
        <w:rPr>
          <w:lang w:val="ru-RU"/>
        </w:rPr>
        <w:t xml:space="preserve"> 祂在升天前，将自己在教会中的神圣权柄授予圣使徒们，并通过他们授予所有未来的继任者，并应许要与他们同在</w:t>
      </w:r>
      <w:r w:rsidRPr="006A21F9">
        <w:rPr>
          <w:i/>
          <w:iCs/>
          <w:lang w:val="ru-RU"/>
        </w:rPr>
        <w:t>，直到世界的末了</w:t>
      </w:r>
      <w:r w:rsidRPr="006A21F9">
        <w:rPr>
          <w:lang w:val="ru-RU"/>
        </w:rPr>
        <w:t>（马太福音28:20）， ——毫无疑问，祂与他们同在，是为了在他们崇高的事工中引导他们、协助他们、治理他们。因此，祂仅拣选他们作为祂对信徒施恩的可见工具。</w:t>
      </w:r>
    </w:p>
    <w:p w14:paraId="5EB728F5" w14:textId="77777777" w:rsidR="00BE1885" w:rsidRPr="006A21F9" w:rsidRDefault="00BE1885" w:rsidP="00BE1885">
      <w:pPr>
        <w:ind w:firstLine="708"/>
        <w:rPr>
          <w:lang w:val="ru-RU"/>
        </w:rPr>
      </w:pPr>
      <w:r w:rsidRPr="006A21F9">
        <w:rPr>
          <w:b/>
          <w:bCs/>
          <w:lang w:val="ru-RU"/>
        </w:rPr>
        <w:t>2)</w:t>
      </w:r>
      <w:r w:rsidRPr="006A21F9">
        <w:rPr>
          <w:lang w:val="ru-RU"/>
        </w:rPr>
        <w:t xml:space="preserve"> 特别是，虽然祂将教导的权柄托付给了使徒及其继任者；但祂吩咐众人称祂自己为至高的教师——祂通过他们以不可见的方式教导信徒（太23:8），因此祂说：</w:t>
      </w:r>
      <w:r w:rsidRPr="006A21F9">
        <w:rPr>
          <w:i/>
          <w:iCs/>
          <w:lang w:val="ru-RU"/>
        </w:rPr>
        <w:t>“听从你们的，就是听从我；弃绝你们的，就是弃绝我”</w:t>
      </w:r>
      <w:r w:rsidRPr="006A21F9">
        <w:rPr>
          <w:lang w:val="ru-RU"/>
        </w:rPr>
        <w:t xml:space="preserve"> （路加福音 10:16）。同样，虽然祂将施行圣礼以使信徒成圣的权柄托付给了教会牧者； 但</w:t>
      </w:r>
      <w:r w:rsidRPr="006A21F9">
        <w:rPr>
          <w:i/>
          <w:iCs/>
          <w:lang w:val="ru-RU"/>
        </w:rPr>
        <w:t>那位永存</w:t>
      </w:r>
      <w:r w:rsidRPr="006A21F9">
        <w:rPr>
          <w:lang w:val="ru-RU"/>
        </w:rPr>
        <w:t>的大</w:t>
      </w:r>
      <w:r w:rsidRPr="006A21F9">
        <w:rPr>
          <w:i/>
          <w:iCs/>
          <w:lang w:val="ru-RU"/>
        </w:rPr>
        <w:t>祭司……因此总能拯救那些藉着祂来到神面前的人</w:t>
      </w:r>
      <w:r w:rsidRPr="006A21F9">
        <w:rPr>
          <w:lang w:val="ru-RU"/>
        </w:rPr>
        <w:t>（希伯来书 7:24-25），仍是祂自己；祂亲自通过牧者隐秘地施行圣礼：当罪人在祭司面前认罪时，祂亲自隐秘地临在并接纳其悔改； 祂自己就是圣体圣事中献祭者与被献者。</w:t>
      </w:r>
      <w:r>
        <w:rPr>
          <w:rStyle w:val="FootnoteReference"/>
        </w:rPr>
        <w:footnoteReference w:id="636"/>
      </w:r>
      <w:r w:rsidRPr="006A21F9">
        <w:rPr>
          <w:lang w:val="ru-RU"/>
        </w:rPr>
        <w:t xml:space="preserve"> 关于教会治理，同样应当如此说：虽然在可见层面由牧者负责，但在不可见层面却集中于主身上，祂是恩典之国的君王（约18:36）和众牧者的元首（彼前5:4）。</w:t>
      </w:r>
    </w:p>
    <w:p w14:paraId="33AB19AB" w14:textId="77777777" w:rsidR="00BE1885" w:rsidRPr="006A21F9" w:rsidRDefault="00BE1885" w:rsidP="00BE1885">
      <w:pPr>
        <w:ind w:firstLine="708"/>
        <w:rPr>
          <w:lang w:val="ru-RU"/>
        </w:rPr>
      </w:pPr>
      <w:r w:rsidRPr="006A21F9">
        <w:rPr>
          <w:b/>
          <w:bCs/>
          <w:lang w:val="ru-RU"/>
        </w:rPr>
        <w:t>3)</w:t>
      </w:r>
      <w:r w:rsidRPr="006A21F9">
        <w:rPr>
          <w:lang w:val="ru-RU"/>
        </w:rPr>
        <w:t xml:space="preserve"> 最后，从圣经中那些明确的经文来看，耶稣基督被直接称为教会的元首，而教会则是祂的身体。例如：</w:t>
      </w:r>
      <w:r w:rsidRPr="006A21F9">
        <w:rPr>
          <w:i/>
          <w:iCs/>
          <w:lang w:val="ru-RU"/>
        </w:rPr>
        <w:lastRenderedPageBreak/>
        <w:t>“祂是教会这身体的元首”</w:t>
      </w:r>
      <w:r w:rsidRPr="006A21F9">
        <w:rPr>
          <w:lang w:val="ru-RU"/>
        </w:rPr>
        <w:t xml:space="preserve">（歌罗西书 1:18）； </w:t>
      </w:r>
      <w:r w:rsidRPr="006A21F9">
        <w:rPr>
          <w:i/>
          <w:iCs/>
          <w:lang w:val="ru-RU"/>
        </w:rPr>
        <w:t>“将祂置于万有之上，作教会的头，教会就是祂的身体”</w:t>
      </w:r>
      <w:r w:rsidRPr="006A21F9">
        <w:rPr>
          <w:lang w:val="ru-RU"/>
        </w:rPr>
        <w:t>（以弗所书 1:22-23）；丈夫是妻子的头，正如基督是教会的头，祂也是身体的救主 [(以弗所书 5:23)；另见 (以弗所书 4:11-16)； （歌罗西书 2:19）；（哥林多前书 10:17）；（哥林多前书 12:12）；（罗马书 12:4-5）]。 古代著名的牧者们也如此教导：</w:t>
      </w:r>
      <w:r w:rsidRPr="006A21F9">
        <w:rPr>
          <w:b/>
          <w:bCs/>
          <w:lang w:val="ru-RU"/>
        </w:rPr>
        <w:t>a)</w:t>
      </w:r>
      <w:r w:rsidRPr="006A21F9">
        <w:rPr>
          <w:lang w:val="ru-RU"/>
        </w:rPr>
        <w:t xml:space="preserve"> 圣大巴西勒：“在教会中，唯一的、真正唯一的元首——即基督——将每个肢体在同心合意中维系并结合在一起；”</w:t>
      </w:r>
      <w:r>
        <w:rPr>
          <w:rStyle w:val="FootnoteReference"/>
        </w:rPr>
        <w:footnoteReference w:id="637"/>
      </w:r>
      <w:r w:rsidRPr="006A21F9">
        <w:rPr>
          <w:lang w:val="ru-RU"/>
        </w:rPr>
        <w:t xml:space="preserve"> </w:t>
      </w:r>
      <w:r w:rsidRPr="006A21F9">
        <w:rPr>
          <w:b/>
          <w:bCs/>
          <w:lang w:val="ru-RU"/>
        </w:rPr>
        <w:t>b)</w:t>
      </w:r>
      <w:r w:rsidRPr="006A21F9">
        <w:rPr>
          <w:lang w:val="ru-RU"/>
        </w:rPr>
        <w:t xml:space="preserve"> 圣格里高利·神学家：“唯一的基督——是教会的唯一元首；”</w:t>
      </w:r>
      <w:r>
        <w:rPr>
          <w:rStyle w:val="FootnoteReference"/>
        </w:rPr>
        <w:footnoteReference w:id="638"/>
      </w:r>
      <w:r w:rsidRPr="006A21F9">
        <w:rPr>
          <w:lang w:val="ru-RU"/>
        </w:rPr>
        <w:t xml:space="preserve"> </w:t>
      </w:r>
      <w:r w:rsidRPr="006A21F9">
        <w:rPr>
          <w:b/>
          <w:bCs/>
          <w:lang w:val="ru-RU"/>
        </w:rPr>
        <w:t>c)</w:t>
      </w:r>
      <w:r w:rsidRPr="006A21F9">
        <w:rPr>
          <w:lang w:val="ru-RU"/>
        </w:rPr>
        <w:t xml:space="preserve"> 福者 狄奥多里特：“主基督居于元首之位，信靠祂的人则构成身体，”</w:t>
      </w:r>
      <w:r>
        <w:rPr>
          <w:rStyle w:val="FootnoteReference"/>
        </w:rPr>
        <w:footnoteReference w:id="639"/>
      </w:r>
      <w:r w:rsidRPr="006A21F9">
        <w:rPr>
          <w:lang w:val="ru-RU"/>
        </w:rPr>
        <w:t xml:space="preserve"> 以及其他教父。</w:t>
      </w:r>
      <w:r>
        <w:rPr>
          <w:rStyle w:val="FootnoteReference"/>
        </w:rPr>
        <w:footnoteReference w:id="640"/>
      </w:r>
    </w:p>
    <w:p w14:paraId="460486B8" w14:textId="77777777" w:rsidR="00BE1885" w:rsidRPr="006A21F9" w:rsidRDefault="00BE1885" w:rsidP="00BE1885">
      <w:pPr>
        <w:rPr>
          <w:lang w:val="ru-RU"/>
        </w:rPr>
      </w:pPr>
      <w:r w:rsidRPr="006A21F9">
        <w:rPr>
          <w:lang w:val="ru-RU"/>
        </w:rPr>
        <w:tab/>
        <w:t>至于第二个观点的正确性——即主以祂的神圣恩典赋予教会生命——从第一个观点中已显而易见：因为如果基督确实是教会的元首，而教会是祂的身体，那么祂怎么可能不以祂的大能充满教会呢？ 圣使徒在论及救主时也证实了这一点：</w:t>
      </w:r>
      <w:r w:rsidRPr="006A21F9">
        <w:rPr>
          <w:i/>
          <w:iCs/>
          <w:lang w:val="ru-RU"/>
        </w:rPr>
        <w:t>“又将祂置于万有之上，作教会的元首；教会是祂的身体，是那充满万有者所充满的”</w:t>
      </w:r>
      <w:r w:rsidRPr="006A21F9">
        <w:rPr>
          <w:lang w:val="ru-RU"/>
        </w:rPr>
        <w:t xml:space="preserve">（弗1:23）；并接着说： </w:t>
      </w:r>
      <w:r w:rsidRPr="006A21F9">
        <w:rPr>
          <w:i/>
          <w:iCs/>
          <w:lang w:val="ru-RU"/>
        </w:rPr>
        <w:t>“用真爱使众人归向那位—— ——祂就是基督，是教会之首。教会是祂的身体，由各部分通过各种相互连接的纽带所构成和结合，在每个肢体按其分量发挥作用时，便得以增长，在爱中建立自己”</w:t>
      </w:r>
      <w:r w:rsidRPr="006A21F9">
        <w:rPr>
          <w:lang w:val="ru-RU"/>
        </w:rPr>
        <w:t>（弗4:15-16）。 此外，这一思想还基于救主所作的应许：将至圣圣灵降临人间，使祂永远住在教会中（约14:16-17）——这一应许确实在当时得以应验（徒2）。 自那时起，这位至圣的圣灵——基督的圣灵——首先降临在所有基督教牧者身上，通过圣职圣事，以常驻于他们内心的能力与权柄（提摩太后书 1:14）——使他们能够教导、施行圣礼并牧养属灵的羊群。 其次，祂在洗礼圣事中降临在所有信徒身上，使他们重生，并使他们成为基督奥秘之身的活体；在坚振圣事中，祂赐予他们力量，使他们在属灵生命中得以坚固并逐渐成长；随后，祂也在所有其他圣事中降临。 第三，圣灵降临在所有信徒身上——无论是牧者还是被牧养者，或者更准确地说，祂始终以自己的属灵恩赐（只要他们配得）安息在他们身上，</w:t>
      </w:r>
      <w:r w:rsidRPr="006A21F9">
        <w:rPr>
          <w:i/>
          <w:iCs/>
          <w:lang w:val="ru-RU"/>
        </w:rPr>
        <w:t>即“智慧和聪明的灵，谋略和刚强的灵，知识和敬虔的灵，敬畏神的灵”</w:t>
      </w:r>
      <w:r w:rsidRPr="006A21F9">
        <w:rPr>
          <w:lang w:val="ru-RU"/>
        </w:rPr>
        <w:t xml:space="preserve"> （赛11:2-3）；祂不断在他们心中结出（只要他们不抗拒）属灵的果子</w:t>
      </w:r>
      <w:r w:rsidRPr="006A21F9">
        <w:rPr>
          <w:i/>
          <w:iCs/>
          <w:lang w:val="ru-RU"/>
        </w:rPr>
        <w:t>——“仁爱、喜乐、和平、忍耐、恩慈、良善、信实、温柔、节制”</w:t>
      </w:r>
      <w:r w:rsidRPr="006A21F9">
        <w:rPr>
          <w:lang w:val="ru-RU"/>
        </w:rPr>
        <w:t>（加5:22-23）以及所有其他美德。 最后，祂以自己特殊而非凡的恩赐降临在某些信徒身上</w:t>
      </w:r>
      <w:r w:rsidRPr="006A21F9">
        <w:rPr>
          <w:i/>
          <w:iCs/>
          <w:lang w:val="ru-RU"/>
        </w:rPr>
        <w:t>，“圣灵将智慧的言语赐给一人，将知识的言语赐给另一人，都是同一位圣灵；将信心赐给另一人，也是同一位圣灵；将医病的恩赐赐给另一人，也是同一位圣灵； 又赐给一人行神迹，一人作先知，一人辨别诸灵，一人说方言，一人翻方言”</w:t>
      </w:r>
      <w:r w:rsidRPr="006A21F9">
        <w:rPr>
          <w:lang w:val="ru-RU"/>
        </w:rPr>
        <w:t>（林前12:7-11）。而在圣餐礼中，我们更清晰、更切身地领悟到基督与教会</w:t>
      </w:r>
      <w:r w:rsidRPr="001E4083">
        <w:t>及其所有</w:t>
      </w:r>
      <w:r w:rsidRPr="006A21F9">
        <w:rPr>
          <w:lang w:val="ru-RU"/>
        </w:rPr>
        <w:t>成员的联合： 在这里，每位基督徒都真诚地领受基督的圣体和圣血，并借此将整个基督接纳于己；此后，每个人都能效法使徒所言：</w:t>
      </w:r>
      <w:r w:rsidRPr="006A21F9">
        <w:rPr>
          <w:i/>
          <w:iCs/>
          <w:lang w:val="ru-RU"/>
        </w:rPr>
        <w:t>“不再是我活着，乃是基督在我里面活着”</w:t>
      </w:r>
      <w:r w:rsidRPr="006A21F9">
        <w:rPr>
          <w:lang w:val="ru-RU"/>
        </w:rPr>
        <w:t>（加拉太书 2:20）。 正因如此，信徒们才得以与基督——教会的元首——</w:t>
      </w:r>
      <w:r w:rsidRPr="006A21F9">
        <w:rPr>
          <w:lang w:val="ru-RU"/>
        </w:rPr>
        <w:lastRenderedPageBreak/>
        <w:t>完全合一</w:t>
      </w:r>
      <w:r w:rsidRPr="006A21F9">
        <w:rPr>
          <w:i/>
          <w:iCs/>
          <w:lang w:val="ru-RU"/>
        </w:rPr>
        <w:t>，“全身体由祂而得着，借着各节的联络和结合，渐渐长大，在神里面得着成长”</w:t>
      </w:r>
      <w:r w:rsidRPr="006A21F9">
        <w:rPr>
          <w:lang w:val="ru-RU"/>
        </w:rPr>
        <w:t xml:space="preserve"> （歌罗西书 2:19），也源于信徒彼此之间的完全合一：因为他们全都由同一位圣灵所赐生命（哥林多前书 12:13），活在同一位基督里，虽然人数众多，却构成一个身体（哥林多前书 12:12）。</w:t>
      </w:r>
    </w:p>
    <w:p w14:paraId="36B11344" w14:textId="77777777" w:rsidR="00BE1885" w:rsidRPr="006A21F9" w:rsidRDefault="00BE1885" w:rsidP="00BE1885">
      <w:pPr>
        <w:rPr>
          <w:lang w:val="ru-RU"/>
        </w:rPr>
      </w:pPr>
    </w:p>
    <w:p w14:paraId="423CEA0D" w14:textId="77777777" w:rsidR="00BE1885" w:rsidRPr="006A21F9" w:rsidRDefault="00BE1885" w:rsidP="00BE1885">
      <w:pPr>
        <w:pStyle w:val="Heading4"/>
        <w:rPr>
          <w:lang w:val="ru-RU"/>
        </w:rPr>
      </w:pPr>
      <w:r w:rsidRPr="006A21F9">
        <w:rPr>
          <w:lang w:val="ru-RU"/>
        </w:rPr>
        <w:tab/>
      </w:r>
      <w:bookmarkStart w:id="500" w:name="_Toc133142604"/>
      <w:bookmarkStart w:id="501" w:name="_Toc133142936"/>
      <w:bookmarkStart w:id="502" w:name="_Toc133166293"/>
      <w:bookmarkStart w:id="503" w:name="_Toc182221503"/>
      <w:bookmarkStart w:id="504" w:name="_Toc238453070"/>
      <w:bookmarkStart w:id="505" w:name="_Toc238453870"/>
      <w:bookmarkStart w:id="506" w:name="_Toc238454324"/>
      <w:bookmarkStart w:id="507" w:name="_Toc238466406"/>
      <w:bookmarkStart w:id="508" w:name="_Toc238576530"/>
      <w:r w:rsidRPr="001E4083">
        <w:rPr>
          <w:bCs/>
        </w:rPr>
        <w:t>III</w:t>
      </w:r>
      <w:r w:rsidRPr="006A21F9">
        <w:rPr>
          <w:bCs/>
          <w:lang w:val="ru-RU"/>
        </w:rPr>
        <w:t>.</w:t>
      </w:r>
      <w:r w:rsidRPr="006A21F9">
        <w:rPr>
          <w:lang w:val="ru-RU"/>
        </w:rPr>
        <w:t xml:space="preserve"> 关于教会的本质及其本质属性</w:t>
      </w:r>
      <w:bookmarkEnd w:id="500"/>
      <w:bookmarkEnd w:id="501"/>
      <w:bookmarkEnd w:id="502"/>
      <w:bookmarkEnd w:id="503"/>
      <w:bookmarkEnd w:id="504"/>
      <w:bookmarkEnd w:id="505"/>
      <w:bookmarkEnd w:id="506"/>
      <w:bookmarkEnd w:id="507"/>
      <w:bookmarkEnd w:id="508"/>
    </w:p>
    <w:p w14:paraId="35EBC01A" w14:textId="77777777" w:rsidR="00BE1885" w:rsidRPr="006A21F9" w:rsidRDefault="00BE1885" w:rsidP="00BE1885">
      <w:pPr>
        <w:rPr>
          <w:lang w:val="ru-RU"/>
        </w:rPr>
      </w:pPr>
    </w:p>
    <w:p w14:paraId="303574F2" w14:textId="77777777" w:rsidR="00BE1885" w:rsidRPr="006A21F9" w:rsidRDefault="00BE1885" w:rsidP="00BE1885">
      <w:pPr>
        <w:pStyle w:val="Heading5"/>
        <w:rPr>
          <w:lang w:val="ru-RU"/>
        </w:rPr>
      </w:pPr>
      <w:bookmarkStart w:id="509" w:name="_Toc133142937"/>
      <w:bookmarkStart w:id="510" w:name="_Toc133166294"/>
      <w:bookmarkStart w:id="511" w:name="_Toc182221504"/>
      <w:bookmarkStart w:id="512" w:name="_Toc238453071"/>
      <w:bookmarkStart w:id="513" w:name="_Toc238453871"/>
      <w:bookmarkStart w:id="514" w:name="_Toc238576531"/>
      <w:r w:rsidRPr="006A21F9">
        <w:rPr>
          <w:bCs/>
          <w:lang w:val="ru-RU"/>
        </w:rPr>
        <w:t>§177.</w:t>
      </w:r>
      <w:r w:rsidRPr="006A21F9">
        <w:rPr>
          <w:lang w:val="ru-RU"/>
        </w:rPr>
        <w:t xml:space="preserve"> 关于教会本质的概念</w:t>
      </w:r>
      <w:r w:rsidRPr="001E4083">
        <w:t>及其</w:t>
      </w:r>
      <w:r w:rsidRPr="006A21F9">
        <w:rPr>
          <w:lang w:val="ru-RU"/>
        </w:rPr>
        <w:t>本质属性的归纳</w:t>
      </w:r>
      <w:bookmarkEnd w:id="509"/>
      <w:bookmarkEnd w:id="510"/>
      <w:bookmarkEnd w:id="511"/>
      <w:bookmarkEnd w:id="512"/>
      <w:bookmarkEnd w:id="513"/>
      <w:bookmarkEnd w:id="514"/>
    </w:p>
    <w:p w14:paraId="0DD4370B" w14:textId="77777777" w:rsidR="00BE1885" w:rsidRPr="006A21F9" w:rsidRDefault="00BE1885" w:rsidP="00BE1885">
      <w:pPr>
        <w:ind w:firstLine="708"/>
        <w:rPr>
          <w:lang w:val="ru-RU"/>
        </w:rPr>
      </w:pPr>
      <w:r w:rsidRPr="006A21F9">
        <w:rPr>
          <w:lang w:val="ru-RU"/>
        </w:rPr>
        <w:t>基于迄今所阐述的关于教会、</w:t>
      </w:r>
      <w:r w:rsidRPr="001E4083">
        <w:t>其</w:t>
      </w:r>
      <w:r w:rsidRPr="006A21F9">
        <w:rPr>
          <w:lang w:val="ru-RU"/>
        </w:rPr>
        <w:t>起源、范围与宗旨、</w:t>
      </w:r>
      <w:r w:rsidRPr="001E4083">
        <w:t>其</w:t>
      </w:r>
      <w:r w:rsidRPr="006A21F9">
        <w:rPr>
          <w:lang w:val="ru-RU"/>
        </w:rPr>
        <w:t>构成及内部组织的一切教义，自然衍生出对教会本质的完整理解及其本质属性的教义。</w:t>
      </w:r>
    </w:p>
    <w:p w14:paraId="21504D48" w14:textId="77777777" w:rsidR="00BE1885" w:rsidRPr="006A21F9" w:rsidRDefault="00BE1885" w:rsidP="00BE1885">
      <w:pPr>
        <w:rPr>
          <w:lang w:val="ru-RU"/>
        </w:rPr>
      </w:pPr>
      <w:r w:rsidRPr="006A21F9">
        <w:rPr>
          <w:lang w:val="ru-RU"/>
        </w:rPr>
        <w:tab/>
        <w:t>关于教会整体本质的概念可表述如下：教会是由信奉正统信仰并受洗归入耶稣基督的信徒所组成的团体（§168），由基督亲自直接及通过圣使徒们所建立（§167）， 并由祂亲自赋予生命，引领至永恒的生命（§§176, 169）；在可见层面——通过属灵的牧者：借着教导、圣礼和治理（§§172, 169），而在不可见层面——则借着全能圣灵的恩典（§176）。</w:t>
      </w:r>
    </w:p>
    <w:p w14:paraId="20B1840C" w14:textId="77777777" w:rsidR="00BE1885" w:rsidRPr="006A21F9" w:rsidRDefault="00BE1885" w:rsidP="00BE1885">
      <w:pPr>
        <w:rPr>
          <w:lang w:val="ru-RU"/>
        </w:rPr>
      </w:pPr>
      <w:r w:rsidRPr="006A21F9">
        <w:rPr>
          <w:lang w:val="ru-RU"/>
        </w:rPr>
        <w:tab/>
        <w:t>教会的本质属性在《尼西亚-君士坦丁堡信经》中有所列举，其中称教会为：唯一、圣洁、普世和使徒的。</w:t>
      </w:r>
    </w:p>
    <w:p w14:paraId="55237F60" w14:textId="77777777" w:rsidR="00BE1885" w:rsidRPr="006A21F9" w:rsidRDefault="00BE1885" w:rsidP="00BE1885">
      <w:pPr>
        <w:rPr>
          <w:lang w:val="ru-RU"/>
        </w:rPr>
      </w:pPr>
      <w:r w:rsidRPr="006A21F9">
        <w:rPr>
          <w:lang w:val="ru-RU"/>
        </w:rPr>
        <w:tab/>
      </w:r>
    </w:p>
    <w:p w14:paraId="4DDA567F" w14:textId="77777777" w:rsidR="00BE1885" w:rsidRPr="006A21F9" w:rsidRDefault="00BE1885" w:rsidP="00BE1885">
      <w:pPr>
        <w:pStyle w:val="Heading5"/>
        <w:rPr>
          <w:lang w:val="ru-RU"/>
        </w:rPr>
      </w:pPr>
      <w:bookmarkStart w:id="515" w:name="_Toc133142938"/>
      <w:bookmarkStart w:id="516" w:name="_Toc133166295"/>
      <w:bookmarkStart w:id="517" w:name="_Toc182221505"/>
      <w:bookmarkStart w:id="518" w:name="_Toc238453072"/>
      <w:bookmarkStart w:id="519" w:name="_Toc238453872"/>
      <w:bookmarkStart w:id="520" w:name="_Toc238576532"/>
      <w:r w:rsidRPr="006A21F9">
        <w:rPr>
          <w:lang w:val="ru-RU"/>
        </w:rPr>
        <w:t>§178. 教会是合一的</w:t>
      </w:r>
      <w:bookmarkEnd w:id="515"/>
      <w:bookmarkEnd w:id="516"/>
      <w:bookmarkEnd w:id="517"/>
      <w:bookmarkEnd w:id="518"/>
      <w:bookmarkEnd w:id="519"/>
      <w:bookmarkEnd w:id="520"/>
    </w:p>
    <w:p w14:paraId="4C35310F"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教会是合一的：</w:t>
      </w:r>
    </w:p>
    <w:p w14:paraId="2FA7EE02" w14:textId="77777777" w:rsidR="00BE1885" w:rsidRPr="006A21F9" w:rsidRDefault="00BE1885" w:rsidP="00BE1885">
      <w:pPr>
        <w:ind w:firstLine="708"/>
        <w:rPr>
          <w:lang w:val="ru-RU"/>
        </w:rPr>
      </w:pPr>
      <w:r w:rsidRPr="006A21F9">
        <w:rPr>
          <w:b/>
          <w:bCs/>
          <w:lang w:val="ru-RU"/>
        </w:rPr>
        <w:t xml:space="preserve">1) </w:t>
      </w:r>
      <w:r w:rsidRPr="006A21F9">
        <w:rPr>
          <w:lang w:val="ru-RU"/>
        </w:rPr>
        <w:t>从其起源和根基而言。主耶稣只愿建立一个教会 （太16:18），并在用比喻描述教会时，仅提及一个羊群、一个羊圈（约10:16）、一棵葡萄树（约15:1-7）以及一个在地上建立的天国（太13:24-47）。 而根据使徒的教导，祂自己也成为了教会的唯一根基（林前3:11）和房角石（弗2:20）。</w:t>
      </w:r>
    </w:p>
    <w:p w14:paraId="5862893C" w14:textId="77777777" w:rsidR="00BE1885" w:rsidRPr="006A21F9" w:rsidRDefault="00BE1885" w:rsidP="00BE1885">
      <w:pPr>
        <w:ind w:firstLine="708"/>
        <w:rPr>
          <w:lang w:val="ru-RU"/>
        </w:rPr>
      </w:pPr>
      <w:r w:rsidRPr="006A21F9">
        <w:rPr>
          <w:b/>
          <w:bCs/>
          <w:lang w:val="ru-RU"/>
        </w:rPr>
        <w:t xml:space="preserve">2) </w:t>
      </w:r>
      <w:r w:rsidRPr="006A21F9">
        <w:rPr>
          <w:lang w:val="ru-RU"/>
        </w:rPr>
        <w:t>从其结构上，包括外部和内部结构。就外部结构而言，信徒因此被分为牧者与被牧者。前者有义务传授同一套神圣教义，施行相同的圣礼，并在治理中遵循相同的圣律； 后者则有义务从牧者那里接受教导，领受他们所施的圣化，服从他们的属灵治理：由此必然会在牧者之间以及所有信徒之间产生信仰、盼望和爱的合一（弗4:3-4）。 内在的，即主耶稣以同一恩典渗透并活化所有信靠祂的人，将他们联合在祂自己里面，作为教会的真元首（以弗所书 5:23）， ——因此，信徒们借着这种双重联结，确实是一个身体、一个圣灵（以弗所书 4:4）。但如果因某些教会成员的软弱和滥用职权，我们在实际经历中未能看到这种本应源于</w:t>
      </w:r>
      <w:r w:rsidRPr="001E4083">
        <w:t>教会自身</w:t>
      </w:r>
      <w:r w:rsidRPr="006A21F9">
        <w:rPr>
          <w:lang w:val="ru-RU"/>
        </w:rPr>
        <w:t>结构的完美合一，那么教会仍然是合一的——</w:t>
      </w:r>
    </w:p>
    <w:p w14:paraId="573799B6" w14:textId="77777777" w:rsidR="00BE1885" w:rsidRPr="006A21F9" w:rsidRDefault="00BE1885" w:rsidP="00BE1885">
      <w:pPr>
        <w:ind w:firstLine="708"/>
        <w:rPr>
          <w:lang w:val="ru-RU"/>
        </w:rPr>
      </w:pPr>
      <w:r w:rsidRPr="006A21F9">
        <w:rPr>
          <w:b/>
          <w:bCs/>
          <w:lang w:val="ru-RU"/>
        </w:rPr>
        <w:t>3）</w:t>
      </w:r>
      <w:r w:rsidRPr="006A21F9">
        <w:rPr>
          <w:lang w:val="ru-RU"/>
        </w:rPr>
        <w:t>就其目标而言。救主基督在向天父的祷告中表达了这一目标：</w:t>
      </w:r>
      <w:r w:rsidRPr="006A21F9">
        <w:rPr>
          <w:i/>
          <w:iCs/>
          <w:lang w:val="ru-RU"/>
        </w:rPr>
        <w:t>“使他们合而为一，正如你，父啊，在我里面，我在你里面，使他们也在我们里面合而为一……我在他们里面，你在我里面，使他们完完全全地合而为一”</w:t>
      </w:r>
      <w:r w:rsidRPr="006A21F9">
        <w:rPr>
          <w:lang w:val="ru-RU"/>
        </w:rPr>
        <w:t>（约17:21-23）。 据此，祂赐给教会牧者与教师</w:t>
      </w:r>
      <w:r w:rsidRPr="006A21F9">
        <w:rPr>
          <w:i/>
          <w:iCs/>
          <w:lang w:val="ru-RU"/>
        </w:rPr>
        <w:t>，“为要建立基督的身体，直等到我们众人在真道上同归于一”</w:t>
      </w:r>
      <w:r w:rsidRPr="006A21F9">
        <w:rPr>
          <w:lang w:val="ru-RU"/>
        </w:rPr>
        <w:t>（以弗所书 4:12-13）。教会正是为了这一目标——即信徒之间以及信徒与主耶稣之间的完全合一——而引导其所有成员。</w:t>
      </w:r>
    </w:p>
    <w:p w14:paraId="0B10CFE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教会的圣父们和教师们一致教导说，教会的合一是其本质属性。例如，以下这些箴言：</w:t>
      </w:r>
    </w:p>
    <w:p w14:paraId="1F05BE1F" w14:textId="77777777" w:rsidR="00BE1885" w:rsidRPr="006A21F9" w:rsidRDefault="00BE1885" w:rsidP="00BE1885">
      <w:pPr>
        <w:rPr>
          <w:lang w:val="ru-RU"/>
        </w:rPr>
      </w:pPr>
      <w:r w:rsidRPr="006A21F9">
        <w:rPr>
          <w:lang w:val="ru-RU"/>
        </w:rPr>
        <w:tab/>
        <w:t>罗马的圣克利门特：“你们为何有纷争、怨恨、分歧、分裂和争吵？ 难道我们的上帝不是一位，基督不是一位，倾注在我们身上的恩典之灵不是一位，我们在基督里的呼召</w:t>
      </w:r>
      <w:r w:rsidRPr="006A21F9">
        <w:rPr>
          <w:lang w:val="ru-RU"/>
        </w:rPr>
        <w:lastRenderedPageBreak/>
        <w:t>不是同一的吗？我们为何要撕裂和分裂基督的肢体，背叛自己的身体，甚至陷入如此疯狂的境地，以至于忘记了我们彼此是肢体？”</w:t>
      </w:r>
      <w:r>
        <w:rPr>
          <w:rStyle w:val="FootnoteReference"/>
        </w:rPr>
        <w:footnoteReference w:id="641"/>
      </w:r>
    </w:p>
    <w:p w14:paraId="3A5B6AE0" w14:textId="77777777" w:rsidR="00BE1885" w:rsidRPr="006A21F9" w:rsidRDefault="00BE1885" w:rsidP="00BE1885">
      <w:pPr>
        <w:rPr>
          <w:lang w:val="ru-RU"/>
        </w:rPr>
      </w:pPr>
      <w:r w:rsidRPr="006A21F9">
        <w:rPr>
          <w:lang w:val="ru-RU"/>
        </w:rPr>
        <w:tab/>
        <w:t>圣爱任纽： “虽然教会散布于整个宇宙，直到地极，但她从使徒及其门徒那里领受了对独一上帝——全能之父……的信仰，以及对独一耶稣基督——为我们的救赎而道成肉身的上帝之子——的信仰，还有对圣灵的信仰，圣灵曾借先知们预言了救赎之家的建立…… 接受了这样的宣讲和这样的信仰，教会——正如我们所说——虽然散布于世界各地，却像居住在同一个家中一样，精心守护着它；像拥有同一个灵魂和同一颗心一样，对这一点怀有相同的信仰；并像拥有同一张嘴一样，一致地宣讲、教导并传承这一点。 尽管世上有无数种方言，但传承的力量却是相同的。 无论是在德国、伊维里亚、凯尔特人中间建立的教会，还是在东方、埃及、利比亚以及世界中心（即耶路撒冷及其他位于巴勒斯坦的教会，按当时基督徒的看法）建立的教会，它们的信仰和宣讲都毫无二致。 但正如太阳——这一上帝的造物——在整个世界中都是一样的：同样，真理的宣讲也无处不在地闪耀，并照亮所有渴望认识真理的人。”</w:t>
      </w:r>
      <w:r>
        <w:rPr>
          <w:rStyle w:val="FootnoteReference"/>
        </w:rPr>
        <w:footnoteReference w:id="642"/>
      </w:r>
    </w:p>
    <w:p w14:paraId="601FF561" w14:textId="77777777" w:rsidR="00BE1885" w:rsidRPr="006A21F9" w:rsidRDefault="00BE1885" w:rsidP="00BE1885">
      <w:pPr>
        <w:rPr>
          <w:lang w:val="ru-RU"/>
        </w:rPr>
      </w:pPr>
      <w:r w:rsidRPr="006A21F9">
        <w:rPr>
          <w:lang w:val="ru-RU"/>
        </w:rPr>
        <w:tab/>
        <w:t>特土良：“任何事物都应以其本源来评判。 因此，如此众多且各不相同的教会共同构成了由使徒们建立的那个最初的教会，一切皆源于此。当它们都展现出同一的合一，当它们之间存在和平的交通、兄弟情谊的称谓以及相互款待时，它们都是最初的，都是使徒的。”</w:t>
      </w:r>
      <w:r>
        <w:rPr>
          <w:rStyle w:val="FootnoteReference"/>
        </w:rPr>
        <w:footnoteReference w:id="643"/>
      </w:r>
    </w:p>
    <w:p w14:paraId="45157A8E" w14:textId="77777777" w:rsidR="00BE1885" w:rsidRPr="006A21F9" w:rsidRDefault="00BE1885" w:rsidP="00BE1885">
      <w:pPr>
        <w:rPr>
          <w:lang w:val="ru-RU"/>
        </w:rPr>
      </w:pPr>
      <w:r w:rsidRPr="006A21F9">
        <w:rPr>
          <w:lang w:val="ru-RU"/>
        </w:rPr>
        <w:tab/>
        <w:t>亚历山大的克利门特：“真正的教会，真正古老的教会，只有一个……因为正如只有一位上帝、一位主一样：真正的尊严也通过合一体现出来，这正是唯一本源的写照。 因此，那被异端竭力分裂成许多部分的唯一教会，其（合一）恰似独一者的本性。我们称古老的普世</w:t>
      </w:r>
      <w:r w:rsidRPr="001E4083">
        <w:t>教会</w:t>
      </w:r>
      <w:r w:rsidRPr="006A21F9">
        <w:rPr>
          <w:lang w:val="ru-RU"/>
        </w:rPr>
        <w:t>为唯一，无论从</w:t>
      </w:r>
      <w:r w:rsidRPr="001E4083">
        <w:t>其</w:t>
      </w:r>
      <w:r w:rsidRPr="006A21F9">
        <w:rPr>
          <w:lang w:val="ru-RU"/>
        </w:rPr>
        <w:t>本质、概念、起源还是卓越性而言。”</w:t>
      </w:r>
      <w:r>
        <w:rPr>
          <w:rStyle w:val="FootnoteReference"/>
        </w:rPr>
        <w:footnoteReference w:id="644"/>
      </w:r>
    </w:p>
    <w:p w14:paraId="640B7E23" w14:textId="77777777" w:rsidR="00BE1885" w:rsidRPr="006A21F9" w:rsidRDefault="00BE1885" w:rsidP="00BE1885">
      <w:pPr>
        <w:rPr>
          <w:lang w:val="ru-RU"/>
        </w:rPr>
      </w:pPr>
      <w:r w:rsidRPr="006A21F9">
        <w:rPr>
          <w:lang w:val="ru-RU"/>
        </w:rPr>
        <w:tab/>
        <w:t>圣基普里安：“主教职仅有一个，每位神职人员都可以成为其参与者。教会也是唯一的，尽管随着信仰的传播，</w:t>
      </w:r>
      <w:r w:rsidRPr="001E4083">
        <w:t>其</w:t>
      </w:r>
      <w:r w:rsidRPr="006A21F9">
        <w:rPr>
          <w:lang w:val="ru-RU"/>
        </w:rPr>
        <w:t>成员已变得非常众多：正如太阳的光芒虽然众多，但太阳只有一个；树上的枝条虽多，但树只有一棵，扎根于根基之上； 又或者，虽然从同一泉源涌出许多溪流，形成汹涌的洪流，但其源头始终保持着统一。若将阳光从其源头移开，被移开的光线便无法独立存在；若将树枝从树上折断，被折断的树枝便无法继续生长；若截断从泉源流出的溪流，被截断的溪流便会干涸。 同样，教会虽以主的荣光照耀，并将光芒散布至整个地球；但那将光芒普照四方的光源仅有一个，因此身体的合一并未因此而破裂。 她将结满果实的枝条伸展至</w:t>
      </w:r>
      <w:r w:rsidRPr="001E4083">
        <w:t>全地</w:t>
      </w:r>
      <w:r w:rsidRPr="0097554A">
        <w:rPr>
          <w:lang w:val="ru-RU"/>
        </w:rPr>
        <w:t>，</w:t>
      </w:r>
      <w:r w:rsidRPr="001E4083">
        <w:t>她的</w:t>
      </w:r>
      <w:r w:rsidRPr="006A21F9">
        <w:rPr>
          <w:lang w:val="ru-RU"/>
        </w:rPr>
        <w:t>溪流流向遥远之地；尽管如此，始终只有一个源头、一个起始、一位母亲，她丰盛地孕育着属灵的果实。”</w:t>
      </w:r>
      <w:r>
        <w:rPr>
          <w:rStyle w:val="FootnoteReference"/>
        </w:rPr>
        <w:footnoteReference w:id="645"/>
      </w:r>
    </w:p>
    <w:p w14:paraId="27F2FBC7" w14:textId="77777777" w:rsidR="00BE1885" w:rsidRPr="006A21F9" w:rsidRDefault="00BE1885" w:rsidP="00BE1885">
      <w:pPr>
        <w:rPr>
          <w:lang w:val="ru-RU"/>
        </w:rPr>
      </w:pPr>
      <w:r w:rsidRPr="006A21F9">
        <w:rPr>
          <w:lang w:val="ru-RU"/>
        </w:rPr>
        <w:lastRenderedPageBreak/>
        <w:tab/>
        <w:t>同样如此教导的还有：伊格纳提乌斯·神承者（Ignatius the God-bearer），</w:t>
      </w:r>
      <w:r>
        <w:rPr>
          <w:rStyle w:val="FootnoteReference"/>
        </w:rPr>
        <w:footnoteReference w:id="646"/>
      </w:r>
      <w:r w:rsidRPr="006A21F9">
        <w:rPr>
          <w:lang w:val="ru-RU"/>
        </w:rPr>
        <w:t xml:space="preserve"> ；尤斯丁（Justin），</w:t>
      </w:r>
      <w:r>
        <w:rPr>
          <w:rStyle w:val="FootnoteReference"/>
        </w:rPr>
        <w:footnoteReference w:id="647"/>
      </w:r>
      <w:r w:rsidRPr="006A21F9">
        <w:rPr>
          <w:lang w:val="ru-RU"/>
        </w:rPr>
        <w:t xml:space="preserve"> ；优西比乌（Eusebius），</w:t>
      </w:r>
      <w:r>
        <w:rPr>
          <w:rStyle w:val="FootnoteReference"/>
        </w:rPr>
        <w:footnoteReference w:id="648"/>
      </w:r>
      <w:r w:rsidRPr="006A21F9">
        <w:rPr>
          <w:lang w:val="ru-RU"/>
        </w:rPr>
        <w:t xml:space="preserve"> ；伊拉里乌斯（Hilary），</w:t>
      </w:r>
      <w:r>
        <w:rPr>
          <w:rStyle w:val="FootnoteReference"/>
        </w:rPr>
        <w:footnoteReference w:id="649"/>
      </w:r>
      <w:r w:rsidRPr="006A21F9">
        <w:rPr>
          <w:lang w:val="ru-RU"/>
        </w:rPr>
        <w:t xml:space="preserve"> ；埃皮法尼乌斯（Epiphanius），</w:t>
      </w:r>
      <w:r>
        <w:rPr>
          <w:rStyle w:val="FootnoteReference"/>
        </w:rPr>
        <w:footnoteReference w:id="650"/>
      </w:r>
      <w:r w:rsidRPr="006A21F9">
        <w:rPr>
          <w:lang w:val="ru-RU"/>
        </w:rPr>
        <w:t xml:space="preserve"> ；杰罗姆（Jerome），</w:t>
      </w:r>
      <w:r>
        <w:rPr>
          <w:rStyle w:val="FootnoteReference"/>
        </w:rPr>
        <w:footnoteReference w:id="651"/>
      </w:r>
      <w:r w:rsidRPr="006A21F9">
        <w:rPr>
          <w:lang w:val="ru-RU"/>
        </w:rPr>
        <w:t xml:space="preserve"> ；奥古斯丁（Augustine），</w:t>
      </w:r>
      <w:r>
        <w:rPr>
          <w:rStyle w:val="FootnoteReference"/>
        </w:rPr>
        <w:footnoteReference w:id="652"/>
      </w:r>
      <w:r w:rsidRPr="006A21F9">
        <w:rPr>
          <w:lang w:val="ru-RU"/>
        </w:rPr>
        <w:t xml:space="preserve"> ；狄奥多里特（Theodoret）。</w:t>
      </w:r>
      <w:r>
        <w:rPr>
          <w:rStyle w:val="FootnoteReference"/>
        </w:rPr>
        <w:footnoteReference w:id="653"/>
      </w:r>
    </w:p>
    <w:p w14:paraId="2FB1CC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试图将基督的唯一教会一分为二——即可见的教会与不可见的教会——这种想法是不公正的，因为这教会就其本质而言，既是可见的，也是不可见的，既是身体，也是圣灵（《基督教教理问答》</w:t>
      </w:r>
      <w:r w:rsidRPr="001E4083">
        <w:t>第九条</w:t>
      </w:r>
      <w:r w:rsidRPr="006A21F9">
        <w:rPr>
          <w:lang w:val="ru-RU"/>
        </w:rPr>
        <w:t>）。 可见：因为</w:t>
      </w:r>
      <w:r w:rsidRPr="006A21F9">
        <w:rPr>
          <w:b/>
          <w:bCs/>
          <w:lang w:val="ru-RU"/>
        </w:rPr>
        <w:t>——a)</w:t>
      </w:r>
      <w:r w:rsidRPr="006A21F9">
        <w:rPr>
          <w:lang w:val="ru-RU"/>
        </w:rPr>
        <w:t xml:space="preserve"> 由可见的成员——即人——组成，其中不仅包括我们所不知的义人，也包括罪人；</w:t>
      </w:r>
      <w:r w:rsidRPr="006A21F9">
        <w:rPr>
          <w:b/>
          <w:bCs/>
          <w:lang w:val="ru-RU"/>
        </w:rPr>
        <w:t>b)</w:t>
      </w:r>
      <w:r w:rsidRPr="006A21F9">
        <w:rPr>
          <w:lang w:val="ru-RU"/>
        </w:rPr>
        <w:t xml:space="preserve"> 拥有可见的等级制度及其可见的组织结构； </w:t>
      </w:r>
      <w:r w:rsidRPr="006A21F9">
        <w:rPr>
          <w:b/>
          <w:bCs/>
          <w:lang w:val="ru-RU"/>
        </w:rPr>
        <w:t>c)</w:t>
      </w:r>
      <w:r w:rsidRPr="006A21F9">
        <w:rPr>
          <w:lang w:val="ru-RU"/>
        </w:rPr>
        <w:t xml:space="preserve"> 通过外在感官可感知的方式宣讲并见证基督的信仰，施行圣礼，并引导信徒走向虔诚与救赎。 不可见：</w:t>
      </w:r>
      <w:r w:rsidRPr="006A21F9">
        <w:rPr>
          <w:b/>
          <w:bCs/>
          <w:lang w:val="ru-RU"/>
        </w:rPr>
        <w:t>因为——a)</w:t>
      </w:r>
      <w:r w:rsidRPr="006A21F9">
        <w:rPr>
          <w:lang w:val="ru-RU"/>
        </w:rPr>
        <w:t xml:space="preserve"> 拥有不可见的元首——主耶稣本人；</w:t>
      </w:r>
      <w:r w:rsidRPr="006A21F9">
        <w:rPr>
          <w:b/>
          <w:bCs/>
          <w:lang w:val="ru-RU"/>
        </w:rPr>
        <w:t xml:space="preserve">b) </w:t>
      </w:r>
      <w:r w:rsidRPr="006A21F9">
        <w:rPr>
          <w:lang w:val="ru-RU"/>
        </w:rPr>
        <w:t>以不可见的方式赋予生命，并藉圣灵的恩典使众人成圣；</w:t>
      </w:r>
      <w:r w:rsidRPr="006A21F9">
        <w:rPr>
          <w:b/>
          <w:bCs/>
          <w:lang w:val="ru-RU"/>
        </w:rPr>
        <w:t xml:space="preserve">c) </w:t>
      </w:r>
      <w:r w:rsidRPr="006A21F9">
        <w:rPr>
          <w:lang w:val="ru-RU"/>
        </w:rPr>
        <w:t>在其深处拥有神的圣徒，唯独主看见并认识他们，视他们为自己的（提后2:19）。 这种对不可分割的基督教会的不公正划分，是那些思想不正者</w:t>
      </w:r>
      <w:r>
        <w:rPr>
          <w:rStyle w:val="FootnoteReference"/>
        </w:rPr>
        <w:footnoteReference w:id="654"/>
      </w:r>
      <w:r w:rsidRPr="006A21F9">
        <w:rPr>
          <w:lang w:val="ru-RU"/>
        </w:rPr>
        <w:t xml:space="preserve"> 为了自我安慰而杜撰出来的，他们声称只要属于看不见的教会——即属于圣徒或神的选民之列——就足以获得救赎，即使我们不属于可见的教会。 但若不属于后者，就不可能属于前者：因为唯有在这后者之中，人才能在洗礼圣事中重生并得着成圣；才能在坚振圣事中获得关乎生命与虔敬的神圣力量；才能在圣餐圣事中真正与基督联合。 唯有在这里——在可见的教会中，基督的真道才由合法按立的牧者保存并宣讲，因此，唯有在这里才可能拥有正统的信仰（参见第170节）。</w:t>
      </w:r>
    </w:p>
    <w:p w14:paraId="530B71B9" w14:textId="77777777" w:rsidR="00BE1885" w:rsidRPr="006A21F9" w:rsidRDefault="00BE1885" w:rsidP="00BE1885">
      <w:pPr>
        <w:rPr>
          <w:lang w:val="ru-RU"/>
        </w:rPr>
      </w:pPr>
      <w:r w:rsidRPr="006A21F9">
        <w:rPr>
          <w:lang w:val="ru-RU"/>
        </w:rPr>
        <w:tab/>
      </w:r>
    </w:p>
    <w:p w14:paraId="7916B373" w14:textId="77777777" w:rsidR="00BE1885" w:rsidRPr="006A21F9" w:rsidRDefault="00BE1885" w:rsidP="00BE1885">
      <w:pPr>
        <w:pStyle w:val="Heading5"/>
        <w:rPr>
          <w:lang w:val="ru-RU"/>
        </w:rPr>
      </w:pPr>
      <w:bookmarkStart w:id="521" w:name="_Toc133142939"/>
      <w:bookmarkStart w:id="522" w:name="_Toc133166296"/>
      <w:bookmarkStart w:id="523" w:name="_Toc182221506"/>
      <w:bookmarkStart w:id="524" w:name="_Toc238453073"/>
      <w:bookmarkStart w:id="525" w:name="_Toc238453873"/>
      <w:bookmarkStart w:id="526" w:name="_Toc238576533"/>
      <w:r w:rsidRPr="006A21F9">
        <w:rPr>
          <w:lang w:val="ru-RU"/>
        </w:rPr>
        <w:t>§179. 教会——圣洁的</w:t>
      </w:r>
      <w:bookmarkEnd w:id="521"/>
      <w:bookmarkEnd w:id="522"/>
      <w:bookmarkEnd w:id="523"/>
      <w:bookmarkEnd w:id="524"/>
      <w:bookmarkEnd w:id="525"/>
      <w:bookmarkEnd w:id="526"/>
    </w:p>
    <w:p w14:paraId="76EF3C88" w14:textId="77777777" w:rsidR="00BE1885" w:rsidRPr="006A21F9" w:rsidRDefault="00BE1885" w:rsidP="00BE1885">
      <w:pPr>
        <w:ind w:firstLine="708"/>
        <w:rPr>
          <w:lang w:val="ru-RU"/>
        </w:rPr>
      </w:pPr>
      <w:r w:rsidRPr="006A21F9">
        <w:rPr>
          <w:lang w:val="ru-RU"/>
        </w:rPr>
        <w:t>教会是圣洁的：</w:t>
      </w:r>
    </w:p>
    <w:p w14:paraId="52F2340D" w14:textId="77777777" w:rsidR="00BE1885" w:rsidRPr="006A21F9" w:rsidRDefault="00BE1885" w:rsidP="00BE1885">
      <w:pPr>
        <w:ind w:firstLine="708"/>
        <w:rPr>
          <w:lang w:val="ru-RU"/>
        </w:rPr>
      </w:pPr>
      <w:r w:rsidRPr="006A21F9">
        <w:rPr>
          <w:b/>
          <w:bCs/>
          <w:lang w:val="ru-RU"/>
        </w:rPr>
        <w:t>1）</w:t>
      </w:r>
      <w:r w:rsidRPr="006A21F9">
        <w:rPr>
          <w:lang w:val="ru-RU"/>
        </w:rPr>
        <w:t>就其起源与</w:t>
      </w:r>
      <w:r w:rsidRPr="003F37DB">
        <w:rPr>
          <w:b/>
          <w:bCs/>
          <w:lang w:val="ru-RU"/>
        </w:rPr>
        <w:t>根基</w:t>
      </w:r>
      <w:r w:rsidRPr="006A21F9">
        <w:rPr>
          <w:lang w:val="ru-RU"/>
        </w:rPr>
        <w:t xml:space="preserve">而言： </w:t>
      </w:r>
      <w:r w:rsidRPr="006A21F9">
        <w:rPr>
          <w:i/>
          <w:iCs/>
          <w:lang w:val="ru-RU"/>
        </w:rPr>
        <w:t>“你们不再是外人，也不是客旅</w:t>
      </w:r>
      <w:r w:rsidRPr="006A21F9">
        <w:rPr>
          <w:lang w:val="ru-RU"/>
        </w:rPr>
        <w:t>，”圣使徒在致以弗所人的书信中写道</w:t>
      </w:r>
      <w:r w:rsidRPr="006A21F9">
        <w:rPr>
          <w:i/>
          <w:iCs/>
          <w:lang w:val="ru-RU"/>
        </w:rPr>
        <w:t>，“而是与圣徒同为国民，是属神的子民，被建立在使徒和先知的根基上，以耶稣基督自己为房角石；全屋靠他联络得合式，渐渐成为主的圣殿”</w:t>
      </w:r>
      <w:r w:rsidRPr="006A21F9">
        <w:rPr>
          <w:lang w:val="ru-RU"/>
        </w:rPr>
        <w:t xml:space="preserve"> （弗2:19-21）。</w:t>
      </w:r>
    </w:p>
    <w:p w14:paraId="30C3C04C" w14:textId="77777777" w:rsidR="00BE1885" w:rsidRPr="006A21F9" w:rsidRDefault="00BE1885" w:rsidP="00BE1885">
      <w:pPr>
        <w:ind w:firstLine="708"/>
        <w:rPr>
          <w:lang w:val="ru-RU"/>
        </w:rPr>
      </w:pPr>
      <w:r w:rsidRPr="006A21F9">
        <w:rPr>
          <w:b/>
          <w:bCs/>
          <w:lang w:val="ru-RU"/>
        </w:rPr>
        <w:t>2）</w:t>
      </w:r>
      <w:r w:rsidRPr="006A21F9">
        <w:rPr>
          <w:lang w:val="ru-RU"/>
        </w:rPr>
        <w:t>就其</w:t>
      </w:r>
      <w:r w:rsidRPr="003F37DB">
        <w:rPr>
          <w:b/>
          <w:bCs/>
          <w:lang w:val="ru-RU"/>
        </w:rPr>
        <w:t>使命</w:t>
      </w:r>
      <w:r w:rsidRPr="006A21F9">
        <w:rPr>
          <w:lang w:val="ru-RU"/>
        </w:rPr>
        <w:t xml:space="preserve">而言。 </w:t>
      </w:r>
      <w:r w:rsidRPr="006A21F9">
        <w:rPr>
          <w:i/>
          <w:iCs/>
          <w:lang w:val="ru-RU"/>
        </w:rPr>
        <w:t>基督</w:t>
      </w:r>
      <w:r w:rsidRPr="006A21F9">
        <w:rPr>
          <w:lang w:val="ru-RU"/>
        </w:rPr>
        <w:t>降临人间，为要建立</w:t>
      </w:r>
      <w:r w:rsidRPr="006A21F9">
        <w:rPr>
          <w:i/>
          <w:iCs/>
          <w:lang w:val="ru-RU"/>
        </w:rPr>
        <w:t>教会，“基督爱教会，为教会舍己，要用水藉着道把教会洗净，成为圣洁，好</w:t>
      </w:r>
      <w:r w:rsidRPr="006A21F9">
        <w:rPr>
          <w:i/>
          <w:iCs/>
          <w:lang w:val="ru-RU"/>
        </w:rPr>
        <w:lastRenderedPageBreak/>
        <w:t>将教会献给自己，作荣耀的教会，毫无玷污、皱纹等类，乃是圣洁没有瑕疵的”</w:t>
      </w:r>
      <w:r w:rsidRPr="006A21F9">
        <w:rPr>
          <w:lang w:val="ru-RU"/>
        </w:rPr>
        <w:t xml:space="preserve"> （以弗所书 5:25-27）；或者，正如另一处所言：</w:t>
      </w:r>
      <w:r w:rsidRPr="006A21F9">
        <w:rPr>
          <w:i/>
          <w:iCs/>
          <w:lang w:val="ru-RU"/>
        </w:rPr>
        <w:t>“他为我们舍己，要救我们脱离一切不法的事，又洁净自己，成为他自己的子民，热心行善”</w:t>
      </w:r>
      <w:r w:rsidRPr="006A21F9">
        <w:rPr>
          <w:lang w:val="ru-RU"/>
        </w:rPr>
        <w:t xml:space="preserve"> （提多书 2:14），好叫祂能将我们呈献在祂面前，使我们成为圣洁、无瑕疵、无可指摘的（歌罗西书 1</w:t>
      </w:r>
      <w:r w:rsidRPr="00C728C5">
        <w:rPr>
          <w:lang w:val="ru-RU"/>
        </w:rPr>
        <w:t>:</w:t>
      </w:r>
      <w:r w:rsidRPr="006A21F9">
        <w:rPr>
          <w:lang w:val="ru-RU"/>
        </w:rPr>
        <w:t>22）。</w:t>
      </w:r>
    </w:p>
    <w:p w14:paraId="60B4FAD3" w14:textId="77777777" w:rsidR="00BE1885" w:rsidRPr="006A21F9" w:rsidRDefault="00BE1885" w:rsidP="00BE1885">
      <w:pPr>
        <w:ind w:firstLine="708"/>
        <w:rPr>
          <w:lang w:val="ru-RU"/>
        </w:rPr>
      </w:pPr>
      <w:r w:rsidRPr="006A21F9">
        <w:rPr>
          <w:b/>
          <w:bCs/>
          <w:lang w:val="ru-RU"/>
        </w:rPr>
        <w:t>3）</w:t>
      </w:r>
      <w:r w:rsidRPr="006A21F9">
        <w:rPr>
          <w:lang w:val="ru-RU"/>
        </w:rPr>
        <w:t>就其</w:t>
      </w:r>
      <w:r w:rsidRPr="003F37DB">
        <w:rPr>
          <w:b/>
          <w:bCs/>
          <w:lang w:val="ru-RU"/>
        </w:rPr>
        <w:t>结构</w:t>
      </w:r>
      <w:r w:rsidRPr="006A21F9">
        <w:rPr>
          <w:lang w:val="ru-RU"/>
        </w:rPr>
        <w:t>而言。</w:t>
      </w:r>
      <w:r w:rsidRPr="001E4083">
        <w:t>她的</w:t>
      </w:r>
      <w:r w:rsidRPr="006A21F9">
        <w:rPr>
          <w:lang w:val="ru-RU"/>
        </w:rPr>
        <w:t>元首是至圣的主耶稣（希伯来书 7:26）；至圣的圣灵常与她同在，并赐下一切使我们成圣的恩典之礼（罗马书 8:14-17）； 她拥有由主所圣化的教会层级——牧者与教师，他们从祂那里领受了使圣徒成全的能力（以弗所书 4:12）； 传讲圣洁且能使人成圣的上帝之道（约17:17-19）；施行使我们成圣的圣礼（弗5:26等）；通过其治理引导我们走向圣洁与虔敬[（加1:6-9）； (林前 11:20-22)]；由那些经水洗净并蒙圣化的人组成 [(林前 6:11)；(来 10:10)； （徒20:32）]，其中有些人不仅在生活中圣洁，更是圣灵常驻的殿宇（林前6:19）；而另一些人，尽管会犯错并过着放荡的生活，但除了被呼召并有义务成为圣洁之外[（罗1:7）； （彼得前书 1:15-16）]，他们还不断被牧者们呼召，并在忏悔圣事以及随后的圣体圣事中，确实获得了成圣。</w:t>
      </w:r>
    </w:p>
    <w:p w14:paraId="1A075AFA" w14:textId="77777777" w:rsidR="00BE1885" w:rsidRPr="006A21F9" w:rsidRDefault="00BE1885" w:rsidP="00BE1885">
      <w:pPr>
        <w:rPr>
          <w:lang w:val="ru-RU"/>
        </w:rPr>
      </w:pPr>
      <w:r w:rsidRPr="006A21F9">
        <w:rPr>
          <w:lang w:val="ru-RU"/>
        </w:rPr>
        <w:tab/>
        <w:t>在那些同样一致承认教会这一特性的古代教师中，</w:t>
      </w:r>
      <w:r>
        <w:rPr>
          <w:rStyle w:val="FootnoteReference"/>
        </w:rPr>
        <w:footnoteReference w:id="655"/>
      </w:r>
      <w:r w:rsidRPr="006A21F9">
        <w:rPr>
          <w:lang w:val="ru-RU"/>
        </w:rPr>
        <w:t xml:space="preserve"> ，我们引用其中一些人的言论：圣赫尔马：“（上帝）以祂的大能创造了祂的圣教会，并赐福于她。</w:t>
      </w:r>
      <w:r>
        <w:rPr>
          <w:rStyle w:val="FootnoteReference"/>
        </w:rPr>
        <w:footnoteReference w:id="656"/>
      </w:r>
      <w:r w:rsidRPr="006A21F9">
        <w:rPr>
          <w:lang w:val="ru-RU"/>
        </w:rPr>
        <w:t xml:space="preserve"> 祂从无中创造了万物，并为了祂的圣教会而使万物繁盛。”</w:t>
      </w:r>
      <w:r>
        <w:rPr>
          <w:rStyle w:val="FootnoteReference"/>
        </w:rPr>
        <w:footnoteReference w:id="657"/>
      </w:r>
    </w:p>
    <w:p w14:paraId="2739F8FF" w14:textId="77777777" w:rsidR="00BE1885" w:rsidRPr="006A21F9" w:rsidRDefault="00BE1885" w:rsidP="00BE1885">
      <w:pPr>
        <w:rPr>
          <w:lang w:val="ru-RU"/>
        </w:rPr>
      </w:pPr>
      <w:r w:rsidRPr="006A21F9">
        <w:rPr>
          <w:lang w:val="ru-RU"/>
        </w:rPr>
        <w:tab/>
        <w:t>圣基里尔·耶路撒冷：“由于‘教会’这一名称在不同场合被使用，例如，关于在以弗所竞技场上的群众，经上写道：</w:t>
      </w:r>
      <w:r w:rsidRPr="006A21F9">
        <w:rPr>
          <w:i/>
          <w:iCs/>
          <w:lang w:val="ru-RU"/>
        </w:rPr>
        <w:t>‘他说：‘散开这聚集的群众（教会）’</w:t>
      </w:r>
      <w:r w:rsidRPr="006A21F9">
        <w:rPr>
          <w:lang w:val="ru-RU"/>
        </w:rPr>
        <w:t xml:space="preserve"> （《使徒行传》19:40），而且从公义和真理的角度来看，那些诡诈的异端分子——即马吉安派、摩尼教徒及其他派别——的聚集地也可以被称为‘教会’： 因此，信经如今以谨慎之心如此教导你：信独一、圣洁、普世的教会，使你远离那些邪恶的聚会，而常住在圣洁的普世教会中，你正是在其中重生……不要仅仅问：“教会在哪里？”而要问：“普世教会在哪里？” 因为这正是我们这圣洁而普世的母教会——即我们主耶稣基督（上帝独生子）的新娘——的专有名称。”</w:t>
      </w:r>
      <w:r>
        <w:rPr>
          <w:rStyle w:val="FootnoteReference"/>
        </w:rPr>
        <w:footnoteReference w:id="658"/>
      </w:r>
    </w:p>
    <w:p w14:paraId="76120FBF" w14:textId="77777777" w:rsidR="00BE1885" w:rsidRPr="006A21F9" w:rsidRDefault="00BE1885" w:rsidP="00BE1885">
      <w:pPr>
        <w:rPr>
          <w:lang w:val="ru-RU"/>
        </w:rPr>
      </w:pPr>
      <w:r w:rsidRPr="006A21F9">
        <w:rPr>
          <w:lang w:val="ru-RU"/>
        </w:rPr>
        <w:tab/>
        <w:t>亚历山大的圣西里尔：“（先知）称教会为圣城：因为她并非通过律法的侍奉而得以成圣</w:t>
      </w:r>
      <w:r w:rsidRPr="006A21F9">
        <w:rPr>
          <w:i/>
          <w:iCs/>
          <w:lang w:val="ru-RU"/>
        </w:rPr>
        <w:t>——‘因为律法不能使人完全’</w:t>
      </w:r>
      <w:r w:rsidRPr="006A21F9">
        <w:rPr>
          <w:lang w:val="ru-RU"/>
        </w:rPr>
        <w:t xml:space="preserve"> （希伯来书 7:19），而是通过与圣灵的交通，使自己与基督相契，并分享了神的本性；</w:t>
      </w:r>
      <w:r w:rsidRPr="006A21F9">
        <w:rPr>
          <w:i/>
          <w:iCs/>
          <w:lang w:val="ru-RU"/>
        </w:rPr>
        <w:t>我们在赎罪之日正是藉着圣灵被印记</w:t>
      </w:r>
      <w:r w:rsidRPr="006A21F9">
        <w:rPr>
          <w:lang w:val="ru-RU"/>
        </w:rPr>
        <w:t>（以弗所书 4:30），洗净了一切污秽，脱离了一切不洁。”</w:t>
      </w:r>
      <w:r>
        <w:rPr>
          <w:rStyle w:val="FootnoteReference"/>
        </w:rPr>
        <w:footnoteReference w:id="659"/>
      </w:r>
    </w:p>
    <w:p w14:paraId="2DF30CAC" w14:textId="77777777" w:rsidR="00BE1885" w:rsidRPr="006A21F9" w:rsidRDefault="00BE1885" w:rsidP="00BE1885">
      <w:pPr>
        <w:rPr>
          <w:lang w:val="ru-RU"/>
        </w:rPr>
      </w:pPr>
      <w:r w:rsidRPr="006A21F9">
        <w:rPr>
          <w:lang w:val="ru-RU"/>
        </w:rPr>
        <w:lastRenderedPageBreak/>
        <w:tab/>
      </w:r>
      <w:r>
        <w:rPr>
          <w:rStyle w:val="FootnoteReference"/>
        </w:rPr>
        <w:footnoteReference w:id="660"/>
      </w:r>
      <w:r w:rsidRPr="006A21F9">
        <w:rPr>
          <w:lang w:val="ru-RU"/>
        </w:rPr>
        <w:t>基于教会的这一特性，古代牧者们称她为：乐园（раем），</w:t>
      </w:r>
      <w:r>
        <w:rPr>
          <w:rStyle w:val="FootnoteReference"/>
        </w:rPr>
        <w:footnoteReference w:id="661"/>
      </w:r>
      <w:r w:rsidRPr="006A21F9">
        <w:rPr>
          <w:lang w:val="ru-RU"/>
        </w:rPr>
        <w:t xml:space="preserve"> ；神的殿（Божиим домом），</w:t>
      </w:r>
      <w:r>
        <w:rPr>
          <w:rStyle w:val="FootnoteReference"/>
        </w:rPr>
        <w:footnoteReference w:id="662"/>
      </w:r>
      <w:r w:rsidRPr="006A21F9">
        <w:rPr>
          <w:lang w:val="ru-RU"/>
        </w:rPr>
        <w:t xml:space="preserve"> ；神的女儿（Божеей дочерью），</w:t>
      </w:r>
      <w:r>
        <w:rPr>
          <w:rStyle w:val="FootnoteReference"/>
        </w:rPr>
        <w:footnoteReference w:id="663"/>
      </w:r>
      <w:r w:rsidRPr="006A21F9">
        <w:rPr>
          <w:lang w:val="ru-RU"/>
        </w:rPr>
        <w:t xml:space="preserve"> ；尊贵的身体（досточтимым телом），</w:t>
      </w:r>
      <w:r>
        <w:rPr>
          <w:rStyle w:val="FootnoteReference"/>
        </w:rPr>
        <w:footnoteReference w:id="664"/>
      </w:r>
      <w:r w:rsidRPr="006A21F9">
        <w:rPr>
          <w:lang w:val="ru-RU"/>
        </w:rPr>
        <w:t xml:space="preserve"> ；基督的新娘（невестою Христовою），</w:t>
      </w:r>
      <w:r>
        <w:rPr>
          <w:rStyle w:val="FootnoteReference"/>
        </w:rPr>
        <w:footnoteReference w:id="665"/>
      </w:r>
      <w:r w:rsidRPr="006A21F9">
        <w:rPr>
          <w:lang w:val="ru-RU"/>
        </w:rPr>
        <w:t xml:space="preserve"> ；基督的冠冕（христовым венцом）， ；神圣的圣所（святою Божественною оградой），</w:t>
      </w:r>
      <w:r>
        <w:rPr>
          <w:rStyle w:val="FootnoteReference"/>
        </w:rPr>
        <w:footnoteReference w:id="666"/>
      </w:r>
      <w:r w:rsidRPr="006A21F9">
        <w:rPr>
          <w:lang w:val="ru-RU"/>
        </w:rPr>
        <w:t xml:space="preserve"> ；恩典的丰满（полнотою благодати），</w:t>
      </w:r>
      <w:r>
        <w:rPr>
          <w:rStyle w:val="FootnoteReference"/>
        </w:rPr>
        <w:footnoteReference w:id="667"/>
      </w:r>
      <w:r w:rsidRPr="006A21F9">
        <w:rPr>
          <w:lang w:val="ru-RU"/>
        </w:rPr>
        <w:t xml:space="preserve"> ；以及类似的称谓。</w:t>
      </w:r>
    </w:p>
    <w:p w14:paraId="6039E6BE" w14:textId="77777777" w:rsidR="00BE1885" w:rsidRPr="006A21F9" w:rsidRDefault="00BE1885" w:rsidP="00BE1885">
      <w:pPr>
        <w:rPr>
          <w:lang w:val="ru-RU"/>
        </w:rPr>
      </w:pPr>
      <w:r w:rsidRPr="006A21F9">
        <w:rPr>
          <w:lang w:val="ru-RU"/>
        </w:rPr>
        <w:tab/>
      </w:r>
    </w:p>
    <w:p w14:paraId="2855F312" w14:textId="77777777" w:rsidR="00BE1885" w:rsidRPr="006A21F9" w:rsidRDefault="00BE1885" w:rsidP="00BE1885">
      <w:pPr>
        <w:pStyle w:val="Heading5"/>
        <w:rPr>
          <w:lang w:val="ru-RU"/>
        </w:rPr>
      </w:pPr>
      <w:bookmarkStart w:id="527" w:name="_Toc133142940"/>
      <w:bookmarkStart w:id="528" w:name="_Toc133166297"/>
      <w:bookmarkStart w:id="529" w:name="_Toc182221507"/>
      <w:bookmarkStart w:id="530" w:name="_Toc238453074"/>
      <w:bookmarkStart w:id="531" w:name="_Toc238453874"/>
      <w:bookmarkStart w:id="532" w:name="_Toc238576534"/>
      <w:r w:rsidRPr="006A21F9">
        <w:rPr>
          <w:lang w:val="ru-RU"/>
        </w:rPr>
        <w:t>§180. 教会——共融的</w:t>
      </w:r>
      <w:bookmarkEnd w:id="527"/>
      <w:bookmarkEnd w:id="528"/>
      <w:bookmarkEnd w:id="529"/>
      <w:bookmarkEnd w:id="530"/>
      <w:bookmarkEnd w:id="531"/>
      <w:bookmarkEnd w:id="532"/>
    </w:p>
    <w:p w14:paraId="045AD089"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所谓“大公教会”或“普世教会”，是指：</w:t>
      </w:r>
    </w:p>
    <w:p w14:paraId="2AFEC6D3" w14:textId="77777777" w:rsidR="00BE1885" w:rsidRPr="006A21F9" w:rsidRDefault="00BE1885" w:rsidP="00BE1885">
      <w:pPr>
        <w:ind w:firstLine="708"/>
        <w:rPr>
          <w:lang w:val="ru-RU"/>
        </w:rPr>
      </w:pPr>
      <w:r w:rsidRPr="006A21F9">
        <w:rPr>
          <w:b/>
          <w:bCs/>
          <w:lang w:val="ru-RU"/>
        </w:rPr>
        <w:t xml:space="preserve">1) </w:t>
      </w:r>
      <w:r w:rsidRPr="006A219B">
        <w:rPr>
          <w:lang w:val="ru-RU"/>
        </w:rPr>
        <w:t>从</w:t>
      </w:r>
      <w:r w:rsidRPr="006C65A4">
        <w:rPr>
          <w:b/>
          <w:bCs/>
          <w:lang w:val="ru-RU"/>
        </w:rPr>
        <w:t>地域范围</w:t>
      </w:r>
      <w:r w:rsidRPr="006A21F9">
        <w:rPr>
          <w:lang w:val="ru-RU"/>
        </w:rPr>
        <w:t>而言。它旨在包容世上所有的人，无论他们居住在地球的何处。旧约时代的教会仅限于犹太民族</w:t>
      </w:r>
      <w:r w:rsidRPr="0097554A">
        <w:rPr>
          <w:lang w:val="ru-RU"/>
        </w:rPr>
        <w:t>，</w:t>
      </w:r>
      <w:r w:rsidRPr="001E4083">
        <w:t>其敬拜</w:t>
      </w:r>
      <w:r w:rsidRPr="006A21F9">
        <w:rPr>
          <w:lang w:val="ru-RU"/>
        </w:rPr>
        <w:t>活动也局限于一处 [(诗篇 75:2-3)；(诗篇 147:8-9)]： 救主基督拆毁了隔在犹太人和外邦人中间的隔断之墙，藉着十字架使两者与神和好（以弗所书 2:14-16），吩咐圣使徒们向万物传讲他的福音 （可16:15），教导万民信靠救恩（太28:19），并将福音传至地极（徒1:8）。因此，就这一点而言，要称教会为“普世教会”，并不要求它必须真正涵盖整个世界和所有的人，无一遗漏。 她的传播只能循序渐进，如今在21世纪的进程中正日益扩展；她也曾因异端和来自敌人的迫害而缩小其疆域，有时仍可能如此；但尽管如此，根据她的使命，她始终是并将永远是普世教会。</w:t>
      </w:r>
      <w:r>
        <w:rPr>
          <w:rStyle w:val="FootnoteReference"/>
        </w:rPr>
        <w:footnoteReference w:id="668"/>
      </w:r>
      <w:r w:rsidRPr="006A21F9">
        <w:rPr>
          <w:lang w:val="ru-RU"/>
        </w:rPr>
        <w:t xml:space="preserve"> 正因如此，早在使徒时代乃至整个头三个世纪，教会就被称为“普世教会”，尽管当时她的规模远不及</w:t>
      </w:r>
      <w:r w:rsidRPr="001E4083">
        <w:t>第四</w:t>
      </w:r>
      <w:r w:rsidRPr="006A21F9">
        <w:rPr>
          <w:lang w:val="ru-RU"/>
        </w:rPr>
        <w:t>、</w:t>
      </w:r>
      <w:r w:rsidRPr="001E4083">
        <w:t>第五</w:t>
      </w:r>
      <w:r w:rsidRPr="006A21F9">
        <w:rPr>
          <w:lang w:val="ru-RU"/>
        </w:rPr>
        <w:t>及随后几个世纪那般广阔；而当圣父们称她为“普世教会”时，已然指明了</w:t>
      </w:r>
      <w:r w:rsidRPr="001E4083">
        <w:t>她的</w:t>
      </w:r>
      <w:r w:rsidRPr="006A21F9">
        <w:rPr>
          <w:lang w:val="ru-RU"/>
        </w:rPr>
        <w:t>遍及性。 因此，它被称为“普世教会”：</w:t>
      </w:r>
      <w:r w:rsidRPr="006A21F9">
        <w:rPr>
          <w:b/>
          <w:bCs/>
          <w:lang w:val="ru-RU"/>
        </w:rPr>
        <w:t>a)</w:t>
      </w:r>
      <w:r w:rsidRPr="006A21F9">
        <w:rPr>
          <w:lang w:val="ru-RU"/>
        </w:rPr>
        <w:t xml:space="preserve"> 圣伊格纳提乌斯·神载者曾说：“哪里有基督耶稣，哪里就有普世教会；”</w:t>
      </w:r>
      <w:r>
        <w:rPr>
          <w:rStyle w:val="FootnoteReference"/>
        </w:rPr>
        <w:footnoteReference w:id="669"/>
      </w:r>
      <w:r w:rsidRPr="006A21F9">
        <w:rPr>
          <w:lang w:val="ru-RU"/>
        </w:rPr>
        <w:t xml:space="preserve"> </w:t>
      </w:r>
      <w:r w:rsidRPr="006A21F9">
        <w:rPr>
          <w:b/>
          <w:bCs/>
          <w:lang w:val="ru-RU"/>
        </w:rPr>
        <w:t xml:space="preserve">b) </w:t>
      </w:r>
      <w:r w:rsidRPr="006A21F9">
        <w:rPr>
          <w:lang w:val="ru-RU"/>
        </w:rPr>
        <w:t>在关于圣波利卡普殉道事件的致士每拿教会通函中： “斯米尔纳的上帝教会致费城上帝教会及各地圣洁而普世的教会：愿天父和我们的主耶稣基督将恩典、平安与爱加倍赐予你们……” 或：“他（波利卡普）以忍耐战胜了那不法之首，从而获得了不朽的冠冕，如今正与使徒们及所有义人</w:t>
      </w:r>
      <w:r w:rsidRPr="006A21F9">
        <w:rPr>
          <w:lang w:val="ru-RU"/>
        </w:rPr>
        <w:lastRenderedPageBreak/>
        <w:t>一同欢欣，赞美上帝与圣父，并祝福我们的主——我们灵魂与肉身的领袖，普世大公教会的牧者；”</w:t>
      </w:r>
      <w:r>
        <w:rPr>
          <w:rStyle w:val="FootnoteReference"/>
        </w:rPr>
        <w:footnoteReference w:id="670"/>
      </w:r>
      <w:r w:rsidRPr="006A21F9">
        <w:rPr>
          <w:lang w:val="ru-RU"/>
        </w:rPr>
        <w:t xml:space="preserve"> </w:t>
      </w:r>
      <w:r w:rsidRPr="006A21F9">
        <w:rPr>
          <w:b/>
          <w:bCs/>
          <w:lang w:val="ru-RU"/>
        </w:rPr>
        <w:t xml:space="preserve">c) </w:t>
      </w:r>
      <w:r w:rsidRPr="006A21F9">
        <w:rPr>
          <w:lang w:val="ru-RU"/>
        </w:rPr>
        <w:t>在《使徒法令》中收录的古代礼拜仪式中： “让我们为圣公会和使徒教会祈祷；”</w:t>
      </w:r>
      <w:r>
        <w:rPr>
          <w:rStyle w:val="FootnoteReference"/>
        </w:rPr>
        <w:footnoteReference w:id="671"/>
      </w:r>
      <w:r w:rsidRPr="006A21F9">
        <w:rPr>
          <w:lang w:val="ru-RU"/>
        </w:rPr>
        <w:t xml:space="preserve"> </w:t>
      </w:r>
      <w:r w:rsidRPr="006A21F9">
        <w:rPr>
          <w:b/>
          <w:bCs/>
          <w:lang w:val="ru-RU"/>
        </w:rPr>
        <w:t>d)</w:t>
      </w:r>
      <w:r w:rsidRPr="006A21F9">
        <w:rPr>
          <w:lang w:val="ru-RU"/>
        </w:rPr>
        <w:t xml:space="preserve"> 据圣爱任纽所述： “教会遍布整个宇宙，直至地极，从使徒及其门徒那里领受了这一信仰；”</w:t>
      </w:r>
      <w:r>
        <w:rPr>
          <w:rStyle w:val="FootnoteReference"/>
        </w:rPr>
        <w:footnoteReference w:id="672"/>
      </w:r>
      <w:r w:rsidRPr="006A21F9">
        <w:rPr>
          <w:lang w:val="ru-RU"/>
        </w:rPr>
        <w:t xml:space="preserve"> </w:t>
      </w:r>
      <w:r w:rsidRPr="006A21F9">
        <w:rPr>
          <w:b/>
          <w:bCs/>
          <w:lang w:val="ru-RU"/>
        </w:rPr>
        <w:t>d)</w:t>
      </w:r>
      <w:r w:rsidRPr="006A21F9">
        <w:rPr>
          <w:lang w:val="ru-RU"/>
        </w:rPr>
        <w:t xml:space="preserve"> 圣耶路撒冷的西里尔所言：“教会之所以被称为‘普世’教会，是因为它遍布整个宇宙，从地极</w:t>
      </w:r>
      <w:r w:rsidRPr="001E4083">
        <w:t>到地极</w:t>
      </w:r>
      <w:r w:rsidRPr="006A21F9">
        <w:rPr>
          <w:lang w:val="ru-RU"/>
        </w:rPr>
        <w:t>；”</w:t>
      </w:r>
      <w:r>
        <w:rPr>
          <w:rStyle w:val="FootnoteReference"/>
        </w:rPr>
        <w:footnoteReference w:id="673"/>
      </w:r>
      <w:r w:rsidRPr="006A21F9">
        <w:rPr>
          <w:lang w:val="ru-RU"/>
        </w:rPr>
        <w:t xml:space="preserve"> </w:t>
      </w:r>
      <w:r w:rsidRPr="006A21F9">
        <w:rPr>
          <w:b/>
          <w:bCs/>
          <w:lang w:val="ru-RU"/>
        </w:rPr>
        <w:t>e)</w:t>
      </w:r>
      <w:r w:rsidRPr="006A21F9">
        <w:rPr>
          <w:lang w:val="ru-RU"/>
        </w:rPr>
        <w:t xml:space="preserve"> 福者 狄奥多里特： “整个陆地和海洋上只有一个教会——这就是为什么我们在祈祷中说：为那圣而唯一、普世而使徒的教会，它存在于宇宙的尽头到尽头之间；”</w:t>
      </w:r>
      <w:r>
        <w:rPr>
          <w:rStyle w:val="FootnoteReference"/>
        </w:rPr>
        <w:footnoteReference w:id="674"/>
      </w:r>
      <w:r w:rsidRPr="006A21F9">
        <w:rPr>
          <w:lang w:val="ru-RU"/>
        </w:rPr>
        <w:t xml:space="preserve"> </w:t>
      </w:r>
      <w:r w:rsidRPr="006A21F9">
        <w:rPr>
          <w:b/>
          <w:bCs/>
          <w:lang w:val="ru-RU"/>
        </w:rPr>
        <w:t>g)</w:t>
      </w:r>
      <w:r w:rsidRPr="006A21F9">
        <w:rPr>
          <w:lang w:val="ru-RU"/>
        </w:rPr>
        <w:t xml:space="preserve"> 福者 奥古斯丁的话：“在希腊语中，教会被称为‘普世教会’，因为它遍及全世界。”</w:t>
      </w:r>
      <w:r>
        <w:rPr>
          <w:rStyle w:val="FootnoteReference"/>
        </w:rPr>
        <w:footnoteReference w:id="675"/>
      </w:r>
    </w:p>
    <w:p w14:paraId="0B1E6931" w14:textId="77777777" w:rsidR="00BE1885" w:rsidRPr="006A21F9" w:rsidRDefault="00BE1885" w:rsidP="00BE1885">
      <w:pPr>
        <w:ind w:firstLine="708"/>
        <w:rPr>
          <w:lang w:val="ru-RU"/>
        </w:rPr>
      </w:pPr>
      <w:r w:rsidRPr="006A21F9">
        <w:rPr>
          <w:b/>
          <w:bCs/>
          <w:lang w:val="ru-RU"/>
        </w:rPr>
        <w:t xml:space="preserve">2) </w:t>
      </w:r>
      <w:r w:rsidRPr="006A219B">
        <w:rPr>
          <w:lang w:val="ru-RU"/>
        </w:rPr>
        <w:t>从</w:t>
      </w:r>
      <w:r w:rsidRPr="00593F08">
        <w:rPr>
          <w:b/>
          <w:bCs/>
          <w:lang w:val="ru-RU"/>
        </w:rPr>
        <w:t>时间上看</w:t>
      </w:r>
      <w:r w:rsidRPr="006A21F9">
        <w:rPr>
          <w:lang w:val="ru-RU"/>
        </w:rPr>
        <w:t>。教会的使命是引导所有的人信靠基督，并将存续至世世代代的终结。 这源于以下事实：主差遣使徒及其继任者向万物传讲福音时，应许要为此与他们同在，直到世世代代（玛28:20），也应许要派遣圣神降临于他们，圣神将永远与他们同在（若14:16）； 此外，圣保罗也曾说过，圣体圣事将在教会中持续举行，直到主再次降临人间（林前11:26）。 基于此，教会通常被称为“永不衰微的”，这源于救主的话语：</w:t>
      </w:r>
      <w:r w:rsidRPr="006A21F9">
        <w:rPr>
          <w:i/>
          <w:iCs/>
          <w:lang w:val="ru-RU"/>
        </w:rPr>
        <w:t>“我要建立我的教会，阴间的权柄不能胜过它”</w:t>
      </w:r>
      <w:r w:rsidRPr="006A21F9">
        <w:rPr>
          <w:lang w:val="ru-RU"/>
        </w:rPr>
        <w:t>（玛16:18）——这一特质， 以及古代基督教导师们一直都归于教会。 例如：</w:t>
      </w:r>
      <w:r w:rsidRPr="006A21F9">
        <w:rPr>
          <w:b/>
          <w:bCs/>
          <w:lang w:val="ru-RU"/>
        </w:rPr>
        <w:t>a)</w:t>
      </w:r>
      <w:r w:rsidRPr="006A21F9">
        <w:rPr>
          <w:lang w:val="ru-RU"/>
        </w:rPr>
        <w:t xml:space="preserve"> 圣约翰·金口：“不要离开教会，因为没有什么比教会更强大……她永不衰老，永远繁荣——正因如此，圣经在彰显她的坚固与不可动摇时，称她为山；”</w:t>
      </w:r>
      <w:r>
        <w:rPr>
          <w:rStyle w:val="FootnoteReference"/>
        </w:rPr>
        <w:footnoteReference w:id="676"/>
      </w:r>
      <w:r w:rsidRPr="006A21F9">
        <w:rPr>
          <w:lang w:val="ru-RU"/>
        </w:rPr>
        <w:t xml:space="preserve"> </w:t>
      </w:r>
      <w:r w:rsidRPr="006A21F9">
        <w:rPr>
          <w:b/>
          <w:bCs/>
          <w:lang w:val="ru-RU"/>
        </w:rPr>
        <w:t xml:space="preserve">b) </w:t>
      </w:r>
      <w:r w:rsidRPr="006A21F9">
        <w:rPr>
          <w:lang w:val="ru-RU"/>
        </w:rPr>
        <w:t>圣安布罗斯：“教会的国度将存到永远，因为信仰不可分割，是一个身体；”</w:t>
      </w:r>
      <w:r>
        <w:rPr>
          <w:rStyle w:val="FootnoteReference"/>
        </w:rPr>
        <w:footnoteReference w:id="677"/>
      </w:r>
      <w:r w:rsidRPr="006A21F9">
        <w:rPr>
          <w:lang w:val="ru-RU"/>
        </w:rPr>
        <w:t xml:space="preserve"> </w:t>
      </w:r>
      <w:r w:rsidRPr="006A21F9">
        <w:rPr>
          <w:b/>
          <w:bCs/>
          <w:lang w:val="ru-RU"/>
        </w:rPr>
        <w:t>c)</w:t>
      </w:r>
      <w:r w:rsidRPr="006A21F9">
        <w:rPr>
          <w:lang w:val="ru-RU"/>
        </w:rPr>
        <w:t xml:space="preserve"> 福者 奥古斯丁：“教会将在世上存留，并非短暂，而是直到世世代代……在世界末日来临之前，教会不会被战胜，不会被铲除，也不会屈服于任何诱惑。”</w:t>
      </w:r>
      <w:r>
        <w:rPr>
          <w:rStyle w:val="FootnoteReference"/>
        </w:rPr>
        <w:footnoteReference w:id="678"/>
      </w:r>
    </w:p>
    <w:p w14:paraId="28B63CCB" w14:textId="77777777" w:rsidR="00BE1885" w:rsidRPr="006A21F9" w:rsidRDefault="00BE1885" w:rsidP="00BE1885">
      <w:pPr>
        <w:ind w:firstLine="708"/>
        <w:rPr>
          <w:lang w:val="ru-RU"/>
        </w:rPr>
      </w:pPr>
      <w:r w:rsidRPr="006A21F9">
        <w:rPr>
          <w:b/>
          <w:bCs/>
          <w:lang w:val="ru-RU"/>
        </w:rPr>
        <w:t>3）</w:t>
      </w:r>
      <w:r w:rsidRPr="006A219B">
        <w:rPr>
          <w:lang w:val="ru-RU"/>
        </w:rPr>
        <w:t>就其</w:t>
      </w:r>
      <w:r w:rsidRPr="006A219B">
        <w:rPr>
          <w:b/>
          <w:bCs/>
          <w:lang w:val="ru-RU"/>
        </w:rPr>
        <w:t>体制而言</w:t>
      </w:r>
      <w:r w:rsidRPr="006A21F9">
        <w:rPr>
          <w:lang w:val="ru-RU"/>
        </w:rPr>
        <w:t xml:space="preserve">。教会的教义可被所有受过教育或未受过教育的人所接受，无论他们身处何地、何时——它不像异教甚至犹太教那样，与任何世俗体制（约18:36）相关联，因此也不受任何特定地点和时间的限制。 根据主的预言，教会的礼拜不仅可以在耶路撒冷举行，而且可以在各地举行（约翰福音4:21），并对所有人来说都是清晰易懂且富有教益的。 教会中的等级权威绝非像犹太教会那样，仅归属于某个特定民族的某个特定支派，而是可以从一个城市——或者更确切地说，从一间地方教会——传给另一间，从一批教阶领袖传给另一批，代代相传，直至世世代代。 圣灵的救赎之恩，由教会传给世人，其力量足以使所有最顽固的罪人都得以成圣并得救。圣基里尔·耶路撒冷在阐述这一点时说： “教会之所以被称为‘普世教会’，是因为它遍及整个宇宙，从地极到地极；因为它无处不在且完整地传授人类应当了解的一切教义——关于可见与不可见、天上与地上的事物；因为它将整个人类——无论是上层人士还是下层民众， </w:t>
      </w:r>
      <w:r w:rsidRPr="006A21F9">
        <w:rPr>
          <w:lang w:val="ru-RU"/>
        </w:rPr>
        <w:lastRenderedPageBreak/>
        <w:t>学者与平民，无一例外；它无处不在地医治并治愈一切由灵魂与肉体所犯的罪过，自身蕴含着在行为、言语及一切属灵恩赐中彰显的各种完美。”</w:t>
      </w:r>
      <w:r>
        <w:rPr>
          <w:rStyle w:val="FootnoteReference"/>
        </w:rPr>
        <w:footnoteReference w:id="679"/>
      </w:r>
    </w:p>
    <w:p w14:paraId="7246EFD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普世教会，包容所有真正的基督徒，并明显由主教们共同管理，通常分为地方教会，这些地方教会由某个国家的信徒组成，并隶属于一位或数位主教的管辖。 正是基于这一意义，人们才会说：希腊教会、俄罗斯教会、瓦拉几亚教会等；或者更具体地说：君士坦丁堡教会、亚历山大教会、安提阿教会和耶路撒冷教会，它们分别受某位宗主教及其麾下主教的管辖；再具体些： 基辅、莫斯科、圣彼得堡等教会，由一位大牧首管理。甚至可以将地方教会按教区划分，这些教区由一位或多位神父负责，他们从所属主教那里获得了对教区的合法管辖权。</w:t>
      </w:r>
    </w:p>
    <w:p w14:paraId="266CF35D"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普世教会或天主教会的一项特殊优势在于，她在信仰事务上“绝不会犯错，既不会欺骗他人，也不会被他人欺骗； 而是如同神圣经文一般，具有无误性并具有永恒的重要性”（《东方宗主教关于正统信仰的书信》第2章第12条）——关于这一优势，我们在相关章节中已作过充分论述。</w:t>
      </w:r>
      <w:r>
        <w:rPr>
          <w:rStyle w:val="FootnoteReference"/>
        </w:rPr>
        <w:footnoteReference w:id="680"/>
      </w:r>
    </w:p>
    <w:p w14:paraId="3CC0F6D9" w14:textId="77777777" w:rsidR="00BE1885" w:rsidRPr="006A21F9" w:rsidRDefault="00BE1885" w:rsidP="00BE1885">
      <w:pPr>
        <w:rPr>
          <w:lang w:val="ru-RU"/>
        </w:rPr>
      </w:pPr>
    </w:p>
    <w:p w14:paraId="51CAC849" w14:textId="77777777" w:rsidR="00BE1885" w:rsidRPr="006A21F9" w:rsidRDefault="00BE1885" w:rsidP="00BE1885">
      <w:pPr>
        <w:pStyle w:val="Heading5"/>
        <w:rPr>
          <w:lang w:val="ru-RU"/>
        </w:rPr>
      </w:pPr>
      <w:bookmarkStart w:id="533" w:name="_Toc133142941"/>
      <w:bookmarkStart w:id="534" w:name="_Toc133166298"/>
      <w:bookmarkStart w:id="535" w:name="_Toc182221508"/>
      <w:bookmarkStart w:id="536" w:name="_Toc238453075"/>
      <w:bookmarkStart w:id="537" w:name="_Toc238453875"/>
      <w:bookmarkStart w:id="538" w:name="_Toc238576535"/>
      <w:r w:rsidRPr="006A21F9">
        <w:rPr>
          <w:bCs/>
          <w:lang w:val="ru-RU"/>
        </w:rPr>
        <w:t>§181.</w:t>
      </w:r>
      <w:r w:rsidRPr="006A21F9">
        <w:rPr>
          <w:lang w:val="ru-RU"/>
        </w:rPr>
        <w:t xml:space="preserve"> 教会——使徒的</w:t>
      </w:r>
      <w:bookmarkEnd w:id="533"/>
      <w:bookmarkEnd w:id="534"/>
      <w:bookmarkEnd w:id="535"/>
      <w:bookmarkEnd w:id="536"/>
      <w:bookmarkEnd w:id="537"/>
      <w:bookmarkEnd w:id="538"/>
    </w:p>
    <w:p w14:paraId="6B72701C" w14:textId="77777777" w:rsidR="00BE1885" w:rsidRPr="006A21F9" w:rsidRDefault="00BE1885" w:rsidP="00BE1885">
      <w:pPr>
        <w:ind w:firstLine="708"/>
        <w:rPr>
          <w:lang w:val="ru-RU"/>
        </w:rPr>
      </w:pPr>
      <w:r w:rsidRPr="006A21F9">
        <w:rPr>
          <w:lang w:val="ru-RU"/>
        </w:rPr>
        <w:t>教会是使徒的：</w:t>
      </w:r>
    </w:p>
    <w:p w14:paraId="2043C8FA" w14:textId="77777777" w:rsidR="00BE1885" w:rsidRPr="006A21F9" w:rsidRDefault="00BE1885" w:rsidP="00BE1885">
      <w:pPr>
        <w:ind w:firstLine="708"/>
        <w:rPr>
          <w:lang w:val="ru-RU"/>
        </w:rPr>
      </w:pPr>
      <w:r w:rsidRPr="006A21F9">
        <w:rPr>
          <w:b/>
          <w:bCs/>
          <w:lang w:val="ru-RU"/>
        </w:rPr>
        <w:t xml:space="preserve">1. </w:t>
      </w:r>
      <w:r w:rsidRPr="006A21F9">
        <w:rPr>
          <w:lang w:val="ru-RU"/>
        </w:rPr>
        <w:t>从其</w:t>
      </w:r>
      <w:r w:rsidRPr="0025517F">
        <w:rPr>
          <w:b/>
          <w:bCs/>
          <w:lang w:val="ru-RU"/>
        </w:rPr>
        <w:t>起源</w:t>
      </w:r>
      <w:r w:rsidRPr="006A21F9">
        <w:rPr>
          <w:lang w:val="ru-RU"/>
        </w:rPr>
        <w:t>而言。首批使徒获得了传播基督教信仰的权柄，并在各地宣讲福音（可16:20）的同时，建立了许多地方教会：耶路撒冷教会（徒2:22；4:4）、安提阿教会（徒28:16）、 哥林多教会（使徒行传18:1）、以弗所教会（使徒行传19:1）、罗马教会（使徒行传28:16）、君士坦丁堡教会、亚历山大教会等，这些教会后来成为了所有后续地方教会的母教会，并一直延续至今。 正因如此，正如上帝的话语所言，虽然教会的基石是主自己，但教会也是建立在使徒的根基上的（以弗所书 2:21）， ，而这座神秘的上帝之城的城</w:t>
      </w:r>
      <w:r w:rsidRPr="006A21F9">
        <w:rPr>
          <w:i/>
          <w:iCs/>
          <w:lang w:val="ru-RU"/>
        </w:rPr>
        <w:t>墙“有十二个根基，根基上刻着羔羊十二使徒的名字”</w:t>
      </w:r>
      <w:r w:rsidRPr="006A21F9">
        <w:rPr>
          <w:lang w:val="ru-RU"/>
        </w:rPr>
        <w:t xml:space="preserve"> （启示录 21:14）。</w:t>
      </w:r>
    </w:p>
    <w:p w14:paraId="6381DA63" w14:textId="77777777" w:rsidR="00BE1885" w:rsidRPr="006A21F9" w:rsidRDefault="00BE1885" w:rsidP="00BE1885">
      <w:pPr>
        <w:ind w:firstLine="708"/>
        <w:rPr>
          <w:lang w:val="ru-RU"/>
        </w:rPr>
      </w:pPr>
      <w:r w:rsidRPr="006A21F9">
        <w:rPr>
          <w:b/>
          <w:bCs/>
          <w:lang w:val="ru-RU"/>
        </w:rPr>
        <w:t>2）</w:t>
      </w:r>
      <w:r w:rsidRPr="006A21F9">
        <w:rPr>
          <w:lang w:val="ru-RU"/>
        </w:rPr>
        <w:t>就其</w:t>
      </w:r>
      <w:r w:rsidRPr="0025517F">
        <w:rPr>
          <w:b/>
          <w:bCs/>
          <w:lang w:val="ru-RU"/>
        </w:rPr>
        <w:t>组织结构</w:t>
      </w:r>
      <w:r w:rsidRPr="006A21F9">
        <w:rPr>
          <w:lang w:val="ru-RU"/>
        </w:rPr>
        <w:t>而言。教会的圣职体系源于使徒本人，通过主教——使徒真正的继承者——的连续传承而延续至今；其教义源自使徒的经文与传统，并被教会完整且不可侵犯地保存下来； 举行礼拜时，在一切事务上都遵循这些圣经和使徒传统；治理信徒时，则依据圣使徒的规则及其在教会中保存下来的其他传统。 真正教会的神职人员直接承继自使徒本人，以及随之而来的对真正信仰教义、真正圣礼和治理的保存，这些正是古代基督教导师们在对抗当时异端时，特别热衷于阐明的、作为真理无可置疑标志的特征。例如：</w:t>
      </w:r>
    </w:p>
    <w:p w14:paraId="07A3F151" w14:textId="77777777" w:rsidR="00BE1885" w:rsidRPr="006A21F9" w:rsidRDefault="00BE1885" w:rsidP="00BE1885">
      <w:pPr>
        <w:rPr>
          <w:lang w:val="ru-RU"/>
        </w:rPr>
      </w:pPr>
      <w:r w:rsidRPr="006A21F9">
        <w:rPr>
          <w:lang w:val="ru-RU"/>
        </w:rPr>
        <w:tab/>
        <w:t>圣爱任纽： “凡欲知真理者，皆可在任何教会中察觉那传遍全世界的使徒传承；我们更能列举出那些由使徒们任命为各教会主教的人，以及直至今日的他们的继任者——他们既未曾教导过异端所杜撰的任何内容，也从未知晓过此类教义。”</w:t>
      </w:r>
      <w:r>
        <w:rPr>
          <w:rStyle w:val="FootnoteReference"/>
        </w:rPr>
        <w:footnoteReference w:id="681"/>
      </w:r>
      <w:r w:rsidRPr="006A21F9">
        <w:rPr>
          <w:lang w:val="ru-RU"/>
        </w:rPr>
        <w:t xml:space="preserve"> “所有反对教会教义的人，都比那些受使徒托付管理教会的主教们晚出现得多；因此，他们在辨明真理方面目光短浅，被迫在各种道路上徘徊；结果，他们教义的种子便毫无一致性和秩序地四处散播。 </w:t>
      </w:r>
      <w:r w:rsidRPr="006A21F9">
        <w:rPr>
          <w:lang w:val="ru-RU"/>
        </w:rPr>
        <w:lastRenderedPageBreak/>
        <w:t>相反，教会的领袖们遍及整个世界，坚定地恪守使徒的传统，并向我们表明：所有人拥有同一个信仰，所有人信奉同一位圣父，并承认神子道成肉身具有同一个目的， 拥有相同的属灵恩赐，遵循相同的准则，在教会治理和礼仪制度中遵守同一律法，期待着主相同的再来，并盼望全人的得救，即灵魂与身体的得救。 因此，教会的教义是真实且恒久的，因为她在其中向全世界指明了一条通往救赎的道路。”</w:t>
      </w:r>
      <w:r>
        <w:rPr>
          <w:rStyle w:val="FootnoteReference"/>
        </w:rPr>
        <w:footnoteReference w:id="682"/>
      </w:r>
    </w:p>
    <w:p w14:paraId="376D72BD" w14:textId="77777777" w:rsidR="00BE1885" w:rsidRPr="006A21F9" w:rsidRDefault="00BE1885" w:rsidP="00BE1885">
      <w:pPr>
        <w:rPr>
          <w:lang w:val="ru-RU"/>
        </w:rPr>
      </w:pPr>
      <w:r w:rsidRPr="006A21F9">
        <w:rPr>
          <w:lang w:val="ru-RU"/>
        </w:rPr>
        <w:tab/>
        <w:t>特土良：“我们与他们（使徒教会）拥有相同的信仰、同一位上帝、同一位基督、相同的盼望、相同的洗礼圣礼；简而言之，我们是一体教会。”</w:t>
      </w:r>
      <w:r>
        <w:rPr>
          <w:rStyle w:val="FootnoteReference"/>
        </w:rPr>
        <w:footnoteReference w:id="683"/>
      </w:r>
      <w:r w:rsidRPr="006A21F9">
        <w:rPr>
          <w:lang w:val="ru-RU"/>
        </w:rPr>
        <w:t xml:space="preserve"> “让（异端分子）展示他们教会的起源，并公布他们的主教世系，该世系应具有连续的传承，以至于他们的第一位主教的始祖或前任是某位使徒，或是长期与使徒们共事的使徒时代的人物。 因为使徒教会正是这样记录（主教）名录的： 例如，士麦那教会推举由约翰任命的波利卡普；罗马教会推举由彼得按立的克莱门特；其他教会同样指出那些被他们视为由使徒本人擢升为主教、作为使徒后裔的先驱。”</w:t>
      </w:r>
      <w:r>
        <w:rPr>
          <w:rStyle w:val="FootnoteReference"/>
        </w:rPr>
        <w:footnoteReference w:id="684"/>
      </w:r>
    </w:p>
    <w:p w14:paraId="7CD78CFB" w14:textId="77777777" w:rsidR="00BE1885" w:rsidRPr="006A21F9" w:rsidRDefault="00BE1885" w:rsidP="00BE1885">
      <w:pPr>
        <w:rPr>
          <w:lang w:val="ru-RU"/>
        </w:rPr>
      </w:pPr>
      <w:r w:rsidRPr="006A21F9">
        <w:rPr>
          <w:lang w:val="ru-RU"/>
        </w:rPr>
        <w:tab/>
        <w:t>圣奥古斯丁：“自使徒时代以来，教会通过最著名的主教传承——这一传承一直延续至今，并将持续到未来所有时代——在基督圣体的圣事中，保存并向天主献上赞美的祭品。”</w:t>
      </w:r>
      <w:r>
        <w:rPr>
          <w:rStyle w:val="FootnoteReference"/>
        </w:rPr>
        <w:footnoteReference w:id="685"/>
      </w:r>
    </w:p>
    <w:p w14:paraId="74486E98" w14:textId="77777777" w:rsidR="00BE1885" w:rsidRPr="006A21F9" w:rsidRDefault="00BE1885" w:rsidP="00BE1885">
      <w:pPr>
        <w:rPr>
          <w:lang w:val="ru-RU"/>
        </w:rPr>
      </w:pPr>
      <w:r w:rsidRPr="006A21F9">
        <w:rPr>
          <w:lang w:val="ru-RU"/>
        </w:rPr>
        <w:tab/>
        <w:t>圣杰罗姆：“应当留在那由使徒们建立、并一直存续至今的教会中。”</w:t>
      </w:r>
      <w:r>
        <w:rPr>
          <w:rStyle w:val="FootnoteReference"/>
        </w:rPr>
        <w:footnoteReference w:id="686"/>
      </w:r>
    </w:p>
    <w:p w14:paraId="19C7AF56" w14:textId="77777777" w:rsidR="00BE1885" w:rsidRPr="006A21F9" w:rsidRDefault="00BE1885" w:rsidP="00BE1885">
      <w:pPr>
        <w:rPr>
          <w:lang w:val="ru-RU"/>
        </w:rPr>
      </w:pPr>
    </w:p>
    <w:p w14:paraId="1C9E424C" w14:textId="77777777" w:rsidR="00BE1885" w:rsidRPr="006A21F9" w:rsidRDefault="00BE1885" w:rsidP="00BE1885">
      <w:pPr>
        <w:pStyle w:val="Heading5"/>
        <w:rPr>
          <w:lang w:val="ru-RU"/>
        </w:rPr>
      </w:pPr>
      <w:bookmarkStart w:id="539" w:name="_Toc133142942"/>
      <w:bookmarkStart w:id="540" w:name="_Toc133166299"/>
      <w:bookmarkStart w:id="541" w:name="_Toc182221509"/>
      <w:bookmarkStart w:id="542" w:name="_Toc238453076"/>
      <w:bookmarkStart w:id="543" w:name="_Toc238453876"/>
      <w:bookmarkStart w:id="544" w:name="_Toc238576536"/>
      <w:r w:rsidRPr="006A21F9">
        <w:rPr>
          <w:bCs/>
          <w:lang w:val="ru-RU"/>
        </w:rPr>
        <w:t>§182.</w:t>
      </w:r>
      <w:r w:rsidRPr="006A21F9">
        <w:rPr>
          <w:lang w:val="ru-RU"/>
        </w:rPr>
        <w:t xml:space="preserve"> 教义的道德应用</w:t>
      </w:r>
      <w:bookmarkEnd w:id="539"/>
      <w:bookmarkEnd w:id="540"/>
      <w:bookmarkEnd w:id="541"/>
      <w:bookmarkEnd w:id="542"/>
      <w:bookmarkEnd w:id="543"/>
      <w:bookmarkEnd w:id="544"/>
    </w:p>
    <w:p w14:paraId="7E621F18" w14:textId="77777777" w:rsidR="00BE1885" w:rsidRPr="006A21F9" w:rsidRDefault="00BE1885" w:rsidP="00BE1885">
      <w:pPr>
        <w:ind w:firstLine="708"/>
        <w:rPr>
          <w:lang w:val="ru-RU"/>
        </w:rPr>
      </w:pPr>
      <w:r w:rsidRPr="006A21F9">
        <w:rPr>
          <w:b/>
          <w:bCs/>
          <w:lang w:val="ru-RU"/>
        </w:rPr>
        <w:t>1.</w:t>
      </w:r>
      <w:r w:rsidRPr="006A21F9">
        <w:rPr>
          <w:lang w:val="ru-RU"/>
        </w:rPr>
        <w:t xml:space="preserve"> 主耶稣建立他的教会，是为了使教会使人重生，并引导他们走向永生。因此，我们对教会的态度应当如同子女对母亲的态度：我们有义务 地爱基督的教会，视其为我们的属灵母亲；有义务在一切事上顺服她，如同顺服我们的属灵母亲一样。具体而言，主耶稣：</w:t>
      </w:r>
    </w:p>
    <w:p w14:paraId="154FD27C" w14:textId="77777777" w:rsidR="00BE1885" w:rsidRPr="006A21F9" w:rsidRDefault="00BE1885" w:rsidP="00BE1885">
      <w:pPr>
        <w:ind w:firstLine="708"/>
        <w:rPr>
          <w:lang w:val="ru-RU"/>
        </w:rPr>
      </w:pPr>
      <w:r w:rsidRPr="006A21F9">
        <w:rPr>
          <w:b/>
          <w:bCs/>
          <w:lang w:val="ru-RU"/>
        </w:rPr>
        <w:t>2.</w:t>
      </w:r>
      <w:r w:rsidRPr="006A21F9">
        <w:rPr>
          <w:lang w:val="ru-RU"/>
        </w:rPr>
        <w:t xml:space="preserve"> 委托教会保存并向世人传授祂的天上教义：我们的责任是从这位由上帝设立的导师口中领受这救赎的教义，并按照她的理解去领会它——她始终在圣灵的引导下。</w:t>
      </w:r>
    </w:p>
    <w:p w14:paraId="324A8EC7" w14:textId="77777777" w:rsidR="00BE1885" w:rsidRPr="006A21F9" w:rsidRDefault="00BE1885" w:rsidP="00BE1885">
      <w:pPr>
        <w:ind w:firstLine="708"/>
        <w:rPr>
          <w:lang w:val="ru-RU"/>
        </w:rPr>
      </w:pPr>
      <w:r w:rsidRPr="006A21F9">
        <w:rPr>
          <w:b/>
          <w:bCs/>
          <w:lang w:val="ru-RU"/>
        </w:rPr>
        <w:t>3.</w:t>
      </w:r>
      <w:r w:rsidRPr="006A21F9">
        <w:rPr>
          <w:lang w:val="ru-RU"/>
        </w:rPr>
        <w:t xml:space="preserve"> 嘱托教会为使人成圣而施行圣礼及各项圣事：我们的责任是虔诚地参与教会所施行的救赎圣礼及所有其他圣事。</w:t>
      </w:r>
    </w:p>
    <w:p w14:paraId="715436D1" w14:textId="77777777" w:rsidR="00BE1885" w:rsidRPr="006A21F9" w:rsidRDefault="00BE1885" w:rsidP="00BE1885">
      <w:pPr>
        <w:ind w:firstLine="708"/>
        <w:rPr>
          <w:lang w:val="ru-RU"/>
        </w:rPr>
      </w:pPr>
      <w:r w:rsidRPr="006A21F9">
        <w:rPr>
          <w:b/>
          <w:bCs/>
          <w:lang w:val="ru-RU"/>
        </w:rPr>
        <w:t>4.</w:t>
      </w:r>
      <w:r w:rsidRPr="006A21F9">
        <w:rPr>
          <w:lang w:val="ru-RU"/>
        </w:rPr>
        <w:t xml:space="preserve"> 委托教会引导并坚固信徒过敬虔的生活：我们的责任是毫无异议地顺服这位引导者的教导，并虔诚地遵守一切教会诫命（《东正教信条》第一卷，对第87-95题的回答）。</w:t>
      </w:r>
    </w:p>
    <w:p w14:paraId="46C7D78D" w14:textId="77777777" w:rsidR="00BE1885" w:rsidRPr="006A21F9" w:rsidRDefault="00BE1885" w:rsidP="00BE1885">
      <w:pPr>
        <w:ind w:firstLine="708"/>
        <w:rPr>
          <w:lang w:val="ru-RU"/>
        </w:rPr>
      </w:pPr>
      <w:r w:rsidRPr="006A21F9">
        <w:rPr>
          <w:b/>
          <w:bCs/>
          <w:lang w:val="ru-RU"/>
        </w:rPr>
        <w:t>5.</w:t>
      </w:r>
      <w:r w:rsidRPr="006A21F9">
        <w:rPr>
          <w:lang w:val="ru-RU"/>
        </w:rPr>
        <w:t xml:space="preserve"> 祂亲自在教会中建立了等级制度或圣职体系，区分了信徒与牧者，并为每个人指明了特定的位置和事奉： 所有教会成员——无论是牧者还是信徒——的职责，正是要成为自己被召唤的那样，并坚定地铭记：我们因所领受的恩典，拥有不同的恩赐（罗12:6），而且我们每个人所领受的恩典，都是按着基督所赐的恩赐而定的（弗4:7）。</w:t>
      </w:r>
    </w:p>
    <w:p w14:paraId="7BA51E27" w14:textId="77777777" w:rsidR="00BE1885" w:rsidRPr="006A21F9" w:rsidRDefault="00BE1885" w:rsidP="00BE1885">
      <w:pPr>
        <w:ind w:firstLine="708"/>
        <w:rPr>
          <w:lang w:val="ru-RU"/>
        </w:rPr>
      </w:pPr>
      <w:r w:rsidRPr="006A21F9">
        <w:rPr>
          <w:b/>
          <w:bCs/>
          <w:lang w:val="ru-RU"/>
        </w:rPr>
        <w:lastRenderedPageBreak/>
        <w:t xml:space="preserve">6. </w:t>
      </w:r>
      <w:r w:rsidRPr="006A21F9">
        <w:rPr>
          <w:lang w:val="ru-RU"/>
        </w:rPr>
        <w:t>我们所属的基督教会是合一的：因此，让我们致力于在和平的联合中保持圣灵的合一，并真正成为一个身体、一个圣灵（以弗所书 4:3-4）。</w:t>
      </w:r>
    </w:p>
    <w:p w14:paraId="0882A785" w14:textId="77777777" w:rsidR="00BE1885" w:rsidRPr="006A21F9" w:rsidRDefault="00BE1885" w:rsidP="00BE1885">
      <w:pPr>
        <w:ind w:firstLine="708"/>
        <w:rPr>
          <w:lang w:val="ru-RU"/>
        </w:rPr>
      </w:pPr>
      <w:r w:rsidRPr="006A21F9">
        <w:rPr>
          <w:b/>
          <w:bCs/>
          <w:lang w:val="ru-RU"/>
        </w:rPr>
        <w:t>7.</w:t>
      </w:r>
      <w:r w:rsidRPr="006A21F9">
        <w:rPr>
          <w:lang w:val="ru-RU"/>
        </w:rPr>
        <w:t xml:space="preserve"> 基督的教会是圣洁的：愿这成为我们恒久的激励，使我们远离一切罪恶的污秽，并在圣所中使我们的心保持纯洁（帖前3:13），好叫我们成为圣洁身体的活肢体，而这身体的元首正是至圣所——基督。</w:t>
      </w:r>
    </w:p>
    <w:p w14:paraId="17615BC8" w14:textId="77777777" w:rsidR="00BE1885" w:rsidRPr="006A21F9" w:rsidRDefault="00BE1885" w:rsidP="00BE1885">
      <w:pPr>
        <w:ind w:firstLine="708"/>
        <w:rPr>
          <w:lang w:val="ru-RU"/>
        </w:rPr>
      </w:pPr>
      <w:r w:rsidRPr="006A21F9">
        <w:rPr>
          <w:b/>
          <w:bCs/>
          <w:lang w:val="ru-RU"/>
        </w:rPr>
        <w:t>8.</w:t>
      </w:r>
      <w:r w:rsidRPr="006A21F9">
        <w:rPr>
          <w:lang w:val="ru-RU"/>
        </w:rPr>
        <w:t xml:space="preserve"> 基督的教会是普世的，旨在拥抱整个世界，启迪并圣化万邦：根据我们属灵之母的这一特质，让我们学会以基督徒的爱心拥抱所有人，并随时准备——服侍众人，向近处和远处的人施予仁爱。</w:t>
      </w:r>
    </w:p>
    <w:p w14:paraId="0D0ABF8E" w14:textId="77777777" w:rsidR="00BE1885" w:rsidRPr="006A21F9" w:rsidRDefault="00BE1885" w:rsidP="00BE1885">
      <w:pPr>
        <w:ind w:firstLine="708"/>
        <w:rPr>
          <w:lang w:val="ru-RU"/>
        </w:rPr>
      </w:pPr>
      <w:r w:rsidRPr="006A21F9">
        <w:rPr>
          <w:b/>
          <w:bCs/>
          <w:lang w:val="ru-RU"/>
        </w:rPr>
        <w:t>9.</w:t>
      </w:r>
      <w:r w:rsidRPr="006A21F9">
        <w:rPr>
          <w:lang w:val="ru-RU"/>
        </w:rPr>
        <w:t xml:space="preserve"> 基督的教会是使徒的：让我们在这样的导师引导下，坚定地站在基督的信仰、盼望和爱之中，正如经上所言：</w:t>
      </w:r>
      <w:r w:rsidRPr="006A21F9">
        <w:rPr>
          <w:i/>
          <w:iCs/>
          <w:lang w:val="ru-RU"/>
        </w:rPr>
        <w:t>“被建造在使徒和先知的根基上，以耶稣基督自己为房角石”</w:t>
      </w:r>
      <w:r w:rsidRPr="006A21F9">
        <w:rPr>
          <w:lang w:val="ru-RU"/>
        </w:rPr>
        <w:t>（弗 2:20）。</w:t>
      </w:r>
    </w:p>
    <w:p w14:paraId="70637164" w14:textId="77777777" w:rsidR="00BE1885" w:rsidRPr="006A21F9" w:rsidRDefault="00BE1885" w:rsidP="00BE1885">
      <w:pPr>
        <w:rPr>
          <w:lang w:val="ru-RU"/>
        </w:rPr>
      </w:pPr>
    </w:p>
    <w:p w14:paraId="3201FC1F" w14:textId="77777777" w:rsidR="00BE1885" w:rsidRPr="006A21F9" w:rsidRDefault="00BE1885" w:rsidP="00BE1885">
      <w:pPr>
        <w:rPr>
          <w:lang w:val="ru-RU"/>
        </w:rPr>
      </w:pPr>
    </w:p>
    <w:p w14:paraId="1131EF3B" w14:textId="77777777" w:rsidR="00BE1885" w:rsidRPr="006A21F9" w:rsidRDefault="00BE1885" w:rsidP="00BE1885">
      <w:pPr>
        <w:pStyle w:val="Heading3"/>
        <w:rPr>
          <w:lang w:val="ru-RU"/>
        </w:rPr>
      </w:pPr>
      <w:r w:rsidRPr="006A21F9">
        <w:rPr>
          <w:lang w:val="ru-RU"/>
        </w:rPr>
        <w:tab/>
      </w:r>
      <w:bookmarkStart w:id="545" w:name="_Toc133142605"/>
      <w:bookmarkStart w:id="546" w:name="_Toc133142943"/>
      <w:bookmarkStart w:id="547" w:name="_Toc133166300"/>
      <w:bookmarkStart w:id="548" w:name="_Toc182221510"/>
      <w:bookmarkStart w:id="549" w:name="_Toc238453077"/>
      <w:bookmarkStart w:id="550" w:name="_Toc238453877"/>
      <w:bookmarkStart w:id="551" w:name="_Toc238454325"/>
      <w:bookmarkStart w:id="552" w:name="_Toc238466407"/>
      <w:bookmarkStart w:id="553" w:name="_Toc238576537"/>
      <w:r w:rsidRPr="001E4083">
        <w:rPr>
          <w:bCs/>
        </w:rPr>
        <w:t>第二条</w:t>
      </w:r>
      <w:r w:rsidRPr="006A21F9">
        <w:rPr>
          <w:bCs/>
          <w:lang w:val="ru-RU"/>
        </w:rPr>
        <w:t xml:space="preserve">。 </w:t>
      </w:r>
      <w:r w:rsidRPr="006A21F9">
        <w:rPr>
          <w:lang w:val="ru-RU"/>
        </w:rPr>
        <w:br/>
        <w:t>论神的恩典，即主藉此使我们成圣的大能</w:t>
      </w:r>
      <w:bookmarkEnd w:id="545"/>
      <w:bookmarkEnd w:id="546"/>
      <w:bookmarkEnd w:id="547"/>
      <w:bookmarkEnd w:id="548"/>
      <w:bookmarkEnd w:id="549"/>
      <w:bookmarkEnd w:id="550"/>
      <w:bookmarkEnd w:id="551"/>
      <w:bookmarkEnd w:id="552"/>
      <w:bookmarkEnd w:id="553"/>
    </w:p>
    <w:p w14:paraId="43B3663A" w14:textId="77777777" w:rsidR="00BE1885" w:rsidRPr="006A21F9" w:rsidRDefault="00BE1885" w:rsidP="00BE1885">
      <w:pPr>
        <w:rPr>
          <w:lang w:val="ru-RU"/>
        </w:rPr>
      </w:pPr>
      <w:r w:rsidRPr="006A21F9">
        <w:rPr>
          <w:lang w:val="ru-RU"/>
        </w:rPr>
        <w:tab/>
      </w:r>
    </w:p>
    <w:p w14:paraId="546596F6" w14:textId="77777777" w:rsidR="00BE1885" w:rsidRPr="006A21F9" w:rsidRDefault="00BE1885" w:rsidP="00BE1885">
      <w:pPr>
        <w:pStyle w:val="Heading5"/>
        <w:rPr>
          <w:lang w:val="ru-RU"/>
        </w:rPr>
      </w:pPr>
      <w:bookmarkStart w:id="554" w:name="_Toc133142944"/>
      <w:bookmarkStart w:id="555" w:name="_Toc133166301"/>
      <w:bookmarkStart w:id="556" w:name="_Toc182221511"/>
      <w:bookmarkStart w:id="557" w:name="_Toc238453078"/>
      <w:bookmarkStart w:id="558" w:name="_Toc238453878"/>
      <w:bookmarkStart w:id="559" w:name="_Toc238576538"/>
      <w:r w:rsidRPr="006A21F9">
        <w:rPr>
          <w:bCs/>
          <w:lang w:val="ru-RU"/>
        </w:rPr>
        <w:t>§183.</w:t>
      </w:r>
      <w:r w:rsidRPr="006A21F9">
        <w:rPr>
          <w:lang w:val="ru-RU"/>
        </w:rPr>
        <w:t xml:space="preserve"> 关于上帝恩典的总体概念</w:t>
      </w:r>
      <w:r w:rsidRPr="001E4083">
        <w:t>及其</w:t>
      </w:r>
      <w:r w:rsidRPr="006A21F9">
        <w:rPr>
          <w:lang w:val="ru-RU"/>
        </w:rPr>
        <w:t>种类；关于使罪人成圣的恩典的概念及其分类</w:t>
      </w:r>
      <w:bookmarkEnd w:id="554"/>
      <w:bookmarkEnd w:id="555"/>
      <w:bookmarkEnd w:id="556"/>
      <w:bookmarkEnd w:id="557"/>
      <w:bookmarkEnd w:id="558"/>
      <w:bookmarkEnd w:id="559"/>
    </w:p>
    <w:p w14:paraId="585D37AD" w14:textId="77777777" w:rsidR="00BE1885" w:rsidRPr="006A21F9" w:rsidRDefault="00BE1885" w:rsidP="00BE1885">
      <w:pPr>
        <w:ind w:firstLine="708"/>
        <w:rPr>
          <w:lang w:val="ru-RU"/>
        </w:rPr>
      </w:pPr>
      <w:r w:rsidRPr="001E4083">
        <w:rPr>
          <w:b/>
          <w:bCs/>
        </w:rPr>
        <w:t>一</w:t>
      </w:r>
      <w:r w:rsidRPr="006A21F9">
        <w:rPr>
          <w:b/>
          <w:bCs/>
          <w:lang w:val="ru-RU"/>
        </w:rPr>
        <w:t>、</w:t>
      </w:r>
      <w:r w:rsidRPr="006A21F9">
        <w:rPr>
          <w:lang w:val="ru-RU"/>
        </w:rPr>
        <w:t>所谓“神的恩典”，一般是指主无条件地赐予其受造物的一切恩赐，而这些受造物本身并无任何功劳可言[（罗11:6）；（彼前5:10）]。 因此，神的恩典可分为：自然恩典与超自然恩典。自然恩典指神赐予受造物的一切自然恩赐，例如：生命、健康、理智、自由、外在的福祉等。 超自然的恩典则指上帝以超自然的方式赐予受造物、作为自然恩赐的补充的一切恩赐——例如，当祂亲自用真理之光直接启迪有理性的受造物的理智，并在敬虔的事工中以祂的大能和帮助来坚固他们的意志时。 这种后一种恩典，即超自然的恩典，又可细分为两类：一是造物主上帝的恩典，祂将其赐予处于无罪状态的道德受造物——在人类堕落之前曾赐予人类，至今仍赐予善良的天使； 以及救主上帝的恩典，祂曾借着耶稣并在耶稣基督里，将这恩典赐予并继续赐予堕落的人类（提多书 3:</w:t>
      </w:r>
      <w:r w:rsidRPr="00DE3B87">
        <w:rPr>
          <w:lang w:val="ru-RU"/>
        </w:rPr>
        <w:t>4-7</w:t>
      </w:r>
      <w:r w:rsidRPr="006A21F9">
        <w:rPr>
          <w:lang w:val="ru-RU"/>
        </w:rPr>
        <w:t>）。</w:t>
      </w:r>
    </w:p>
    <w:p w14:paraId="0B2DDFA9" w14:textId="77777777" w:rsidR="00BE1885" w:rsidRPr="006A21F9" w:rsidRDefault="00BE1885" w:rsidP="00BE1885">
      <w:pPr>
        <w:rPr>
          <w:lang w:val="ru-RU"/>
        </w:rPr>
      </w:pPr>
      <w:r w:rsidRPr="006A21F9">
        <w:rPr>
          <w:lang w:val="ru-RU"/>
        </w:rPr>
        <w:tab/>
        <w:t xml:space="preserve">不过，就后者而言，“恩典”一词也有不同的含义。首先，上帝之子降临人间、祂的道成肉身，以及祂为我们成就的救赎大业——这一切完全不依赖我们自身的功德——都被称为恩典： </w:t>
      </w:r>
      <w:r w:rsidRPr="006A21F9">
        <w:rPr>
          <w:i/>
          <w:iCs/>
          <w:lang w:val="ru-RU"/>
        </w:rPr>
        <w:t>“因为你们知道</w:t>
      </w:r>
      <w:r w:rsidRPr="006A21F9">
        <w:rPr>
          <w:lang w:val="ru-RU"/>
        </w:rPr>
        <w:t>，”使徒说</w:t>
      </w:r>
      <w:r w:rsidRPr="006A21F9">
        <w:rPr>
          <w:i/>
          <w:iCs/>
          <w:lang w:val="ru-RU"/>
        </w:rPr>
        <w:t>，“我们主耶稣基督的恩典：那富足的，为你们成了贫穷，叫你们因他的贫穷，可以成为富足”</w:t>
      </w:r>
      <w:r w:rsidRPr="006A21F9">
        <w:rPr>
          <w:lang w:val="ru-RU"/>
        </w:rPr>
        <w:t xml:space="preserve">（林后8:9），并在另一处说： </w:t>
      </w:r>
      <w:r w:rsidRPr="006A21F9">
        <w:rPr>
          <w:i/>
          <w:iCs/>
          <w:lang w:val="ru-RU"/>
        </w:rPr>
        <w:t>“当我们救主上帝的恩典和仁爱显明的时候，祂拯救我们，并不是因我们自己所行的义，乃是照祂的怜悯，藉着圣灵重生的洗和更新”</w:t>
      </w:r>
      <w:r w:rsidRPr="006A21F9">
        <w:rPr>
          <w:lang w:val="ru-RU"/>
        </w:rPr>
        <w:t>[(提多书 3:4-5)；引自(提多书 2:11)]。 其次——所指的是一系列非凡的恩赐，这些恩赐由上帝赐予教会中的不同成员，同样与他们自身的功劳无关，旨在造福教会，</w:t>
      </w:r>
      <w:r w:rsidRPr="001E4083">
        <w:t>促进教会的</w:t>
      </w:r>
      <w:r w:rsidRPr="006A21F9">
        <w:rPr>
          <w:lang w:val="ru-RU"/>
        </w:rPr>
        <w:t>传播、建立与完善，例如：用不同语言传讲上帝之道的能力、行神迹的能力、先知预言的能力等。 [(林前 12:4-11)；(太 7:22-23)]：同一位圣使徒指出，</w:t>
      </w:r>
      <w:r w:rsidRPr="006A21F9">
        <w:rPr>
          <w:i/>
          <w:iCs/>
          <w:lang w:val="ru-RU"/>
        </w:rPr>
        <w:t>我们每个人都按基督所赐的恩赐分得恩典</w:t>
      </w:r>
      <w:r w:rsidRPr="006A21F9">
        <w:rPr>
          <w:lang w:val="ru-RU"/>
        </w:rPr>
        <w:t>（弗 4:7）。 最后，所谓恩典，是指因我们救赎主的功绩而赐予我们的特殊能力，或上帝的特殊作为，它成就了我们</w:t>
      </w:r>
      <w:r w:rsidRPr="006A21F9">
        <w:rPr>
          <w:lang w:val="ru-RU"/>
        </w:rPr>
        <w:lastRenderedPageBreak/>
        <w:t>的成圣，即一方面使我们脱离罪恶，在神面前得以更新并称义；另一方面则坚固我们，使我们重归美德，以得永生。 正是在这一最后意义上，恩典才构成了关于它的教义学说所真正探讨的对象。</w:t>
      </w:r>
    </w:p>
    <w:p w14:paraId="79EA1AE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在上述关于使我们成圣的恩典的概念中，包含着三个最具体的方面。它</w:t>
      </w:r>
      <w:r w:rsidRPr="006A21F9">
        <w:rPr>
          <w:b/>
          <w:bCs/>
          <w:lang w:val="ru-RU"/>
        </w:rPr>
        <w:t>——a）</w:t>
      </w:r>
      <w:r w:rsidRPr="006A21F9">
        <w:rPr>
          <w:lang w:val="ru-RU"/>
        </w:rPr>
        <w:t xml:space="preserve">是上帝在人身上的一种特殊力量、一种特殊作为，正如主自己对使徒保罗所说： </w:t>
      </w:r>
      <w:r w:rsidRPr="006A21F9">
        <w:rPr>
          <w:i/>
          <w:iCs/>
          <w:lang w:val="ru-RU"/>
        </w:rPr>
        <w:t>“我的恩典够你用的，因为我的能力是在人的软弱上显得完全”，</w:t>
      </w:r>
      <w:r w:rsidRPr="006A21F9">
        <w:rPr>
          <w:lang w:val="ru-RU"/>
        </w:rPr>
        <w:t>以及圣保罗的话：</w:t>
      </w:r>
      <w:r w:rsidRPr="006A21F9">
        <w:rPr>
          <w:i/>
          <w:iCs/>
          <w:lang w:val="ru-RU"/>
        </w:rPr>
        <w:t>“所以我更喜欢夸自己的软弱，好叫基督的能力覆庇我”</w:t>
      </w:r>
      <w:r w:rsidRPr="006A21F9">
        <w:rPr>
          <w:lang w:val="ru-RU"/>
        </w:rPr>
        <w:t>（林后12:9），还有其他经文：</w:t>
      </w:r>
      <w:r w:rsidRPr="006A21F9">
        <w:rPr>
          <w:i/>
          <w:iCs/>
          <w:lang w:val="ru-RU"/>
        </w:rPr>
        <w:t>“……我因神恩典的恩赐，借着祂大能的作为，成了祂的执事</w:t>
      </w:r>
      <w:r w:rsidRPr="006A21F9">
        <w:rPr>
          <w:lang w:val="ru-RU"/>
        </w:rPr>
        <w:t>”（以弗所书 3:7）；</w:t>
      </w:r>
      <w:r w:rsidRPr="006A21F9">
        <w:rPr>
          <w:i/>
          <w:iCs/>
          <w:lang w:val="ru-RU"/>
        </w:rPr>
        <w:t>“……为此，我也在祂大能的作为中劳苦，这能力在我里面大有能力地运行”</w:t>
      </w:r>
      <w:r w:rsidRPr="006A21F9">
        <w:rPr>
          <w:lang w:val="ru-RU"/>
        </w:rPr>
        <w:t xml:space="preserve">（歌罗西书 1:29）。又如： </w:t>
      </w:r>
      <w:r w:rsidRPr="006A21F9">
        <w:rPr>
          <w:i/>
          <w:iCs/>
          <w:lang w:val="ru-RU"/>
        </w:rPr>
        <w:t>“恩赐有分别，圣灵却是一位；职分有分别，主却是一位；工作有分别，神却是一位，在众人里面运行一切”</w:t>
      </w:r>
      <w:r w:rsidRPr="006A21F9">
        <w:rPr>
          <w:lang w:val="ru-RU"/>
        </w:rPr>
        <w:t>（林前12:4-6）。</w:t>
      </w:r>
      <w:r w:rsidRPr="006A21F9">
        <w:rPr>
          <w:i/>
          <w:iCs/>
          <w:lang w:val="ru-RU"/>
        </w:rPr>
        <w:t>“赐给你们圣灵、又在你们中间行神迹的，是因律法的行为，还是因信心的教导呢？”</w:t>
      </w:r>
      <w:r w:rsidRPr="006A21F9">
        <w:rPr>
          <w:lang w:val="ru-RU"/>
        </w:rPr>
        <w:t xml:space="preserve"> （加拉太书 3:5）？</w:t>
      </w:r>
      <w:r w:rsidRPr="006A21F9">
        <w:rPr>
          <w:i/>
          <w:iCs/>
          <w:lang w:val="ru-RU"/>
        </w:rPr>
        <w:t>“那在我们里面运行的大能者，能照着运行在我们心里的大力，充充足足地成就一切，超过我们所求所想的，愿荣耀归给祂，在基督耶稣的教会中，直到世世代代，永永远远</w:t>
      </w:r>
      <w:r w:rsidRPr="006A21F9">
        <w:rPr>
          <w:lang w:val="ru-RU"/>
        </w:rPr>
        <w:t>。</w:t>
      </w:r>
      <w:r w:rsidRPr="006A21F9">
        <w:rPr>
          <w:i/>
          <w:iCs/>
          <w:lang w:val="ru-RU"/>
        </w:rPr>
        <w:t>阿们”</w:t>
      </w:r>
      <w:r w:rsidRPr="006A21F9">
        <w:rPr>
          <w:lang w:val="ru-RU"/>
        </w:rPr>
        <w:t xml:space="preserve">（以弗所书 3:20-21）。 </w:t>
      </w:r>
      <w:r w:rsidRPr="006A21F9">
        <w:rPr>
          <w:b/>
          <w:bCs/>
          <w:lang w:val="ru-RU"/>
        </w:rPr>
        <w:t>它——b）</w:t>
      </w:r>
      <w:r w:rsidRPr="006A21F9">
        <w:rPr>
          <w:lang w:val="ru-RU"/>
        </w:rPr>
        <w:t>是因耶稣基督的功绩白白赐给我们的，正如同一位使徒所教导的：</w:t>
      </w:r>
      <w:r w:rsidRPr="006A21F9">
        <w:rPr>
          <w:i/>
          <w:iCs/>
          <w:lang w:val="ru-RU"/>
        </w:rPr>
        <w:t>“世人都犯了罪，亏缺了神的荣耀，如今却因基督耶稣的救赎，凭着神的恩典，白白地称义”</w:t>
      </w:r>
      <w:r w:rsidRPr="006A21F9">
        <w:rPr>
          <w:lang w:val="ru-RU"/>
        </w:rPr>
        <w:t>[（罗 3:23-24；引自 （罗6:16）]。</w:t>
      </w:r>
      <w:r w:rsidRPr="006A21F9">
        <w:rPr>
          <w:i/>
          <w:iCs/>
          <w:lang w:val="ru-RU"/>
        </w:rPr>
        <w:t>“不是因我们自己所行的义，乃是照祂的怜悯，借着重生的洗和圣灵的更新，圣灵是祂借着我们的救主耶稣基督丰丰富富地浇灌在我们身上的”</w:t>
      </w:r>
      <w:r w:rsidRPr="006A21F9">
        <w:rPr>
          <w:lang w:val="ru-RU"/>
        </w:rPr>
        <w:t>（提多书3:5-6）。 罪在哪里增多，恩典</w:t>
      </w:r>
      <w:r w:rsidRPr="006A21F9">
        <w:rPr>
          <w:i/>
          <w:iCs/>
          <w:lang w:val="ru-RU"/>
        </w:rPr>
        <w:t>就</w:t>
      </w:r>
      <w:r w:rsidRPr="006A21F9">
        <w:rPr>
          <w:lang w:val="ru-RU"/>
        </w:rPr>
        <w:t>更丰盛：</w:t>
      </w:r>
      <w:r w:rsidRPr="006A21F9">
        <w:rPr>
          <w:i/>
          <w:iCs/>
          <w:lang w:val="ru-RU"/>
        </w:rPr>
        <w:t>“罪虽然增多，恩典却更丰盛，好叫罪怎样在死里作王，恩典也照样借着义在永生里作王，就是借着我们的主耶稣基督”</w:t>
      </w:r>
      <w:r w:rsidRPr="006A21F9">
        <w:rPr>
          <w:lang w:val="ru-RU"/>
        </w:rPr>
        <w:t xml:space="preserve">（罗马书 5:20-21）。 </w:t>
      </w:r>
      <w:r w:rsidRPr="006A21F9">
        <w:rPr>
          <w:i/>
          <w:iCs/>
          <w:lang w:val="ru-RU"/>
        </w:rPr>
        <w:t>“使我们因他的恩典称义，凭着盼望成为永生的后嗣”</w:t>
      </w:r>
      <w:r w:rsidRPr="006A21F9">
        <w:rPr>
          <w:lang w:val="ru-RU"/>
        </w:rPr>
        <w:t xml:space="preserve">（提多书 3:7）。 </w:t>
      </w:r>
      <w:r w:rsidRPr="006A21F9">
        <w:rPr>
          <w:i/>
          <w:iCs/>
          <w:lang w:val="ru-RU"/>
        </w:rPr>
        <w:t>“愿（神）使你们在一切善事上都得以完全，遵行祂的旨意，借着耶稣基督在你们心里成就祂所喜悦的事”</w:t>
      </w:r>
      <w:r w:rsidRPr="006A21F9">
        <w:rPr>
          <w:lang w:val="ru-RU"/>
        </w:rPr>
        <w:t>（希伯来书 13:21）。</w:t>
      </w:r>
      <w:r w:rsidRPr="006A21F9">
        <w:rPr>
          <w:i/>
          <w:iCs/>
          <w:lang w:val="ru-RU"/>
        </w:rPr>
        <w:t>“我们是靠着主耶稣基督的恩典得救的”</w:t>
      </w:r>
      <w:r w:rsidRPr="006A21F9">
        <w:rPr>
          <w:lang w:val="ru-RU"/>
        </w:rPr>
        <w:t>（使徒行传 15:11）。</w:t>
      </w:r>
    </w:p>
    <w:p w14:paraId="25160454" w14:textId="77777777" w:rsidR="00BE1885" w:rsidRPr="006A21F9" w:rsidRDefault="00BE1885" w:rsidP="00BE1885">
      <w:pPr>
        <w:rPr>
          <w:lang w:val="ru-RU"/>
        </w:rPr>
      </w:pPr>
      <w:r w:rsidRPr="006A21F9">
        <w:rPr>
          <w:lang w:val="ru-RU"/>
        </w:rPr>
        <w:tab/>
        <w:t>为了使关于这种成圣之恩的教义更加清晰，它还被进一步细分为更具体的种类。 它被称为“外在的”，是因为它通过外部媒介从外部作用于人，例如：上帝的话语、福音的宣讲、神迹等；而被称为“内在的”，是因为它直接作用于人本身，在人里面除掉罪恶，启迪理智，激发并引导人的意志行善。 当它给人的灵魂带来具体的感化，并促使人行具体的善事时，称为“暂时的”；当它恒常驻留于人的灵魂之中，使人成为义人并蒙神喜悦时，则称为“恒久的”。 它被称为“先导的”或“先行”的，是因为它先于一切善行，召唤并激励人行善；它被称为“伴随的”或“协助”的，是因为它伴随一切善行。 它被称为“充足的”，是因为它总是赋予人足够的力量和便利 ，使其能够为自己的得救而行动，尽管并不伴随人自身的行动；它被称为“有效的”，则是因为它伴随人自身的行动，并在其中结出得救的果实。</w:t>
      </w:r>
    </w:p>
    <w:p w14:paraId="58B0D538" w14:textId="77777777" w:rsidR="00BE1885" w:rsidRPr="006A21F9" w:rsidRDefault="00BE1885" w:rsidP="00BE1885">
      <w:pPr>
        <w:rPr>
          <w:lang w:val="ru-RU"/>
        </w:rPr>
      </w:pPr>
    </w:p>
    <w:p w14:paraId="12F0A2DB" w14:textId="77777777" w:rsidR="00BE1885" w:rsidRPr="006A21F9" w:rsidRDefault="00BE1885" w:rsidP="00BE1885">
      <w:pPr>
        <w:pStyle w:val="Heading5"/>
        <w:rPr>
          <w:lang w:val="ru-RU"/>
        </w:rPr>
      </w:pPr>
      <w:bookmarkStart w:id="560" w:name="_Toc133142945"/>
      <w:bookmarkStart w:id="561" w:name="_Toc133166302"/>
      <w:bookmarkStart w:id="562" w:name="_Toc182221512"/>
      <w:bookmarkStart w:id="563" w:name="_Toc238453079"/>
      <w:bookmarkStart w:id="564" w:name="_Toc238453879"/>
      <w:bookmarkStart w:id="565" w:name="_Toc238576539"/>
      <w:r w:rsidRPr="006A21F9">
        <w:rPr>
          <w:bCs/>
          <w:lang w:val="ru-RU"/>
        </w:rPr>
        <w:t>§184.</w:t>
      </w:r>
      <w:r w:rsidRPr="006A21F9">
        <w:rPr>
          <w:lang w:val="ru-RU"/>
        </w:rPr>
        <w:t xml:space="preserve"> 关于该教义的错误观点简述、东正教会的教义及其构成</w:t>
      </w:r>
      <w:bookmarkEnd w:id="560"/>
      <w:bookmarkEnd w:id="561"/>
      <w:bookmarkEnd w:id="562"/>
      <w:bookmarkEnd w:id="563"/>
      <w:bookmarkEnd w:id="564"/>
      <w:bookmarkEnd w:id="565"/>
    </w:p>
    <w:p w14:paraId="34A47969" w14:textId="77777777" w:rsidR="00BE1885" w:rsidRPr="006A21F9" w:rsidRDefault="00BE1885" w:rsidP="00BE1885">
      <w:pPr>
        <w:ind w:firstLine="708"/>
        <w:rPr>
          <w:lang w:val="ru-RU"/>
        </w:rPr>
      </w:pPr>
      <w:r w:rsidRPr="006A21F9">
        <w:rPr>
          <w:lang w:val="ru-RU"/>
        </w:rPr>
        <w:t>关于使有罪之人成圣的恩典这一教义，曾遭到异端分子和持错误观点者的大量歪曲。</w:t>
      </w:r>
    </w:p>
    <w:p w14:paraId="24D2806C"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其中一些人过去和现在都在不同程度上对人是否需要恩典这一问题产生误解。这包括：佩拉吉派、半佩拉吉派、索西尼派和理性主义者。</w:t>
      </w:r>
    </w:p>
    <w:p w14:paraId="3A956974" w14:textId="77777777" w:rsidR="00BE1885" w:rsidRPr="006A21F9" w:rsidRDefault="00BE1885" w:rsidP="00BE1885">
      <w:pPr>
        <w:rPr>
          <w:lang w:val="ru-RU"/>
        </w:rPr>
      </w:pPr>
      <w:r w:rsidRPr="006A21F9">
        <w:rPr>
          <w:lang w:val="ru-RU"/>
        </w:rPr>
        <w:tab/>
        <w:t>5世纪初出现在西方教会的佩拉吉派宣称： “既然亚当因堕落并未丝毫损害其本性，因此他的后代出生时既无任何天然的败坏，也无原罪，那么他</w:t>
      </w:r>
      <w:r w:rsidRPr="006A21F9">
        <w:rPr>
          <w:lang w:val="ru-RU"/>
        </w:rPr>
        <w:lastRenderedPageBreak/>
        <w:t>们便能仅凭自身天然的力量达到道德上的完美，而无需为此寻求超自然的上帝之助与力量。”</w:t>
      </w:r>
      <w:r>
        <w:rPr>
          <w:rStyle w:val="FootnoteReference"/>
        </w:rPr>
        <w:footnoteReference w:id="687"/>
      </w:r>
      <w:r w:rsidRPr="006A21F9">
        <w:rPr>
          <w:lang w:val="ru-RU"/>
        </w:rPr>
        <w:t xml:space="preserve"> 因此，佩拉吉派虽然完全否认神恩对罪人成圣及在虔诚中成长的必要性，但出于异端分子惯有的狡猾，他们不愿显得是教会教义的公然反对者，因而软化了自己的观点。 他们承认恩典的存在，也谈论恩典；但他们所理解的“恩典”是指：</w:t>
      </w:r>
      <w:r w:rsidRPr="006A21F9">
        <w:rPr>
          <w:b/>
          <w:bCs/>
          <w:lang w:val="ru-RU"/>
        </w:rPr>
        <w:t>a)</w:t>
      </w:r>
      <w:r w:rsidRPr="006A21F9">
        <w:rPr>
          <w:lang w:val="ru-RU"/>
        </w:rPr>
        <w:t xml:space="preserve"> 人的自然能力、理智和自由，这些是作为恩赐赐予他的（</w:t>
      </w:r>
      <w:r w:rsidRPr="001E4083">
        <w:t>gratia</w:t>
      </w:r>
      <w:r w:rsidRPr="0097554A">
        <w:rPr>
          <w:lang w:val="ru-RU"/>
        </w:rPr>
        <w:t xml:space="preserve"> </w:t>
      </w:r>
      <w:r w:rsidRPr="001E4083">
        <w:t>naturalis</w:t>
      </w:r>
      <w:r w:rsidRPr="006A21F9">
        <w:rPr>
          <w:lang w:val="ru-RU"/>
        </w:rPr>
        <w:t>）；</w:t>
      </w:r>
      <w:r w:rsidRPr="006A21F9">
        <w:rPr>
          <w:b/>
          <w:bCs/>
          <w:lang w:val="ru-RU"/>
        </w:rPr>
        <w:t>b)</w:t>
      </w:r>
      <w:r w:rsidRPr="006A21F9">
        <w:rPr>
          <w:lang w:val="ru-RU"/>
        </w:rPr>
        <w:t xml:space="preserve"> 上帝通过摩西颁布的律法（</w:t>
      </w:r>
      <w:r w:rsidRPr="001E4083">
        <w:t>gratia</w:t>
      </w:r>
      <w:r w:rsidRPr="0097554A">
        <w:rPr>
          <w:lang w:val="ru-RU"/>
        </w:rPr>
        <w:t xml:space="preserve"> </w:t>
      </w:r>
      <w:r w:rsidRPr="001E4083">
        <w:t>legis</w:t>
      </w:r>
      <w:r w:rsidRPr="006A21F9">
        <w:rPr>
          <w:lang w:val="ru-RU"/>
        </w:rPr>
        <w:t>）；</w:t>
      </w:r>
      <w:r w:rsidRPr="006A21F9">
        <w:rPr>
          <w:b/>
          <w:bCs/>
          <w:lang w:val="ru-RU"/>
        </w:rPr>
        <w:t>c)</w:t>
      </w:r>
      <w:r w:rsidRPr="006A21F9">
        <w:rPr>
          <w:lang w:val="ru-RU"/>
        </w:rPr>
        <w:t xml:space="preserve"> 耶稣基督的教导与榜样（</w:t>
      </w:r>
      <w:r w:rsidRPr="001E4083">
        <w:t>gratia</w:t>
      </w:r>
      <w:r w:rsidRPr="0097554A">
        <w:rPr>
          <w:lang w:val="ru-RU"/>
        </w:rPr>
        <w:t xml:space="preserve"> </w:t>
      </w:r>
      <w:r w:rsidRPr="001E4083">
        <w:t>Christi</w:t>
      </w:r>
      <w:r w:rsidRPr="006A21F9">
        <w:rPr>
          <w:lang w:val="ru-RU"/>
        </w:rPr>
        <w:t xml:space="preserve">）； </w:t>
      </w:r>
      <w:r w:rsidRPr="006A21F9">
        <w:rPr>
          <w:b/>
          <w:bCs/>
          <w:lang w:val="ru-RU"/>
        </w:rPr>
        <w:t>d)</w:t>
      </w:r>
      <w:r w:rsidRPr="006A21F9">
        <w:rPr>
          <w:lang w:val="ru-RU"/>
        </w:rPr>
        <w:t xml:space="preserve"> 罪的赦免以及圣灵赐予的一种内在启迪，这仅有助于更轻松地履行道德律法；不过，据他们所言，人虽不那么轻松，但仅凭自身力量也能履行该律法（</w:t>
      </w:r>
      <w:r w:rsidRPr="001E4083">
        <w:t>gratia</w:t>
      </w:r>
      <w:r w:rsidRPr="0097554A">
        <w:rPr>
          <w:lang w:val="ru-RU"/>
        </w:rPr>
        <w:t xml:space="preserve"> </w:t>
      </w:r>
      <w:r w:rsidRPr="001E4083">
        <w:t>Spiritus</w:t>
      </w:r>
      <w:r w:rsidRPr="0097554A">
        <w:rPr>
          <w:lang w:val="ru-RU"/>
        </w:rPr>
        <w:t xml:space="preserve"> </w:t>
      </w:r>
      <w:r w:rsidRPr="001E4083">
        <w:t>Sancti</w:t>
      </w:r>
      <w:r w:rsidRPr="006A21F9">
        <w:rPr>
          <w:lang w:val="ru-RU"/>
        </w:rPr>
        <w:t>）。</w:t>
      </w:r>
      <w:r>
        <w:rPr>
          <w:rStyle w:val="FootnoteReference"/>
        </w:rPr>
        <w:footnoteReference w:id="688"/>
      </w:r>
      <w:r w:rsidRPr="006A21F9">
        <w:rPr>
          <w:lang w:val="ru-RU"/>
        </w:rPr>
        <w:t xml:space="preserve"> 首先站出来反对佩拉吉乌斯及其追随者的，是圣奥古斯丁，他撰写了大量著作来驳斥他们的观点。其他教会牧者也纷纷站出来反对，无论在东方还是西方，在极短的时间内便召开了二十多次大公会议，一致谴责了这一异端。</w:t>
      </w:r>
      <w:r>
        <w:rPr>
          <w:rStyle w:val="FootnoteReference"/>
        </w:rPr>
        <w:footnoteReference w:id="689"/>
      </w:r>
      <w:r w:rsidRPr="006A21F9">
        <w:rPr>
          <w:lang w:val="ru-RU"/>
        </w:rPr>
        <w:t xml:space="preserve"> 真理的捍卫者们一致断言：</w:t>
      </w:r>
      <w:r w:rsidRPr="006A21F9">
        <w:rPr>
          <w:b/>
          <w:bCs/>
          <w:lang w:val="ru-RU"/>
        </w:rPr>
        <w:t>a)</w:t>
      </w:r>
      <w:r w:rsidRPr="006A21F9">
        <w:rPr>
          <w:lang w:val="ru-RU"/>
        </w:rPr>
        <w:t xml:space="preserve"> 堕落且生来带有原罪的人，若没有上帝恩典的帮助，便无法凭己力行出属灵的善； </w:t>
      </w:r>
      <w:r w:rsidRPr="006A21F9">
        <w:rPr>
          <w:b/>
          <w:bCs/>
          <w:lang w:val="ru-RU"/>
        </w:rPr>
        <w:t>b)</w:t>
      </w:r>
      <w:r w:rsidRPr="006A21F9">
        <w:rPr>
          <w:lang w:val="ru-RU"/>
        </w:rPr>
        <w:t xml:space="preserve"> 所谓“恩典”，不仅指人的自然能力、摩西律法、耶稣基督的教导与榜样——这些外在的辅助手段，更指上帝那超自然的力量，这种力量从内而外赋予人的灵魂； </w:t>
      </w:r>
      <w:r w:rsidRPr="006A21F9">
        <w:rPr>
          <w:b/>
          <w:bCs/>
          <w:lang w:val="ru-RU"/>
        </w:rPr>
        <w:t>c)</w:t>
      </w:r>
      <w:r w:rsidRPr="006A21F9">
        <w:rPr>
          <w:lang w:val="ru-RU"/>
        </w:rPr>
        <w:t xml:space="preserve"> 这种恩典不仅在于赦免过去的罪，更提供切实的帮助，使人不再犯新的罪；</w:t>
      </w:r>
      <w:r w:rsidRPr="006A21F9">
        <w:rPr>
          <w:b/>
          <w:bCs/>
          <w:lang w:val="ru-RU"/>
        </w:rPr>
        <w:t>d)</w:t>
      </w:r>
      <w:r w:rsidRPr="006A21F9">
        <w:rPr>
          <w:lang w:val="ru-RU"/>
        </w:rPr>
        <w:t xml:space="preserve"> 它不仅启迪理智，使其明白该做什么、该避免什么，还赋予人践行所知之事的力量，并将爱注入心中； </w:t>
      </w:r>
      <w:r w:rsidRPr="006A21F9">
        <w:rPr>
          <w:b/>
          <w:bCs/>
          <w:lang w:val="ru-RU"/>
        </w:rPr>
        <w:t>e)</w:t>
      </w:r>
      <w:r w:rsidRPr="006A21F9">
        <w:rPr>
          <w:lang w:val="ru-RU"/>
        </w:rPr>
        <w:t xml:space="preserve"> 它不仅使我们更容易遵守神的诫命——这些诫命看似我们也能靠自己遵守，尽管会感到不便——而且还提供了一种助力，没有这种助力，我们根本无法遵守神的律法，也无法行出有助于我们得救的善行。</w:t>
      </w:r>
      <w:r>
        <w:rPr>
          <w:rStyle w:val="FootnoteReference"/>
        </w:rPr>
        <w:footnoteReference w:id="690"/>
      </w:r>
      <w:r w:rsidRPr="006A21F9">
        <w:rPr>
          <w:lang w:val="ru-RU"/>
        </w:rPr>
        <w:t xml:space="preserve"> 如今，东正教会的教义旨在反对佩拉吉派的异端学说，我们可以在其采纳的九项地方性决议中，特别是针对佩拉吉的迦太基大公会议的以下三条规则中看到这一点： “若有人宣称：使我们在主耶稣基督里称义的上帝恩典，仅对已犯之罪的赦免有效，除此之外并不提供任何帮助，以致不再犯其他罪行；此人当受绝罚。 因为神的恩典不仅使我们知道应当做什么，更将爱注入我们心中，使我们能够践行所领受的真理”（第125条）。 “若有人说，那关于我们主耶稣基督的上帝之恩典，仅是为了帮助我们不犯罪，因为它向我们揭示并显明了 对罪的认识， 使我们知道该追求什么、该远离什么，但它并未赐予我们去实践所知应行之事的爱心与能力：这样的人当受咒诅。 因为……这两者都是上帝的恩赐，即对应当行之事的认知，以及对应当行之善的热爱”（第126条）。 “若有人说，称义的恩典赐给我们，是为了让我们能借着恩典更方便地凭自由意志去行那些力所能及之事；仿佛即使没有领受神的恩典，我们虽然会感到不便，但仍能不靠恩典去遵守神的诫命：这样的人当受咒诅。 因为关于诫命的果实，主并未说：‘离开我，你们就难以行’，而是说：</w:t>
      </w:r>
      <w:r w:rsidRPr="006A21F9">
        <w:rPr>
          <w:i/>
          <w:iCs/>
          <w:lang w:val="ru-RU"/>
        </w:rPr>
        <w:t>‘离开我，你们什么也不能做’</w:t>
      </w:r>
      <w:r w:rsidRPr="006A21F9">
        <w:rPr>
          <w:lang w:val="ru-RU"/>
        </w:rPr>
        <w:t>（约15:5）”（第127条）。</w:t>
      </w:r>
    </w:p>
    <w:p w14:paraId="10FB6627" w14:textId="77777777" w:rsidR="00BE1885" w:rsidRPr="006A21F9" w:rsidRDefault="00BE1885" w:rsidP="00BE1885">
      <w:pPr>
        <w:rPr>
          <w:lang w:val="ru-RU"/>
        </w:rPr>
      </w:pPr>
      <w:r w:rsidRPr="006A21F9">
        <w:rPr>
          <w:lang w:val="ru-RU"/>
        </w:rPr>
        <w:lastRenderedPageBreak/>
        <w:tab/>
        <w:t>约于427年在高卢出现的半佩拉吉派，承认人类身上存在原罪；但他们主张这种罪对人的属灵力量损害甚微，并教导说，人凭自身在某种程度上能够提升</w:t>
      </w:r>
      <w:r w:rsidRPr="006A21F9">
        <w:rPr>
          <w:b/>
          <w:bCs/>
          <w:lang w:val="ru-RU"/>
        </w:rPr>
        <w:t>美德，因此——a)</w:t>
      </w:r>
      <w:r w:rsidRPr="006A21F9">
        <w:rPr>
          <w:lang w:val="ru-RU"/>
        </w:rPr>
        <w:t xml:space="preserve"> 信心的开端实际上取决于他自己， </w:t>
      </w:r>
      <w:r w:rsidRPr="006A21F9">
        <w:rPr>
          <w:b/>
          <w:bCs/>
          <w:lang w:val="ru-RU"/>
        </w:rPr>
        <w:t xml:space="preserve">b) </w:t>
      </w:r>
      <w:r w:rsidRPr="006A21F9">
        <w:rPr>
          <w:lang w:val="ru-RU"/>
        </w:rPr>
        <w:t>而恩典仅关乎他在信仰与善行中的确立与成长；</w:t>
      </w:r>
      <w:r w:rsidRPr="006A21F9">
        <w:rPr>
          <w:b/>
          <w:bCs/>
          <w:lang w:val="ru-RU"/>
        </w:rPr>
        <w:t>以及——c)</w:t>
      </w:r>
      <w:r w:rsidRPr="006A21F9">
        <w:rPr>
          <w:lang w:val="ru-RU"/>
        </w:rPr>
        <w:t xml:space="preserve"> 随后他能否终生坚守信仰，同样取决于他自身，而非恩典。</w:t>
      </w:r>
      <w:r>
        <w:rPr>
          <w:rStyle w:val="FootnoteReference"/>
        </w:rPr>
        <w:footnoteReference w:id="691"/>
      </w:r>
      <w:r w:rsidRPr="006A21F9">
        <w:rPr>
          <w:lang w:val="ru-RU"/>
        </w:rPr>
        <w:t xml:space="preserve"> 因此，半佩拉吉派在某种程度上采纳了佩拉吉派异端的半数内容：他们与佩拉吉派的分歧在于，承认恩典的必要性——至少是为了人在信仰中的坚固与成长，以及为了完成信仰的救赎之举； 但在否认恩典对人信仰的萌发以及终生坚守信仰的必要性这一点上，他们与佩拉吉派达成了一致。揭露半佩拉吉派错误的代表人物包括：圣奥古斯丁、普罗斯珀、富尔根提乌斯、罗马教皇塞莱斯廷，以及五世纪在高卢召开的若干地方教会会议。</w:t>
      </w:r>
      <w:r>
        <w:rPr>
          <w:rStyle w:val="FootnoteReference"/>
        </w:rPr>
        <w:footnoteReference w:id="692"/>
      </w:r>
      <w:r w:rsidRPr="006A21F9">
        <w:rPr>
          <w:lang w:val="ru-RU"/>
        </w:rPr>
        <w:t xml:space="preserve"> 他们针对这一被驳斥的谬误所阐述的核心思想，便是关于所谓“先在”或“先行”之恩典的观点——我们的信仰之始完全取决于此，若无此恩典，人既无法着手，也无法成就任何真正的美善之事。</w:t>
      </w:r>
      <w:r>
        <w:rPr>
          <w:rStyle w:val="FootnoteReference"/>
        </w:rPr>
        <w:footnoteReference w:id="693"/>
      </w:r>
      <w:r w:rsidRPr="006A21F9">
        <w:rPr>
          <w:lang w:val="ru-RU"/>
        </w:rPr>
        <w:t xml:space="preserve"> 如今，针对半佩拉吉派所阐述的这一思想的详细阐述，可见于东方宗主教们关于正统信仰的信函中，其中写道：“（</w:t>
      </w:r>
      <w:r w:rsidRPr="00DE3B87">
        <w:rPr>
          <w:lang w:val="ru-RU"/>
        </w:rPr>
        <w:t>圣经</w:t>
      </w:r>
      <w:r w:rsidRPr="006A21F9">
        <w:rPr>
          <w:b/>
          <w:bCs/>
          <w:lang w:val="ru-RU"/>
        </w:rPr>
        <w:t>）</w:t>
      </w:r>
      <w:r w:rsidRPr="006A21F9">
        <w:rPr>
          <w:lang w:val="ru-RU"/>
        </w:rPr>
        <w:t>教导说，信徒因信和自己的行为而得救，同时将上帝视为我们得救的唯一源头：因为，也就是说， 祂事先赐下启迪之恩，使人得以认识神圣的真理，并教导人顺服真理（若不抗拒），行蒙神喜悦的善事，从而获得救赎；祂既不扼杀人的自由意志，却允许人选择顺从或违背这恩典的作用”（第3条）。此外：“为了使人重生后能够行属灵的善（因为信心的行为既是得救的原因，又是借着超自然的恩典成就的，通常被称为属灵的）， 为此，恩典必须先行并引领，正如关于预定者的论述所言，因此人不能凭自己行出配得基督之生命的事，而只能选择是否愿意顺从恩典行事”（第14条）。</w:t>
      </w:r>
    </w:p>
    <w:p w14:paraId="178AA5EF" w14:textId="77777777" w:rsidR="00BE1885" w:rsidRPr="006A21F9" w:rsidRDefault="00BE1885" w:rsidP="00BE1885">
      <w:pPr>
        <w:rPr>
          <w:lang w:val="ru-RU"/>
        </w:rPr>
      </w:pPr>
      <w:r w:rsidRPr="006A21F9">
        <w:rPr>
          <w:lang w:val="ru-RU"/>
        </w:rPr>
        <w:tab/>
        <w:t>索西尼派和理性主义者重拾了佩拉吉派的古老谬误，并将其推向了极致。他们否认人类身上存在原罪及任何败坏，进而认为人仅凭自身自然之力便能远离邪恶、行善， 他们便否认人在灵性生活中对任何超自然帮助的必要性，甚至不接受佩拉吉派的那种观点，即恩典至少能使我们更容易遵守道德律法——若</w:t>
      </w:r>
      <w:r w:rsidRPr="001E4083">
        <w:t>没有</w:t>
      </w:r>
      <w:r w:rsidRPr="006A21F9">
        <w:rPr>
          <w:lang w:val="ru-RU"/>
        </w:rPr>
        <w:t>恩典的帮助，我们遵守该律法时便不会如此得心应手。 因此，古代教会对佩拉吉派的谴责，更应适用于他们的当代追随者。</w:t>
      </w:r>
    </w:p>
    <w:p w14:paraId="3D0C8B6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其他人过去和现在都对恩典的普世性</w:t>
      </w:r>
      <w:r w:rsidRPr="001E4083">
        <w:t>及其</w:t>
      </w:r>
      <w:r w:rsidRPr="006A21F9">
        <w:rPr>
          <w:lang w:val="ru-RU"/>
        </w:rPr>
        <w:t>与人的自由的关系存在误解。</w:t>
      </w:r>
    </w:p>
    <w:p w14:paraId="254CD67F" w14:textId="77777777" w:rsidR="00BE1885" w:rsidRPr="006A21F9" w:rsidRDefault="00BE1885" w:rsidP="00BE1885">
      <w:pPr>
        <w:rPr>
          <w:lang w:val="ru-RU"/>
        </w:rPr>
      </w:pPr>
      <w:r w:rsidRPr="006A21F9">
        <w:rPr>
          <w:lang w:val="ru-RU"/>
        </w:rPr>
        <w:tab/>
        <w:t>所有所谓的“预定论者”，即那些相信上帝自创世以来就已预定（</w:t>
      </w:r>
      <w:r w:rsidRPr="001E4083">
        <w:t>praedestinavit</w:t>
      </w:r>
      <w:r w:rsidRPr="006A21F9">
        <w:rPr>
          <w:lang w:val="ru-RU"/>
        </w:rPr>
        <w:t>）， 凭其无条件的意志，预定（praedestinavit）部分人得享永恒的救赎与荣耀，而另一些人则遭受永恒的定罪，因此祂所赐的救赎之恩并非赐予所有人，而是仅赐予那些被预定得救的人。 这一谬论早在二世纪就出现在诺斯替派之中；</w:t>
      </w:r>
      <w:r>
        <w:rPr>
          <w:rStyle w:val="FootnoteReference"/>
        </w:rPr>
        <w:footnoteReference w:id="694"/>
      </w:r>
      <w:r w:rsidRPr="006A21F9">
        <w:rPr>
          <w:lang w:val="ru-RU"/>
        </w:rPr>
        <w:t xml:space="preserve"> 于五世纪在非洲和高卢愈演愈烈，并被普罗斯佩罗、伊拉里乌斯、奥古斯丁和教宗塞莱斯廷所谴责；</w:t>
      </w:r>
      <w:r>
        <w:rPr>
          <w:rStyle w:val="FootnoteReference"/>
        </w:rPr>
        <w:footnoteReference w:id="695"/>
      </w:r>
      <w:r w:rsidRPr="006A21F9">
        <w:rPr>
          <w:lang w:val="ru-RU"/>
        </w:rPr>
        <w:t xml:space="preserve"> </w:t>
      </w:r>
      <w:r w:rsidRPr="006A21F9">
        <w:rPr>
          <w:lang w:val="ru-RU"/>
        </w:rPr>
        <w:lastRenderedPageBreak/>
        <w:t>在中世纪曾以“奥古斯丁学说”之名被宣扬；</w:t>
      </w:r>
      <w:r>
        <w:rPr>
          <w:rStyle w:val="FootnoteReference"/>
        </w:rPr>
        <w:footnoteReference w:id="696"/>
      </w:r>
      <w:r w:rsidRPr="006A21F9">
        <w:rPr>
          <w:lang w:val="ru-RU"/>
        </w:rPr>
        <w:t xml:space="preserve"> 最终，在近代由加尔文派——他们甚至将其纳入了自己的信条——</w:t>
      </w:r>
      <w:r>
        <w:rPr>
          <w:rStyle w:val="FootnoteReference"/>
        </w:rPr>
        <w:footnoteReference w:id="697"/>
      </w:r>
      <w:r w:rsidRPr="006A21F9">
        <w:rPr>
          <w:lang w:val="ru-RU"/>
        </w:rPr>
        <w:t xml:space="preserve"> 以及扬森派，达到了其发展的顶峰。</w:t>
      </w:r>
      <w:r>
        <w:rPr>
          <w:rStyle w:val="FootnoteReference"/>
        </w:rPr>
        <w:footnoteReference w:id="698"/>
      </w:r>
    </w:p>
    <w:p w14:paraId="0FCD8514" w14:textId="77777777" w:rsidR="00BE1885" w:rsidRPr="006A21F9" w:rsidRDefault="00BE1885" w:rsidP="00BE1885">
      <w:pPr>
        <w:rPr>
          <w:lang w:val="ru-RU"/>
        </w:rPr>
      </w:pPr>
      <w:r w:rsidRPr="006A21F9">
        <w:rPr>
          <w:lang w:val="ru-RU"/>
        </w:rPr>
        <w:tab/>
        <w:t>关于恩典与人的自由之间的关系，正是这些加尔文派和扬森派提出了错误的教义。他们断言，根据上帝无条件的预定，恩典只赐予那些被预定得救的人，因此，恩典的赐予是为了必然地使他们成圣并引导他们得救， 这些教派自然已经默认了这样一种观点：即恩典在被预定者身上具有不可抗拒的力量和效力，以致他们不可避免地履行道德律法。</w:t>
      </w:r>
      <w:r>
        <w:rPr>
          <w:rStyle w:val="FootnoteReference"/>
        </w:rPr>
        <w:footnoteReference w:id="699"/>
      </w:r>
      <w:r w:rsidRPr="006A21F9">
        <w:rPr>
          <w:lang w:val="ru-RU"/>
        </w:rPr>
        <w:t xml:space="preserve"> 诚然，为了维护人的自由这一概念，扬森派指出，不可抗拒的恩典并非强迫人行善，而是通过它在人的灵魂中倾注的、具有征服力的喜乐（</w:t>
      </w:r>
      <w:r w:rsidRPr="001E4083">
        <w:t>delectatio</w:t>
      </w:r>
      <w:r w:rsidRPr="0097554A">
        <w:rPr>
          <w:lang w:val="ru-RU"/>
        </w:rPr>
        <w:t xml:space="preserve"> </w:t>
      </w:r>
      <w:r w:rsidRPr="001E4083">
        <w:t>victrix</w:t>
      </w:r>
      <w:r w:rsidRPr="006A21F9">
        <w:rPr>
          <w:lang w:val="ru-RU"/>
        </w:rPr>
        <w:t>）来吸引人，面对这种喜乐，一切世俗的欲望和依恋都束手无策；</w:t>
      </w:r>
      <w:r>
        <w:rPr>
          <w:rStyle w:val="FootnoteReference"/>
        </w:rPr>
        <w:footnoteReference w:id="700"/>
      </w:r>
      <w:r w:rsidRPr="006A21F9">
        <w:rPr>
          <w:lang w:val="ru-RU"/>
        </w:rPr>
        <w:t xml:space="preserve"> 但这样并不能丝毫保障或拯救人的自由。</w:t>
      </w:r>
    </w:p>
    <w:p w14:paraId="5A7719EB" w14:textId="77777777" w:rsidR="00BE1885" w:rsidRPr="006A21F9" w:rsidRDefault="00BE1885" w:rsidP="00BE1885">
      <w:pPr>
        <w:rPr>
          <w:lang w:val="ru-RU"/>
        </w:rPr>
      </w:pPr>
      <w:r w:rsidRPr="006A21F9">
        <w:rPr>
          <w:lang w:val="ru-RU"/>
        </w:rPr>
        <w:tab/>
        <w:t xml:space="preserve">针对上述两种加尔文主义的谬误，东正教会于1672年的耶路撒冷大公会议上发表了声明，该声明后来在我们这里被称为《东方宗主教关于东正教信仰的信函》。 其中写道：“我们相信，全善的上帝早已预定那些祂从永恒中拣选的人得享荣耀；至于那些被祂弃绝的人，则被交予定罪，但这并非因为祂愿意以此方式使一些人称义，却无故弃绝并定罪另一些人：因为这不符合上帝的性情——祂是万人的共同之父，不偏待人， </w:t>
      </w:r>
      <w:r w:rsidRPr="006A21F9">
        <w:rPr>
          <w:i/>
          <w:iCs/>
          <w:lang w:val="ru-RU"/>
        </w:rPr>
        <w:t>‘祂愿意万人得救，并且明白真道’</w:t>
      </w:r>
      <w:r w:rsidRPr="006A21F9">
        <w:rPr>
          <w:lang w:val="ru-RU"/>
        </w:rPr>
        <w:t>（提摩太前书 2:4）；但因祂预见有些人会善用自己的自由意志，有些人则会滥用：因此，祂预定有些人得荣耀，另有些人受定罪。至于自由意志的运用，我们的论述如下： 既然神的良善赐下了神圣且启迪人心的恩典——我们亦称之为“预备之恩”——这恩典如同照亮行在黑暗中之人的光，引导着所有人；因此，那些愿意自由地顺服它的人（因为它帮助寻求它的人，而非抵挡它的人）， 并</w:t>
      </w:r>
      <w:r w:rsidRPr="001E4083">
        <w:t>履行</w:t>
      </w:r>
      <w:r w:rsidRPr="006A21F9">
        <w:rPr>
          <w:lang w:val="ru-RU"/>
        </w:rPr>
        <w:t>其为得救所必需的诫命——因此便获得一种特殊的恩典；这种恩典通过在神的爱中——即神要求我们行的善行（这也是预备之恩所要求的）——扶持、坚固并不断完善他们，从而使他们称义，并使他们成为预定之人： 相反，那些不愿顺服并跟随恩典，因此不遵守上帝诫命，反而听从撒但的怂恿，滥用上帝赐予他们本应用于行善的自由，沉溺于罪恶之中的人，将遭受永恒的定罪。 但那些亵渎神的异端分子所言——即上帝在预定或定罪时，完全不顾及被预定者或被定罪者的行为——我们视之为疯狂与不敬虔”（第3条）。</w:t>
      </w:r>
    </w:p>
    <w:p w14:paraId="262A3B6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最后，第三类人在论及恩典在人身上所产生的结果时陷入谬误，即在论及恩典使人成圣这一过程本身时陷入谬误。 这些谬误源于新教徒，涉及两方面：第一，恩典在人身上所成就的成圣的本质；第二，人方面成圣的条件。</w:t>
      </w:r>
    </w:p>
    <w:p w14:paraId="3D3632B1" w14:textId="77777777" w:rsidR="00BE1885" w:rsidRPr="006A21F9" w:rsidRDefault="00BE1885" w:rsidP="00BE1885">
      <w:pPr>
        <w:rPr>
          <w:lang w:val="ru-RU"/>
        </w:rPr>
      </w:pPr>
      <w:r w:rsidRPr="006A21F9">
        <w:rPr>
          <w:lang w:val="ru-RU"/>
        </w:rPr>
        <w:lastRenderedPageBreak/>
        <w:tab/>
        <w:t>关于成圣（</w:t>
      </w:r>
      <w:r w:rsidRPr="001E4083">
        <w:t>sanctificatio</w:t>
      </w:r>
      <w:r w:rsidRPr="006A21F9">
        <w:rPr>
          <w:lang w:val="ru-RU"/>
        </w:rPr>
        <w:t>）或称义（</w:t>
      </w:r>
      <w:r w:rsidRPr="001E4083">
        <w:t>justificatio</w:t>
      </w:r>
      <w:r w:rsidRPr="006A21F9">
        <w:rPr>
          <w:lang w:val="ru-RU"/>
        </w:rPr>
        <w:t>）的本质， 若从广义上理解，新教徒主张其本质</w:t>
      </w:r>
      <w:r w:rsidRPr="006A21F9">
        <w:rPr>
          <w:b/>
          <w:bCs/>
          <w:lang w:val="ru-RU"/>
        </w:rPr>
        <w:t>在于——a)</w:t>
      </w:r>
      <w:r w:rsidRPr="006A21F9">
        <w:rPr>
          <w:lang w:val="ru-RU"/>
        </w:rPr>
        <w:t xml:space="preserve"> 并非指上帝的恩典以内在的方式在人里面起作用，确实，一方面使人从一切罪中得洁净，另一方面使人成为更新的、公义的、圣洁的； </w:t>
      </w:r>
      <w:r w:rsidRPr="006A21F9">
        <w:rPr>
          <w:b/>
          <w:bCs/>
          <w:lang w:val="ru-RU"/>
        </w:rPr>
        <w:t>b)</w:t>
      </w:r>
      <w:r w:rsidRPr="006A21F9">
        <w:rPr>
          <w:lang w:val="ru-RU"/>
        </w:rPr>
        <w:t xml:space="preserve"> 而是指，凭着上帝的恩典，人的罪仅在表面上被赦免且不被归咎于他，尽管实际上这些罪仍存在于他身上；同样，基督的义也仅在表面上归算给他。路德派（</w:t>
      </w:r>
      <w:r>
        <w:rPr>
          <w:rStyle w:val="FootnoteReference"/>
        </w:rPr>
        <w:footnoteReference w:id="701"/>
      </w:r>
      <w:r w:rsidRPr="006A21F9">
        <w:rPr>
          <w:lang w:val="ru-RU"/>
        </w:rPr>
        <w:t xml:space="preserve"> ）和改革宗的教义皆是如此。</w:t>
      </w:r>
      <w:r>
        <w:rPr>
          <w:rStyle w:val="FootnoteReference"/>
        </w:rPr>
        <w:footnoteReference w:id="702"/>
      </w:r>
    </w:p>
    <w:p w14:paraId="63437A54" w14:textId="77777777" w:rsidR="00BE1885" w:rsidRPr="006A21F9" w:rsidRDefault="00BE1885" w:rsidP="00BE1885">
      <w:pPr>
        <w:rPr>
          <w:lang w:val="ru-RU"/>
        </w:rPr>
      </w:pPr>
      <w:r w:rsidRPr="006A21F9">
        <w:rPr>
          <w:lang w:val="ru-RU"/>
        </w:rPr>
        <w:tab/>
        <w:t>东正教会的教义则截然不同。在论及洗礼圣事的果实时——实际上，我们的称义与成圣正是借着这圣事在恩典中得以实现的——教会宣讲：“首先，此圣事消除了所有的罪：在婴孩身上是原罪，而在成年人身上则是原罪与自犯之罪。 其次，它重造人，并使人恢复到无辜和无罪状态时所拥有的义”（《东正教信条》第1卷，对第103个问题的回答）。 在另一处又写道：“不能说洗礼不能赦免一切以往的罪，而只能说这些罪虽然仍然存在，但已不再具有效力。 如此教导是极端的亵渎，是對信仰的否定，而非對其的告白。相反，任何在洗礼前存在或曾经存在的罪，都被消灭，并被视为仿佛不存在，或从未存在过。 因为洗礼所呈现的一切象征，都彰显了其洁净的力量；而圣经中关于洗礼的经文也表明，通过洗礼可以获得完全的洁净，这一点从洗礼的名称本身便可看出。如果它是圣灵与火的洗礼，那么显然它带来的是完全的洁净，因为圣灵能彻底洁净。 若是光，那么一切黑暗都将被它驱散。若是重生，那么一切旧事都将过去：而这旧事无非就是罪。 若受洗者脱去旧人，便也脱去罪；若他披戴基督，便确实借着洗礼成为无罪之人”（《东方宗主教关于正统信仰的书信》，第16条）。</w:t>
      </w:r>
    </w:p>
    <w:p w14:paraId="2EB8D40A" w14:textId="77777777" w:rsidR="00BE1885" w:rsidRPr="006A21F9" w:rsidRDefault="00BE1885" w:rsidP="00BE1885">
      <w:pPr>
        <w:rPr>
          <w:lang w:val="ru-RU"/>
        </w:rPr>
      </w:pPr>
      <w:r w:rsidRPr="006A21F9">
        <w:rPr>
          <w:lang w:val="ru-RU"/>
        </w:rPr>
        <w:tab/>
        <w:t>至于人方面称义或成圣的条件，新教徒教导说：一旦罪人意识到自己的罪性，意识到自己完全无力遵守福音的道德律法，并因自己罪孽的沉重而心生恐惧，坚定地相信自己已借着耶稣基督与上帝和好——此时， 凭着唯独能称义的信心，基督的功绩便归算给他，他被宣告为义且无辜，尽管实际上他并未真正成为这样的人。从那时起，上帝就在人里面成就一切善行，以此见证他的信心，但这完全不需人自身的参与，因为人因全然无能而无法参与其中。</w:t>
      </w:r>
      <w:r>
        <w:rPr>
          <w:rStyle w:val="FootnoteReference"/>
        </w:rPr>
        <w:footnoteReference w:id="703"/>
      </w:r>
    </w:p>
    <w:p w14:paraId="03AB5037" w14:textId="77777777" w:rsidR="00BE1885" w:rsidRPr="006A21F9" w:rsidRDefault="00BE1885" w:rsidP="00BE1885">
      <w:pPr>
        <w:rPr>
          <w:lang w:val="ru-RU"/>
        </w:rPr>
      </w:pPr>
      <w:r w:rsidRPr="006A21F9">
        <w:rPr>
          <w:lang w:val="ru-RU"/>
        </w:rPr>
        <w:tab/>
        <w:t>与这一谬论相反，东正教会宣认：“我们相信，人得称义不仅靠单单的信心，而是靠与爱心相伴的信心，即通过信心与行为。 我们完全谴责那种认为‘信仰可以取代善行，从而在基督里获得称义’的邪见：因为若按此理解，信仰本应适用于所有人，且无人不得救——这显然是错误的。 相反，我们相信，并非仅仅是信仰的幻影，而是存于我们心中的信仰，通过行为使我们在基督里称义。 至于行为，我们不仅将其视为证实我们蒙召的见证，更视其为使我们的信仰变得活跃的果实；根据神的应许，这些行为能使每个人获得应得的报酬——无论是善报还是恶报，这取决于他如何对待自己的身体。” （《东方教父论正统信仰书信》，第13条；参见第9条）。</w:t>
      </w:r>
    </w:p>
    <w:p w14:paraId="5E30F385" w14:textId="77777777" w:rsidR="00BE1885" w:rsidRPr="006A21F9" w:rsidRDefault="00BE1885" w:rsidP="00BE1885">
      <w:pPr>
        <w:rPr>
          <w:lang w:val="ru-RU"/>
        </w:rPr>
      </w:pPr>
      <w:r w:rsidRPr="006A21F9">
        <w:rPr>
          <w:lang w:val="ru-RU"/>
        </w:rPr>
        <w:lastRenderedPageBreak/>
        <w:tab/>
      </w:r>
      <w:r w:rsidRPr="001E4083">
        <w:rPr>
          <w:b/>
          <w:bCs/>
        </w:rPr>
        <w:t>IV</w:t>
      </w:r>
      <w:r w:rsidRPr="006A21F9">
        <w:rPr>
          <w:b/>
          <w:bCs/>
          <w:lang w:val="ru-RU"/>
        </w:rPr>
        <w:t>.</w:t>
      </w:r>
      <w:r w:rsidRPr="006A21F9">
        <w:rPr>
          <w:lang w:val="ru-RU"/>
        </w:rPr>
        <w:t xml:space="preserve"> 针对我们所指出的关于恩典的三种谬误——东正教会的教义正是明确反对这些谬误的——我们将分三个具体部分阐述这一教义，具体而言：</w:t>
      </w:r>
      <w:r w:rsidRPr="006F72D5">
        <w:rPr>
          <w:b/>
          <w:bCs/>
        </w:rPr>
        <w:t>I</w:t>
      </w:r>
      <w:r w:rsidRPr="006F72D5">
        <w:rPr>
          <w:b/>
          <w:bCs/>
          <w:lang w:val="ru-RU"/>
        </w:rPr>
        <w:t>）</w:t>
      </w:r>
      <w:r w:rsidRPr="006A21F9">
        <w:rPr>
          <w:lang w:val="ru-RU"/>
        </w:rPr>
        <w:t xml:space="preserve">针对佩拉吉派、半佩拉吉派及其它持相同观点者——论恩典对人成圣的必要性； </w:t>
      </w:r>
      <w:r w:rsidRPr="006F72D5">
        <w:rPr>
          <w:b/>
          <w:bCs/>
        </w:rPr>
        <w:t>II</w:t>
      </w:r>
      <w:r w:rsidRPr="006F72D5">
        <w:rPr>
          <w:b/>
          <w:bCs/>
          <w:lang w:val="ru-RU"/>
        </w:rPr>
        <w:t>)</w:t>
      </w:r>
      <w:r w:rsidRPr="006A21F9">
        <w:rPr>
          <w:lang w:val="ru-RU"/>
        </w:rPr>
        <w:t xml:space="preserve"> 针对加尔文主义者和扬森主义者——论恩典的普世性及其与人的自由的关系；</w:t>
      </w:r>
      <w:r w:rsidRPr="006F72D5">
        <w:rPr>
          <w:b/>
          <w:bCs/>
        </w:rPr>
        <w:t>III</w:t>
      </w:r>
      <w:r w:rsidRPr="006F72D5">
        <w:rPr>
          <w:b/>
          <w:bCs/>
          <w:lang w:val="ru-RU"/>
        </w:rPr>
        <w:t>)</w:t>
      </w:r>
      <w:r w:rsidRPr="006A21F9">
        <w:rPr>
          <w:lang w:val="ru-RU"/>
        </w:rPr>
        <w:t xml:space="preserve"> 针对新教徒整体——论人藉上帝恩典得成圣的本质与条件。</w:t>
      </w:r>
    </w:p>
    <w:p w14:paraId="16FB0F3C" w14:textId="77777777" w:rsidR="00BE1885" w:rsidRPr="006A21F9" w:rsidRDefault="00BE1885" w:rsidP="00BE1885">
      <w:pPr>
        <w:rPr>
          <w:lang w:val="ru-RU"/>
        </w:rPr>
      </w:pPr>
      <w:r w:rsidRPr="006A21F9">
        <w:rPr>
          <w:lang w:val="ru-RU"/>
        </w:rPr>
        <w:tab/>
      </w:r>
    </w:p>
    <w:p w14:paraId="38842313" w14:textId="77777777" w:rsidR="00BE1885" w:rsidRPr="006A21F9" w:rsidRDefault="00BE1885" w:rsidP="00BE1885">
      <w:pPr>
        <w:pStyle w:val="Heading4"/>
        <w:rPr>
          <w:lang w:val="ru-RU"/>
        </w:rPr>
      </w:pPr>
      <w:bookmarkStart w:id="566" w:name="_Toc133142606"/>
      <w:bookmarkStart w:id="567" w:name="_Toc133142946"/>
      <w:bookmarkStart w:id="568" w:name="_Toc133166303"/>
      <w:bookmarkStart w:id="569" w:name="_Toc182221513"/>
      <w:bookmarkStart w:id="570" w:name="_Toc238453080"/>
      <w:bookmarkStart w:id="571" w:name="_Toc238453880"/>
      <w:bookmarkStart w:id="572" w:name="_Toc238454326"/>
      <w:bookmarkStart w:id="573" w:name="_Toc238466408"/>
      <w:bookmarkStart w:id="574" w:name="_Toc238576540"/>
      <w:r w:rsidRPr="001E4083">
        <w:rPr>
          <w:bCs/>
        </w:rPr>
        <w:t>I</w:t>
      </w:r>
      <w:r w:rsidRPr="006A21F9">
        <w:rPr>
          <w:bCs/>
          <w:lang w:val="ru-RU"/>
        </w:rPr>
        <w:t>.</w:t>
      </w:r>
      <w:r w:rsidRPr="006A21F9">
        <w:rPr>
          <w:lang w:val="ru-RU"/>
        </w:rPr>
        <w:t xml:space="preserve"> 关于人的成圣必须依靠上帝恩典</w:t>
      </w:r>
      <w:bookmarkEnd w:id="566"/>
      <w:bookmarkEnd w:id="567"/>
      <w:bookmarkEnd w:id="568"/>
      <w:bookmarkEnd w:id="569"/>
      <w:bookmarkEnd w:id="570"/>
      <w:bookmarkEnd w:id="571"/>
      <w:bookmarkEnd w:id="572"/>
      <w:bookmarkEnd w:id="573"/>
      <w:bookmarkEnd w:id="574"/>
    </w:p>
    <w:p w14:paraId="4042652C" w14:textId="77777777" w:rsidR="00BE1885" w:rsidRPr="006A21F9" w:rsidRDefault="00BE1885" w:rsidP="00BE1885">
      <w:pPr>
        <w:rPr>
          <w:lang w:val="ru-RU"/>
        </w:rPr>
      </w:pPr>
      <w:r w:rsidRPr="006A21F9">
        <w:rPr>
          <w:lang w:val="ru-RU"/>
        </w:rPr>
        <w:tab/>
      </w:r>
    </w:p>
    <w:p w14:paraId="4E301795" w14:textId="77777777" w:rsidR="00BE1885" w:rsidRPr="006A21F9" w:rsidRDefault="00BE1885" w:rsidP="00BE1885">
      <w:pPr>
        <w:pStyle w:val="Heading5"/>
        <w:rPr>
          <w:lang w:val="ru-RU"/>
        </w:rPr>
      </w:pPr>
      <w:bookmarkStart w:id="575" w:name="_Toc133142947"/>
      <w:bookmarkStart w:id="576" w:name="_Toc133166304"/>
      <w:bookmarkStart w:id="577" w:name="_Toc182221514"/>
      <w:bookmarkStart w:id="578" w:name="_Toc238453081"/>
      <w:bookmarkStart w:id="579" w:name="_Toc238453881"/>
      <w:bookmarkStart w:id="580" w:name="_Toc238576541"/>
      <w:r w:rsidRPr="006A21F9">
        <w:rPr>
          <w:bCs/>
          <w:lang w:val="ru-RU"/>
        </w:rPr>
        <w:t>§185.</w:t>
      </w:r>
      <w:r w:rsidRPr="006A21F9">
        <w:rPr>
          <w:lang w:val="ru-RU"/>
        </w:rPr>
        <w:t xml:space="preserve"> 教义的组成部分</w:t>
      </w:r>
      <w:bookmarkEnd w:id="575"/>
      <w:bookmarkEnd w:id="576"/>
      <w:bookmarkEnd w:id="577"/>
      <w:bookmarkEnd w:id="578"/>
      <w:bookmarkEnd w:id="579"/>
      <w:bookmarkEnd w:id="580"/>
    </w:p>
    <w:p w14:paraId="26059DBA" w14:textId="77777777" w:rsidR="00BE1885" w:rsidRPr="006A21F9" w:rsidRDefault="00BE1885" w:rsidP="00BE1885">
      <w:pPr>
        <w:ind w:firstLine="708"/>
        <w:rPr>
          <w:lang w:val="ru-RU"/>
        </w:rPr>
      </w:pPr>
      <w:r w:rsidRPr="006A21F9">
        <w:rPr>
          <w:lang w:val="ru-RU"/>
        </w:rPr>
        <w:t>鉴于东正教会关于恩典必要性的教义所驳斥的异端谬误在性质和数量上的多样性，且为了更清晰地阐明这一教义本身，应将其分为以下几个部分：</w:t>
      </w:r>
      <w:r w:rsidRPr="006A21F9">
        <w:rPr>
          <w:b/>
          <w:bCs/>
          <w:lang w:val="ru-RU"/>
        </w:rPr>
        <w:t>1）</w:t>
      </w:r>
      <w:r w:rsidRPr="006A21F9">
        <w:rPr>
          <w:lang w:val="ru-RU"/>
        </w:rPr>
        <w:t>恩典作为超自然的力量和上帝的直接帮助，总体上对于罪人——即人类——的成圣与得救是必要的 （反对佩拉吉派）；</w:t>
      </w:r>
      <w:r w:rsidRPr="006A21F9">
        <w:rPr>
          <w:b/>
          <w:bCs/>
          <w:lang w:val="ru-RU"/>
        </w:rPr>
        <w:t>2）</w:t>
      </w:r>
      <w:r w:rsidRPr="006A21F9">
        <w:rPr>
          <w:lang w:val="ru-RU"/>
        </w:rPr>
        <w:t>具体而言，恩典对于罪人的信仰及其信仰的开端——即罪人归向基督信仰本身——是必不可少的（反对半佩拉吉派）；</w:t>
      </w:r>
      <w:r w:rsidRPr="006A21F9">
        <w:rPr>
          <w:b/>
          <w:bCs/>
          <w:lang w:val="ru-RU"/>
        </w:rPr>
        <w:t>3）</w:t>
      </w:r>
      <w:r w:rsidRPr="006A21F9">
        <w:rPr>
          <w:lang w:val="ru-RU"/>
        </w:rPr>
        <w:t xml:space="preserve">归信之后，恩典对于罪人的美德是必不可少的（反对佩拉吉派）； </w:t>
      </w:r>
      <w:r w:rsidRPr="006A21F9">
        <w:rPr>
          <w:b/>
          <w:bCs/>
          <w:lang w:val="ru-RU"/>
        </w:rPr>
        <w:t>4）</w:t>
      </w:r>
      <w:r w:rsidRPr="006A21F9">
        <w:rPr>
          <w:lang w:val="ru-RU"/>
        </w:rPr>
        <w:t>对于他在余生中坚守基督教信仰与美德而言是必要的（反对半佩拉吉派）。</w:t>
      </w:r>
    </w:p>
    <w:p w14:paraId="40809FF1" w14:textId="77777777" w:rsidR="00BE1885" w:rsidRPr="006A21F9" w:rsidRDefault="00BE1885" w:rsidP="00BE1885">
      <w:pPr>
        <w:rPr>
          <w:lang w:val="ru-RU"/>
        </w:rPr>
      </w:pPr>
      <w:r w:rsidRPr="006A21F9">
        <w:rPr>
          <w:lang w:val="ru-RU"/>
        </w:rPr>
        <w:tab/>
      </w:r>
    </w:p>
    <w:p w14:paraId="2184C34F" w14:textId="77777777" w:rsidR="00BE1885" w:rsidRPr="006A21F9" w:rsidRDefault="00BE1885" w:rsidP="00BE1885">
      <w:pPr>
        <w:pStyle w:val="Heading5"/>
        <w:rPr>
          <w:lang w:val="ru-RU"/>
        </w:rPr>
      </w:pPr>
      <w:bookmarkStart w:id="581" w:name="_Toc133142948"/>
      <w:bookmarkStart w:id="582" w:name="_Toc133166305"/>
      <w:bookmarkStart w:id="583" w:name="_Toc182221515"/>
      <w:bookmarkStart w:id="584" w:name="_Toc238453082"/>
      <w:bookmarkStart w:id="585" w:name="_Toc238453882"/>
      <w:bookmarkStart w:id="586" w:name="_Toc238576542"/>
      <w:r w:rsidRPr="006A21F9">
        <w:rPr>
          <w:bCs/>
          <w:lang w:val="ru-RU"/>
        </w:rPr>
        <w:t>§186.</w:t>
      </w:r>
      <w:r w:rsidRPr="006A21F9">
        <w:rPr>
          <w:lang w:val="ru-RU"/>
        </w:rPr>
        <w:t xml:space="preserve"> 恩典对人的成圣的普遍必要性</w:t>
      </w:r>
      <w:bookmarkEnd w:id="581"/>
      <w:bookmarkEnd w:id="582"/>
      <w:bookmarkEnd w:id="583"/>
      <w:bookmarkEnd w:id="584"/>
      <w:bookmarkEnd w:id="585"/>
      <w:bookmarkEnd w:id="586"/>
    </w:p>
    <w:p w14:paraId="7D45709B" w14:textId="77777777" w:rsidR="00BE1885" w:rsidRPr="006A21F9" w:rsidRDefault="00BE1885" w:rsidP="00BE1885">
      <w:pPr>
        <w:ind w:firstLine="708"/>
        <w:rPr>
          <w:lang w:val="ru-RU"/>
        </w:rPr>
      </w:pPr>
      <w:r w:rsidRPr="006A21F9">
        <w:rPr>
          <w:lang w:val="ru-RU"/>
        </w:rPr>
        <w:t>上帝的恩典对于罪人整体的成圣是必要的， 即为了使罪人能够脱离其罪恶状态，成为真正的基督徒，从而领受救赎主的功绩；否则，他就无法悔改、得洁净、称义、更新，进而致力于敬虔生活并获得永恒的救恩。这一真理——</w:t>
      </w:r>
    </w:p>
    <w:p w14:paraId="6BFDF260" w14:textId="77777777" w:rsidR="00BE1885" w:rsidRPr="006A21F9" w:rsidRDefault="00BE1885" w:rsidP="00BE1885">
      <w:pPr>
        <w:rPr>
          <w:lang w:val="ru-RU"/>
        </w:rPr>
      </w:pPr>
      <w:r w:rsidRPr="006A21F9">
        <w:rPr>
          <w:lang w:val="ru-RU"/>
        </w:rPr>
        <w:tab/>
      </w:r>
      <w:r w:rsidRPr="001E4083">
        <w:rPr>
          <w:b/>
          <w:bCs/>
        </w:rPr>
        <w:t>一</w:t>
      </w:r>
      <w:r w:rsidRPr="006A21F9">
        <w:rPr>
          <w:lang w:val="ru-RU"/>
        </w:rPr>
        <w:t>、基督救主本人曾以极清晰的言辞宣告，当祂论及：</w:t>
      </w:r>
      <w:r w:rsidRPr="006A21F9">
        <w:rPr>
          <w:b/>
          <w:bCs/>
          <w:lang w:val="ru-RU"/>
        </w:rPr>
        <w:t>a）</w:t>
      </w:r>
      <w:r w:rsidRPr="006A21F9">
        <w:rPr>
          <w:lang w:val="ru-RU"/>
        </w:rPr>
        <w:t>圣父时：</w:t>
      </w:r>
      <w:r w:rsidRPr="006A21F9">
        <w:rPr>
          <w:i/>
          <w:iCs/>
          <w:lang w:val="ru-RU"/>
        </w:rPr>
        <w:t>“若不是父吸引人，就没有人能到我这里来”</w:t>
      </w:r>
      <w:r w:rsidRPr="006A21F9">
        <w:rPr>
          <w:lang w:val="ru-RU"/>
        </w:rPr>
        <w:t>（约6:44）；</w:t>
      </w:r>
      <w:r w:rsidRPr="006A21F9">
        <w:rPr>
          <w:b/>
          <w:bCs/>
          <w:lang w:val="ru-RU"/>
        </w:rPr>
        <w:t>b）</w:t>
      </w:r>
      <w:r w:rsidRPr="006A21F9">
        <w:rPr>
          <w:lang w:val="ru-RU"/>
        </w:rPr>
        <w:t>圣灵时：</w:t>
      </w:r>
      <w:r w:rsidRPr="006A21F9">
        <w:rPr>
          <w:i/>
          <w:iCs/>
          <w:lang w:val="ru-RU"/>
        </w:rPr>
        <w:t>“人若不是从水和圣灵生的，就不能进神的国”</w:t>
      </w:r>
      <w:r w:rsidRPr="006A21F9">
        <w:rPr>
          <w:lang w:val="ru-RU"/>
        </w:rPr>
        <w:t xml:space="preserve"> （约3:5）；</w:t>
      </w:r>
      <w:r w:rsidRPr="006A21F9">
        <w:rPr>
          <w:b/>
          <w:bCs/>
          <w:lang w:val="ru-RU"/>
        </w:rPr>
        <w:t>以及c）</w:t>
      </w:r>
      <w:r w:rsidRPr="006A21F9">
        <w:rPr>
          <w:lang w:val="ru-RU"/>
        </w:rPr>
        <w:t>关于祂自己：</w:t>
      </w:r>
      <w:r w:rsidRPr="006A21F9">
        <w:rPr>
          <w:i/>
          <w:iCs/>
          <w:lang w:val="ru-RU"/>
        </w:rPr>
        <w:t>“枝子若不常在葡萄树上，自己就不能结果子；你们若不常在我里面，也是这样。我是葡萄树，你们是枝子；常在我里面的，我也常在他里面，这人就多结果子；因为离了我，你们就不能作什么”</w:t>
      </w:r>
      <w:r w:rsidRPr="006A21F9">
        <w:rPr>
          <w:lang w:val="ru-RU"/>
        </w:rPr>
        <w:t xml:space="preserve"> （约15:4-5）。从第一段话可以看出，若没有天父的直接帮助，人就不可能皈依基督教；从第二段话可以看出，若没有圣灵大能的直接重生，皈依者就不可能进入神的国或基督的教会； 最后——从第三段经文可以看出，即使人进入了基督的教会，若不常在葡萄树——耶稣基督——上，也不靠祂那直接赋予生命的大能来滋养、坚固并成长（参见约翰福音6:53），就无法结出任何基督徒的果子，也无法成就任何事。</w:t>
      </w:r>
    </w:p>
    <w:p w14:paraId="084847B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圣使徒们也对此作了极为清晰的宣讲。例如，圣使徒保罗在多处论及人们归向基督的救赎之信、从罪中得洁净以及称义时，这样说道： </w:t>
      </w:r>
      <w:r w:rsidRPr="006A21F9">
        <w:rPr>
          <w:i/>
          <w:iCs/>
          <w:lang w:val="ru-RU"/>
        </w:rPr>
        <w:t>“祂拯救我们，并不是因我们自己所行的义，乃是照祂的怜悯，藉着重生和更新的洗礼，就是圣灵所施的；祂藉着我们的救主耶稣基督，将圣灵丰丰富富地浇灌在我们身上，使我们因祂的恩典称义，凭着盼望成为永生的后嗣”</w:t>
      </w:r>
      <w:r w:rsidRPr="006A21F9">
        <w:rPr>
          <w:lang w:val="ru-RU"/>
        </w:rPr>
        <w:t xml:space="preserve"> [(提多书 3:5-7)；参见 (提摩太后书 1:9)]。</w:t>
      </w:r>
      <w:r w:rsidRPr="006A21F9">
        <w:rPr>
          <w:i/>
          <w:iCs/>
          <w:lang w:val="ru-RU"/>
        </w:rPr>
        <w:t>“世人都犯了罪，亏缺了神的荣耀，如今却因神的恩典，借着在基督耶稣里的救赎，白白地称义”</w:t>
      </w:r>
      <w:r w:rsidRPr="006A21F9">
        <w:rPr>
          <w:lang w:val="ru-RU"/>
        </w:rPr>
        <w:t xml:space="preserve"> （罗 3:23-24）</w:t>
      </w:r>
      <w:r w:rsidRPr="006A21F9">
        <w:rPr>
          <w:i/>
          <w:iCs/>
          <w:lang w:val="ru-RU"/>
        </w:rPr>
        <w:t>——“我们在祂里面，藉着祂的血，照祂丰盛的恩典，得了赎罪和罪的赦免”</w:t>
      </w:r>
      <w:r w:rsidRPr="006A21F9">
        <w:rPr>
          <w:lang w:val="ru-RU"/>
        </w:rPr>
        <w:t>（弗 1:7）。</w:t>
      </w:r>
      <w:r w:rsidRPr="006A21F9">
        <w:rPr>
          <w:i/>
          <w:iCs/>
          <w:lang w:val="ru-RU"/>
        </w:rPr>
        <w:t>“我们从前因过犯而死，祂却叫我们与基督一同活过来——你们得救是本乎恩”</w:t>
      </w:r>
      <w:r w:rsidRPr="006A21F9">
        <w:rPr>
          <w:lang w:val="ru-RU"/>
        </w:rPr>
        <w:t xml:space="preserve">（弗 2:5）； </w:t>
      </w:r>
      <w:r w:rsidRPr="006A21F9">
        <w:rPr>
          <w:i/>
          <w:iCs/>
          <w:lang w:val="ru-RU"/>
        </w:rPr>
        <w:t>“你们得救是本乎恩，也因着信；这并不是出于你们自己，乃是神的恩赐”</w:t>
      </w:r>
      <w:r w:rsidRPr="006A21F9">
        <w:rPr>
          <w:lang w:val="ru-RU"/>
        </w:rPr>
        <w:t xml:space="preserve">（以弗所书 </w:t>
      </w:r>
      <w:r w:rsidRPr="006A21F9">
        <w:rPr>
          <w:lang w:val="ru-RU"/>
        </w:rPr>
        <w:lastRenderedPageBreak/>
        <w:t xml:space="preserve">2:8）。在其他经文中，当论及福音传讲在人心中的功效及其结出的果实时，例如在致腓立比人的书信中写道： </w:t>
      </w:r>
      <w:r w:rsidRPr="006A21F9">
        <w:rPr>
          <w:i/>
          <w:iCs/>
          <w:lang w:val="ru-RU"/>
        </w:rPr>
        <w:t>“我感谢我的神……因你们从头一天直到如今都参与传福音的事，我深信那在你们心里动了善工的，必成全这工，直到耶稣基督的日子”</w:t>
      </w:r>
      <w:r w:rsidRPr="006A21F9">
        <w:rPr>
          <w:lang w:val="ru-RU"/>
        </w:rPr>
        <w:t>（</w:t>
      </w:r>
      <w:r>
        <w:rPr>
          <w:lang w:val="ru-RU"/>
        </w:rPr>
        <w:t>腓</w:t>
      </w:r>
      <w:r w:rsidRPr="006A21F9">
        <w:rPr>
          <w:lang w:val="ru-RU"/>
        </w:rPr>
        <w:t xml:space="preserve"> 1:5-6）；或写给哥林多人的书信中： </w:t>
      </w:r>
      <w:r w:rsidRPr="006A21F9">
        <w:rPr>
          <w:i/>
          <w:iCs/>
          <w:lang w:val="ru-RU"/>
        </w:rPr>
        <w:t>“保罗算什么？亚波罗算什么？ 他们不过是仆人，是借着他们你们才信了，而且各人都是照主所赐的份。我栽种了，亚波罗浇灌了，但使它生长的却是神；所以，栽种的和浇灌的都算不得什么，只有使它生长的神才算得什么”</w:t>
      </w:r>
      <w:r w:rsidRPr="006A21F9">
        <w:rPr>
          <w:lang w:val="ru-RU"/>
        </w:rPr>
        <w:t>（林前3:5-7）。 在这里，使徒明确区分了上帝的外在恩典，即福音的教导，与内在的恩典，即上帝在人心中直接的作为，并指出后者对传福音的成功是绝对必要的（参见《帖撒罗尼迦前书》1:5）。 最后，在第三类经文中，他对那些已经接受福音宣讲并成为基督徒的人，提出了这样的教导或 祝福：</w:t>
      </w:r>
      <w:r w:rsidRPr="006A21F9">
        <w:rPr>
          <w:i/>
          <w:iCs/>
          <w:lang w:val="ru-RU"/>
        </w:rPr>
        <w:t>“你们要带着敬畏和战兢的心，成全你们得救的工夫，因为神在你们心里动了善意，又照着祂的旨意行事”</w:t>
      </w:r>
      <w:r w:rsidRPr="006A21F9">
        <w:rPr>
          <w:lang w:val="ru-RU"/>
        </w:rPr>
        <w:t xml:space="preserve">（腓立比书 2:12-13）。 </w:t>
      </w:r>
      <w:r w:rsidRPr="006A21F9">
        <w:rPr>
          <w:i/>
          <w:iCs/>
          <w:lang w:val="ru-RU"/>
        </w:rPr>
        <w:t>“那赐平安的神，曾借着大能的血，使我们永约的牧人——我们的主耶稣基督——从死里复活，愿祂在一切善事上使你们成全，遵行祂的旨意，又借着耶稣基督在你们心里运行，成就祂所喜悦的事”</w:t>
      </w:r>
      <w:r w:rsidRPr="006A21F9">
        <w:rPr>
          <w:lang w:val="ru-RU"/>
        </w:rPr>
        <w:t>（希伯来书 13:20-21）。 以下经文也证明，若没有上帝内在的超自然帮助，我们既无法产生行善的意愿，也无法行出任何善事。</w:t>
      </w:r>
    </w:p>
    <w:p w14:paraId="57F2D35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正如以下几点所示，圣教会一直持守并宣认：</w:t>
      </w:r>
    </w:p>
    <w:p w14:paraId="19A1ED53" w14:textId="77777777" w:rsidR="00BE1885" w:rsidRPr="006A21F9" w:rsidRDefault="00BE1885" w:rsidP="00BE1885">
      <w:pPr>
        <w:ind w:firstLine="708"/>
        <w:rPr>
          <w:lang w:val="ru-RU"/>
        </w:rPr>
      </w:pPr>
      <w:r w:rsidRPr="006A21F9">
        <w:rPr>
          <w:b/>
          <w:bCs/>
          <w:lang w:val="ru-RU"/>
        </w:rPr>
        <w:t>1)</w:t>
      </w:r>
      <w:r w:rsidRPr="0097554A">
        <w:rPr>
          <w:lang w:val="ru-RU"/>
        </w:rPr>
        <w:t xml:space="preserve"> </w:t>
      </w:r>
      <w:r w:rsidRPr="001E4083">
        <w:t>其</w:t>
      </w:r>
      <w:r w:rsidRPr="006A21F9">
        <w:rPr>
          <w:lang w:val="ru-RU"/>
        </w:rPr>
        <w:t>古代教师的见证。 例如：</w:t>
      </w:r>
      <w:r w:rsidRPr="006A21F9">
        <w:rPr>
          <w:b/>
          <w:bCs/>
          <w:lang w:val="ru-RU"/>
        </w:rPr>
        <w:t>a)</w:t>
      </w:r>
      <w:r w:rsidRPr="006A21F9">
        <w:rPr>
          <w:lang w:val="ru-RU"/>
        </w:rPr>
        <w:t xml:space="preserve"> 圣爱任纽：“正如一棵野橄榄树，若不被嫁接，便因其野性本性而对主人毫无果实；而无果之树终将被砍下投入火中；同样，人若不借着信心接受圣灵的嫁接，便仍旧是原样； 作为血肉之躯，他无法承受神的国，正如使徒所言（林前15:50）；</w:t>
      </w:r>
      <w:r>
        <w:rPr>
          <w:rStyle w:val="FootnoteReference"/>
        </w:rPr>
        <w:footnoteReference w:id="704"/>
      </w:r>
      <w:r w:rsidRPr="006A21F9">
        <w:rPr>
          <w:lang w:val="ru-RU"/>
        </w:rPr>
        <w:t xml:space="preserve"> </w:t>
      </w:r>
      <w:r w:rsidRPr="006A21F9">
        <w:rPr>
          <w:b/>
          <w:bCs/>
          <w:lang w:val="ru-RU"/>
        </w:rPr>
        <w:t>b)</w:t>
      </w:r>
      <w:r w:rsidRPr="006A21F9">
        <w:rPr>
          <w:lang w:val="ru-RU"/>
        </w:rPr>
        <w:t xml:space="preserve"> 圣基普里安：“我们日夜祈祷，祈求那从神的恩典中领受（</w:t>
      </w:r>
      <w:r w:rsidRPr="001E4083">
        <w:t>sumitur</w:t>
      </w:r>
      <w:r w:rsidRPr="006A21F9">
        <w:rPr>
          <w:lang w:val="ru-RU"/>
        </w:rPr>
        <w:t>）的成圣与复活，能在祂的庇护下保存在我们里面。”</w:t>
      </w:r>
      <w:r>
        <w:rPr>
          <w:rStyle w:val="FootnoteReference"/>
        </w:rPr>
        <w:footnoteReference w:id="705"/>
      </w:r>
      <w:r w:rsidRPr="006A21F9">
        <w:rPr>
          <w:lang w:val="ru-RU"/>
        </w:rPr>
        <w:t xml:space="preserve"> </w:t>
      </w:r>
      <w:r w:rsidRPr="006A21F9">
        <w:rPr>
          <w:b/>
          <w:bCs/>
          <w:lang w:val="ru-RU"/>
        </w:rPr>
        <w:t>c)</w:t>
      </w:r>
      <w:r w:rsidRPr="006A21F9">
        <w:rPr>
          <w:lang w:val="ru-RU"/>
        </w:rPr>
        <w:t xml:space="preserve"> 圣希波吕托：“使圣徒得以洁净的，是上帝的圣子赐予他们的——因此他们说：</w:t>
      </w:r>
      <w:r w:rsidRPr="006A21F9">
        <w:rPr>
          <w:i/>
          <w:iCs/>
          <w:lang w:val="ru-RU"/>
        </w:rPr>
        <w:t>‘我们从祂的丰满里都领受了，恩上加恩。’</w:t>
      </w:r>
      <w:r w:rsidRPr="006A21F9">
        <w:rPr>
          <w:lang w:val="ru-RU"/>
        </w:rPr>
        <w:t>（约1:16）；”</w:t>
      </w:r>
      <w:r>
        <w:rPr>
          <w:rStyle w:val="FootnoteReference"/>
        </w:rPr>
        <w:footnoteReference w:id="706"/>
      </w:r>
      <w:r w:rsidRPr="006A21F9">
        <w:rPr>
          <w:lang w:val="ru-RU"/>
        </w:rPr>
        <w:t xml:space="preserve"> </w:t>
      </w:r>
      <w:r w:rsidRPr="006A21F9">
        <w:rPr>
          <w:b/>
          <w:bCs/>
          <w:lang w:val="ru-RU"/>
        </w:rPr>
        <w:t>d)</w:t>
      </w:r>
      <w:r w:rsidRPr="006A21F9">
        <w:rPr>
          <w:lang w:val="ru-RU"/>
        </w:rPr>
        <w:t xml:space="preserve"> 圣基里尔·耶路撒冷： “这位伟大的代祷者和恩赐的施予者，在全世界中，赐予一人纯洁，赐予另一人永恒的贞洁，赐予另一人行善的意愿，赐予另一人对贫穷的热爱，赐予另一人驱逐邪灵的力量；正如一道光线以单一的光芒照亮万物一样，圣灵也照亮那些有眼的人…… 以利亚、以利沙和以赛亚都需要祂；米迦勒和加百列等天使也需要祂；”</w:t>
      </w:r>
      <w:r>
        <w:rPr>
          <w:rStyle w:val="FootnoteReference"/>
        </w:rPr>
        <w:footnoteReference w:id="707"/>
      </w:r>
      <w:r w:rsidRPr="006A21F9">
        <w:rPr>
          <w:lang w:val="ru-RU"/>
        </w:rPr>
        <w:t xml:space="preserve"> </w:t>
      </w:r>
      <w:r w:rsidRPr="006A21F9">
        <w:rPr>
          <w:b/>
          <w:bCs/>
          <w:lang w:val="ru-RU"/>
        </w:rPr>
        <w:t>(d)</w:t>
      </w:r>
      <w:r w:rsidRPr="006A21F9">
        <w:rPr>
          <w:lang w:val="ru-RU"/>
        </w:rPr>
        <w:t xml:space="preserve"> 圣约翰·金口的话：“（使徒）知道是恩典拯救了我们；”</w:t>
      </w:r>
      <w:r>
        <w:rPr>
          <w:rStyle w:val="FootnoteReference"/>
        </w:rPr>
        <w:footnoteReference w:id="708"/>
      </w:r>
      <w:r w:rsidRPr="006A21F9">
        <w:rPr>
          <w:lang w:val="ru-RU"/>
        </w:rPr>
        <w:t xml:space="preserve"> </w:t>
      </w:r>
      <w:r w:rsidRPr="006A21F9">
        <w:rPr>
          <w:b/>
          <w:bCs/>
          <w:lang w:val="ru-RU"/>
        </w:rPr>
        <w:t>(e)</w:t>
      </w:r>
      <w:r w:rsidRPr="006A21F9">
        <w:rPr>
          <w:lang w:val="ru-RU"/>
        </w:rPr>
        <w:t xml:space="preserve"> 圣大马加里的话： “正如没有灵魂的身体是死的，什么也做不了；同样，没有天上的灵魂、没有神圣之灵的灵魂，对于天国而言也是死的，若没有圣灵，就无法成就任何蒙神喜悦的事；”</w:t>
      </w:r>
      <w:r>
        <w:rPr>
          <w:rStyle w:val="FootnoteReference"/>
        </w:rPr>
        <w:footnoteReference w:id="709"/>
      </w:r>
      <w:r w:rsidRPr="006A21F9">
        <w:rPr>
          <w:lang w:val="ru-RU"/>
        </w:rPr>
        <w:t xml:space="preserve"> 以及在另一处： </w:t>
      </w:r>
      <w:r w:rsidRPr="006A21F9">
        <w:rPr>
          <w:lang w:val="ru-RU"/>
        </w:rPr>
        <w:lastRenderedPageBreak/>
        <w:t>“如果灵魂不能借着坚定的信仰和祷告，在今世获得属灵的成圣； 若未能参与神的本性，也未领受恩典——借着这恩典，它本可圣洁且无可指摘地履行一切诫命——那么它便无法进入天国；”</w:t>
      </w:r>
      <w:r>
        <w:rPr>
          <w:rStyle w:val="FootnoteReference"/>
        </w:rPr>
        <w:footnoteReference w:id="710"/>
      </w:r>
      <w:r w:rsidRPr="006A21F9">
        <w:rPr>
          <w:lang w:val="ru-RU"/>
        </w:rPr>
        <w:t xml:space="preserve"> </w:t>
      </w:r>
      <w:r w:rsidRPr="006A21F9">
        <w:rPr>
          <w:b/>
          <w:bCs/>
          <w:lang w:val="ru-RU"/>
        </w:rPr>
        <w:t>(g</w:t>
      </w:r>
      <w:r w:rsidRPr="006A21F9">
        <w:rPr>
          <w:lang w:val="ru-RU"/>
        </w:rPr>
        <w:t>) 福者 奥古斯丁：‘上帝的恩典借着我们的主耶稣基督（这始终是真信仰和普世教会所持守的），将孩童和成人从第一人的死亡中带入第二人的生命中，不仅消除了罪孽，还帮助那些已经能够运用自由意志的人，使他们不犯罪并过着公义的生活， ——因此，若</w:t>
      </w:r>
      <w:r w:rsidRPr="001E4083">
        <w:t>没有</w:t>
      </w:r>
      <w:r w:rsidRPr="006A21F9">
        <w:rPr>
          <w:lang w:val="ru-RU"/>
        </w:rPr>
        <w:t>它的帮助，我们在行为上或内心意愿中，都无法拥有任何虔诚与公义。”</w:t>
      </w:r>
      <w:r>
        <w:rPr>
          <w:rStyle w:val="FootnoteReference"/>
        </w:rPr>
        <w:footnoteReference w:id="711"/>
      </w:r>
      <w:r w:rsidRPr="006A21F9">
        <w:rPr>
          <w:lang w:val="ru-RU"/>
        </w:rPr>
        <w:t xml:space="preserve"> 在另一处他写道：“凡欲作与真理相符的信仰告白者，必须毫不犹豫地承认恩典，即若无恩典，人便完全无法行出任何与虔诚及真正称义相关的善行。”</w:t>
      </w:r>
      <w:r>
        <w:rPr>
          <w:rStyle w:val="FootnoteReference"/>
        </w:rPr>
        <w:footnoteReference w:id="712"/>
      </w:r>
    </w:p>
    <w:p w14:paraId="741A3848" w14:textId="77777777" w:rsidR="00BE1885" w:rsidRPr="006A21F9" w:rsidRDefault="00BE1885" w:rsidP="00BE1885">
      <w:pPr>
        <w:ind w:firstLine="708"/>
        <w:rPr>
          <w:lang w:val="ru-RU"/>
        </w:rPr>
      </w:pPr>
      <w:r w:rsidRPr="006A21F9">
        <w:rPr>
          <w:b/>
          <w:bCs/>
          <w:lang w:val="ru-RU"/>
        </w:rPr>
        <w:t>2)</w:t>
      </w:r>
      <w:r w:rsidRPr="006A21F9">
        <w:rPr>
          <w:lang w:val="ru-RU"/>
        </w:rPr>
        <w:t xml:space="preserve"> 针对佩拉吉乌斯的各次大公会议的决议。例如，迪奥斯波利斯大公会议（公元415年）谴责了佩拉吉乌斯异端学说中的以下内容：“上帝的恩典与帮助并非赐予每一件（善的） 行为，而是源于自由意志，或源于（福音的）律法与教义。”</w:t>
      </w:r>
      <w:r>
        <w:rPr>
          <w:rStyle w:val="FootnoteReference"/>
        </w:rPr>
        <w:footnoteReference w:id="713"/>
      </w:r>
      <w:r w:rsidRPr="006A21F9">
        <w:rPr>
          <w:lang w:val="ru-RU"/>
        </w:rPr>
        <w:t xml:space="preserve"> </w:t>
      </w:r>
      <w:r w:rsidRPr="001E4083">
        <w:t>而第二次阿拉</w:t>
      </w:r>
      <w:r w:rsidRPr="006A21F9">
        <w:rPr>
          <w:lang w:val="ru-RU"/>
        </w:rPr>
        <w:t>维斯大公会议（公元529年）则裁定：“若有人断言，上帝为了使我们脱离罪恶而等待我们的意愿，却不承认这种渴望得洁净的意愿本身，乃是借着圣灵的倾注及其协助在我们里面产生的——此人便是抵挡圣灵”（</w:t>
      </w:r>
      <w:r w:rsidRPr="001E4083">
        <w:t>第四条</w:t>
      </w:r>
      <w:r w:rsidRPr="006A21F9">
        <w:rPr>
          <w:lang w:val="ru-RU"/>
        </w:rPr>
        <w:t>决议）。 此外：“若有人断言，人仅凭自身本性，便能正确思考，或选择与永恒救赎相关的善事，并在未蒙圣灵启迪与感召的情况下，同意接受救赎性的，即福音的宣讲——此人便是被异端之灵所迷惑” （</w:t>
      </w:r>
      <w:r w:rsidRPr="001E4083">
        <w:t>第七</w:t>
      </w:r>
      <w:r w:rsidRPr="006A21F9">
        <w:rPr>
          <w:lang w:val="ru-RU"/>
        </w:rPr>
        <w:t>条）。</w:t>
      </w:r>
      <w:r>
        <w:rPr>
          <w:rStyle w:val="FootnoteReference"/>
        </w:rPr>
        <w:footnoteReference w:id="714"/>
      </w:r>
      <w:r w:rsidRPr="006A21F9">
        <w:rPr>
          <w:lang w:val="ru-RU"/>
        </w:rPr>
        <w:t xml:space="preserve"> 至于我们上文引用的迦太基大公会议的决议，在此不再赘述。</w:t>
      </w:r>
    </w:p>
    <w:p w14:paraId="2CEE05AA" w14:textId="77777777" w:rsidR="00BE1885" w:rsidRPr="006A21F9" w:rsidRDefault="00BE1885" w:rsidP="00BE1885">
      <w:pPr>
        <w:ind w:firstLine="708"/>
        <w:rPr>
          <w:lang w:val="ru-RU"/>
        </w:rPr>
      </w:pPr>
      <w:r w:rsidRPr="006A21F9">
        <w:rPr>
          <w:b/>
          <w:bCs/>
          <w:lang w:val="ru-RU"/>
        </w:rPr>
        <w:t>3)</w:t>
      </w:r>
      <w:r w:rsidRPr="0097554A">
        <w:rPr>
          <w:lang w:val="ru-RU"/>
        </w:rPr>
        <w:t xml:space="preserve"> </w:t>
      </w:r>
      <w:r w:rsidRPr="001E4083">
        <w:t>她的</w:t>
      </w:r>
      <w:r w:rsidRPr="006A21F9">
        <w:rPr>
          <w:lang w:val="ru-RU"/>
        </w:rPr>
        <w:t>祷文与圣咏。在这里，教会如此频繁地为我们祈求来自上天的恩典之助，以成就信仰与虔敬的功业；如此频繁地赞美圣灵——祂以各种恩赐启迪、更新并坚固我们， 并如此响亮地在神面前承认我们的软弱，以及若没有祂直接的协助，我们便无力行任何善事，</w:t>
      </w:r>
      <w:r>
        <w:rPr>
          <w:rStyle w:val="FootnoteReference"/>
        </w:rPr>
        <w:footnoteReference w:id="715"/>
      </w:r>
      <w:r w:rsidRPr="006A21F9">
        <w:rPr>
          <w:lang w:val="ru-RU"/>
        </w:rPr>
        <w:t xml:space="preserve"> ——仅这些自古以来在教会中回响的圣咏与祷文，本身就构成了</w:t>
      </w:r>
      <w:r w:rsidRPr="001E4083">
        <w:t>教会</w:t>
      </w:r>
      <w:r w:rsidRPr="006A21F9">
        <w:rPr>
          <w:lang w:val="ru-RU"/>
        </w:rPr>
        <w:t>对“我们亟需神之帮助”这一信念始终如一的最有力证明。</w:t>
      </w:r>
      <w:r>
        <w:rPr>
          <w:rStyle w:val="FootnoteReference"/>
        </w:rPr>
        <w:footnoteReference w:id="716"/>
      </w:r>
    </w:p>
    <w:p w14:paraId="425C06A0"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另一方面，基于神学原则，理性可以这样说：如果人作为一种有限的、没有生命之源的受造物，在堕落之前就需要神的恩典——正如至今所有纯洁的受造灵体依然需要它一样：</w:t>
      </w:r>
      <w:r>
        <w:rPr>
          <w:rStyle w:val="FootnoteReference"/>
        </w:rPr>
        <w:footnoteReference w:id="717"/>
      </w:r>
      <w:r w:rsidRPr="006A21F9">
        <w:rPr>
          <w:lang w:val="ru-RU"/>
        </w:rPr>
        <w:t xml:space="preserve"> ——那么，在堕落状态下，人岂不更需要神的恩典吗？ 那时，他若没有恩典，就无法在灵性上存活，正如缺乏属灵的食物和空气一样：如今又怎能认为这是可能的呢？ 那时，他尚且纯洁无瑕，只需行善；而如今，他既软弱又全然败坏，必须先从罪中洁净自己，治愈自身的道德疾病，然后不断与救恩的敌人斗争，并在这样的斗争中行善。 “人类的本性，正如第二次阿拉维斯大公会议的教父们所指出的，即使仍保持着被造时的无瑕状态，若</w:t>
      </w:r>
      <w:r w:rsidRPr="006A21F9">
        <w:rPr>
          <w:lang w:val="ru-RU"/>
        </w:rPr>
        <w:lastRenderedPageBreak/>
        <w:t>没有造物主的帮助，也绝无可能自我保全。因此，如果它无法在没有上帝恩典的情况下保持所获得的健全，那么又怎能在没有上帝恩典的情况下，重新获得已经失去的呢？”</w:t>
      </w:r>
      <w:r>
        <w:rPr>
          <w:rStyle w:val="FootnoteReference"/>
        </w:rPr>
        <w:footnoteReference w:id="718"/>
      </w:r>
    </w:p>
    <w:p w14:paraId="5F7706FC" w14:textId="77777777" w:rsidR="00BE1885" w:rsidRPr="006A21F9" w:rsidRDefault="00BE1885" w:rsidP="00BE1885">
      <w:pPr>
        <w:rPr>
          <w:lang w:val="ru-RU"/>
        </w:rPr>
      </w:pPr>
    </w:p>
    <w:p w14:paraId="7453C9BC" w14:textId="77777777" w:rsidR="00BE1885" w:rsidRPr="006A21F9" w:rsidRDefault="00BE1885" w:rsidP="00BE1885">
      <w:pPr>
        <w:pStyle w:val="Heading5"/>
        <w:rPr>
          <w:lang w:val="ru-RU"/>
        </w:rPr>
      </w:pPr>
      <w:bookmarkStart w:id="587" w:name="_Toc133142949"/>
      <w:bookmarkStart w:id="588" w:name="_Toc133166306"/>
      <w:bookmarkStart w:id="589" w:name="_Toc182221516"/>
      <w:bookmarkStart w:id="590" w:name="_Toc238453083"/>
      <w:bookmarkStart w:id="591" w:name="_Toc238453883"/>
      <w:bookmarkStart w:id="592" w:name="_Toc238576543"/>
      <w:r w:rsidRPr="006A21F9">
        <w:rPr>
          <w:bCs/>
          <w:lang w:val="ru-RU"/>
        </w:rPr>
        <w:t>§187.</w:t>
      </w:r>
      <w:r w:rsidRPr="006A21F9">
        <w:rPr>
          <w:lang w:val="ru-RU"/>
        </w:rPr>
        <w:t xml:space="preserve"> 恩典对信仰及信仰之始，或对人归信基督教的必要性</w:t>
      </w:r>
      <w:bookmarkEnd w:id="587"/>
      <w:bookmarkEnd w:id="588"/>
      <w:bookmarkEnd w:id="589"/>
      <w:bookmarkEnd w:id="590"/>
      <w:bookmarkEnd w:id="591"/>
      <w:bookmarkEnd w:id="592"/>
    </w:p>
    <w:p w14:paraId="4D6F297B" w14:textId="77777777" w:rsidR="00BE1885" w:rsidRPr="006A21F9" w:rsidRDefault="00BE1885" w:rsidP="00BE1885">
      <w:pPr>
        <w:ind w:firstLine="708"/>
        <w:rPr>
          <w:lang w:val="ru-RU"/>
        </w:rPr>
      </w:pPr>
      <w:r w:rsidRPr="006A21F9">
        <w:rPr>
          <w:lang w:val="ru-RU"/>
        </w:rPr>
        <w:t>上帝的恩典，不仅对人的成圣与得救至关重要，更特别地，对人的信仰以及对主耶稣信仰的萌发而言，也是不可或缺的。</w:t>
      </w:r>
    </w:p>
    <w:p w14:paraId="3C973B03" w14:textId="77777777" w:rsidR="00BE1885" w:rsidRPr="006A21F9" w:rsidRDefault="00BE1885" w:rsidP="00BE1885">
      <w:pPr>
        <w:rPr>
          <w:lang w:val="ru-RU"/>
        </w:rPr>
      </w:pPr>
      <w:r w:rsidRPr="006A21F9">
        <w:rPr>
          <w:lang w:val="ru-RU"/>
        </w:rPr>
        <w:tab/>
      </w:r>
      <w:r w:rsidRPr="001E4083">
        <w:rPr>
          <w:b/>
          <w:bCs/>
        </w:rPr>
        <w:t>一</w:t>
      </w:r>
      <w:r w:rsidRPr="006A21F9">
        <w:rPr>
          <w:b/>
          <w:bCs/>
          <w:lang w:val="ru-RU"/>
        </w:rPr>
        <w:t>、</w:t>
      </w:r>
      <w:r w:rsidRPr="006A21F9">
        <w:rPr>
          <w:lang w:val="ru-RU"/>
        </w:rPr>
        <w:t>救主基督曾如此教导。当犹太人听见祂讲论自己就是从天上降下来的那饼（约6:40-41）时，便开始抱怨，说：</w:t>
      </w:r>
      <w:r w:rsidRPr="006A21F9">
        <w:rPr>
          <w:i/>
          <w:iCs/>
          <w:lang w:val="ru-RU"/>
        </w:rPr>
        <w:t>“这不是约瑟的儿子耶稣吗？我们岂不认识祂的父母吗？ 他怎么说‘我是从天上降下来的’呢？</w:t>
      </w:r>
      <w:r w:rsidRPr="006A21F9">
        <w:rPr>
          <w:lang w:val="ru-RU"/>
        </w:rPr>
        <w:t>”（约翰福音6:42），并因此既不相信祂的神性，也不相信祂的讲道——祂便对他们说：</w:t>
      </w:r>
      <w:r w:rsidRPr="006A21F9">
        <w:rPr>
          <w:i/>
          <w:iCs/>
          <w:lang w:val="ru-RU"/>
        </w:rPr>
        <w:t>“你们不要彼此私下抱怨。 若不是差我来的父吸引他，就没有人能到我这里来；到我这里来的，我必在末日使他复活。先知书上写着：‘人都要蒙神教导。’ 凡从父那里听见并受教的，都会到我这里来”</w:t>
      </w:r>
      <w:r w:rsidRPr="006A21F9">
        <w:rPr>
          <w:lang w:val="ru-RU"/>
        </w:rPr>
        <w:t>（《约翰福音》6:43-45）。随后，当祂继续讲道时，听见连许多门徒也说：“这话真难懂”，并开始抱怨、动摇（《约翰福音》6:60-61）， 祂便对他们 指出：</w:t>
      </w:r>
      <w:r w:rsidRPr="006A21F9">
        <w:rPr>
          <w:i/>
          <w:iCs/>
          <w:lang w:val="ru-RU"/>
        </w:rPr>
        <w:t>“你们中间有不信的人……所以我才对你们说：若不是我父所赐的，没有人能到我这里来”</w:t>
      </w:r>
      <w:r w:rsidRPr="006A21F9">
        <w:rPr>
          <w:lang w:val="ru-RU"/>
        </w:rPr>
        <w:t xml:space="preserve">（约6:64-65）。最后，祂最亲近的门徒之一——彼得，代表十二门徒全体，向祂承认： </w:t>
      </w:r>
      <w:r w:rsidRPr="006A21F9">
        <w:rPr>
          <w:i/>
          <w:iCs/>
          <w:lang w:val="ru-RU"/>
        </w:rPr>
        <w:t>“你是基督，是永生神的儿子</w:t>
      </w:r>
      <w:r w:rsidRPr="006A21F9">
        <w:rPr>
          <w:lang w:val="ru-RU"/>
        </w:rPr>
        <w:t>”（太16:16），耶稣回答他说：</w:t>
      </w:r>
      <w:r w:rsidRPr="006A21F9">
        <w:rPr>
          <w:i/>
          <w:iCs/>
          <w:lang w:val="ru-RU"/>
        </w:rPr>
        <w:t>“西门·约拿的儿子，你是有福的，因为这不是血肉之人启示你的，而是我天上的父启示你的”</w:t>
      </w:r>
      <w:r w:rsidRPr="006A21F9">
        <w:rPr>
          <w:lang w:val="ru-RU"/>
        </w:rPr>
        <w:t>（太16:17）。 倘若要归向耶稣并信靠祂，仅听祂的教导尚不足够，还必须有来自天父的内在、直接的吸引； 如果连使徒彼得——这位始终专心聆听主教导的人——那活泼的信心与认信，也被称为源于天父内在启示的结果：那么这就意味着，若没有神的恩典，我们就既无法开始，也无法持守对救赎主的信心。</w:t>
      </w:r>
    </w:p>
    <w:p w14:paraId="10BFA8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使徒们也是这样教导的。圣保罗在他的多封书信中都表达了这一点。他在《罗马书》中给出了这样的教导： </w:t>
      </w:r>
      <w:r w:rsidRPr="006A21F9">
        <w:rPr>
          <w:i/>
          <w:iCs/>
          <w:lang w:val="ru-RU"/>
        </w:rPr>
        <w:t>“照着所赐给我的恩典，我对你们各人说：不要看自己过于所当看的，要照着神所分给各人信心的大小，存着谦卑的心</w:t>
      </w:r>
      <w:r w:rsidRPr="006A21F9">
        <w:rPr>
          <w:lang w:val="ru-RU"/>
        </w:rPr>
        <w:t>”（罗12:3）。他在致哥林多人的书信中写道：</w:t>
      </w:r>
      <w:r w:rsidRPr="006A21F9">
        <w:rPr>
          <w:i/>
          <w:iCs/>
          <w:lang w:val="ru-RU"/>
        </w:rPr>
        <w:t>“若不是被圣灵感动的，没有人能说‘耶稣是主’”</w:t>
      </w:r>
      <w:r w:rsidRPr="006A21F9">
        <w:rPr>
          <w:lang w:val="ru-RU"/>
        </w:rPr>
        <w:t xml:space="preserve"> （林前12:3），并向他们阐明，这正是</w:t>
      </w:r>
      <w:r w:rsidRPr="006A21F9">
        <w:rPr>
          <w:i/>
          <w:iCs/>
          <w:lang w:val="ru-RU"/>
        </w:rPr>
        <w:t>“那曾吩咐光从黑暗里照出来的神，已经照亮了我们的心，要我们得知神在耶稣基督面上所显的荣耀”</w:t>
      </w:r>
      <w:r w:rsidRPr="006A21F9">
        <w:rPr>
          <w:lang w:val="ru-RU"/>
        </w:rPr>
        <w:t>（林后4:6）。 《以弗所书》表达了美好的祝愿：</w:t>
      </w:r>
      <w:r w:rsidRPr="006A21F9">
        <w:rPr>
          <w:i/>
          <w:iCs/>
          <w:lang w:val="ru-RU"/>
        </w:rPr>
        <w:t>“愿我们主耶稣基督的上帝， 荣耀的父，赐给你们智慧和启示的灵，使你们真知道他；并且照明你们心中的眼睛，使你们知道他的呼召有何等指望，他在圣徒中得的基业有何等丰盛的荣耀；并知道他向我们这凭着他大能作工的信徒所显的能力是何等浩大”</w:t>
      </w:r>
      <w:r w:rsidRPr="006A21F9">
        <w:rPr>
          <w:lang w:val="ru-RU"/>
        </w:rPr>
        <w:t xml:space="preserve"> （以弗所书 1:17-19），并补充道：</w:t>
      </w:r>
      <w:r w:rsidRPr="006A21F9">
        <w:rPr>
          <w:i/>
          <w:iCs/>
          <w:lang w:val="ru-RU"/>
        </w:rPr>
        <w:t>“你们得救是本乎恩，也因着信；这并不是出于你们自己，乃是神的恩赐”</w:t>
      </w:r>
      <w:r w:rsidRPr="006A21F9">
        <w:rPr>
          <w:lang w:val="ru-RU"/>
        </w:rPr>
        <w:t>（以弗所书 2:8）。 他对腓立比人作见证说：</w:t>
      </w:r>
      <w:r w:rsidRPr="006A21F9">
        <w:rPr>
          <w:i/>
          <w:iCs/>
          <w:lang w:val="ru-RU"/>
        </w:rPr>
        <w:t>“你们蒙恩，不仅是为了信基督，更是为了为基督受苦”</w:t>
      </w:r>
      <w:r w:rsidRPr="006A21F9">
        <w:rPr>
          <w:lang w:val="ru-RU"/>
        </w:rPr>
        <w:t xml:space="preserve">（腓 1:29）； </w:t>
      </w:r>
      <w:r w:rsidRPr="006A21F9">
        <w:rPr>
          <w:i/>
          <w:iCs/>
          <w:lang w:val="ru-RU"/>
        </w:rPr>
        <w:t>“因为是神在你们心里动了善意，又赐给你们力量去行他所喜悦的事</w:t>
      </w:r>
      <w:r w:rsidRPr="006A21F9">
        <w:rPr>
          <w:lang w:val="ru-RU"/>
        </w:rPr>
        <w:t>”（腓 2:13）。也就是说，正如这位语言学家所言：</w:t>
      </w:r>
      <w:r w:rsidRPr="006A21F9">
        <w:rPr>
          <w:b/>
          <w:bCs/>
          <w:lang w:val="ru-RU"/>
        </w:rPr>
        <w:t>a)</w:t>
      </w:r>
      <w:r w:rsidRPr="006A21F9">
        <w:rPr>
          <w:lang w:val="ru-RU"/>
        </w:rPr>
        <w:t xml:space="preserve"> 信心及其程度都是神赐给我们的（罗 </w:t>
      </w:r>
      <w:r w:rsidRPr="006A21F9">
        <w:rPr>
          <w:lang w:val="ru-RU"/>
        </w:rPr>
        <w:lastRenderedPageBreak/>
        <w:t>12:3），因此信心完全是神的恩赐 [(弗 2:8)； （腓 1:29）]；</w:t>
      </w:r>
      <w:r w:rsidRPr="006A21F9">
        <w:rPr>
          <w:b/>
          <w:bCs/>
          <w:lang w:val="ru-RU"/>
        </w:rPr>
        <w:t>b)</w:t>
      </w:r>
      <w:r w:rsidRPr="006A21F9">
        <w:rPr>
          <w:lang w:val="ru-RU"/>
        </w:rPr>
        <w:t xml:space="preserve"> 若没有圣灵的恩典，我们甚至无法称耶稣为主，因此也无法开始信靠祂（林前 12:3），更何况</w:t>
      </w:r>
      <w:r w:rsidRPr="006A21F9">
        <w:rPr>
          <w:i/>
          <w:iCs/>
          <w:lang w:val="ru-RU"/>
        </w:rPr>
        <w:t>“神照着祂的旨意，在你们心里动了愿意和行动”</w:t>
      </w:r>
      <w:r w:rsidRPr="006A21F9">
        <w:rPr>
          <w:lang w:val="ru-RU"/>
        </w:rPr>
        <w:t xml:space="preserve">（腓 2:13）； </w:t>
      </w:r>
      <w:r w:rsidRPr="006A21F9">
        <w:rPr>
          <w:b/>
          <w:bCs/>
          <w:lang w:val="ru-RU"/>
        </w:rPr>
        <w:t>c)</w:t>
      </w:r>
      <w:r w:rsidRPr="006A21F9">
        <w:rPr>
          <w:lang w:val="ru-RU"/>
        </w:rPr>
        <w:t xml:space="preserve"> 祂在我们里面动了信心的根基，赐给我们智慧和启示的圣灵，使我们能认识祂，照亮我们心灵的眼睛，使我们明白祂呼召的盼望究竟是什么（以弗所书 1:17-18），或者说， </w:t>
      </w:r>
      <w:r w:rsidRPr="006A21F9">
        <w:rPr>
          <w:i/>
          <w:iCs/>
          <w:lang w:val="ru-RU"/>
        </w:rPr>
        <w:t>“照亮我们的心，使我们能借着耶稣基督的脸面，认识神的荣耀”</w:t>
      </w:r>
      <w:r w:rsidRPr="006A21F9">
        <w:rPr>
          <w:lang w:val="ru-RU"/>
        </w:rPr>
        <w:t>（林后4:6）；—</w:t>
      </w:r>
      <w:r w:rsidRPr="006A21F9">
        <w:rPr>
          <w:b/>
          <w:bCs/>
          <w:lang w:val="ru-RU"/>
        </w:rPr>
        <w:t>—以及d)</w:t>
      </w:r>
      <w:r w:rsidRPr="006A21F9">
        <w:rPr>
          <w:lang w:val="ru-RU"/>
        </w:rPr>
        <w:t xml:space="preserve"> 随后，如果我们与祂同工并持守信心：这也是因祂在我们里面大能的作为（弗1:19）。 在《使徒行传》中，圣路加讲述了一位名叫吕底亚的妇人——她以贩卖紫色布匹为生——主开启了她的心，使她能领受保罗所讲的话，因此她接受了使徒的讲道，信了基督并受了洗（徒16:15）。 由此可见，除了向外传讲福音——若无此传讲便无法信靠主耶稣——还必须有上帝内在的帮助，这种帮助会预先开启不信者内心，使其能够接受并领悟福音，从而促成信心的萌芽与萌生。</w:t>
      </w:r>
    </w:p>
    <w:p w14:paraId="239FAD6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古代教会的圣父们和教师们便是如此教导的。例如：</w:t>
      </w:r>
    </w:p>
    <w:p w14:paraId="3FCC33B7" w14:textId="77777777" w:rsidR="00BE1885" w:rsidRPr="006A21F9" w:rsidRDefault="00BE1885" w:rsidP="00BE1885">
      <w:pPr>
        <w:rPr>
          <w:lang w:val="ru-RU"/>
        </w:rPr>
      </w:pPr>
      <w:r w:rsidRPr="006A21F9">
        <w:rPr>
          <w:lang w:val="ru-RU"/>
        </w:rPr>
        <w:tab/>
        <w:t>圣巴拿巴：“祂（上帝）割除了我们的耳廓，使我们听见道后便能信。”</w:t>
      </w:r>
      <w:r>
        <w:rPr>
          <w:rStyle w:val="FootnoteReference"/>
        </w:rPr>
        <w:footnoteReference w:id="719"/>
      </w:r>
    </w:p>
    <w:p w14:paraId="17E8D185" w14:textId="77777777" w:rsidR="00BE1885" w:rsidRPr="006A21F9" w:rsidRDefault="00BE1885" w:rsidP="00BE1885">
      <w:pPr>
        <w:rPr>
          <w:lang w:val="ru-RU"/>
        </w:rPr>
      </w:pPr>
      <w:r w:rsidRPr="006A21F9">
        <w:rPr>
          <w:lang w:val="ru-RU"/>
        </w:rPr>
        <w:tab/>
        <w:t>圣贾斯汀：“对于许多未蒙受明悟之恩典的人来说，这些（基督教）教义似乎是不合情理且不配上帝的。”</w:t>
      </w:r>
      <w:r>
        <w:rPr>
          <w:rStyle w:val="FootnoteReference"/>
        </w:rPr>
        <w:footnoteReference w:id="720"/>
      </w:r>
      <w:r w:rsidRPr="006A21F9">
        <w:rPr>
          <w:lang w:val="ru-RU"/>
        </w:rPr>
        <w:t xml:space="preserve"> “于是，祂向我们启示了一切，而我们唯有藉着祂的恩典，才能从圣经中领悟这些。”</w:t>
      </w:r>
      <w:r>
        <w:rPr>
          <w:rStyle w:val="FootnoteReference"/>
        </w:rPr>
        <w:footnoteReference w:id="721"/>
      </w:r>
      <w:r w:rsidRPr="006A21F9">
        <w:rPr>
          <w:lang w:val="ru-RU"/>
        </w:rPr>
        <w:t xml:space="preserve"> “你们可曾想过，若非蒙受了上帝所赐、出于祂旨意的领悟之恩，我们便无法领悟圣经中的内容？”</w:t>
      </w:r>
      <w:r>
        <w:rPr>
          <w:rStyle w:val="FootnoteReference"/>
        </w:rPr>
        <w:footnoteReference w:id="722"/>
      </w:r>
    </w:p>
    <w:p w14:paraId="59BA8D38" w14:textId="77777777" w:rsidR="00BE1885" w:rsidRPr="006A21F9" w:rsidRDefault="00BE1885" w:rsidP="00BE1885">
      <w:pPr>
        <w:rPr>
          <w:lang w:val="ru-RU"/>
        </w:rPr>
      </w:pPr>
      <w:r w:rsidRPr="006A21F9">
        <w:rPr>
          <w:lang w:val="ru-RU"/>
        </w:rPr>
        <w:tab/>
        <w:t>圣格里高利·奇迹者：“无论谁想要从受造物中认识上帝，或是从神圣的经文中领悟，若没有祂的智慧，就无法认识祂，也无法听见祂。 正确地呼求上帝，就是通过圣子来呼求；真正来到祂面前，就是通过基督而来；而若没有圣灵，就不可能来到圣子面前：因为圣灵使万物复活并使万物成圣。</w:t>
      </w:r>
      <w:r>
        <w:rPr>
          <w:rStyle w:val="FootnoteReference"/>
        </w:rPr>
        <w:footnoteReference w:id="723"/>
      </w:r>
    </w:p>
    <w:p w14:paraId="64C87622" w14:textId="77777777" w:rsidR="00BE1885" w:rsidRPr="006A21F9" w:rsidRDefault="00BE1885" w:rsidP="00BE1885">
      <w:pPr>
        <w:rPr>
          <w:lang w:val="ru-RU"/>
        </w:rPr>
      </w:pPr>
      <w:r w:rsidRPr="006A21F9">
        <w:rPr>
          <w:lang w:val="ru-RU"/>
        </w:rPr>
        <w:tab/>
        <w:t>圣大巴西尔：“一旦在启迪之力的协助下，我们将目光投向不可见之神的形象之美，并通过它升华至超越一切之美的原型观照； 在此过程中，知识之灵始终同在，祂向那些在祂自己内寻求真理的观者，赐予一种隐秘的洞察力，以观照那形象；祂并非在祂自己之外显明它，而是引导人进入祂自己之内去认识。因为</w:t>
      </w:r>
      <w:r w:rsidRPr="006A21F9">
        <w:rPr>
          <w:i/>
          <w:iCs/>
          <w:lang w:val="ru-RU"/>
        </w:rPr>
        <w:t>正如‘除了子以外，没有人认识父’</w:t>
      </w:r>
      <w:r w:rsidRPr="006A21F9">
        <w:rPr>
          <w:lang w:val="ru-RU"/>
        </w:rPr>
        <w:t xml:space="preserve">（玛11:27）； </w:t>
      </w:r>
      <w:r w:rsidRPr="006A21F9">
        <w:rPr>
          <w:i/>
          <w:iCs/>
          <w:lang w:val="ru-RU"/>
        </w:rPr>
        <w:t>同样，“若不是被圣灵感动的，没有人能说‘耶稣是主</w:t>
      </w:r>
      <w:r w:rsidRPr="006A21F9">
        <w:rPr>
          <w:lang w:val="ru-RU"/>
        </w:rPr>
        <w:t>’”（林前12:3）。因为经文没有说：“藉着圣灵”（</w:t>
      </w:r>
      <w:r w:rsidRPr="001E4083">
        <w:t>διά</w:t>
      </w:r>
      <w:r w:rsidRPr="0097554A">
        <w:rPr>
          <w:lang w:val="ru-RU"/>
        </w:rPr>
        <w:t xml:space="preserve"> </w:t>
      </w:r>
      <w:r w:rsidRPr="001E4083">
        <w:t>πνεύματος</w:t>
      </w:r>
      <w:r w:rsidRPr="006A21F9">
        <w:rPr>
          <w:lang w:val="ru-RU"/>
        </w:rPr>
        <w:t>），而是说：“在圣灵里”（</w:t>
      </w:r>
      <w:r w:rsidRPr="001E4083">
        <w:t>έν</w:t>
      </w:r>
      <w:r w:rsidRPr="0097554A">
        <w:rPr>
          <w:lang w:val="ru-RU"/>
        </w:rPr>
        <w:t xml:space="preserve"> </w:t>
      </w:r>
      <w:r w:rsidRPr="001E4083">
        <w:t>πνεύματι</w:t>
      </w:r>
      <w:r w:rsidRPr="006A21F9">
        <w:rPr>
          <w:lang w:val="ru-RU"/>
        </w:rPr>
        <w:t>）。又如：</w:t>
      </w:r>
      <w:r w:rsidRPr="006A21F9">
        <w:rPr>
          <w:i/>
          <w:iCs/>
          <w:lang w:val="ru-RU"/>
        </w:rPr>
        <w:t>“神是灵，敬拜祂的必须在灵里和真理里敬拜祂”</w:t>
      </w:r>
      <w:r w:rsidRPr="006A21F9">
        <w:rPr>
          <w:lang w:val="ru-RU"/>
        </w:rPr>
        <w:t xml:space="preserve"> （约4:24）；正如经上所记：</w:t>
      </w:r>
      <w:r w:rsidRPr="0097554A">
        <w:rPr>
          <w:i/>
          <w:iCs/>
          <w:lang w:val="ru-RU"/>
        </w:rPr>
        <w:t>“</w:t>
      </w:r>
      <w:r w:rsidRPr="001E4083">
        <w:rPr>
          <w:i/>
          <w:iCs/>
        </w:rPr>
        <w:t>在</w:t>
      </w:r>
      <w:r w:rsidRPr="006A21F9">
        <w:rPr>
          <w:i/>
          <w:iCs/>
          <w:lang w:val="ru-RU"/>
        </w:rPr>
        <w:t>你的光中</w:t>
      </w:r>
      <w:r w:rsidRPr="006A21F9">
        <w:rPr>
          <w:lang w:val="ru-RU"/>
        </w:rPr>
        <w:t>，即在圣灵的启示中</w:t>
      </w:r>
      <w:r w:rsidRPr="006A21F9">
        <w:rPr>
          <w:i/>
          <w:iCs/>
          <w:lang w:val="ru-RU"/>
        </w:rPr>
        <w:t>，我们必得见光</w:t>
      </w:r>
      <w:r w:rsidRPr="006A21F9">
        <w:rPr>
          <w:lang w:val="ru-RU"/>
        </w:rPr>
        <w:t>”（诗35:10）</w:t>
      </w:r>
      <w:r w:rsidRPr="006A21F9">
        <w:rPr>
          <w:i/>
          <w:iCs/>
          <w:lang w:val="ru-RU"/>
        </w:rPr>
        <w:t>——“那真光，照亮一切生在世上的人”</w:t>
      </w:r>
      <w:r w:rsidRPr="006A21F9">
        <w:rPr>
          <w:lang w:val="ru-RU"/>
        </w:rPr>
        <w:t>（约1:9）。 因此，圣灵在祂自己里面显明独生子的荣耀，并在祂自己里面将认识神的真知识赐给真正的敬拜者。所以，认识神的道路是从独一的圣灵，经由独生的子，通向独一的父。”</w:t>
      </w:r>
      <w:r>
        <w:rPr>
          <w:rStyle w:val="FootnoteReference"/>
        </w:rPr>
        <w:footnoteReference w:id="724"/>
      </w:r>
    </w:p>
    <w:p w14:paraId="7968D98E" w14:textId="77777777" w:rsidR="00BE1885" w:rsidRPr="006A21F9" w:rsidRDefault="00BE1885" w:rsidP="00BE1885">
      <w:pPr>
        <w:rPr>
          <w:lang w:val="ru-RU"/>
        </w:rPr>
      </w:pPr>
      <w:r w:rsidRPr="006A21F9">
        <w:rPr>
          <w:lang w:val="ru-RU"/>
        </w:rPr>
        <w:lastRenderedPageBreak/>
        <w:tab/>
        <w:t>圣约翰·金口：</w:t>
      </w:r>
      <w:r w:rsidRPr="006A21F9">
        <w:rPr>
          <w:i/>
          <w:iCs/>
          <w:lang w:val="ru-RU"/>
        </w:rPr>
        <w:t>“‘西门，约拿的儿子，你是有福的，因为这不是血肉之人启示给你的，而是我天上的父启示给你的’</w:t>
      </w:r>
      <w:r w:rsidRPr="006A21F9">
        <w:rPr>
          <w:lang w:val="ru-RU"/>
        </w:rPr>
        <w:t>（马太福音16:17）。 在此，主似乎在启示如下：信靠我并非小事，但为此必须有来自上天的感召。”</w:t>
      </w:r>
      <w:r>
        <w:rPr>
          <w:rStyle w:val="FootnoteReference"/>
        </w:rPr>
        <w:footnoteReference w:id="725"/>
      </w:r>
      <w:r w:rsidRPr="006A21F9">
        <w:rPr>
          <w:lang w:val="ru-RU"/>
        </w:rPr>
        <w:t xml:space="preserve"> “你自己一无所有，一切都是从神那里领受的……你之所以拥有，是因为领受了，不是这或那，而是你所拥有的一切。一切善行都不是你的，而是来自神的恩典。 你甚至能将信心归功于自己吗？就连信心也取决于呼召。”</w:t>
      </w:r>
      <w:r>
        <w:rPr>
          <w:rStyle w:val="FootnoteReference"/>
        </w:rPr>
        <w:footnoteReference w:id="726"/>
      </w:r>
      <w:r w:rsidRPr="006A21F9">
        <w:rPr>
          <w:lang w:val="ru-RU"/>
        </w:rPr>
        <w:t xml:space="preserve"> “为了不让善行的伟大使你自高自大，看他（使徒）如何使你谦卑：</w:t>
      </w:r>
      <w:r w:rsidRPr="006A21F9">
        <w:rPr>
          <w:i/>
          <w:iCs/>
          <w:lang w:val="ru-RU"/>
        </w:rPr>
        <w:t>他说，你们是因着恩典，借着信心得救的</w:t>
      </w:r>
      <w:r w:rsidRPr="006A21F9">
        <w:rPr>
          <w:lang w:val="ru-RU"/>
        </w:rPr>
        <w:t>。然后，为了不限制自由意志，他又提到了其中属于我们自己的部分。 接着，他又废除了这一点，并说：</w:t>
      </w:r>
      <w:r w:rsidRPr="006A21F9">
        <w:rPr>
          <w:i/>
          <w:iCs/>
          <w:lang w:val="ru-RU"/>
        </w:rPr>
        <w:t>‘这也不是出于我们</w:t>
      </w:r>
      <w:r w:rsidRPr="006A21F9">
        <w:rPr>
          <w:lang w:val="ru-RU"/>
        </w:rPr>
        <w:t>。’他说，‘信心也不是出于我们。’因为如果（基督）没有来，如果他没有呼召我们：我们怎么可能信呢？…… 因此，信心并非出于我们，而是上帝的恩赐。”</w:t>
      </w:r>
      <w:r>
        <w:rPr>
          <w:rStyle w:val="FootnoteReference"/>
        </w:rPr>
        <w:footnoteReference w:id="727"/>
      </w:r>
      <w:r w:rsidRPr="006A21F9">
        <w:rPr>
          <w:lang w:val="ru-RU"/>
        </w:rPr>
        <w:t xml:space="preserve"> “祂将信心植入我们心中，祂赐予了开端。”</w:t>
      </w:r>
      <w:r>
        <w:rPr>
          <w:rStyle w:val="FootnoteReference"/>
        </w:rPr>
        <w:footnoteReference w:id="728"/>
      </w:r>
      <w:r w:rsidRPr="006A21F9">
        <w:rPr>
          <w:lang w:val="ru-RU"/>
        </w:rPr>
        <w:t xml:space="preserve"> “要攀登信心的高峰，必须有圣灵的引导，”</w:t>
      </w:r>
      <w:r>
        <w:rPr>
          <w:rStyle w:val="FootnoteReference"/>
        </w:rPr>
        <w:footnoteReference w:id="729"/>
      </w:r>
      <w:r w:rsidRPr="006A21F9">
        <w:rPr>
          <w:lang w:val="ru-RU"/>
        </w:rPr>
        <w:t xml:space="preserve"> ——“承认（基督）的人，并非凭自己的力量，而是蒙从上头来的恩典所帮助。”</w:t>
      </w:r>
      <w:r>
        <w:rPr>
          <w:rStyle w:val="FootnoteReference"/>
        </w:rPr>
        <w:footnoteReference w:id="730"/>
      </w:r>
    </w:p>
    <w:p w14:paraId="466F094F" w14:textId="77777777" w:rsidR="00BE1885" w:rsidRPr="006A21F9" w:rsidRDefault="00BE1885" w:rsidP="00BE1885">
      <w:pPr>
        <w:rPr>
          <w:lang w:val="ru-RU"/>
        </w:rPr>
      </w:pPr>
      <w:r w:rsidRPr="006A21F9">
        <w:rPr>
          <w:lang w:val="ru-RU"/>
        </w:rPr>
        <w:tab/>
        <w:t>自佩拉吉派异端出现，继而半佩拉吉派异端兴起以来，教会的教师们便开始以更加明确的界限阐述这一教义。例如，他们是这样阐述的：</w:t>
      </w:r>
    </w:p>
    <w:p w14:paraId="2CC4E4C1" w14:textId="77777777" w:rsidR="00BE1885" w:rsidRPr="006A21F9" w:rsidRDefault="00BE1885" w:rsidP="00BE1885">
      <w:pPr>
        <w:rPr>
          <w:lang w:val="ru-RU"/>
        </w:rPr>
      </w:pPr>
      <w:r w:rsidRPr="006A21F9">
        <w:rPr>
          <w:lang w:val="ru-RU"/>
        </w:rPr>
        <w:tab/>
      </w:r>
      <w:r w:rsidRPr="001E4083">
        <w:t>第二次</w:t>
      </w:r>
      <w:r w:rsidRPr="006A21F9">
        <w:rPr>
          <w:lang w:val="ru-RU"/>
        </w:rPr>
        <w:t>阿拉维斯大公会议的教父们：“若有人宣称，无论是信德的增长、信德的开端，还是那促使我们信靠那位称不义者为义者、并在洗礼圣事中获得重生的倾向， 并非源于恩典的赐予——即通过圣灵的感召，引导我们的意志从不信转向信德，从不义转向敬虔——而是源于自然：这样的人便显明自己是使徒教义的反对者”（</w:t>
      </w:r>
      <w:r w:rsidRPr="001E4083">
        <w:t>第五条</w:t>
      </w:r>
      <w:r w:rsidRPr="006A21F9">
        <w:rPr>
          <w:lang w:val="ru-RU"/>
        </w:rPr>
        <w:t>）。</w:t>
      </w:r>
    </w:p>
    <w:p w14:paraId="18889DC7" w14:textId="77777777" w:rsidR="00BE1885" w:rsidRPr="006A21F9" w:rsidRDefault="00BE1885" w:rsidP="00BE1885">
      <w:pPr>
        <w:rPr>
          <w:lang w:val="ru-RU"/>
        </w:rPr>
      </w:pPr>
      <w:r w:rsidRPr="006A21F9">
        <w:rPr>
          <w:lang w:val="ru-RU"/>
        </w:rPr>
        <w:tab/>
        <w:t>卡西安论《腓立比书</w:t>
      </w:r>
      <w:r>
        <w:rPr>
          <w:lang w:val="ru-RU"/>
        </w:rPr>
        <w:t>》</w:t>
      </w:r>
      <w:r w:rsidRPr="006A21F9">
        <w:rPr>
          <w:lang w:val="ru-RU"/>
        </w:rPr>
        <w:t>1:29：“使徒在此也作证说，我们悔改与信心的开端，以及忍受苦难的能力，都是上帝赐予我们的……并非靠勤于阅读，而是上帝使瞎眼的人得见光明。”</w:t>
      </w:r>
      <w:r>
        <w:rPr>
          <w:rStyle w:val="FootnoteReference"/>
        </w:rPr>
        <w:footnoteReference w:id="731"/>
      </w:r>
    </w:p>
    <w:p w14:paraId="4C1990B7" w14:textId="77777777" w:rsidR="00BE1885" w:rsidRPr="006A21F9" w:rsidRDefault="00BE1885" w:rsidP="00BE1885">
      <w:pPr>
        <w:rPr>
          <w:lang w:val="ru-RU"/>
        </w:rPr>
      </w:pPr>
      <w:r w:rsidRPr="006A21F9">
        <w:rPr>
          <w:lang w:val="ru-RU"/>
        </w:rPr>
        <w:tab/>
        <w:t xml:space="preserve">圣奥古斯丁：“关于这个我们现在有意针对新异端加以捍卫的课题，教会从未在祷告中保持沉默，尽管此前她并不认为有必要在讨论中论及此事，直到有反对者迫使她这样做为止。 因为，教会何时没有为异教徒和仇敌祈祷，祈求他们信主呢？当信徒中有朋友、亲属或配偶是异教徒时，又有谁不曾向主祈求，赐予他们顺服基督信仰的智慧呢？……正是凭借这些祈祷，以及这份信仰，教会才得以诞生、成长，并持续发展。 </w:t>
      </w:r>
      <w:r w:rsidRPr="006A21F9">
        <w:rPr>
          <w:lang w:val="ru-RU"/>
        </w:rPr>
        <w:lastRenderedPageBreak/>
        <w:t>“若非确信上帝能使那些背离祂、抵挡祂之人的心归向祂，教会便不会为异教徒得蒙信仰而祈祷。”</w:t>
      </w:r>
      <w:r>
        <w:rPr>
          <w:rStyle w:val="FootnoteReference"/>
        </w:rPr>
        <w:footnoteReference w:id="732"/>
      </w:r>
      <w:r w:rsidRPr="006A21F9">
        <w:rPr>
          <w:lang w:val="ru-RU"/>
        </w:rPr>
        <w:t xml:space="preserve"> 另处又说：</w:t>
      </w:r>
      <w:r w:rsidRPr="006A21F9">
        <w:rPr>
          <w:i/>
          <w:iCs/>
          <w:lang w:val="ru-RU"/>
        </w:rPr>
        <w:t>“谁先给了祂，以致祂必须偿还？ 因为万有都是本于祂，倚靠祂，归于祂</w:t>
      </w:r>
      <w:r w:rsidRPr="006A21F9">
        <w:rPr>
          <w:lang w:val="ru-RU"/>
        </w:rPr>
        <w:t>（罗11:35-36）。因此，若非出于祂，我们信仰的起初又从何而来？…… 使徒说：</w:t>
      </w:r>
      <w:r w:rsidRPr="006A21F9">
        <w:rPr>
          <w:i/>
          <w:iCs/>
          <w:lang w:val="ru-RU"/>
        </w:rPr>
        <w:t>你们因基督的缘故，不仅蒙赐信靠祂，也蒙赐为祂受苦</w:t>
      </w:r>
      <w:r w:rsidRPr="006A21F9">
        <w:rPr>
          <w:lang w:val="ru-RU"/>
        </w:rPr>
        <w:t>（腓 1:29）。这两者都被称为神的恩赐：因为他说，这两者都是赐给你们的。他没有说：赐给你们，是为了使你们更完全、更完美地信靠祂，而是总而言之——为了信靠祂。 至于他自己，也没有说他蒙受了神的恩典，是为了变得更加忠信，而是为了成为忠信的人（林前7:25）：因为他知道，并非他先向神开启了信心的起点，而是神早已赐予他信心的增长；而且，那位使他成为使徒的，也使他成为了忠信的人。”</w:t>
      </w:r>
      <w:r>
        <w:rPr>
          <w:rStyle w:val="FootnoteReference"/>
        </w:rPr>
        <w:footnoteReference w:id="733"/>
      </w:r>
    </w:p>
    <w:p w14:paraId="0BD1A9E1" w14:textId="77777777" w:rsidR="00BE1885" w:rsidRPr="006A21F9" w:rsidRDefault="00BE1885" w:rsidP="00BE1885">
      <w:pPr>
        <w:rPr>
          <w:lang w:val="ru-RU"/>
        </w:rPr>
      </w:pPr>
      <w:r w:rsidRPr="006A21F9">
        <w:rPr>
          <w:lang w:val="ru-RU"/>
        </w:rPr>
        <w:tab/>
        <w:t>普罗斯佩尔：“我们不应否认，人转向神的善意是人的本性，但必须承认，这种善意源于神的启示。因为若无人是善的，唯有神是善的：那么，没有善的源头，又怎会有善呢？”</w:t>
      </w:r>
      <w:r>
        <w:rPr>
          <w:rStyle w:val="FootnoteReference"/>
        </w:rPr>
        <w:footnoteReference w:id="734"/>
      </w:r>
    </w:p>
    <w:p w14:paraId="056ED7B6" w14:textId="77777777" w:rsidR="00BE1885" w:rsidRPr="006A21F9" w:rsidRDefault="00BE1885" w:rsidP="00BE1885">
      <w:pPr>
        <w:rPr>
          <w:lang w:val="ru-RU"/>
        </w:rPr>
      </w:pPr>
      <w:r w:rsidRPr="006A21F9">
        <w:rPr>
          <w:lang w:val="ru-RU"/>
        </w:rPr>
        <w:tab/>
        <w:t>富尔根提乌斯：“如果按照他们（半佩拉吉派）的观点，在神的恩典开始帮助我们之前，信心的意愿就属于我们，那么这种恩典就被不公正地称为‘恩典’了，因为它并非白白赐予人，而是作为对其善意的回报。”</w:t>
      </w:r>
      <w:r>
        <w:rPr>
          <w:rStyle w:val="FootnoteReference"/>
        </w:rPr>
        <w:footnoteReference w:id="735"/>
      </w:r>
    </w:p>
    <w:p w14:paraId="085612B9"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思考堕落之人——即那些身处基督教之外、处于异教、犹太教和伊斯兰教中的人——的处境时，仅凭自然理性的推论，我们就不得不承认：此类人若要产生皈依基督教的真诚意愿，必然需要上帝的特别帮助。 绝大多数人——包括所有婴孩以及几乎整个深陷极端无知状态的民族——完全无法进行理性思考，因此既无法自行领会自身信仰的缺陷，也无法评估基督教信仰的优越性，从而下定决心接受它。另一些人，尽管或多或少具备思考能力， 但因在异教、犹太教或伊斯兰教等其他信仰的教义中长大，自然对基督教抱有偏见，以致关于被钉十字架的基督的宣讲——尽管其本身非同寻常且令人震撼——在他们眼中不可避免地会被视为诱惑或疯狂（林前1:23）。 与此同时，由于他们属肉体，仍背负着原罪，并用新的、任意的罪恶进一步麻痹了自己的心和理智，因此根本无法理解那源于上帝之灵的高深福音信息： </w:t>
      </w:r>
      <w:r w:rsidRPr="006A21F9">
        <w:rPr>
          <w:i/>
          <w:iCs/>
          <w:lang w:val="ru-RU"/>
        </w:rPr>
        <w:t>“属血气的人不领受那出于上帝之灵的事，因为他以这为愚拙；而且不能明白，因为这事必须用属灵的眼睛来判断”</w:t>
      </w:r>
      <w:r w:rsidRPr="006A21F9">
        <w:rPr>
          <w:lang w:val="ru-RU"/>
        </w:rPr>
        <w:t>（林前2:14）。 因此，除了外在的福音讲道之外，还需要一种特殊的、内在的神圣作为，来激发这类人的心，使他们愿意理解并领受</w:t>
      </w:r>
      <w:r w:rsidRPr="001E4083">
        <w:t>福音</w:t>
      </w:r>
      <w:r w:rsidRPr="006A21F9">
        <w:rPr>
          <w:lang w:val="ru-RU"/>
        </w:rPr>
        <w:t xml:space="preserve">；这需要先行的恩典，上帝自己曾这样说： </w:t>
      </w:r>
      <w:r w:rsidRPr="006A21F9">
        <w:rPr>
          <w:i/>
          <w:iCs/>
          <w:lang w:val="ru-RU"/>
        </w:rPr>
        <w:t>“看哪，我站在门外叩门：若有谁 听见我的声音，开了门，我就进到他那里去”</w:t>
      </w:r>
      <w:r w:rsidRPr="006A21F9">
        <w:rPr>
          <w:lang w:val="ru-RU"/>
        </w:rPr>
        <w:t>（启3:20），正是这恩典能开启这些人的心智，使他们接受来自天上的信仰之光。</w:t>
      </w:r>
    </w:p>
    <w:p w14:paraId="6919001F" w14:textId="77777777" w:rsidR="00BE1885" w:rsidRPr="006A21F9" w:rsidRDefault="00BE1885" w:rsidP="00BE1885">
      <w:pPr>
        <w:rPr>
          <w:lang w:val="ru-RU"/>
        </w:rPr>
      </w:pPr>
      <w:r w:rsidRPr="006A21F9">
        <w:rPr>
          <w:lang w:val="ru-RU"/>
        </w:rPr>
        <w:tab/>
      </w:r>
      <w:r w:rsidRPr="001E4083">
        <w:rPr>
          <w:b/>
          <w:bCs/>
        </w:rPr>
        <w:t>V</w:t>
      </w:r>
      <w:r w:rsidRPr="006A21F9">
        <w:rPr>
          <w:b/>
          <w:bCs/>
          <w:lang w:val="ru-RU"/>
        </w:rPr>
        <w:t>.</w:t>
      </w:r>
      <w:r w:rsidRPr="006A21F9">
        <w:rPr>
          <w:lang w:val="ru-RU"/>
        </w:rPr>
        <w:t xml:space="preserve"> 至于某些经文，半佩拉吉派自古以来就援引这些经文来佐证他们的观点：这些经文丝毫不能支持他们的主张。例如，他们援引：</w:t>
      </w:r>
    </w:p>
    <w:p w14:paraId="7F2698F3" w14:textId="77777777" w:rsidR="00BE1885" w:rsidRPr="006A21F9" w:rsidRDefault="00BE1885" w:rsidP="00BE1885">
      <w:pPr>
        <w:ind w:firstLine="708"/>
        <w:rPr>
          <w:lang w:val="ru-RU"/>
        </w:rPr>
      </w:pPr>
      <w:r w:rsidRPr="006A21F9">
        <w:rPr>
          <w:b/>
          <w:bCs/>
          <w:lang w:val="ru-RU"/>
        </w:rPr>
        <w:t>1)</w:t>
      </w:r>
      <w:r w:rsidRPr="006A21F9">
        <w:rPr>
          <w:i/>
          <w:iCs/>
          <w:lang w:val="ru-RU"/>
        </w:rPr>
        <w:t xml:space="preserve"> 关于“万军之耶和华说</w:t>
      </w:r>
      <w:r w:rsidRPr="006A21F9">
        <w:rPr>
          <w:lang w:val="ru-RU"/>
        </w:rPr>
        <w:t>：</w:t>
      </w:r>
      <w:r w:rsidRPr="006A21F9">
        <w:rPr>
          <w:i/>
          <w:iCs/>
          <w:lang w:val="ru-RU"/>
        </w:rPr>
        <w:t>‘你们要归向我，我就必归向你们’”</w:t>
      </w:r>
      <w:r w:rsidRPr="006A21F9">
        <w:rPr>
          <w:lang w:val="ru-RU"/>
        </w:rPr>
        <w:t>（亚1:3）这句话。 但这里不仅没有否定，相反，还预设了上帝先行的恩典，即至高者的超自然作为——</w:t>
      </w:r>
      <w:r w:rsidRPr="006A21F9">
        <w:rPr>
          <w:lang w:val="ru-RU"/>
        </w:rPr>
        <w:lastRenderedPageBreak/>
        <w:t>正是借此，祂才呼召我们：“转向我”；先知耶利米也曾代表以色列向祂呼求：</w:t>
      </w:r>
      <w:r w:rsidRPr="006A21F9">
        <w:rPr>
          <w:i/>
          <w:iCs/>
          <w:lang w:val="ru-RU"/>
        </w:rPr>
        <w:t>“求祢使我回转，我就回转，因为祢是我的主——我的上帝”</w:t>
      </w:r>
      <w:r w:rsidRPr="006A21F9">
        <w:rPr>
          <w:lang w:val="ru-RU"/>
        </w:rPr>
        <w:t xml:space="preserve"> （耶</w:t>
      </w:r>
      <w:r w:rsidRPr="006A21F9">
        <w:rPr>
          <w:rFonts w:cs="Cambria Math"/>
          <w:lang w:val="ru-RU"/>
        </w:rPr>
        <w:t>3</w:t>
      </w:r>
      <w:r w:rsidRPr="006A21F9">
        <w:rPr>
          <w:lang w:val="ru-RU"/>
        </w:rPr>
        <w:t>1:18）。</w:t>
      </w:r>
    </w:p>
    <w:p w14:paraId="06C68D81" w14:textId="77777777" w:rsidR="00BE1885" w:rsidRPr="006A21F9" w:rsidRDefault="00BE1885" w:rsidP="00BE1885">
      <w:pPr>
        <w:ind w:firstLine="708"/>
        <w:rPr>
          <w:lang w:val="ru-RU"/>
        </w:rPr>
      </w:pPr>
      <w:r w:rsidRPr="006A21F9">
        <w:rPr>
          <w:b/>
          <w:bCs/>
          <w:lang w:val="ru-RU"/>
        </w:rPr>
        <w:t>2）</w:t>
      </w:r>
      <w:r w:rsidRPr="006A21F9">
        <w:rPr>
          <w:lang w:val="ru-RU"/>
        </w:rPr>
        <w:t>关于</w:t>
      </w:r>
      <w:r w:rsidRPr="006A21F9">
        <w:rPr>
          <w:i/>
          <w:iCs/>
          <w:lang w:val="ru-RU"/>
        </w:rPr>
        <w:t>“你们祈求，就给你们</w:t>
      </w:r>
      <w:r w:rsidRPr="006A21F9">
        <w:rPr>
          <w:lang w:val="ru-RU"/>
        </w:rPr>
        <w:t>”（路加福音11:9）这句话。这里并非否定先在之恩典的作用，而是强调我们自己也应当顺服这恩典，向主祈求我们所需的。 因为在另一处经文中说：</w:t>
      </w:r>
      <w:r w:rsidRPr="006A21F9">
        <w:rPr>
          <w:i/>
          <w:iCs/>
          <w:lang w:val="ru-RU"/>
        </w:rPr>
        <w:t>“圣灵也帮助我们软弱的时候；我们本不晓得当怎样祷告，只是圣灵亲自用说不出来的叹息替我们祷告”</w:t>
      </w:r>
      <w:r w:rsidRPr="006A21F9">
        <w:rPr>
          <w:lang w:val="ru-RU"/>
        </w:rPr>
        <w:t>（罗8:26）。</w:t>
      </w:r>
    </w:p>
    <w:p w14:paraId="0A2F3EA5" w14:textId="77777777" w:rsidR="00BE1885" w:rsidRPr="006A21F9" w:rsidRDefault="00BE1885" w:rsidP="00BE1885">
      <w:pPr>
        <w:rPr>
          <w:lang w:val="ru-RU"/>
        </w:rPr>
      </w:pPr>
      <w:r w:rsidRPr="006A21F9">
        <w:rPr>
          <w:lang w:val="ru-RU"/>
        </w:rPr>
        <w:tab/>
      </w:r>
      <w:r w:rsidRPr="006A21F9">
        <w:rPr>
          <w:i/>
          <w:iCs/>
          <w:lang w:val="ru-RU"/>
        </w:rPr>
        <w:t>关于“人心怀意，口出言语，皆出于耶和华”</w:t>
      </w:r>
      <w:r w:rsidRPr="006A21F9">
        <w:rPr>
          <w:lang w:val="ru-RU"/>
        </w:rPr>
        <w:t xml:space="preserve">（箴言16:1）这句话。但由此不能推断，这种取决于人的内心意念，是在没有先在恩典的影响下在他里面形成的，特别是当圣经的其他经文中，救主亲自清楚地告诉我们： </w:t>
      </w:r>
      <w:r w:rsidRPr="006A21F9">
        <w:rPr>
          <w:i/>
          <w:iCs/>
          <w:lang w:val="ru-RU"/>
        </w:rPr>
        <w:t>“若不是差我来的父吸引人，就没有人能到我这里来”</w:t>
      </w:r>
      <w:r w:rsidRPr="006A21F9">
        <w:rPr>
          <w:lang w:val="ru-RU"/>
        </w:rPr>
        <w:t>（约6:44）；又如：</w:t>
      </w:r>
      <w:r w:rsidRPr="006A21F9">
        <w:rPr>
          <w:i/>
          <w:iCs/>
          <w:lang w:val="ru-RU"/>
        </w:rPr>
        <w:t>“离开我，你们就不能做什么”</w:t>
      </w:r>
      <w:r w:rsidRPr="006A21F9">
        <w:rPr>
          <w:lang w:val="ru-RU"/>
        </w:rPr>
        <w:t>（约15:5）。</w:t>
      </w:r>
    </w:p>
    <w:p w14:paraId="5182FCEF" w14:textId="77777777" w:rsidR="00BE1885" w:rsidRPr="006A21F9" w:rsidRDefault="00BE1885" w:rsidP="00BE1885">
      <w:pPr>
        <w:ind w:firstLine="708"/>
        <w:rPr>
          <w:lang w:val="ru-RU"/>
        </w:rPr>
      </w:pPr>
      <w:r w:rsidRPr="006A21F9">
        <w:rPr>
          <w:b/>
          <w:bCs/>
          <w:lang w:val="ru-RU"/>
        </w:rPr>
        <w:t>4）</w:t>
      </w:r>
      <w:r w:rsidRPr="006A21F9">
        <w:rPr>
          <w:lang w:val="ru-RU"/>
        </w:rPr>
        <w:t>关于那些例子——例如百夫长，主曾为他作见证说：</w:t>
      </w:r>
      <w:r w:rsidRPr="006A21F9">
        <w:rPr>
          <w:i/>
          <w:iCs/>
          <w:lang w:val="ru-RU"/>
        </w:rPr>
        <w:t>“我实在告诉你们，就是在以色列中，我也没有遇见过这样大的信心”</w:t>
      </w:r>
      <w:r w:rsidRPr="006A21F9">
        <w:rPr>
          <w:lang w:val="ru-RU"/>
        </w:rPr>
        <w:t>（太8:10）；还有在十字架上悔改的强盗，等等。但没有任何证据能证明，所有这些归向基督的事件都是在没有预先恩典作用的情况下发生的。 相反，基于上帝圣言中关于此类归信绝无可能的明确教导，我们完全有权与第二次阿拉维斯大公会议的教父们一同断言：“必须毫无疑问地相信，无论是那位被主召入乐园的强盗，还是那位蒙主天使造访的百夫长哥尼流，抑或是有幸在家中接待主本人撒该，他们那如此惊人的信心，并非源于其本性，而是源于赐予他们的丰盛神恩。”</w:t>
      </w:r>
      <w:r>
        <w:rPr>
          <w:rStyle w:val="FootnoteReference"/>
        </w:rPr>
        <w:footnoteReference w:id="736"/>
      </w:r>
    </w:p>
    <w:p w14:paraId="292E311F" w14:textId="77777777" w:rsidR="00BE1885" w:rsidRPr="006A21F9" w:rsidRDefault="00BE1885" w:rsidP="00BE1885">
      <w:pPr>
        <w:rPr>
          <w:lang w:val="ru-RU"/>
        </w:rPr>
      </w:pPr>
    </w:p>
    <w:p w14:paraId="6C1F32FF" w14:textId="77777777" w:rsidR="00BE1885" w:rsidRPr="006A21F9" w:rsidRDefault="00BE1885" w:rsidP="00BE1885">
      <w:pPr>
        <w:pStyle w:val="Heading5"/>
        <w:rPr>
          <w:lang w:val="ru-RU"/>
        </w:rPr>
      </w:pPr>
      <w:bookmarkStart w:id="593" w:name="_Toc133142950"/>
      <w:bookmarkStart w:id="594" w:name="_Toc133166307"/>
      <w:bookmarkStart w:id="595" w:name="_Toc182221517"/>
      <w:bookmarkStart w:id="596" w:name="_Toc238453084"/>
      <w:bookmarkStart w:id="597" w:name="_Toc238453884"/>
      <w:bookmarkStart w:id="598" w:name="_Toc238576544"/>
      <w:r w:rsidRPr="006A21F9">
        <w:rPr>
          <w:lang w:val="ru-RU"/>
        </w:rPr>
        <w:t>§188. 人皈依基督教后，恩典对美德的必要性</w:t>
      </w:r>
      <w:bookmarkEnd w:id="593"/>
      <w:bookmarkEnd w:id="594"/>
      <w:bookmarkEnd w:id="595"/>
      <w:bookmarkEnd w:id="596"/>
      <w:bookmarkEnd w:id="597"/>
      <w:bookmarkEnd w:id="598"/>
    </w:p>
    <w:p w14:paraId="03F45E72" w14:textId="77777777" w:rsidR="00BE1885" w:rsidRPr="006A21F9" w:rsidRDefault="00BE1885" w:rsidP="00BE1885">
      <w:pPr>
        <w:ind w:firstLine="708"/>
        <w:rPr>
          <w:lang w:val="ru-RU"/>
        </w:rPr>
      </w:pPr>
      <w:r w:rsidRPr="006A21F9">
        <w:rPr>
          <w:lang w:val="ru-RU"/>
        </w:rPr>
        <w:t>神的恩典不仅是人归信基督教、建立信仰及信仰之始所必需的，在人归信之后，它依然不可或缺，使他能够遵行福音的律法，行出配得基督生命的事。</w:t>
      </w:r>
    </w:p>
    <w:p w14:paraId="50D7ED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圣经中对此真理作了详尽的阐述。首先，让我们回顾三段同样针对重生者的经文，我们此前已曾援引过：</w:t>
      </w:r>
      <w:r w:rsidRPr="006A21F9">
        <w:rPr>
          <w:b/>
          <w:bCs/>
          <w:lang w:val="ru-RU"/>
        </w:rPr>
        <w:t>a)</w:t>
      </w:r>
      <w:r w:rsidRPr="006A21F9">
        <w:rPr>
          <w:lang w:val="ru-RU"/>
        </w:rPr>
        <w:t xml:space="preserve"> 救主的话： </w:t>
      </w:r>
      <w:r w:rsidRPr="006A21F9">
        <w:rPr>
          <w:i/>
          <w:iCs/>
          <w:lang w:val="ru-RU"/>
        </w:rPr>
        <w:t>“我是葡萄树，你们是枝子；常在我里面的，我也常在他里面，这人就多结果子；因为离了我，你们就不能作什么”</w:t>
      </w:r>
      <w:r w:rsidRPr="006A21F9">
        <w:rPr>
          <w:lang w:val="ru-RU"/>
        </w:rPr>
        <w:t>（约15:5）；</w:t>
      </w:r>
      <w:r w:rsidRPr="006A21F9">
        <w:rPr>
          <w:b/>
          <w:bCs/>
          <w:lang w:val="ru-RU"/>
        </w:rPr>
        <w:t>b）</w:t>
      </w:r>
      <w:r w:rsidRPr="006A21F9">
        <w:rPr>
          <w:lang w:val="ru-RU"/>
        </w:rPr>
        <w:t>使徒写给腓立比人的话：</w:t>
      </w:r>
      <w:r w:rsidRPr="006A21F9">
        <w:rPr>
          <w:i/>
          <w:iCs/>
          <w:lang w:val="ru-RU"/>
        </w:rPr>
        <w:t>“神照着自己的美意，在你们心里运行，使你们立志行事”</w:t>
      </w:r>
      <w:r w:rsidRPr="006A21F9">
        <w:rPr>
          <w:lang w:val="ru-RU"/>
        </w:rPr>
        <w:t xml:space="preserve"> （腓 2:13）；以及 </w:t>
      </w:r>
      <w:r w:rsidRPr="006A21F9">
        <w:rPr>
          <w:b/>
          <w:bCs/>
          <w:lang w:val="ru-RU"/>
        </w:rPr>
        <w:t>c)</w:t>
      </w:r>
      <w:r w:rsidRPr="006A21F9">
        <w:rPr>
          <w:lang w:val="ru-RU"/>
        </w:rPr>
        <w:t xml:space="preserve"> 同一位使徒在《希伯来书》中的教导：</w:t>
      </w:r>
      <w:r w:rsidRPr="006A21F9">
        <w:rPr>
          <w:i/>
          <w:iCs/>
          <w:lang w:val="ru-RU"/>
        </w:rPr>
        <w:t>“愿赐平安的神……借着耶稣基督在你们心里动工，使你们行各样的善事，遵行祂的旨意</w:t>
      </w:r>
      <w:r w:rsidRPr="006A21F9">
        <w:rPr>
          <w:lang w:val="ru-RU"/>
        </w:rPr>
        <w:t>，</w:t>
      </w:r>
      <w:r w:rsidRPr="006A21F9">
        <w:rPr>
          <w:i/>
          <w:iCs/>
          <w:lang w:val="ru-RU"/>
        </w:rPr>
        <w:t>并借着耶稣基督在你们心里动工，使你们行各样的善事，遵行祂的旨意</w:t>
      </w:r>
      <w:r w:rsidRPr="006A21F9">
        <w:rPr>
          <w:lang w:val="ru-RU"/>
        </w:rPr>
        <w:t>”（来 13:21）。另一方面，我们还需注意到——</w:t>
      </w:r>
    </w:p>
    <w:p w14:paraId="06D1F40E"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根据圣经的见证，在归信基督教、重生并称义的人里面，有神的灵居住——他们被祂引导；祂也帮助他们。</w:t>
      </w:r>
      <w:r w:rsidRPr="006A21F9">
        <w:rPr>
          <w:i/>
          <w:iCs/>
          <w:lang w:val="ru-RU"/>
        </w:rPr>
        <w:t>“岂不知你们是神的殿，神的灵住在你们里面吗”</w:t>
      </w:r>
      <w:r w:rsidRPr="006A21F9">
        <w:rPr>
          <w:lang w:val="ru-RU"/>
        </w:rPr>
        <w:t xml:space="preserve"> </w:t>
      </w:r>
      <w:r w:rsidRPr="00632BB3">
        <w:rPr>
          <w:lang w:val="ru-RU"/>
        </w:rPr>
        <w:t>[</w:t>
      </w:r>
      <w:r w:rsidRPr="006A21F9">
        <w:rPr>
          <w:lang w:val="ru-RU"/>
        </w:rPr>
        <w:t>(</w:t>
      </w:r>
      <w:r>
        <w:rPr>
          <w:lang w:val="ru-RU"/>
        </w:rPr>
        <w:t>林前</w:t>
      </w:r>
      <w:r w:rsidRPr="006A21F9">
        <w:rPr>
          <w:lang w:val="ru-RU"/>
        </w:rPr>
        <w:t xml:space="preserve"> 3:16</w:t>
      </w:r>
      <w:r>
        <w:rPr>
          <w:lang w:val="ru-RU"/>
        </w:rPr>
        <w:t>,</w:t>
      </w:r>
      <w:r w:rsidRPr="006A21F9">
        <w:rPr>
          <w:lang w:val="ru-RU"/>
        </w:rPr>
        <w:t xml:space="preserve"> 6:19</w:t>
      </w:r>
      <w:r>
        <w:rPr>
          <w:lang w:val="ru-RU"/>
        </w:rPr>
        <w:t>)</w:t>
      </w:r>
      <w:r w:rsidRPr="006A21F9">
        <w:rPr>
          <w:lang w:val="ru-RU"/>
        </w:rPr>
        <w:t>；</w:t>
      </w:r>
      <w:r>
        <w:rPr>
          <w:lang w:val="ru-RU"/>
        </w:rPr>
        <w:t>(</w:t>
      </w:r>
      <w:r w:rsidRPr="006A21F9">
        <w:rPr>
          <w:lang w:val="ru-RU"/>
        </w:rPr>
        <w:t>罗 8:9)</w:t>
      </w:r>
      <w:r w:rsidRPr="00ED34C6">
        <w:rPr>
          <w:lang w:val="ru-RU"/>
        </w:rPr>
        <w:t>]</w:t>
      </w:r>
      <w:r w:rsidRPr="006A21F9">
        <w:rPr>
          <w:lang w:val="ru-RU"/>
        </w:rPr>
        <w:t>？</w:t>
      </w:r>
      <w:r w:rsidRPr="006A21F9">
        <w:rPr>
          <w:i/>
          <w:iCs/>
          <w:lang w:val="ru-RU"/>
        </w:rPr>
        <w:t>“因为凡被神的灵引导的，都是神的儿子”</w:t>
      </w:r>
      <w:r w:rsidRPr="006A21F9">
        <w:rPr>
          <w:lang w:val="ru-RU"/>
        </w:rPr>
        <w:t>（罗 8:14）。</w:t>
      </w:r>
      <w:r w:rsidRPr="006A21F9">
        <w:rPr>
          <w:i/>
          <w:iCs/>
          <w:lang w:val="ru-RU"/>
        </w:rPr>
        <w:t>“况且，我们的软弱上有圣灵帮助我们”</w:t>
      </w:r>
      <w:r w:rsidRPr="006A21F9">
        <w:rPr>
          <w:lang w:val="ru-RU"/>
        </w:rPr>
        <w:t>（罗 8:26）。</w:t>
      </w:r>
    </w:p>
    <w:p w14:paraId="3F8C7B34"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圣经中将重生之人的美德称为圣灵的果子：</w:t>
      </w:r>
      <w:r w:rsidRPr="006A21F9">
        <w:rPr>
          <w:i/>
          <w:iCs/>
          <w:lang w:val="ru-RU"/>
        </w:rPr>
        <w:t>“圣灵的果子就是：仁爱、喜乐、和平、忍耐、恩慈、良善、信实、温柔、节制”</w:t>
      </w:r>
      <w:r w:rsidRPr="006A21F9">
        <w:rPr>
          <w:lang w:val="ru-RU"/>
        </w:rPr>
        <w:t>（加拉太书 5:22-23）。 具体而言，圣灵所结的果子包括：</w:t>
      </w:r>
      <w:r w:rsidRPr="006A21F9">
        <w:rPr>
          <w:b/>
          <w:bCs/>
          <w:lang w:val="ru-RU"/>
        </w:rPr>
        <w:t>a)</w:t>
      </w:r>
      <w:r w:rsidRPr="006A21F9">
        <w:rPr>
          <w:lang w:val="ru-RU"/>
        </w:rPr>
        <w:t xml:space="preserve"> 基督徒的盼望：</w:t>
      </w:r>
      <w:r w:rsidRPr="006A21F9">
        <w:rPr>
          <w:i/>
          <w:iCs/>
          <w:lang w:val="ru-RU"/>
        </w:rPr>
        <w:t>“愿赐盼望的神，因信将诸般的喜乐、平安充满你们的心，使你们借着圣灵的大能，在盼望中得以丰盛”</w:t>
      </w:r>
      <w:r w:rsidRPr="006A21F9">
        <w:rPr>
          <w:lang w:val="ru-RU"/>
        </w:rPr>
        <w:t xml:space="preserve">（罗15:13）； </w:t>
      </w:r>
      <w:r w:rsidRPr="006A21F9">
        <w:rPr>
          <w:b/>
          <w:bCs/>
          <w:lang w:val="ru-RU"/>
        </w:rPr>
        <w:t>bb)</w:t>
      </w:r>
      <w:r w:rsidRPr="006A21F9">
        <w:rPr>
          <w:lang w:val="ru-RU"/>
        </w:rPr>
        <w:t xml:space="preserve"> </w:t>
      </w:r>
      <w:r w:rsidRPr="006A21F9">
        <w:rPr>
          <w:lang w:val="ru-RU"/>
        </w:rPr>
        <w:lastRenderedPageBreak/>
        <w:t>爱：</w:t>
      </w:r>
      <w:r w:rsidRPr="006A21F9">
        <w:rPr>
          <w:i/>
          <w:iCs/>
          <w:lang w:val="ru-RU"/>
        </w:rPr>
        <w:t>“神的爱已藉着赐给我们的圣灵，浇灌在我们心里</w:t>
      </w:r>
      <w:r w:rsidRPr="006A21F9">
        <w:rPr>
          <w:lang w:val="ru-RU"/>
        </w:rPr>
        <w:t>”（罗5:5）；</w:t>
      </w:r>
      <w:r w:rsidRPr="006A21F9">
        <w:rPr>
          <w:b/>
          <w:bCs/>
          <w:lang w:val="ru-RU"/>
        </w:rPr>
        <w:t>cc)</w:t>
      </w:r>
      <w:r w:rsidRPr="006A21F9">
        <w:rPr>
          <w:lang w:val="ru-RU"/>
        </w:rPr>
        <w:t xml:space="preserve"> 祷告本身：</w:t>
      </w:r>
      <w:r w:rsidRPr="006A21F9">
        <w:rPr>
          <w:i/>
          <w:iCs/>
          <w:lang w:val="ru-RU"/>
        </w:rPr>
        <w:t>“我们 不知道怎样祷告才合宜，但圣灵亲自用说不出的叹息替我们祈求”</w:t>
      </w:r>
      <w:r w:rsidRPr="006A21F9">
        <w:rPr>
          <w:lang w:val="ru-RU"/>
        </w:rPr>
        <w:t>（罗8:26）。</w:t>
      </w:r>
      <w:r>
        <w:rPr>
          <w:rStyle w:val="FootnoteReference"/>
        </w:rPr>
        <w:footnoteReference w:id="737"/>
      </w:r>
    </w:p>
    <w:p w14:paraId="0B5F43A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我们所探讨的这一真理，也曾被圣父们和教会的教师们一致宣讲，例如：</w:t>
      </w:r>
    </w:p>
    <w:p w14:paraId="60B1FA69" w14:textId="77777777" w:rsidR="00BE1885" w:rsidRPr="006A21F9" w:rsidRDefault="00BE1885" w:rsidP="00BE1885">
      <w:pPr>
        <w:rPr>
          <w:lang w:val="ru-RU"/>
        </w:rPr>
      </w:pPr>
      <w:r w:rsidRPr="006A21F9">
        <w:rPr>
          <w:lang w:val="ru-RU"/>
        </w:rPr>
        <w:tab/>
        <w:t>圣伊里内乌斯：“正如干旱的土地若得不到水分便无法结出果实：我们这些曾经枯萎的树木，若没有来自上天的恩典之雨，也永远无法结出生命的果实……因此，我们需要上帝的甘露，以免我们枯萎并变得不结果实。”</w:t>
      </w:r>
      <w:r>
        <w:rPr>
          <w:rStyle w:val="FootnoteReference"/>
        </w:rPr>
        <w:footnoteReference w:id="738"/>
      </w:r>
    </w:p>
    <w:p w14:paraId="26E06B35" w14:textId="77777777" w:rsidR="00BE1885" w:rsidRPr="006A21F9" w:rsidRDefault="00BE1885" w:rsidP="00BE1885">
      <w:pPr>
        <w:rPr>
          <w:lang w:val="ru-RU"/>
        </w:rPr>
      </w:pPr>
      <w:r w:rsidRPr="006A21F9">
        <w:rPr>
          <w:lang w:val="ru-RU"/>
        </w:rPr>
        <w:tab/>
        <w:t>圣格里高利·神学家：“因为有些人如此高估自己的功绩，将一切都归功于自己，而非归功于那位创造并赐予智慧的造物主——即恩惠的赐予者；因此，上帝的话语教导这样的人：即便是渴望行善，也需要上帝的帮助； 更何况被拣选本身就是神圣之事，是上帝仁爱的恩赐。因为救赎之事必须既取决于我们，也取决于上帝。 因此经上说：‘不是出于那愿意的，’即没有任何一个愿意的，也不是单单出于那努力的，而是出于施恩的上帝。此外，既然连那愿望本身也是来自上帝，那么使徒将一切都归于上帝，也是合情合理的。”</w:t>
      </w:r>
      <w:r>
        <w:rPr>
          <w:rStyle w:val="FootnoteReference"/>
        </w:rPr>
        <w:footnoteReference w:id="739"/>
      </w:r>
    </w:p>
    <w:p w14:paraId="0A7D9AA9" w14:textId="77777777" w:rsidR="00BE1885" w:rsidRPr="006A21F9" w:rsidRDefault="00BE1885" w:rsidP="00BE1885">
      <w:pPr>
        <w:rPr>
          <w:lang w:val="ru-RU"/>
        </w:rPr>
      </w:pPr>
      <w:r w:rsidRPr="006A21F9">
        <w:rPr>
          <w:lang w:val="ru-RU"/>
        </w:rPr>
        <w:tab/>
        <w:t>圣约翰·金口：“让我们说服自己：即使我们千百次地努力，如果不借助来自上天的感召，我们也永远无法行善。”</w:t>
      </w:r>
      <w:r>
        <w:rPr>
          <w:rStyle w:val="FootnoteReference"/>
        </w:rPr>
        <w:footnoteReference w:id="740"/>
      </w:r>
      <w:r w:rsidRPr="006A21F9">
        <w:rPr>
          <w:lang w:val="ru-RU"/>
        </w:rPr>
        <w:t xml:space="preserve"> “因为如果我们不借助这种（神圣的）帮助，我们的灵魂就无法具备美德。 为了让你们知道，灵魂本身不足以行美德——我说的是行美德吗？——甚至不足以理解所传授的教义，使徒说：</w:t>
      </w:r>
      <w:r w:rsidRPr="006A21F9">
        <w:rPr>
          <w:i/>
          <w:iCs/>
          <w:lang w:val="ru-RU"/>
        </w:rPr>
        <w:t>‘属血气的人不领受那从神而来的事’</w:t>
      </w:r>
      <w:r w:rsidRPr="006A21F9">
        <w:rPr>
          <w:lang w:val="ru-RU"/>
        </w:rPr>
        <w:t>（林前2:14）。”</w:t>
      </w:r>
      <w:r>
        <w:rPr>
          <w:rStyle w:val="FootnoteReference"/>
        </w:rPr>
        <w:footnoteReference w:id="741"/>
      </w:r>
    </w:p>
    <w:p w14:paraId="0FA30709" w14:textId="77777777" w:rsidR="00BE1885" w:rsidRPr="006A21F9" w:rsidRDefault="00BE1885" w:rsidP="00BE1885">
      <w:pPr>
        <w:rPr>
          <w:lang w:val="ru-RU"/>
        </w:rPr>
      </w:pPr>
      <w:r w:rsidRPr="006A21F9">
        <w:rPr>
          <w:lang w:val="ru-RU"/>
        </w:rPr>
        <w:tab/>
        <w:t>圣奥古斯丁：“正如肉眼，即使完全健康，若没有光的帮助也无法看见；同样，人即使完全称义，若不被来自上方的永恒真理之光所坚固，也无法过公义的生活。”</w:t>
      </w:r>
      <w:r>
        <w:rPr>
          <w:rStyle w:val="FootnoteReference"/>
        </w:rPr>
        <w:footnoteReference w:id="742"/>
      </w:r>
    </w:p>
    <w:p w14:paraId="7C519C3D" w14:textId="77777777" w:rsidR="00BE1885" w:rsidRPr="006A21F9" w:rsidRDefault="00BE1885" w:rsidP="00BE1885">
      <w:pPr>
        <w:rPr>
          <w:lang w:val="ru-RU"/>
        </w:rPr>
      </w:pPr>
      <w:r w:rsidRPr="006A21F9">
        <w:rPr>
          <w:lang w:val="ru-RU"/>
        </w:rPr>
        <w:tab/>
        <w:t>我们在伊拉里乌斯、以弗所的以弗拉姆、</w:t>
      </w:r>
      <w:r>
        <w:rPr>
          <w:rStyle w:val="FootnoteReference"/>
        </w:rPr>
        <w:footnoteReference w:id="743"/>
      </w:r>
      <w:r w:rsidRPr="006A21F9">
        <w:rPr>
          <w:lang w:val="ru-RU"/>
        </w:rPr>
        <w:t xml:space="preserve"> 亚历山大的西里尔、</w:t>
      </w:r>
      <w:r>
        <w:rPr>
          <w:rStyle w:val="FootnoteReference"/>
        </w:rPr>
        <w:footnoteReference w:id="744"/>
      </w:r>
      <w:r w:rsidRPr="006A21F9">
        <w:rPr>
          <w:lang w:val="ru-RU"/>
        </w:rPr>
        <w:t xml:space="preserve"> 大狮子</w:t>
      </w:r>
      <w:r>
        <w:rPr>
          <w:rStyle w:val="FootnoteReference"/>
        </w:rPr>
        <w:footnoteReference w:id="745"/>
      </w:r>
      <w:r w:rsidRPr="006A21F9">
        <w:rPr>
          <w:lang w:val="ru-RU"/>
        </w:rPr>
        <w:t xml:space="preserve"> 等人那里也能找到同样的教导。</w:t>
      </w:r>
      <w:r>
        <w:rPr>
          <w:rStyle w:val="FootnoteReference"/>
        </w:rPr>
        <w:footnoteReference w:id="746"/>
      </w:r>
    </w:p>
    <w:p w14:paraId="61E3C44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不过， 当我们说，皈依基督教的人若没有上帝恩典的帮助，便无法凭己力行善时，我们所指的正是福音律法所诫命的属灵之善——这种善使人成为属灵之人，并有助于其永恒的救赎；我们所指的，正是基督教信仰的善行，这些善行配得上基督里的生命。 但我们并不否认，无论是在归信之前还是归信之后，人都能在某种程度上凭自身力量，履行那未从其良知中消逝的自然法的要求，从而行自然之善（罗2:14-15）， </w:t>
      </w:r>
      <w:r w:rsidRPr="006A21F9">
        <w:rPr>
          <w:lang w:val="ru-RU"/>
        </w:rPr>
        <w:lastRenderedPageBreak/>
        <w:t>利用因堕落而受损但尚未完全丧失的智力和道德力量的残余，</w:t>
      </w:r>
      <w:r>
        <w:rPr>
          <w:rStyle w:val="FootnoteReference"/>
        </w:rPr>
        <w:footnoteReference w:id="747"/>
      </w:r>
      <w:r w:rsidRPr="006A21F9">
        <w:rPr>
          <w:lang w:val="ru-RU"/>
        </w:rPr>
        <w:t xml:space="preserve"> ——行善，这种善无论多么微弱和微不足道，在任何情况下都不应被称为恶；因此，虽然它无法促成我们的得救，但也绝不能成为我们受定罪的依据。 这些思想，与新教徒的谬误相反， ，被东方诸位大主教在其关于东正教信仰的信函第14条中详尽阐述： “我们相信，”他们说，“因犯罪而堕落的人，虽已沦为无言的牲畜——即心智蒙蔽，丧失了完美与无欲无求的状态——但他并未丧失从至圣上帝那里所获得的本性与力量。 因为，否则的话，他就会变得没有理智，进而也就不再是人了：但他仍拥有被造时所具有的本性，以及自由、鲜活、积极的自然力量，因此他天生能够选择并行善，逃避并远离邪恶。 至于人天生能够行善这一点，主也曾指出：外邦人爱那些爱他们的人；使徒保罗也在《罗马书》1:19及其他经文中非常明确地教导说</w:t>
      </w:r>
      <w:r w:rsidRPr="006A21F9">
        <w:rPr>
          <w:i/>
          <w:iCs/>
          <w:lang w:val="ru-RU"/>
        </w:rPr>
        <w:t>，那些没有律法的外邦人，凭着本性行出律法所要求的事</w:t>
      </w:r>
      <w:r w:rsidRPr="006A21F9">
        <w:rPr>
          <w:lang w:val="ru-RU"/>
        </w:rPr>
        <w:t>。 由此可见，人所行的善不可能成为罪：因为善不可能是恶。作为一种自然属性，它仅使人成为属魂的，而非属灵的；若无信心，它虽不能促成得救，但也绝不会导致定罪：因为善作为善，不可能成为恶的根源。 而在因恩典重生的人身上，这种善因恩典的加持而臻于完善，并使人配得救赎。 虽然人在重生之前，可能天性倾向于行善，能够选择并行道德上的善；但要使他在重生后能够行属灵的善（因为信心的行为既是得救的原因，又是借着超自然的恩典成就的，通常被称为属灵的）， ——为此，必须由恩典先行并引领，因此人不能凭自己行出配得基督生命的善行，而只能选择是否愿意顺从恩典行事。”</w:t>
      </w:r>
    </w:p>
    <w:p w14:paraId="79EE866D" w14:textId="77777777" w:rsidR="00BE1885" w:rsidRPr="006A21F9" w:rsidRDefault="00BE1885" w:rsidP="00BE1885">
      <w:pPr>
        <w:rPr>
          <w:lang w:val="ru-RU"/>
        </w:rPr>
      </w:pPr>
      <w:r w:rsidRPr="006A21F9">
        <w:rPr>
          <w:lang w:val="ru-RU"/>
        </w:rPr>
        <w:tab/>
      </w:r>
    </w:p>
    <w:p w14:paraId="4EA7F63D" w14:textId="77777777" w:rsidR="00BE1885" w:rsidRPr="006A21F9" w:rsidRDefault="00BE1885" w:rsidP="00BE1885">
      <w:pPr>
        <w:pStyle w:val="Heading5"/>
        <w:rPr>
          <w:lang w:val="ru-RU"/>
        </w:rPr>
      </w:pPr>
      <w:bookmarkStart w:id="599" w:name="_Toc133142951"/>
      <w:bookmarkStart w:id="600" w:name="_Toc133166308"/>
      <w:bookmarkStart w:id="601" w:name="_Toc182221518"/>
      <w:bookmarkStart w:id="602" w:name="_Toc238453085"/>
      <w:bookmarkStart w:id="603" w:name="_Toc238453885"/>
      <w:bookmarkStart w:id="604" w:name="_Toc238576545"/>
      <w:r w:rsidRPr="006A21F9">
        <w:rPr>
          <w:lang w:val="ru-RU"/>
        </w:rPr>
        <w:t>§189. 人要终生持守信仰与基督徒美德，恩典不可或缺</w:t>
      </w:r>
      <w:bookmarkEnd w:id="599"/>
      <w:bookmarkEnd w:id="600"/>
      <w:bookmarkEnd w:id="601"/>
      <w:bookmarkEnd w:id="602"/>
      <w:bookmarkEnd w:id="603"/>
      <w:bookmarkEnd w:id="604"/>
    </w:p>
    <w:p w14:paraId="1C9E58B4" w14:textId="77777777" w:rsidR="00BE1885" w:rsidRPr="006A21F9" w:rsidRDefault="00BE1885" w:rsidP="00BE1885">
      <w:pPr>
        <w:ind w:firstLine="708"/>
        <w:rPr>
          <w:lang w:val="ru-RU"/>
        </w:rPr>
      </w:pPr>
      <w:r w:rsidRPr="006A21F9">
        <w:rPr>
          <w:lang w:val="ru-RU"/>
        </w:rPr>
        <w:t>如果人若没有神的恩典，既不能信基督，也不能持守对基督的信仰，更不能行出配得上基督生命的事；那么，显而易见，人若没有神恩典的帮助，也就无法终生持守基督教的信仰和虔敬。正因如此——</w:t>
      </w:r>
    </w:p>
    <w:p w14:paraId="01BDC35E" w14:textId="77777777" w:rsidR="00BE1885" w:rsidRPr="006A21F9" w:rsidRDefault="00BE1885" w:rsidP="00BE1885">
      <w:pPr>
        <w:ind w:firstLine="708"/>
        <w:rPr>
          <w:lang w:val="ru-RU"/>
        </w:rPr>
      </w:pPr>
      <w:r w:rsidRPr="006A21F9">
        <w:rPr>
          <w:b/>
          <w:bCs/>
          <w:lang w:val="ru-RU"/>
        </w:rPr>
        <w:t>1.</w:t>
      </w:r>
      <w:r w:rsidRPr="006A21F9">
        <w:rPr>
          <w:lang w:val="ru-RU"/>
        </w:rPr>
        <w:t xml:space="preserve"> 主耶稣曾为祂的使徒们向天父祈求：</w:t>
      </w:r>
      <w:r w:rsidRPr="006A21F9">
        <w:rPr>
          <w:i/>
          <w:iCs/>
          <w:lang w:val="ru-RU"/>
        </w:rPr>
        <w:t>“圣父啊！求祢因祢的名保守他们”</w:t>
      </w:r>
      <w:r w:rsidRPr="006A21F9">
        <w:rPr>
          <w:lang w:val="ru-RU"/>
        </w:rPr>
        <w:t>（约17:11）</w:t>
      </w:r>
      <w:r w:rsidRPr="006A21F9">
        <w:rPr>
          <w:i/>
          <w:iCs/>
          <w:lang w:val="ru-RU"/>
        </w:rPr>
        <w:t>——“求祢用真理使他们成圣”</w:t>
      </w:r>
      <w:r w:rsidRPr="006A21F9">
        <w:rPr>
          <w:lang w:val="ru-RU"/>
        </w:rPr>
        <w:t xml:space="preserve">（约17:17），特别是为彼得祈求： </w:t>
      </w:r>
      <w:r w:rsidRPr="006A21F9">
        <w:rPr>
          <w:i/>
          <w:iCs/>
          <w:lang w:val="ru-RU"/>
        </w:rPr>
        <w:t>“我已经为你祈求，叫你的信心不至失落”</w:t>
      </w:r>
      <w:r w:rsidRPr="006A21F9">
        <w:rPr>
          <w:lang w:val="ru-RU"/>
        </w:rPr>
        <w:t>（路加福音 22:32），并教导我们所有人这样祷告：</w:t>
      </w:r>
      <w:r w:rsidRPr="006A21F9">
        <w:rPr>
          <w:i/>
          <w:iCs/>
          <w:lang w:val="ru-RU"/>
        </w:rPr>
        <w:t xml:space="preserve">“我们在天上的父……不要让我们陷入试探，救我们脱离那恶者” </w:t>
      </w:r>
      <w:r w:rsidRPr="006A21F9">
        <w:rPr>
          <w:lang w:val="ru-RU"/>
        </w:rPr>
        <w:t>[(马太福音 6:13)；引自 （马太福音26:41）]。</w:t>
      </w:r>
    </w:p>
    <w:p w14:paraId="67FC95AF" w14:textId="77777777" w:rsidR="00BE1885" w:rsidRPr="006A21F9" w:rsidRDefault="00BE1885" w:rsidP="00BE1885">
      <w:pPr>
        <w:ind w:firstLine="708"/>
        <w:rPr>
          <w:lang w:val="ru-RU"/>
        </w:rPr>
      </w:pPr>
      <w:r w:rsidRPr="006A21F9">
        <w:rPr>
          <w:b/>
          <w:bCs/>
          <w:lang w:val="ru-RU"/>
        </w:rPr>
        <w:t>2.</w:t>
      </w:r>
      <w:r w:rsidRPr="006A21F9">
        <w:rPr>
          <w:lang w:val="ru-RU"/>
        </w:rPr>
        <w:t xml:space="preserve"> 圣使徒们</w:t>
      </w:r>
      <w:r w:rsidRPr="006A21F9">
        <w:rPr>
          <w:b/>
          <w:bCs/>
          <w:lang w:val="ru-RU"/>
        </w:rPr>
        <w:t>——a）</w:t>
      </w:r>
      <w:r w:rsidRPr="006A21F9">
        <w:rPr>
          <w:lang w:val="ru-RU"/>
        </w:rPr>
        <w:t>见证说，重生的人若没有上帝的恩典，也会跌倒，甚至常常犯罪：</w:t>
      </w:r>
      <w:r w:rsidRPr="006A21F9">
        <w:rPr>
          <w:i/>
          <w:iCs/>
          <w:lang w:val="ru-RU"/>
        </w:rPr>
        <w:t>“我们若说自己没有罪，便是自欺，真理也不在我们心里”</w:t>
      </w:r>
      <w:r w:rsidRPr="006A21F9">
        <w:rPr>
          <w:lang w:val="ru-RU"/>
        </w:rPr>
        <w:t xml:space="preserve">（约一1:8）； </w:t>
      </w:r>
      <w:r w:rsidRPr="006A21F9">
        <w:rPr>
          <w:i/>
          <w:iCs/>
          <w:lang w:val="ru-RU"/>
        </w:rPr>
        <w:t>“我们若说自己没有犯罪，便是自欺，真理也不在我们心里”</w:t>
      </w:r>
      <w:r w:rsidRPr="006A21F9">
        <w:rPr>
          <w:lang w:val="ru-RU"/>
        </w:rPr>
        <w:t>（约壹1:10）；</w:t>
      </w:r>
      <w:r w:rsidRPr="006A21F9">
        <w:rPr>
          <w:i/>
          <w:iCs/>
          <w:lang w:val="ru-RU"/>
        </w:rPr>
        <w:t>“我们众人都是多有过犯的”</w:t>
      </w:r>
      <w:r w:rsidRPr="006A21F9">
        <w:rPr>
          <w:lang w:val="ru-RU"/>
        </w:rPr>
        <w:t xml:space="preserve">（雅3:2）。 </w:t>
      </w:r>
      <w:r w:rsidRPr="006A21F9">
        <w:rPr>
          <w:b/>
          <w:bCs/>
          <w:lang w:val="ru-RU"/>
        </w:rPr>
        <w:t>因此——b）</w:t>
      </w:r>
      <w:r w:rsidRPr="006A21F9">
        <w:rPr>
          <w:lang w:val="ru-RU"/>
        </w:rPr>
        <w:t>他们经常表达这样的祈愿，愿上帝亲自保守并坚固信徒，使他们在信仰和敬虔上持守到底。例如：</w:t>
      </w:r>
      <w:r w:rsidRPr="006A21F9">
        <w:rPr>
          <w:i/>
          <w:iCs/>
          <w:lang w:val="ru-RU"/>
        </w:rPr>
        <w:t>“愿赐平安的上帝亲自使你们全然成圣；又愿你们的灵、魂、体在我们主耶稣基督降临的时候，完全无瑕无疵”</w:t>
      </w:r>
      <w:r w:rsidRPr="006A21F9">
        <w:rPr>
          <w:lang w:val="ru-RU"/>
        </w:rPr>
        <w:t xml:space="preserve"> （帖前5:23）。</w:t>
      </w:r>
      <w:r w:rsidRPr="006A21F9">
        <w:rPr>
          <w:i/>
          <w:iCs/>
          <w:lang w:val="ru-RU"/>
        </w:rPr>
        <w:t>“那赐一切恩典的上帝，曾召我们进入祂在基督耶稣里的永恒荣耀中，愿祂在你们短暂的患难之后，亲自使你们完全、坚固、加强，并使你们坚定不移”</w:t>
      </w:r>
      <w:r w:rsidRPr="006A21F9">
        <w:rPr>
          <w:lang w:val="ru-RU"/>
        </w:rPr>
        <w:t xml:space="preserve"> （彼得前书 5:10），</w:t>
      </w:r>
      <w:r w:rsidRPr="006A21F9">
        <w:rPr>
          <w:i/>
          <w:iCs/>
          <w:lang w:val="ru-RU"/>
        </w:rPr>
        <w:t>——“……使你们在一切善事上得以完全，遵行祂的旨意，借着耶稣基督在你们心里成就祂所喜悦的事”</w:t>
      </w:r>
      <w:r w:rsidRPr="006A21F9">
        <w:rPr>
          <w:lang w:val="ru-RU"/>
        </w:rPr>
        <w:t>（希伯来书 13:21）。 又如：</w:t>
      </w:r>
      <w:r w:rsidRPr="006A21F9">
        <w:rPr>
          <w:i/>
          <w:iCs/>
          <w:lang w:val="ru-RU"/>
        </w:rPr>
        <w:t>“愿我们的主耶稣基督，就是我们的神和父……安慰你们的心，并在一切善言善行上坚固你们”</w:t>
      </w:r>
      <w:r w:rsidRPr="006A21F9">
        <w:rPr>
          <w:lang w:val="ru-RU"/>
        </w:rPr>
        <w:t>（</w:t>
      </w:r>
      <w:r w:rsidRPr="006A21F9">
        <w:rPr>
          <w:lang w:val="ru-RU"/>
        </w:rPr>
        <w:lastRenderedPageBreak/>
        <w:t>《帖撒罗尼迦后书》2:16）。还有：</w:t>
      </w:r>
      <w:r w:rsidRPr="006A21F9">
        <w:rPr>
          <w:i/>
          <w:iCs/>
          <w:lang w:val="ru-RU"/>
        </w:rPr>
        <w:t>“愿祂照着祂荣耀的丰富，借着祂的灵，使你们在内心深处得以坚固”</w:t>
      </w:r>
      <w:r w:rsidRPr="006A21F9">
        <w:rPr>
          <w:lang w:val="ru-RU"/>
        </w:rPr>
        <w:t xml:space="preserve"> [(以弗所书 3:16)；参见 (罗马书 15:13)；(歌罗西书 1:9-11)]。倘若重生的人无需从上头来的帮助，仅凭自己就能在基督徒生活中坚定不移，那么使徒们所有这类祷告中的祝福又有什么意义呢？最后， </w:t>
      </w:r>
      <w:r w:rsidRPr="006A21F9">
        <w:rPr>
          <w:b/>
          <w:bCs/>
          <w:lang w:val="ru-RU"/>
        </w:rPr>
        <w:t>使徒们——c）</w:t>
      </w:r>
      <w:r w:rsidRPr="006A21F9">
        <w:rPr>
          <w:lang w:val="ru-RU"/>
        </w:rPr>
        <w:t>还直接教导说，基督徒若能持守敬虔直到生命终结，正是靠着神的权能。例如，圣彼得写信给信徒说：</w:t>
      </w:r>
      <w:r w:rsidRPr="006A21F9">
        <w:rPr>
          <w:i/>
          <w:iCs/>
          <w:lang w:val="ru-RU"/>
        </w:rPr>
        <w:t>“靠着神的权能，借着信心，被保守直到得救，这得救的事，在末世必显明出来”</w:t>
      </w:r>
      <w:r w:rsidRPr="006A21F9">
        <w:rPr>
          <w:lang w:val="ru-RU"/>
        </w:rPr>
        <w:t>（彼得前书 1:5）； 圣犹大写道：</w:t>
      </w:r>
      <w:r w:rsidRPr="006A21F9">
        <w:rPr>
          <w:i/>
          <w:iCs/>
          <w:lang w:val="ru-RU"/>
        </w:rPr>
        <w:t>“惟愿那能保守你们不失脚、又能使你们无瑕无疵、满心喜乐地站在祂荣耀之前的独一全智的上帝——我们的救主，借着我们的主耶稣基督，从万世以前、现在直到永远，得着荣耀、尊贵、能力、权柄”</w:t>
      </w:r>
      <w:r w:rsidRPr="006A21F9">
        <w:rPr>
          <w:lang w:val="ru-RU"/>
        </w:rPr>
        <w:t xml:space="preserve"> （犹大书 1:24-25）；圣保罗：</w:t>
      </w:r>
      <w:r w:rsidRPr="006A21F9">
        <w:rPr>
          <w:i/>
          <w:iCs/>
          <w:lang w:val="ru-RU"/>
        </w:rPr>
        <w:t xml:space="preserve">“（神）在你们心里动了善工，必成全这工，直到耶稣基督的日子” </w:t>
      </w:r>
      <w:r w:rsidRPr="006A21F9">
        <w:rPr>
          <w:lang w:val="ru-RU"/>
        </w:rPr>
        <w:t>（腓 1:6），并在另一处说：</w:t>
      </w:r>
      <w:r w:rsidRPr="006A21F9">
        <w:rPr>
          <w:i/>
          <w:iCs/>
          <w:lang w:val="ru-RU"/>
        </w:rPr>
        <w:t>“基督的见证在你们中间已经确立，以致你们在任何恩赐上都不缺乏，正等候我们主耶稣基督的显现；祂也必坚固你们到底，使你们在我们主耶稣基督的日子无可指摘”</w:t>
      </w:r>
      <w:r w:rsidRPr="006A21F9">
        <w:rPr>
          <w:lang w:val="ru-RU"/>
        </w:rPr>
        <w:t xml:space="preserve"> （林前 1:6-8）。</w:t>
      </w:r>
    </w:p>
    <w:p w14:paraId="60073EAE" w14:textId="77777777" w:rsidR="00BE1885" w:rsidRPr="006A21F9" w:rsidRDefault="00BE1885" w:rsidP="00BE1885">
      <w:pPr>
        <w:ind w:firstLine="708"/>
        <w:rPr>
          <w:lang w:val="ru-RU"/>
        </w:rPr>
      </w:pPr>
      <w:r w:rsidRPr="006A21F9">
        <w:rPr>
          <w:b/>
          <w:bCs/>
          <w:lang w:val="ru-RU"/>
        </w:rPr>
        <w:t>3.</w:t>
      </w:r>
      <w:r w:rsidRPr="006A21F9">
        <w:rPr>
          <w:lang w:val="ru-RU"/>
        </w:rPr>
        <w:t xml:space="preserve"> 圣教会一直向主祈求，并至今仍在祈求，愿祂亲自保守信徒在信仰和虔敬中直到生命终结。例如，在圣巴西尔大主教的圣礼中（在“赞美诗”环节），司祭会在其中一首祷文中诵念：“求祢以祢的仁慈保守这些良善之人。” “上帝啊，求祢以祢的恩典护佑、拯救、怜悯并保守我们”，或者：“我们恳求主，让我们余下的生命能在平安与悔改中度过”——这些话语每天都能在执事祈祷中听到。 针对教会的这种祈求，圣奥古斯丁早在反对半佩拉吉派时就曾指出，并评论道：“教会祈求信徒能坚守信仰，这意味着上帝会赐予他们坚定的信心，直至终末。”</w:t>
      </w:r>
      <w:r>
        <w:rPr>
          <w:rStyle w:val="FootnoteReference"/>
        </w:rPr>
        <w:footnoteReference w:id="748"/>
      </w:r>
    </w:p>
    <w:p w14:paraId="10FC7D78" w14:textId="77777777" w:rsidR="00BE1885" w:rsidRPr="006A21F9" w:rsidRDefault="00BE1885" w:rsidP="00BE1885">
      <w:pPr>
        <w:ind w:firstLine="708"/>
        <w:rPr>
          <w:lang w:val="ru-RU"/>
        </w:rPr>
      </w:pPr>
      <w:r w:rsidRPr="0097554A">
        <w:rPr>
          <w:lang w:val="ru-RU"/>
        </w:rPr>
        <w:t>4</w:t>
      </w:r>
      <w:r w:rsidRPr="006A21F9">
        <w:rPr>
          <w:b/>
          <w:bCs/>
          <w:lang w:val="ru-RU"/>
        </w:rPr>
        <w:t>.</w:t>
      </w:r>
      <w:r w:rsidRPr="006A21F9">
        <w:rPr>
          <w:lang w:val="ru-RU"/>
        </w:rPr>
        <w:t xml:space="preserve"> 教会的圣师们明确阐述了这一信仰：</w:t>
      </w:r>
    </w:p>
    <w:p w14:paraId="4166196B" w14:textId="77777777" w:rsidR="00BE1885" w:rsidRPr="006A21F9" w:rsidRDefault="00BE1885" w:rsidP="00BE1885">
      <w:pPr>
        <w:rPr>
          <w:lang w:val="ru-RU"/>
        </w:rPr>
      </w:pPr>
      <w:r w:rsidRPr="006A21F9">
        <w:rPr>
          <w:lang w:val="ru-RU"/>
        </w:rPr>
        <w:tab/>
        <w:t>大圣巴西略：“每一个灵魂都因不可动摇的教义而得胜，并借着恩典在对基督的坚定信仰中得以坚固。”</w:t>
      </w:r>
      <w:r>
        <w:rPr>
          <w:rStyle w:val="FootnoteReference"/>
        </w:rPr>
        <w:footnoteReference w:id="749"/>
      </w:r>
      <w:r w:rsidRPr="006A21F9">
        <w:rPr>
          <w:lang w:val="ru-RU"/>
        </w:rPr>
        <w:t xml:space="preserve"> “对于义人而言，祷告也是必要的，以便他在上帝的引导下，能修正其主观的正义感和意志的固执，使他即使因软弱，也永不偏离真理的准则，并使真理的仇敌无法用其谬误的教义来败坏他。”</w:t>
      </w:r>
      <w:r>
        <w:rPr>
          <w:rStyle w:val="FootnoteReference"/>
        </w:rPr>
        <w:footnoteReference w:id="750"/>
      </w:r>
    </w:p>
    <w:p w14:paraId="04E9F9E3" w14:textId="77777777" w:rsidR="00BE1885" w:rsidRPr="006A21F9" w:rsidRDefault="00BE1885" w:rsidP="00BE1885">
      <w:pPr>
        <w:rPr>
          <w:lang w:val="ru-RU"/>
        </w:rPr>
      </w:pPr>
      <w:r w:rsidRPr="006A21F9">
        <w:rPr>
          <w:lang w:val="ru-RU"/>
        </w:rPr>
        <w:tab/>
        <w:t>圣格里高利·神学家：“无论你是在奔跑，还是在奋力拼搏，你都需要那位赐予冠冕的主。</w:t>
      </w:r>
      <w:r w:rsidRPr="006A21F9">
        <w:rPr>
          <w:i/>
          <w:iCs/>
          <w:lang w:val="ru-RU"/>
        </w:rPr>
        <w:t>‘若非耶和华建造房屋，建造的人就枉然劳力；若非耶和华看守城池，看守的人就枉然警醒’</w:t>
      </w:r>
      <w:r w:rsidRPr="006A21F9">
        <w:rPr>
          <w:lang w:val="ru-RU"/>
        </w:rPr>
        <w:t>（诗篇126:1）。 他说：‘我知道，奔跑并非取决于跑者的轻盈，战争并非取决于强者的力量，胜利并非取决于战士的勇猛，船只能否靠岸也并非取决于熟练的水手；而是由上帝来安排胜利，并引导船只驶入码头。’</w:t>
      </w:r>
      <w:r>
        <w:rPr>
          <w:rStyle w:val="FootnoteReference"/>
        </w:rPr>
        <w:footnoteReference w:id="751"/>
      </w:r>
    </w:p>
    <w:p w14:paraId="1F242F0A" w14:textId="77777777" w:rsidR="00BE1885" w:rsidRPr="006A21F9" w:rsidRDefault="00BE1885" w:rsidP="00BE1885">
      <w:pPr>
        <w:rPr>
          <w:lang w:val="ru-RU"/>
        </w:rPr>
      </w:pPr>
      <w:r w:rsidRPr="006A21F9">
        <w:rPr>
          <w:lang w:val="ru-RU"/>
        </w:rPr>
        <w:tab/>
        <w:t>圣约翰·金口：“这完全是上帝的事工——坚固并扶持我们，使我们不致跌倒，也不致偏离正道。”</w:t>
      </w:r>
      <w:r>
        <w:rPr>
          <w:rStyle w:val="FootnoteReference"/>
        </w:rPr>
        <w:footnoteReference w:id="752"/>
      </w:r>
    </w:p>
    <w:p w14:paraId="4A2D679A" w14:textId="77777777" w:rsidR="00BE1885" w:rsidRPr="006A21F9" w:rsidRDefault="00BE1885" w:rsidP="00BE1885">
      <w:pPr>
        <w:rPr>
          <w:lang w:val="ru-RU"/>
        </w:rPr>
      </w:pPr>
      <w:r w:rsidRPr="006A21F9">
        <w:rPr>
          <w:lang w:val="ru-RU"/>
        </w:rPr>
        <w:tab/>
        <w:t>圣塞莱斯廷：“任何人，即便是那些因洗礼之恩而重获新生的人，若不通过每日从上帝那里获得在美德上的坚忍（</w:t>
      </w:r>
      <w:r w:rsidRPr="001E4083">
        <w:t>perseverantiam</w:t>
      </w:r>
      <w:r w:rsidRPr="006A21F9">
        <w:rPr>
          <w:lang w:val="ru-RU"/>
        </w:rPr>
        <w:t>），便无法抵御魔鬼的侵袭，也无法战胜肉体的私欲。”</w:t>
      </w:r>
      <w:r>
        <w:rPr>
          <w:rStyle w:val="FootnoteReference"/>
        </w:rPr>
        <w:footnoteReference w:id="753"/>
      </w:r>
    </w:p>
    <w:p w14:paraId="4AEC5809" w14:textId="77777777" w:rsidR="00BE1885" w:rsidRPr="006A21F9" w:rsidRDefault="00BE1885" w:rsidP="00BE1885">
      <w:pPr>
        <w:ind w:firstLine="708"/>
        <w:rPr>
          <w:lang w:val="ru-RU"/>
        </w:rPr>
      </w:pPr>
      <w:r w:rsidRPr="006A21F9">
        <w:rPr>
          <w:b/>
          <w:bCs/>
          <w:lang w:val="ru-RU"/>
        </w:rPr>
        <w:lastRenderedPageBreak/>
        <w:t>5.</w:t>
      </w:r>
      <w:r w:rsidRPr="006A21F9">
        <w:rPr>
          <w:lang w:val="ru-RU"/>
        </w:rPr>
        <w:t xml:space="preserve"> 通过自身的反思，我们也能确信这一真理。 首先，只需注意一点：即便是重生之人，只要还在世上，就无法免于内外的试探；相反，他们必须与救恩的敌人——世界、肉体和魔鬼——进行不间断的争战 [(约壹 2:16-16)； （加拉太书 5:16-17）； （以弗所书 6:12）]；而他们时刻身处无数诱惑之中，尤其受到那位看不见、最狡猾且最强大的仇敌的追击——他如同吼叫的狮子，四处游行，寻找可吞吃的人（彼得前书 5:8）——若仅凭自身力量，有时难免会跌倒。 其次，教会历史中屡见不鲜的实例表明，确实有时就连高尚的义人也会跌倒，而且跌得很深，正是因为被自己的义所迷惑。 正因如此，使徒吩咐的对象并非他人，而是那些已经重生的人，要</w:t>
      </w:r>
      <w:r w:rsidRPr="006A21F9">
        <w:rPr>
          <w:i/>
          <w:iCs/>
          <w:lang w:val="ru-RU"/>
        </w:rPr>
        <w:t>他们穿上神的全副军装，以便能抵挡魔鬼的诡计</w:t>
      </w:r>
      <w:r w:rsidRPr="006A21F9">
        <w:rPr>
          <w:lang w:val="ru-RU"/>
        </w:rPr>
        <w:t xml:space="preserve">；而在这条诫命的开头，他说： </w:t>
      </w:r>
      <w:r w:rsidRPr="006A21F9">
        <w:rPr>
          <w:i/>
          <w:iCs/>
          <w:lang w:val="ru-RU"/>
        </w:rPr>
        <w:t>“最后，我的弟兄们，你们要靠主并倚赖祂的大能大力，作刚强的人</w:t>
      </w:r>
      <w:r w:rsidRPr="006A21F9">
        <w:rPr>
          <w:lang w:val="ru-RU"/>
        </w:rPr>
        <w:t>”（以弗所书 6:10）；并在结尾补充道：</w:t>
      </w:r>
      <w:r w:rsidRPr="006A21F9">
        <w:rPr>
          <w:i/>
          <w:iCs/>
          <w:lang w:val="ru-RU"/>
        </w:rPr>
        <w:t>“要靠着圣灵，随时多方祷告祈求”</w:t>
      </w:r>
      <w:r w:rsidRPr="006A21F9">
        <w:rPr>
          <w:lang w:val="ru-RU"/>
        </w:rPr>
        <w:t>（以弗所书 6:18）。 也就是说，他表达了这样的思想：即便是重生的人，即使他们已披戴上与救恩之敌争战的全副军装，也必须 地不断向神祈求帮助；而且，他们在争战中能够得胜，完全是倚靠主，并在祂大能的权能之中。</w:t>
      </w:r>
    </w:p>
    <w:p w14:paraId="67FA29FC" w14:textId="77777777" w:rsidR="00BE1885" w:rsidRPr="006A21F9" w:rsidRDefault="00BE1885" w:rsidP="00BE1885">
      <w:pPr>
        <w:rPr>
          <w:lang w:val="ru-RU"/>
        </w:rPr>
      </w:pPr>
      <w:r w:rsidRPr="006A21F9">
        <w:rPr>
          <w:lang w:val="ru-RU"/>
        </w:rPr>
        <w:tab/>
      </w:r>
    </w:p>
    <w:p w14:paraId="032984CA" w14:textId="77777777" w:rsidR="00BE1885" w:rsidRPr="006A21F9" w:rsidRDefault="00BE1885" w:rsidP="00BE1885">
      <w:pPr>
        <w:pStyle w:val="Heading4"/>
        <w:rPr>
          <w:lang w:val="ru-RU"/>
        </w:rPr>
      </w:pPr>
      <w:bookmarkStart w:id="605" w:name="_Toc133142607"/>
      <w:bookmarkStart w:id="606" w:name="_Toc133142952"/>
      <w:bookmarkStart w:id="607" w:name="_Toc133166309"/>
      <w:bookmarkStart w:id="608" w:name="_Toc182221519"/>
      <w:bookmarkStart w:id="609" w:name="_Toc238453086"/>
      <w:bookmarkStart w:id="610" w:name="_Toc238453886"/>
      <w:bookmarkStart w:id="611" w:name="_Toc238454327"/>
      <w:bookmarkStart w:id="612" w:name="_Toc238466409"/>
      <w:bookmarkStart w:id="613" w:name="_Toc238576546"/>
      <w:r w:rsidRPr="001E4083">
        <w:rPr>
          <w:bCs/>
        </w:rPr>
        <w:t>II</w:t>
      </w:r>
      <w:r w:rsidRPr="006A21F9">
        <w:rPr>
          <w:bCs/>
          <w:lang w:val="ru-RU"/>
        </w:rPr>
        <w:t>.</w:t>
      </w:r>
      <w:r w:rsidRPr="006A21F9">
        <w:rPr>
          <w:lang w:val="ru-RU"/>
        </w:rPr>
        <w:t xml:space="preserve"> 关于恩典的普世性及其与人的自由的关系</w:t>
      </w:r>
      <w:bookmarkEnd w:id="605"/>
      <w:bookmarkEnd w:id="606"/>
      <w:bookmarkEnd w:id="607"/>
      <w:bookmarkEnd w:id="608"/>
      <w:bookmarkEnd w:id="609"/>
      <w:bookmarkEnd w:id="610"/>
      <w:bookmarkEnd w:id="611"/>
      <w:bookmarkEnd w:id="612"/>
      <w:bookmarkEnd w:id="613"/>
    </w:p>
    <w:p w14:paraId="6AD7DD7F" w14:textId="77777777" w:rsidR="00BE1885" w:rsidRPr="006A21F9" w:rsidRDefault="00BE1885" w:rsidP="00BE1885">
      <w:pPr>
        <w:rPr>
          <w:lang w:val="ru-RU"/>
        </w:rPr>
      </w:pPr>
      <w:r w:rsidRPr="006A21F9">
        <w:rPr>
          <w:lang w:val="ru-RU"/>
        </w:rPr>
        <w:tab/>
      </w:r>
    </w:p>
    <w:p w14:paraId="7659401B" w14:textId="77777777" w:rsidR="00BE1885" w:rsidRPr="006A21F9" w:rsidRDefault="00BE1885" w:rsidP="00BE1885">
      <w:pPr>
        <w:pStyle w:val="Heading5"/>
        <w:rPr>
          <w:lang w:val="ru-RU"/>
        </w:rPr>
      </w:pPr>
      <w:bookmarkStart w:id="614" w:name="_Toc133142953"/>
      <w:bookmarkStart w:id="615" w:name="_Toc133166310"/>
      <w:bookmarkStart w:id="616" w:name="_Toc182221520"/>
      <w:bookmarkStart w:id="617" w:name="_Toc238453087"/>
      <w:bookmarkStart w:id="618" w:name="_Toc238453887"/>
      <w:bookmarkStart w:id="619" w:name="_Toc238576547"/>
      <w:r w:rsidRPr="006A21F9">
        <w:rPr>
          <w:lang w:val="ru-RU"/>
        </w:rPr>
        <w:t>§190. 教义的组成部分</w:t>
      </w:r>
      <w:bookmarkEnd w:id="614"/>
      <w:bookmarkEnd w:id="615"/>
      <w:bookmarkEnd w:id="616"/>
      <w:bookmarkEnd w:id="617"/>
      <w:bookmarkEnd w:id="618"/>
      <w:bookmarkEnd w:id="619"/>
    </w:p>
    <w:p w14:paraId="58FD3D06" w14:textId="77777777" w:rsidR="00BE1885" w:rsidRPr="006A21F9" w:rsidRDefault="00BE1885" w:rsidP="00BE1885">
      <w:pPr>
        <w:ind w:firstLine="708"/>
        <w:rPr>
          <w:lang w:val="ru-RU"/>
        </w:rPr>
      </w:pPr>
      <w:r w:rsidRPr="006A21F9">
        <w:rPr>
          <w:lang w:val="ru-RU"/>
        </w:rPr>
        <w:t>与加尔文派和扬森派所持的谬见相反——他们认为上帝仅将恩典赐予某些祂已无条件预定为义并得享永恒福乐的人， 因此赐予不可抗拒的恩典——这一观点，东正教会教导：</w:t>
      </w:r>
      <w:r w:rsidRPr="006A21F9">
        <w:rPr>
          <w:b/>
          <w:bCs/>
          <w:lang w:val="ru-RU"/>
        </w:rPr>
        <w:t>a)</w:t>
      </w:r>
      <w:r w:rsidRPr="006A21F9">
        <w:rPr>
          <w:lang w:val="ru-RU"/>
        </w:rPr>
        <w:t xml:space="preserve"> 上帝的恩典遍及所有人类，而不仅仅是那些被预定为义人并享有永恒福乐的人； </w:t>
      </w:r>
      <w:r w:rsidRPr="006A21F9">
        <w:rPr>
          <w:b/>
          <w:bCs/>
          <w:lang w:val="ru-RU"/>
        </w:rPr>
        <w:t>b)</w:t>
      </w:r>
      <w:r w:rsidRPr="006A21F9">
        <w:rPr>
          <w:lang w:val="ru-RU"/>
        </w:rPr>
        <w:t xml:space="preserve"> 上帝将某些人预定为永享福乐、将另一些人预定为永受审判，并非无条件的，而是有条件的，且基于对他们是否会接受恩典的预知； </w:t>
      </w:r>
      <w:r w:rsidRPr="006A21F9">
        <w:rPr>
          <w:b/>
          <w:bCs/>
          <w:lang w:val="ru-RU"/>
        </w:rPr>
        <w:t>c)</w:t>
      </w:r>
      <w:r w:rsidRPr="006A21F9">
        <w:rPr>
          <w:lang w:val="ru-RU"/>
        </w:rPr>
        <w:t xml:space="preserve"> 神的恩典并不限制人的自由，也不会对自由施加不可抗拒的影响；</w:t>
      </w:r>
      <w:r w:rsidRPr="006A21F9">
        <w:rPr>
          <w:b/>
          <w:bCs/>
          <w:lang w:val="ru-RU"/>
        </w:rPr>
        <w:t>以及——d)</w:t>
      </w:r>
      <w:r w:rsidRPr="006A21F9">
        <w:rPr>
          <w:lang w:val="ru-RU"/>
        </w:rPr>
        <w:t xml:space="preserve"> 相反，人在神恩典于他并借他成就之事上，是积极参与的（《东方教父论正统信仰书信》，第3条）。</w:t>
      </w:r>
    </w:p>
    <w:p w14:paraId="061AFAB5" w14:textId="77777777" w:rsidR="00BE1885" w:rsidRPr="006A21F9" w:rsidRDefault="00BE1885" w:rsidP="00BE1885">
      <w:pPr>
        <w:rPr>
          <w:lang w:val="ru-RU"/>
        </w:rPr>
      </w:pPr>
    </w:p>
    <w:p w14:paraId="541097F7" w14:textId="77777777" w:rsidR="00BE1885" w:rsidRPr="006A21F9" w:rsidRDefault="00BE1885" w:rsidP="00BE1885">
      <w:pPr>
        <w:pStyle w:val="Heading5"/>
        <w:rPr>
          <w:lang w:val="ru-RU"/>
        </w:rPr>
      </w:pPr>
      <w:bookmarkStart w:id="620" w:name="_Toc133142954"/>
      <w:bookmarkStart w:id="621" w:name="_Toc133166311"/>
      <w:bookmarkStart w:id="622" w:name="_Toc182221521"/>
      <w:bookmarkStart w:id="623" w:name="_Toc238453088"/>
      <w:bookmarkStart w:id="624" w:name="_Toc238453888"/>
      <w:bookmarkStart w:id="625" w:name="_Toc238576548"/>
      <w:r w:rsidRPr="006A21F9">
        <w:rPr>
          <w:bCs/>
          <w:lang w:val="ru-RU"/>
        </w:rPr>
        <w:t>§191.</w:t>
      </w:r>
      <w:r w:rsidRPr="006A21F9">
        <w:rPr>
          <w:lang w:val="ru-RU"/>
        </w:rPr>
        <w:t xml:space="preserve"> 神的恩典遍及所有的人，而不仅仅限于那些被预定得享义和永恒福乐的人</w:t>
      </w:r>
      <w:bookmarkEnd w:id="620"/>
      <w:bookmarkEnd w:id="621"/>
      <w:bookmarkEnd w:id="622"/>
      <w:bookmarkEnd w:id="623"/>
      <w:bookmarkEnd w:id="624"/>
      <w:bookmarkEnd w:id="625"/>
    </w:p>
    <w:p w14:paraId="1BA2D100" w14:textId="77777777" w:rsidR="00BE1885" w:rsidRPr="006A21F9" w:rsidRDefault="00BE1885" w:rsidP="00BE1885">
      <w:pPr>
        <w:ind w:firstLine="708"/>
        <w:rPr>
          <w:lang w:val="ru-RU"/>
        </w:rPr>
      </w:pPr>
      <w:r w:rsidRPr="006A21F9">
        <w:rPr>
          <w:lang w:val="ru-RU"/>
        </w:rPr>
        <w:t>这一真理显而易见：</w:t>
      </w:r>
    </w:p>
    <w:p w14:paraId="5038A08D" w14:textId="77777777" w:rsidR="00BE1885" w:rsidRPr="006A21F9" w:rsidRDefault="00BE1885" w:rsidP="00BE1885">
      <w:pPr>
        <w:ind w:firstLine="708"/>
        <w:rPr>
          <w:lang w:val="ru-RU"/>
        </w:rPr>
      </w:pPr>
      <w:r w:rsidRPr="006A21F9">
        <w:rPr>
          <w:b/>
          <w:bCs/>
          <w:lang w:val="ru-RU"/>
        </w:rPr>
        <w:t xml:space="preserve">1) </w:t>
      </w:r>
      <w:r w:rsidRPr="006A21F9">
        <w:rPr>
          <w:lang w:val="ru-RU"/>
        </w:rPr>
        <w:t>从圣经中那些指出上帝是所有人的共同之父——无论是犹太人还是外邦人——的经文可见 [(太 6:9</w:t>
      </w:r>
      <w:r>
        <w:rPr>
          <w:lang w:val="ru-RU"/>
        </w:rPr>
        <w:t>,</w:t>
      </w:r>
      <w:r w:rsidRPr="006A21F9">
        <w:rPr>
          <w:lang w:val="ru-RU"/>
        </w:rPr>
        <w:t xml:space="preserve"> 7-11</w:t>
      </w:r>
      <w:r>
        <w:rPr>
          <w:lang w:val="ru-RU"/>
        </w:rPr>
        <w:t>)</w:t>
      </w:r>
      <w:r w:rsidRPr="006A21F9">
        <w:rPr>
          <w:lang w:val="ru-RU"/>
        </w:rPr>
        <w:t>；</w:t>
      </w:r>
      <w:r>
        <w:rPr>
          <w:lang w:val="ru-RU"/>
        </w:rPr>
        <w:t>(</w:t>
      </w:r>
      <w:r w:rsidRPr="006A21F9">
        <w:rPr>
          <w:lang w:val="ru-RU"/>
        </w:rPr>
        <w:t>林前 8:6</w:t>
      </w:r>
      <w:r>
        <w:rPr>
          <w:lang w:val="ru-RU"/>
        </w:rPr>
        <w:t>)</w:t>
      </w:r>
      <w:r w:rsidRPr="006A21F9">
        <w:rPr>
          <w:lang w:val="ru-RU"/>
        </w:rPr>
        <w:t xml:space="preserve">； </w:t>
      </w:r>
      <w:r>
        <w:rPr>
          <w:lang w:val="ru-RU"/>
        </w:rPr>
        <w:t>（</w:t>
      </w:r>
      <w:r w:rsidRPr="006A21F9">
        <w:rPr>
          <w:lang w:val="ru-RU"/>
        </w:rPr>
        <w:t>弗 4:6</w:t>
      </w:r>
      <w:r>
        <w:rPr>
          <w:lang w:val="ru-RU"/>
        </w:rPr>
        <w:t>）</w:t>
      </w:r>
      <w:r w:rsidRPr="006A21F9">
        <w:rPr>
          <w:lang w:val="ru-RU"/>
        </w:rPr>
        <w:t>；</w:t>
      </w:r>
      <w:r>
        <w:rPr>
          <w:lang w:val="ru-RU"/>
        </w:rPr>
        <w:t>（</w:t>
      </w:r>
      <w:r w:rsidRPr="006A21F9">
        <w:rPr>
          <w:lang w:val="ru-RU"/>
        </w:rPr>
        <w:t>罗 3:29-30）</w:t>
      </w:r>
      <w:r w:rsidRPr="007E53A9">
        <w:rPr>
          <w:lang w:val="ru-RU"/>
        </w:rPr>
        <w:t>]</w:t>
      </w:r>
      <w:r w:rsidRPr="006A21F9">
        <w:rPr>
          <w:lang w:val="ru-RU"/>
        </w:rPr>
        <w:t>，表明祂对所有人都是仁慈的（诗 144:9），</w:t>
      </w:r>
      <w:r w:rsidRPr="006A21F9">
        <w:rPr>
          <w:i/>
          <w:iCs/>
          <w:lang w:val="ru-RU"/>
        </w:rPr>
        <w:t>并且“祂愿意万人得救，明白真道”</w:t>
      </w:r>
      <w:r w:rsidRPr="006A21F9">
        <w:rPr>
          <w:lang w:val="ru-RU"/>
        </w:rPr>
        <w:t>（提后 2</w:t>
      </w:r>
      <w:r w:rsidRPr="004D5369">
        <w:rPr>
          <w:lang w:val="ru-RU"/>
        </w:rPr>
        <w:t>:</w:t>
      </w:r>
      <w:r w:rsidRPr="006A21F9">
        <w:rPr>
          <w:lang w:val="ru-RU"/>
        </w:rPr>
        <w:t>4）。 既然祂作为全善者，以父般的慈爱愿所有的人得救：那么，毫无疑问，祂已赐予或准备赐予所有人祂的神圣恩典，没有这恩典，没有任何一个罪人能得救。</w:t>
      </w:r>
    </w:p>
    <w:p w14:paraId="277419DD" w14:textId="77777777" w:rsidR="00BE1885" w:rsidRPr="006A21F9" w:rsidRDefault="00BE1885" w:rsidP="00BE1885">
      <w:pPr>
        <w:ind w:firstLine="708"/>
        <w:rPr>
          <w:lang w:val="ru-RU"/>
        </w:rPr>
      </w:pPr>
      <w:r w:rsidRPr="006A21F9">
        <w:rPr>
          <w:b/>
          <w:bCs/>
          <w:lang w:val="ru-RU"/>
        </w:rPr>
        <w:t xml:space="preserve">2) </w:t>
      </w:r>
      <w:r w:rsidRPr="006A21F9">
        <w:rPr>
          <w:lang w:val="ru-RU"/>
        </w:rPr>
        <w:t>从那些经文来看，它们断言救主基督将自己的肉身献上，为要赐给世界生命（约6:51），将自己献上，为要赎万人的罪（提后2:6），为众人而死</w:t>
      </w:r>
      <w:r w:rsidRPr="007E53A9">
        <w:rPr>
          <w:lang w:val="ru-RU"/>
        </w:rPr>
        <w:t>[</w:t>
      </w:r>
      <w:r w:rsidRPr="006A21F9">
        <w:rPr>
          <w:lang w:val="ru-RU"/>
        </w:rPr>
        <w:t>（林后5:15）； （希伯来书 2:9）</w:t>
      </w:r>
      <w:r w:rsidRPr="007E53A9">
        <w:rPr>
          <w:lang w:val="ru-RU"/>
        </w:rPr>
        <w:t>]</w:t>
      </w:r>
      <w:r w:rsidRPr="006A21F9">
        <w:rPr>
          <w:lang w:val="ru-RU"/>
        </w:rPr>
        <w:t>，</w:t>
      </w:r>
      <w:r w:rsidRPr="006A21F9">
        <w:rPr>
          <w:i/>
          <w:iCs/>
          <w:lang w:val="ru-RU"/>
        </w:rPr>
        <w:t>并且“为我们的罪作了赎罪祭，不仅为我们的罪，也为全人类的罪”</w:t>
      </w:r>
      <w:r w:rsidRPr="006A21F9">
        <w:rPr>
          <w:lang w:val="ru-RU"/>
        </w:rPr>
        <w:t xml:space="preserve">（约翰一书 </w:t>
      </w:r>
      <w:r w:rsidRPr="006A21F9">
        <w:rPr>
          <w:lang w:val="ru-RU"/>
        </w:rPr>
        <w:lastRenderedPageBreak/>
        <w:t>2:2）。既然基督为全人类而死，那么毫无疑问，祂也借着自己的死，为所有人赢得了救赎之恩。 如果祂是世人罪孽的赎罪祭，那么祂确实将救赎之恩赐予了全世界，没有这恩典，罪人就不可能得洁净。</w:t>
      </w:r>
    </w:p>
    <w:p w14:paraId="2C11088E" w14:textId="77777777" w:rsidR="00BE1885" w:rsidRPr="006A21F9" w:rsidRDefault="00BE1885" w:rsidP="00BE1885">
      <w:pPr>
        <w:ind w:firstLine="708"/>
        <w:rPr>
          <w:lang w:val="ru-RU"/>
        </w:rPr>
      </w:pPr>
      <w:r w:rsidRPr="006A21F9">
        <w:rPr>
          <w:b/>
          <w:bCs/>
          <w:lang w:val="ru-RU"/>
        </w:rPr>
        <w:t>3)</w:t>
      </w:r>
      <w:r w:rsidRPr="006A21F9">
        <w:rPr>
          <w:lang w:val="ru-RU"/>
        </w:rPr>
        <w:t xml:space="preserve"> 根据圣经的见证，主在地上为全人类建立了祂的恩典国度，吩</w:t>
      </w:r>
      <w:r w:rsidRPr="006A21F9">
        <w:rPr>
          <w:i/>
          <w:iCs/>
          <w:lang w:val="ru-RU"/>
        </w:rPr>
        <w:t>咐要教导万民，奉父、子、圣灵的名给他们施洗</w:t>
      </w:r>
      <w:r w:rsidRPr="006A21F9">
        <w:rPr>
          <w:lang w:val="ru-RU"/>
        </w:rPr>
        <w:t>[(太 28:19)；(可 16:15)；参(罗 10:18)； （林前9:22）；（林前10:32-33）]，同时祂也在内心呼召每一个人归向自己：</w:t>
      </w:r>
      <w:r w:rsidRPr="006A21F9">
        <w:rPr>
          <w:i/>
          <w:iCs/>
          <w:lang w:val="ru-RU"/>
        </w:rPr>
        <w:t>“看哪，我站在门外叩门；若有听见我声音就开门的，我要进到他那里去，我与他，他与我，一同坐席。 得胜的，我要叫他与我同坐我的宝座，正如我得了胜，也与我的父同坐他的宝座一样”</w:t>
      </w:r>
      <w:r w:rsidRPr="006A21F9">
        <w:rPr>
          <w:lang w:val="ru-RU"/>
        </w:rPr>
        <w:t>（启示录 3:20-21）。 既然不是为所有人预定的，也不是所有人都蒙受神的恩典，那么向万物传讲福音、教导万民、呼召所有人进入恩典的国度，又有什么意义呢？</w:t>
      </w:r>
    </w:p>
    <w:p w14:paraId="2481FE30" w14:textId="77777777" w:rsidR="00BE1885" w:rsidRPr="006A21F9" w:rsidRDefault="00BE1885" w:rsidP="00BE1885">
      <w:pPr>
        <w:ind w:firstLine="708"/>
        <w:rPr>
          <w:lang w:val="ru-RU"/>
        </w:rPr>
      </w:pPr>
      <w:r w:rsidRPr="006A21F9">
        <w:rPr>
          <w:b/>
          <w:bCs/>
          <w:lang w:val="ru-RU"/>
        </w:rPr>
        <w:t>4)</w:t>
      </w:r>
      <w:r w:rsidRPr="006A21F9">
        <w:rPr>
          <w:lang w:val="ru-RU"/>
        </w:rPr>
        <w:t xml:space="preserve"> 圣经的见证表明，上帝将恩典赐给义人，使他们行善 [(约 15:5)；(加 5:22)]，也赐给罪人，使他们转向善，并且不愿任何人灭亡。 </w:t>
      </w:r>
      <w:r w:rsidRPr="006A21F9">
        <w:rPr>
          <w:i/>
          <w:iCs/>
          <w:lang w:val="ru-RU"/>
        </w:rPr>
        <w:t>“我</w:t>
      </w:r>
      <w:r w:rsidRPr="006A21F9">
        <w:rPr>
          <w:lang w:val="ru-RU"/>
        </w:rPr>
        <w:t>指着我的</w:t>
      </w:r>
      <w:r w:rsidRPr="006A21F9">
        <w:rPr>
          <w:i/>
          <w:iCs/>
          <w:lang w:val="ru-RU"/>
        </w:rPr>
        <w:t>永生</w:t>
      </w:r>
      <w:r w:rsidRPr="006A21F9">
        <w:rPr>
          <w:lang w:val="ru-RU"/>
        </w:rPr>
        <w:t>起誓，”主耶和华在旧约中曾说</w:t>
      </w:r>
      <w:r w:rsidRPr="006A21F9">
        <w:rPr>
          <w:i/>
          <w:iCs/>
          <w:lang w:val="ru-RU"/>
        </w:rPr>
        <w:t xml:space="preserve">，“我不愿罪人死亡，只愿罪人从自己的道路上回转，得以存活 </w:t>
      </w:r>
      <w:r w:rsidRPr="006A21F9">
        <w:rPr>
          <w:lang w:val="ru-RU"/>
        </w:rPr>
        <w:t>[(耶33:11)；参 (耶18:23)]。</w:t>
      </w:r>
      <w:r w:rsidRPr="006A21F9">
        <w:rPr>
          <w:i/>
          <w:iCs/>
          <w:lang w:val="ru-RU"/>
        </w:rPr>
        <w:t>”“凡劳苦担重担的人，可以到我这里来，我就使你们得安息”</w:t>
      </w:r>
      <w:r w:rsidRPr="006A21F9">
        <w:rPr>
          <w:lang w:val="ru-RU"/>
        </w:rPr>
        <w:t xml:space="preserve"> （太11:28）</w:t>
      </w:r>
      <w:r w:rsidRPr="006A21F9">
        <w:rPr>
          <w:i/>
          <w:iCs/>
          <w:lang w:val="ru-RU"/>
        </w:rPr>
        <w:t>，“我来不是要召义人，而是要召罪人悔改”</w:t>
      </w:r>
      <w:r w:rsidRPr="006A21F9">
        <w:rPr>
          <w:lang w:val="ru-RU"/>
        </w:rPr>
        <w:t>（太9:13；18:11）；</w:t>
      </w:r>
      <w:r w:rsidRPr="006A21F9">
        <w:rPr>
          <w:i/>
          <w:iCs/>
          <w:lang w:val="ru-RU"/>
        </w:rPr>
        <w:t>“这样，你们在天上的父，绝不愿这些小孩子中失丧一个”</w:t>
      </w:r>
      <w:r w:rsidRPr="006A21F9">
        <w:rPr>
          <w:lang w:val="ru-RU"/>
        </w:rPr>
        <w:t>（太18:14）。 圣使徒们也教导说，</w:t>
      </w:r>
      <w:r w:rsidRPr="006A21F9">
        <w:rPr>
          <w:i/>
          <w:iCs/>
          <w:lang w:val="ru-RU"/>
        </w:rPr>
        <w:t>主对我们大有忍耐，不愿任何人灭亡，而是愿所有人都悔改</w:t>
      </w:r>
      <w:r w:rsidRPr="006A21F9">
        <w:rPr>
          <w:lang w:val="ru-RU"/>
        </w:rPr>
        <w:t>[(彼得后书 3:9)；参见(罗马书 2:4)]。 倘若主确实不向罪人施予恩典的帮助，那么这些话语又有什么意义呢？因为若没有恩典 ，无人能悔改[(林前 12:3)；(腓 2:13)]，也无法归向基督（约 6:44），更无法得着生命（约</w:t>
      </w:r>
      <w:r>
        <w:rPr>
          <w:lang w:val="ru-RU"/>
        </w:rPr>
        <w:t xml:space="preserve"> 15</w:t>
      </w:r>
      <w:r w:rsidRPr="006A21F9">
        <w:rPr>
          <w:lang w:val="ru-RU"/>
        </w:rPr>
        <w:t>:4-8）。</w:t>
      </w:r>
    </w:p>
    <w:p w14:paraId="2A013FAC" w14:textId="77777777" w:rsidR="00BE1885" w:rsidRPr="006A21F9" w:rsidRDefault="00BE1885" w:rsidP="00BE1885">
      <w:pPr>
        <w:ind w:firstLine="708"/>
        <w:rPr>
          <w:lang w:val="ru-RU"/>
        </w:rPr>
      </w:pPr>
      <w:r w:rsidRPr="006A21F9">
        <w:rPr>
          <w:b/>
          <w:bCs/>
          <w:lang w:val="ru-RU"/>
        </w:rPr>
        <w:t xml:space="preserve">5) </w:t>
      </w:r>
      <w:r w:rsidRPr="006A21F9">
        <w:rPr>
          <w:lang w:val="ru-RU"/>
        </w:rPr>
        <w:t>从东正教会的恒久信仰与实践来看，该教会始终呼吁罪人悔改，始终为他们施行悔改圣事， 并始终教导说，在此圣事中，他们将获得上帝的恩典，这恩典能洗净他们的罪，使他们有能力在圣体圣事中与基督——一切恩典的源头——重新联合。</w:t>
      </w:r>
    </w:p>
    <w:p w14:paraId="0CF460DC" w14:textId="77777777" w:rsidR="00BE1885" w:rsidRPr="006A21F9" w:rsidRDefault="00BE1885" w:rsidP="00BE1885">
      <w:pPr>
        <w:ind w:firstLine="708"/>
        <w:rPr>
          <w:lang w:val="ru-RU"/>
        </w:rPr>
      </w:pPr>
      <w:r w:rsidRPr="00A636B4">
        <w:rPr>
          <w:b/>
          <w:bCs/>
          <w:lang w:val="ru-RU"/>
        </w:rPr>
        <w:t>6)</w:t>
      </w:r>
      <w:r w:rsidRPr="006A21F9">
        <w:rPr>
          <w:lang w:val="ru-RU"/>
        </w:rPr>
        <w:t xml:space="preserve"> 最后，根据教会圣师的教导：</w:t>
      </w:r>
    </w:p>
    <w:p w14:paraId="16349451" w14:textId="77777777" w:rsidR="00BE1885" w:rsidRPr="006A21F9" w:rsidRDefault="00BE1885" w:rsidP="00BE1885">
      <w:pPr>
        <w:rPr>
          <w:lang w:val="ru-RU"/>
        </w:rPr>
      </w:pPr>
      <w:r w:rsidRPr="006A21F9">
        <w:rPr>
          <w:lang w:val="ru-RU"/>
        </w:rPr>
        <w:tab/>
        <w:t>罗马的圣克莱门特：“让我们仰望基督的宝血，看看祂的宝血在天主面前是何等宝贵——这宝血为我们的救赎而倾流，给全世界带来了忏悔的恩宠。 纵使穿越所有时代，我们也会发现，主在历代以来，都给那些愿归向祂的人留下了悔改的时间。 诺亚宣讲悔改，听从他的人便得救了。约拿预言尼尼微人将遭灭亡，但那些为自己的罪过悔改的人，通过祷告平息了上帝的愤怒，并获得了救赎，尽管他们曾远离上帝。 蒙圣灵感动的上帝恩典的仆人们，都曾讲论悔改；而全世界的主亲自以誓言论及悔改：</w:t>
      </w:r>
      <w:r w:rsidRPr="006A21F9">
        <w:rPr>
          <w:i/>
          <w:iCs/>
          <w:lang w:val="ru-RU"/>
        </w:rPr>
        <w:t>‘我指着我的永生起誓，’耶和华上帝说，‘我不愿罪人死亡，只愿罪人转离所行的道路而活着’</w:t>
      </w:r>
      <w:r w:rsidRPr="006A21F9">
        <w:rPr>
          <w:lang w:val="ru-RU"/>
        </w:rPr>
        <w:t>（耶33:</w:t>
      </w:r>
      <w:r>
        <w:rPr>
          <w:lang w:val="ru-RU"/>
        </w:rPr>
        <w:t>11</w:t>
      </w:r>
      <w:r w:rsidRPr="006A21F9">
        <w:rPr>
          <w:lang w:val="ru-RU"/>
        </w:rPr>
        <w:t>）。”</w:t>
      </w:r>
      <w:r>
        <w:rPr>
          <w:rStyle w:val="FootnoteReference"/>
        </w:rPr>
        <w:footnoteReference w:id="754"/>
      </w:r>
    </w:p>
    <w:p w14:paraId="7A2AAA55" w14:textId="77777777" w:rsidR="00BE1885" w:rsidRPr="006A21F9" w:rsidRDefault="00BE1885" w:rsidP="00BE1885">
      <w:pPr>
        <w:rPr>
          <w:lang w:val="ru-RU"/>
        </w:rPr>
      </w:pPr>
      <w:r w:rsidRPr="006A21F9">
        <w:rPr>
          <w:lang w:val="ru-RU"/>
        </w:rPr>
        <w:tab/>
        <w:t>圣约翰·金口说：“如果（基督）照亮了每一个来到世上的人（约1:9），那么人们怎么会没有被成圣呢？他确实照亮了所有人。 但若有人自愿闭上心灵之眼，不愿接受这光芒，那么他们身处黑暗，并非源于光的本质，而是源于那些因自身意愿而剥夺自己这份恩赐之人的不幸。因为恩典已倾注于众人……那些不愿享用此恩赐的人，按公义而言，应当将自己的盲目归咎于自己。”</w:t>
      </w:r>
      <w:r>
        <w:rPr>
          <w:rStyle w:val="FootnoteReference"/>
        </w:rPr>
        <w:footnoteReference w:id="755"/>
      </w:r>
    </w:p>
    <w:p w14:paraId="51D586F3" w14:textId="77777777" w:rsidR="00BE1885" w:rsidRPr="006A21F9" w:rsidRDefault="00BE1885" w:rsidP="00BE1885">
      <w:pPr>
        <w:rPr>
          <w:lang w:val="ru-RU"/>
        </w:rPr>
      </w:pPr>
      <w:r w:rsidRPr="006A21F9">
        <w:rPr>
          <w:lang w:val="ru-RU"/>
        </w:rPr>
        <w:lastRenderedPageBreak/>
        <w:tab/>
        <w:t>圣安布罗斯：“祂如同奥秘的公义之日，为众人升起，为众人而来，为众人受难，为众人复活……若有人不信基督，便是自己剥夺了普世的恩惠。”</w:t>
      </w:r>
      <w:r>
        <w:rPr>
          <w:rStyle w:val="FootnoteReference"/>
        </w:rPr>
        <w:footnoteReference w:id="756"/>
      </w:r>
    </w:p>
    <w:p w14:paraId="07A6ECBA" w14:textId="77777777" w:rsidR="00BE1885" w:rsidRPr="006A21F9" w:rsidRDefault="00BE1885" w:rsidP="00BE1885">
      <w:pPr>
        <w:rPr>
          <w:lang w:val="ru-RU"/>
        </w:rPr>
      </w:pPr>
      <w:r w:rsidRPr="006A21F9">
        <w:rPr>
          <w:lang w:val="ru-RU"/>
        </w:rPr>
        <w:tab/>
        <w:t>福者奥古斯丁：</w:t>
      </w:r>
      <w:r w:rsidRPr="006A21F9">
        <w:rPr>
          <w:i/>
          <w:iCs/>
          <w:lang w:val="ru-RU"/>
        </w:rPr>
        <w:t>“‘上帝差遣祂的儿子到世上来，不是要定世人的罪，而是要叫世人因祂得救’</w:t>
      </w:r>
      <w:r w:rsidRPr="006A21F9">
        <w:rPr>
          <w:lang w:val="ru-RU"/>
        </w:rPr>
        <w:t>（约翰福音3:17）。 因此，就医士而言：祂来是要医治病人；而不愿遵行医士吩咐的人，便是自取灭亡。救主降临世间：祂之所以被称为‘世人的救主’，难道不是因为祂的目的在于拯救世界，而非审判世人吗？你不愿接受祂的医治吗？那你自己就将成为自己的审判者。”</w:t>
      </w:r>
      <w:r>
        <w:rPr>
          <w:rStyle w:val="FootnoteReference"/>
        </w:rPr>
        <w:footnoteReference w:id="757"/>
      </w:r>
    </w:p>
    <w:p w14:paraId="29D443E2" w14:textId="77777777" w:rsidR="00BE1885" w:rsidRPr="006A21F9" w:rsidRDefault="00BE1885" w:rsidP="00BE1885">
      <w:pPr>
        <w:rPr>
          <w:lang w:val="ru-RU"/>
        </w:rPr>
      </w:pPr>
      <w:r w:rsidRPr="006A21F9">
        <w:rPr>
          <w:lang w:val="ru-RU"/>
        </w:rPr>
        <w:tab/>
        <w:t>无需赘言，即便是常人，只要一想到那位无限仁慈且公义的上帝，也必然会认同：祂同样希望所有罪人得救；而若他们为此需要恩典，祂便赐予，或随时准备赐予所有人。</w:t>
      </w:r>
    </w:p>
    <w:p w14:paraId="4F3D044D" w14:textId="77777777" w:rsidR="00BE1885" w:rsidRPr="006A21F9" w:rsidRDefault="00BE1885" w:rsidP="00BE1885">
      <w:pPr>
        <w:rPr>
          <w:lang w:val="ru-RU"/>
        </w:rPr>
      </w:pPr>
      <w:r w:rsidRPr="006A21F9">
        <w:rPr>
          <w:lang w:val="ru-RU"/>
        </w:rPr>
        <w:tab/>
      </w:r>
    </w:p>
    <w:p w14:paraId="72DAD796" w14:textId="77777777" w:rsidR="00BE1885" w:rsidRPr="006A21F9" w:rsidRDefault="00BE1885" w:rsidP="00BE1885">
      <w:pPr>
        <w:pStyle w:val="Heading5"/>
        <w:rPr>
          <w:lang w:val="ru-RU"/>
        </w:rPr>
      </w:pPr>
      <w:bookmarkStart w:id="626" w:name="_Toc133142955"/>
      <w:bookmarkStart w:id="627" w:name="_Toc133166312"/>
      <w:bookmarkStart w:id="628" w:name="_Toc182221522"/>
      <w:bookmarkStart w:id="629" w:name="_Toc238453089"/>
      <w:bookmarkStart w:id="630" w:name="_Toc238453889"/>
      <w:bookmarkStart w:id="631" w:name="_Toc238576549"/>
      <w:r w:rsidRPr="006A21F9">
        <w:rPr>
          <w:bCs/>
          <w:lang w:val="ru-RU"/>
        </w:rPr>
        <w:t>§192.</w:t>
      </w:r>
      <w:r w:rsidRPr="006A21F9">
        <w:rPr>
          <w:lang w:val="ru-RU"/>
        </w:rPr>
        <w:t xml:space="preserve"> 上帝预定一些人得享永恒的福乐，另一些人受永恒的定罪，这是有条件的，其依据在于预知他们是否会接受恩典</w:t>
      </w:r>
      <w:bookmarkEnd w:id="626"/>
      <w:bookmarkEnd w:id="627"/>
      <w:bookmarkEnd w:id="628"/>
      <w:bookmarkEnd w:id="629"/>
      <w:bookmarkEnd w:id="630"/>
      <w:bookmarkEnd w:id="631"/>
    </w:p>
    <w:p w14:paraId="508D789F" w14:textId="77777777" w:rsidR="00BE1885" w:rsidRPr="006A21F9" w:rsidRDefault="00BE1885" w:rsidP="00BE1885">
      <w:pPr>
        <w:ind w:firstLine="708"/>
        <w:rPr>
          <w:lang w:val="ru-RU"/>
        </w:rPr>
      </w:pPr>
      <w:r w:rsidRPr="006A21F9">
        <w:rPr>
          <w:lang w:val="ru-RU"/>
        </w:rPr>
        <w:t>倘若上帝的话语中提到，上帝预定有些人得享永恒的荣耀（罗8:29），另一些人则受永恒的定罪（犹</w:t>
      </w:r>
      <w:r w:rsidRPr="006A21F9">
        <w:rPr>
          <w:rFonts w:cs="Cambria Math"/>
          <w:lang w:val="ru-RU"/>
        </w:rPr>
        <w:t>1:</w:t>
      </w:r>
      <w:r w:rsidRPr="006A21F9">
        <w:rPr>
          <w:lang w:val="ru-RU"/>
        </w:rPr>
        <w:t>4）： 这并不意味着祂不愿拯救所有人，也不愿将恩典赐予所有人，更不是毫无缘由地、仅凭祂那无条件的意志就预定了这两种结局。 这仅仅意味着：上帝既愿所有人得救，也向所有人施恩，但因祂从永恒之初就预知谁愿意、谁不愿意接受祂的恩典，所以便据此预定一部分人得救，另一部分人灭亡。因为——</w:t>
      </w:r>
    </w:p>
    <w:p w14:paraId="5E595196" w14:textId="77777777" w:rsidR="00BE1885" w:rsidRPr="006A21F9" w:rsidRDefault="00BE1885" w:rsidP="00BE1885">
      <w:pPr>
        <w:ind w:firstLine="708"/>
        <w:rPr>
          <w:lang w:val="ru-RU"/>
        </w:rPr>
      </w:pPr>
      <w:r w:rsidRPr="006A21F9">
        <w:rPr>
          <w:b/>
          <w:bCs/>
          <w:lang w:val="ru-RU"/>
        </w:rPr>
        <w:t>1.</w:t>
      </w:r>
      <w:r w:rsidRPr="006A21F9">
        <w:rPr>
          <w:lang w:val="ru-RU"/>
        </w:rPr>
        <w:t xml:space="preserve"> 上帝的话语本身也屡屡宣告：我们每个人死后的永恒命运——无论是永恒的荣耀还是永恒的折磨——都将是我们今生所行之事的报应；</w:t>
      </w:r>
      <w:r w:rsidRPr="006A21F9">
        <w:rPr>
          <w:i/>
          <w:iCs/>
          <w:lang w:val="ru-RU"/>
        </w:rPr>
        <w:t>“我们众人必要在基督的审判台前显露出来，叫各人按着自己 在肉体中行事为人所作的，或善或恶，受报”</w:t>
      </w:r>
      <w:r w:rsidRPr="006A21F9">
        <w:rPr>
          <w:lang w:val="ru-RU"/>
        </w:rPr>
        <w:t xml:space="preserve"> [(林后 5:10</w:t>
      </w:r>
      <w:r>
        <w:rPr>
          <w:lang w:val="ru-RU"/>
        </w:rPr>
        <w:t>)</w:t>
      </w:r>
      <w:r w:rsidRPr="006A21F9">
        <w:rPr>
          <w:lang w:val="ru-RU"/>
        </w:rPr>
        <w:t>； 圣</w:t>
      </w:r>
      <w:r>
        <w:rPr>
          <w:lang w:val="ru-RU"/>
        </w:rPr>
        <w:t>（</w:t>
      </w:r>
      <w:r w:rsidRPr="006A21F9">
        <w:rPr>
          <w:lang w:val="ru-RU"/>
        </w:rPr>
        <w:t>林前 3:8）]，上帝</w:t>
      </w:r>
      <w:r w:rsidRPr="006A21F9">
        <w:rPr>
          <w:i/>
          <w:iCs/>
          <w:lang w:val="ru-RU"/>
        </w:rPr>
        <w:t>“必照各人的行为报应各人：凡恒心行善、寻求荣耀、尊贵和不朽之人，必得永生；凡顽固不化、不顺从真理、反而顺从不义之人，必受烈怒和忿怒”</w:t>
      </w:r>
      <w:r w:rsidRPr="006A21F9">
        <w:rPr>
          <w:lang w:val="ru-RU"/>
        </w:rPr>
        <w:t xml:space="preserve"> [(罗 2:6-8</w:t>
      </w:r>
      <w:r>
        <w:rPr>
          <w:lang w:val="ru-RU"/>
        </w:rPr>
        <w:t>)</w:t>
      </w:r>
      <w:r w:rsidRPr="006A21F9">
        <w:rPr>
          <w:lang w:val="ru-RU"/>
        </w:rPr>
        <w:t xml:space="preserve">；参 </w:t>
      </w:r>
      <w:r>
        <w:rPr>
          <w:lang w:val="ru-RU"/>
        </w:rPr>
        <w:t>(</w:t>
      </w:r>
      <w:r w:rsidRPr="006A21F9">
        <w:rPr>
          <w:lang w:val="ru-RU"/>
        </w:rPr>
        <w:t>太 16:27)]，唯有信靠基督的人方能得救（约 3:36；</w:t>
      </w:r>
      <w:r w:rsidRPr="006A21F9">
        <w:rPr>
          <w:rFonts w:cs="Cambria Math"/>
          <w:lang w:val="ru-RU"/>
        </w:rPr>
        <w:t xml:space="preserve"> </w:t>
      </w:r>
      <w:r w:rsidRPr="006A21F9">
        <w:rPr>
          <w:lang w:val="ru-RU"/>
        </w:rPr>
        <w:t>6:47)的人，将在圣礼中分享祂的恩典（约3:5；6:54），并藉此遵行那在天上的父的旨意（太7:21）；</w:t>
      </w:r>
      <w:r w:rsidRPr="006A21F9">
        <w:rPr>
          <w:i/>
          <w:iCs/>
          <w:lang w:val="ru-RU"/>
        </w:rPr>
        <w:t>而不信的人，必受定罪</w:t>
      </w:r>
      <w:r w:rsidRPr="006A21F9">
        <w:rPr>
          <w:lang w:val="ru-RU"/>
        </w:rPr>
        <w:t>（可16</w:t>
      </w:r>
      <w:r>
        <w:rPr>
          <w:lang w:val="ru-RU"/>
        </w:rPr>
        <w:t>:</w:t>
      </w:r>
      <w:r w:rsidRPr="006A21F9">
        <w:rPr>
          <w:lang w:val="ru-RU"/>
        </w:rPr>
        <w:t>16）； 若有人不从水和圣灵重生，且不遵行天父的旨意，就不能进入神的国 [(约3:5)；(太7:21)]。 如果不承认上帝预定有些人得享永恒的福乐、另一些人受定罪，并非出于祂无条件的意志，而是以他们自身善行或恶行作为条件——而全知全能的祂无疑从永恒之初就预见了这些行为——那么，又如何能将圣经中所有这些经文与祂关于上帝永恒预定的教义协调一致呢？</w:t>
      </w:r>
    </w:p>
    <w:p w14:paraId="239BE1ED" w14:textId="77777777" w:rsidR="00BE1885" w:rsidRPr="006A21F9" w:rsidRDefault="00BE1885" w:rsidP="00BE1885">
      <w:pPr>
        <w:ind w:firstLine="708"/>
        <w:rPr>
          <w:lang w:val="ru-RU"/>
        </w:rPr>
      </w:pPr>
      <w:r w:rsidRPr="006A21F9">
        <w:rPr>
          <w:b/>
          <w:bCs/>
          <w:lang w:val="ru-RU"/>
        </w:rPr>
        <w:t>2.</w:t>
      </w:r>
      <w:r w:rsidRPr="006A21F9">
        <w:rPr>
          <w:lang w:val="ru-RU"/>
        </w:rPr>
        <w:t xml:space="preserve"> 圣经中还有其他经文，明确表明神的预定是有条件的。 例如，救主本人这样描述他在末日审判中将作出的判决：</w:t>
      </w:r>
      <w:r w:rsidRPr="006A21F9">
        <w:rPr>
          <w:i/>
          <w:iCs/>
          <w:lang w:val="ru-RU"/>
        </w:rPr>
        <w:t>“那时，王要对那些站在他右边的人说：‘你们这蒙我父赐福的，可来承受那为你们预备的国度，这国度是从创世以来就为你们预备的；因为我饿了，你们给我吃； 我渴了，你们给我喝；我作客旅，你们留我住；我赤身露体，你们给我穿；我病了，你们看顾我；我在监里，你们来看我”</w:t>
      </w:r>
      <w:r w:rsidRPr="006A21F9">
        <w:rPr>
          <w:lang w:val="ru-RU"/>
        </w:rPr>
        <w:t>（太25:34-36）。 然后</w:t>
      </w:r>
      <w:r w:rsidRPr="006A21F9">
        <w:rPr>
          <w:i/>
          <w:iCs/>
          <w:lang w:val="ru-RU"/>
        </w:rPr>
        <w:t>，“祂又要对那些在左边的人说：‘你们这些被咒诅的人，离开我，进入那为魔鬼和他的使者所预备</w:t>
      </w:r>
      <w:r w:rsidRPr="006A21F9">
        <w:rPr>
          <w:i/>
          <w:iCs/>
          <w:lang w:val="ru-RU"/>
        </w:rPr>
        <w:lastRenderedPageBreak/>
        <w:t>的永火里去吧！因为我饿了，你们没有给我吃；我渴了，你们没有给我喝；我作客旅，你们没有接待我；我赤身露体，你们没有给我穿； 我病了，在监里，你们也没有看望我”</w:t>
      </w:r>
      <w:r w:rsidRPr="006A21F9">
        <w:rPr>
          <w:lang w:val="ru-RU"/>
        </w:rPr>
        <w:t>（马太福音25:41-43）。由此难道不明显地看出，如果上帝从创世之初就为一部分人预备了天国， 而为另一些人预备了永火，这并非因为祂无缘无故地爱了某些人、恨了另一些人，而是因为根据他们自己的行为——这些行为在神眼中，自创世以来便如同已经成就一般，不受时间限制——有些人配得天国，而另一些人则配得永火？ [参见（彼得后书 1:10）；（提摩太后书 2:20）；（罗马书 8:17）；（哥林多前书 9:27）]。</w:t>
      </w:r>
    </w:p>
    <w:p w14:paraId="2E37134C" w14:textId="77777777" w:rsidR="00BE1885" w:rsidRPr="006A21F9" w:rsidRDefault="00BE1885" w:rsidP="00BE1885">
      <w:pPr>
        <w:ind w:firstLine="708"/>
        <w:rPr>
          <w:lang w:val="ru-RU"/>
        </w:rPr>
      </w:pPr>
      <w:r w:rsidRPr="006A21F9">
        <w:rPr>
          <w:b/>
          <w:bCs/>
          <w:lang w:val="ru-RU"/>
        </w:rPr>
        <w:t>3.</w:t>
      </w:r>
      <w:r w:rsidRPr="006A21F9">
        <w:rPr>
          <w:lang w:val="ru-RU"/>
        </w:rPr>
        <w:t xml:space="preserve"> 圣使徒保罗明确教导说，神的预定是基于预</w:t>
      </w:r>
      <w:r w:rsidRPr="006A21F9">
        <w:rPr>
          <w:i/>
          <w:iCs/>
          <w:lang w:val="ru-RU"/>
        </w:rPr>
        <w:t>知，他</w:t>
      </w:r>
      <w:r w:rsidRPr="006A21F9">
        <w:rPr>
          <w:lang w:val="ru-RU"/>
        </w:rPr>
        <w:t>见证道：</w:t>
      </w:r>
      <w:r w:rsidRPr="006A21F9">
        <w:rPr>
          <w:i/>
          <w:iCs/>
          <w:lang w:val="ru-RU"/>
        </w:rPr>
        <w:t>神所预知的人，祂就预定他们效法祂儿子的模样……祂所预定的人，祂就呼召他们；所呼召的人，祂就称他们为义； 所称义的，就使他们得荣耀</w:t>
      </w:r>
      <w:r w:rsidRPr="006A21F9">
        <w:rPr>
          <w:lang w:val="ru-RU"/>
        </w:rPr>
        <w:t>（罗8:29-30）。 使徒说，</w:t>
      </w:r>
      <w:r>
        <w:rPr>
          <w:lang w:val="ru-RU"/>
        </w:rPr>
        <w:t>这</w:t>
      </w:r>
      <w:r w:rsidRPr="006A21F9">
        <w:rPr>
          <w:lang w:val="ru-RU"/>
        </w:rPr>
        <w:t>不仅仅是</w:t>
      </w:r>
      <w:r>
        <w:rPr>
          <w:lang w:val="ru-RU"/>
        </w:rPr>
        <w:t>预定</w:t>
      </w:r>
      <w:r w:rsidRPr="006A21F9">
        <w:rPr>
          <w:lang w:val="ru-RU"/>
        </w:rPr>
        <w:t>，而是因为预见才</w:t>
      </w:r>
      <w:r>
        <w:rPr>
          <w:lang w:val="ru-RU"/>
        </w:rPr>
        <w:t>预定的</w:t>
      </w:r>
      <w:r w:rsidRPr="006A21F9">
        <w:rPr>
          <w:lang w:val="ru-RU"/>
        </w:rPr>
        <w:t>；——祂预见了谁的功德，就预定谁；或者，正如圣杰罗姆所言：“神知道谁在生活中会与祂的儿子相称，就预定谁在荣耀中也与祂相称。”</w:t>
      </w:r>
      <w:r>
        <w:rPr>
          <w:rStyle w:val="FootnoteReference"/>
        </w:rPr>
        <w:footnoteReference w:id="758"/>
      </w:r>
    </w:p>
    <w:p w14:paraId="11EC080E" w14:textId="77777777" w:rsidR="00BE1885" w:rsidRPr="006A21F9" w:rsidRDefault="00BE1885" w:rsidP="00BE1885">
      <w:pPr>
        <w:ind w:firstLine="708"/>
        <w:rPr>
          <w:lang w:val="ru-RU"/>
        </w:rPr>
      </w:pPr>
      <w:r w:rsidRPr="006A21F9">
        <w:rPr>
          <w:b/>
          <w:bCs/>
          <w:lang w:val="ru-RU"/>
        </w:rPr>
        <w:t>4.</w:t>
      </w:r>
      <w:r w:rsidRPr="006A21F9">
        <w:rPr>
          <w:lang w:val="ru-RU"/>
        </w:rPr>
        <w:t xml:space="preserve"> 圣父们和教会的导师们，尤其是东方教父，都正确地理解到，神的预定是以人类的功德为条件的，而这些功德是神预先所知的。例如：</w:t>
      </w:r>
      <w:r w:rsidRPr="006A21F9">
        <w:rPr>
          <w:b/>
          <w:bCs/>
          <w:lang w:val="ru-RU"/>
        </w:rPr>
        <w:t>a)</w:t>
      </w:r>
      <w:r w:rsidRPr="006A21F9">
        <w:rPr>
          <w:lang w:val="ru-RU"/>
        </w:rPr>
        <w:t xml:space="preserve"> 圣爱任纽：“全知全能的神，为每个人都预备了相称的居所； 对于那些寻求纯净之光并向往它的人，祂慷慨地赐予这光；而对于那些背离并逃避它的人——他们因此仿佛使自己陷入盲目——祂预备了与背离之光相称的黑暗，并以此使他们受到应得的惩罚；”</w:t>
      </w:r>
      <w:r>
        <w:rPr>
          <w:rStyle w:val="FootnoteReference"/>
        </w:rPr>
        <w:footnoteReference w:id="759"/>
      </w:r>
      <w:r w:rsidRPr="006A21F9">
        <w:rPr>
          <w:lang w:val="ru-RU"/>
        </w:rPr>
        <w:t xml:space="preserve"> </w:t>
      </w:r>
      <w:r w:rsidRPr="006A21F9">
        <w:rPr>
          <w:b/>
          <w:bCs/>
          <w:lang w:val="ru-RU"/>
        </w:rPr>
        <w:t xml:space="preserve">b) </w:t>
      </w:r>
      <w:r w:rsidRPr="006A21F9">
        <w:rPr>
          <w:lang w:val="ru-RU"/>
        </w:rPr>
        <w:t>伊拉里乌斯：“（上帝）预见谁，就预定谁；”</w:t>
      </w:r>
      <w:r>
        <w:rPr>
          <w:rStyle w:val="FootnoteReference"/>
        </w:rPr>
        <w:footnoteReference w:id="760"/>
      </w:r>
      <w:r w:rsidRPr="006A21F9">
        <w:rPr>
          <w:lang w:val="ru-RU"/>
        </w:rPr>
        <w:t xml:space="preserve"> “因此，拣选并非出于无差别的审判，而是根据功绩的评估而作出的区分；”</w:t>
      </w:r>
      <w:r>
        <w:rPr>
          <w:rStyle w:val="FootnoteReference"/>
        </w:rPr>
        <w:footnoteReference w:id="761"/>
      </w:r>
      <w:r w:rsidRPr="006A21F9">
        <w:rPr>
          <w:lang w:val="ru-RU"/>
        </w:rPr>
        <w:t xml:space="preserve"> </w:t>
      </w:r>
      <w:r w:rsidRPr="006A21F9">
        <w:rPr>
          <w:b/>
          <w:bCs/>
          <w:lang w:val="ru-RU"/>
        </w:rPr>
        <w:t>c)</w:t>
      </w:r>
      <w:r w:rsidRPr="006A21F9">
        <w:rPr>
          <w:lang w:val="ru-RU"/>
        </w:rPr>
        <w:t xml:space="preserve"> 圣约翰·金口——以天国审判者的身份（马太福音 25:34-44）； “在你们存在之前，这已经由我为你们预定并安排好了；因为我知道你们会成为怎样的人（善或恶）；”</w:t>
      </w:r>
      <w:r>
        <w:rPr>
          <w:rStyle w:val="FootnoteReference"/>
        </w:rPr>
        <w:footnoteReference w:id="762"/>
      </w:r>
      <w:r w:rsidRPr="006A21F9">
        <w:rPr>
          <w:lang w:val="ru-RU"/>
        </w:rPr>
        <w:t xml:space="preserve"> 以及在另一处：“上帝预定我们，不仅是因为爱，也是因为我们的美德； 因为若仅取决于爱，那么所有人本应得救（因为上帝爱所有人）；若仅取决于我们的美德，那么耶稣基督的降临以及祂 为我们的救赎所安排的一切，便显得多余了；”</w:t>
      </w:r>
      <w:r>
        <w:rPr>
          <w:rStyle w:val="FootnoteReference"/>
        </w:rPr>
        <w:footnoteReference w:id="763"/>
      </w:r>
      <w:r w:rsidRPr="006A21F9">
        <w:rPr>
          <w:lang w:val="ru-RU"/>
        </w:rPr>
        <w:t xml:space="preserve"> </w:t>
      </w:r>
      <w:r w:rsidRPr="006A21F9">
        <w:rPr>
          <w:b/>
          <w:bCs/>
          <w:lang w:val="ru-RU"/>
        </w:rPr>
        <w:t>d)</w:t>
      </w:r>
      <w:r w:rsidRPr="006A21F9">
        <w:rPr>
          <w:lang w:val="ru-RU"/>
        </w:rPr>
        <w:t xml:space="preserve"> 圣安布罗斯：“上帝并非先预定，而是先预知； 祂预见了谁的功绩，就为谁预定了奖赏；”</w:t>
      </w:r>
      <w:r>
        <w:rPr>
          <w:rStyle w:val="FootnoteReference"/>
        </w:rPr>
        <w:footnoteReference w:id="764"/>
      </w:r>
      <w:r w:rsidRPr="006A21F9">
        <w:rPr>
          <w:lang w:val="ru-RU"/>
        </w:rPr>
        <w:t xml:space="preserve"> </w:t>
      </w:r>
      <w:r w:rsidRPr="006A21F9">
        <w:rPr>
          <w:b/>
          <w:bCs/>
          <w:lang w:val="ru-RU"/>
        </w:rPr>
        <w:t>(e)</w:t>
      </w:r>
      <w:r w:rsidRPr="006A21F9">
        <w:rPr>
          <w:lang w:val="ru-RU"/>
        </w:rPr>
        <w:t xml:space="preserve"> 福者奥古斯丁：“必须坚定不移地遵循圣经中已知的这条原则：罪人在降生于世之前，其不义之行已被</w:t>
      </w:r>
      <w:r>
        <w:rPr>
          <w:lang w:val="ru-RU"/>
        </w:rPr>
        <w:t>预知</w:t>
      </w:r>
      <w:r w:rsidRPr="006A21F9">
        <w:rPr>
          <w:lang w:val="ru-RU"/>
        </w:rPr>
        <w:t>，但并未被预定去行不义； 但因他们</w:t>
      </w:r>
      <w:r>
        <w:rPr>
          <w:lang w:val="ru-RU"/>
        </w:rPr>
        <w:t>已被预知</w:t>
      </w:r>
      <w:r w:rsidRPr="006A21F9">
        <w:rPr>
          <w:lang w:val="ru-RU"/>
        </w:rPr>
        <w:t>，故其惩罚已被预定；”</w:t>
      </w:r>
      <w:r>
        <w:rPr>
          <w:rStyle w:val="FootnoteReference"/>
        </w:rPr>
        <w:footnoteReference w:id="765"/>
      </w:r>
      <w:r w:rsidRPr="006A21F9">
        <w:rPr>
          <w:lang w:val="ru-RU"/>
        </w:rPr>
        <w:t xml:space="preserve"> </w:t>
      </w:r>
      <w:r w:rsidRPr="006A21F9">
        <w:rPr>
          <w:b/>
          <w:bCs/>
          <w:lang w:val="ru-RU"/>
        </w:rPr>
        <w:t>e)</w:t>
      </w:r>
      <w:r w:rsidRPr="006A21F9">
        <w:rPr>
          <w:lang w:val="ru-RU"/>
        </w:rPr>
        <w:t xml:space="preserve"> 福者狄奥多里特：“上帝预见了谁的意愿，便从上头预定了谁，既预定，便呼召了谁；”</w:t>
      </w:r>
      <w:r>
        <w:rPr>
          <w:rStyle w:val="FootnoteReference"/>
        </w:rPr>
        <w:footnoteReference w:id="766"/>
      </w:r>
      <w:r w:rsidRPr="006A21F9">
        <w:rPr>
          <w:lang w:val="ru-RU"/>
        </w:rPr>
        <w:t xml:space="preserve"> </w:t>
      </w:r>
      <w:r w:rsidRPr="006A21F9">
        <w:rPr>
          <w:b/>
          <w:bCs/>
          <w:lang w:val="ru-RU"/>
        </w:rPr>
        <w:t xml:space="preserve">f) </w:t>
      </w:r>
      <w:r w:rsidRPr="006A21F9">
        <w:rPr>
          <w:lang w:val="ru-RU"/>
        </w:rPr>
        <w:t>君士坦丁堡宗主教根纳迪：“罪人在出生之前就被上帝弃绝——并非因为上帝从永恒起就愿意弃绝他们，而是因为祂从永恒起就知道，他们自己会弃绝祂，并使祂对他</w:t>
      </w:r>
      <w:r w:rsidRPr="006A21F9">
        <w:rPr>
          <w:lang w:val="ru-RU"/>
        </w:rPr>
        <w:lastRenderedPageBreak/>
        <w:t>们的所有眷顾都变得毫无意义。”</w:t>
      </w:r>
      <w:r>
        <w:rPr>
          <w:rStyle w:val="FootnoteReference"/>
        </w:rPr>
        <w:footnoteReference w:id="767"/>
      </w:r>
      <w:r w:rsidRPr="006A21F9">
        <w:rPr>
          <w:lang w:val="ru-RU"/>
        </w:rPr>
        <w:t xml:space="preserve"> 殉道者尤斯丁、奥利金、优西比乌、杰罗姆、亚历山大的西里尔、大格里高利等人也持类似观点。</w:t>
      </w:r>
      <w:r>
        <w:rPr>
          <w:rStyle w:val="FootnoteReference"/>
        </w:rPr>
        <w:footnoteReference w:id="768"/>
      </w:r>
    </w:p>
    <w:p w14:paraId="26FDB277" w14:textId="77777777" w:rsidR="00BE1885" w:rsidRPr="006A21F9" w:rsidRDefault="00BE1885" w:rsidP="00BE1885">
      <w:pPr>
        <w:ind w:firstLine="708"/>
        <w:rPr>
          <w:lang w:val="ru-RU"/>
        </w:rPr>
      </w:pPr>
      <w:r w:rsidRPr="006A21F9">
        <w:rPr>
          <w:b/>
          <w:bCs/>
          <w:lang w:val="ru-RU"/>
        </w:rPr>
        <w:t>5.</w:t>
      </w:r>
      <w:r w:rsidRPr="006A21F9">
        <w:rPr>
          <w:lang w:val="ru-RU"/>
        </w:rPr>
        <w:t xml:space="preserve"> 诚然，圣经中确实有些经文，表面上似乎支持关于上帝无条件预定论的教义。例如：</w:t>
      </w:r>
    </w:p>
    <w:p w14:paraId="6DB44D9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使徒的话：</w:t>
      </w:r>
      <w:r w:rsidRPr="006A21F9">
        <w:rPr>
          <w:i/>
          <w:iCs/>
          <w:lang w:val="ru-RU"/>
        </w:rPr>
        <w:t>“（上帝）在创世以前，就在祂里面（在基督里）拣选了我们，使我们在爱中，在祂面前成为圣洁、毫无瑕疵”</w:t>
      </w:r>
      <w:r w:rsidRPr="006A21F9">
        <w:rPr>
          <w:lang w:val="ru-RU"/>
        </w:rPr>
        <w:t xml:space="preserve"> （弗1:4）——由此可见，神拣选我们并非因为预见了我们的圣洁与善行，而是为了使我们将来成为圣洁；并非因我们的功德，而是单凭祂自己的旨意。 但在此处及其他类似经文中[(帖后 2:13)；(林前 2:7)]，所指的显然不是通往荣耀的拣选或预定（太 25:34）——正如我们所见，后者无疑是基于对每个人功德的预知； 而是指在基督耶稣里的拣选、预定和蒙恩的呼召，这确实并非基于人的功德，而是为了使人归信并行善，完全取决于上帝无穷的良善与怜悯（提摩太后书 1:9）。 而且，这种在基督耶稣里的恩典呼召，并非仅针对某些必然得救的人，而是延伸至全人类。使徒说： “神拣选了我们”（以弗所书 1:4），“呼召了我们”（提摩太后书 1:9），或“拣选了你们”（帖撒罗尼迦后书 2:13），此处所指的显然是所有基督徒——他写信的对象，而其中无疑并非所有人都是严格意义上的被拣选者或圣徒。 而在其他经文中，同一位使徒作证说：</w:t>
      </w:r>
      <w:r w:rsidRPr="006A21F9">
        <w:rPr>
          <w:i/>
          <w:iCs/>
          <w:lang w:val="ru-RU"/>
        </w:rPr>
        <w:t>“神的恩典已经显明出来，这恩典是拯救所有人的，教导我们弃绝不敬虔和世俗的私欲，在今世过着自制、公义、敬虔的生活”</w:t>
      </w:r>
      <w:r w:rsidRPr="006A21F9">
        <w:rPr>
          <w:lang w:val="ru-RU"/>
        </w:rPr>
        <w:t xml:space="preserve"> （提多书 2:11-12）；又如：</w:t>
      </w:r>
      <w:r w:rsidRPr="006A21F9">
        <w:rPr>
          <w:i/>
          <w:iCs/>
          <w:lang w:val="ru-RU"/>
        </w:rPr>
        <w:t>“只有一位神，在神和人之间也只有一位中保，就是那成为人的基督耶稣，祂为赎所有的人而舍己”</w:t>
      </w:r>
      <w:r w:rsidRPr="006A21F9">
        <w:rPr>
          <w:lang w:val="ru-RU"/>
        </w:rPr>
        <w:t>（提摩太前书 2:5-6）。</w:t>
      </w:r>
    </w:p>
    <w:p w14:paraId="39120D00"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圣使徒关于以扫和雅各的话：当他们尚未出生、也尚未行过任何善恶之事时，神就已经对他们的母亲说：</w:t>
      </w:r>
      <w:r w:rsidRPr="006A21F9">
        <w:rPr>
          <w:i/>
          <w:iCs/>
          <w:lang w:val="ru-RU"/>
        </w:rPr>
        <w:t>“那大的要服事那小的……我喜爱雅各，却憎恶以扫</w:t>
      </w:r>
      <w:r w:rsidRPr="006A21F9">
        <w:rPr>
          <w:lang w:val="ru-RU"/>
        </w:rPr>
        <w:t>。” 紧随其后的经文说：</w:t>
      </w:r>
      <w:r w:rsidRPr="006A21F9">
        <w:rPr>
          <w:i/>
          <w:iCs/>
          <w:lang w:val="ru-RU"/>
        </w:rPr>
        <w:t>祂对摩西说：“我要怜悯谁，就怜悯谁；我要恩待谁，就恩待谁……这样，祂要怜悯谁，就怜悯谁；要使谁刚硬，就使谁刚硬</w:t>
      </w:r>
      <w:r w:rsidRPr="006A21F9">
        <w:rPr>
          <w:lang w:val="ru-RU"/>
        </w:rPr>
        <w:t>”（罗9:11-18）。 但是，首先，在整个第九章中，正如在《罗马书》的整个教义部分一样，使徒实际上是在谈论人蒙召得恩典，或在基督耶稣里称义（罗9:30-32）， 并反驳犹太人的观点，证明这呼召与称义并不取决于他们律法上的行为——犹太人仅凭这些行为便自认为有权成为弥赛亚国度的子民，并将所有外邦人排除在外——而是取决于至高者的恩典；祂在赐予恩赐和为人们安排不同命运时完全自由 （正如祂以以扫、雅各、摩西时代的犹太人以及法老为例所表明的那样），确实仅凭祂的恩典，不仅从犹太人中，也从外邦人中呼召了人在基督里称义（罗9:24）——因此，若没有这恩典，人 自己便一事无成。</w:t>
      </w:r>
      <w:r>
        <w:rPr>
          <w:rStyle w:val="FootnoteReference"/>
        </w:rPr>
        <w:footnoteReference w:id="769"/>
      </w:r>
      <w:r w:rsidRPr="006A21F9">
        <w:rPr>
          <w:lang w:val="ru-RU"/>
        </w:rPr>
        <w:t xml:space="preserve"> </w:t>
      </w:r>
      <w:r w:rsidRPr="006A21F9">
        <w:rPr>
          <w:lang w:val="ru-RU"/>
        </w:rPr>
        <w:lastRenderedPageBreak/>
        <w:t>其次，使徒在说上帝仅凭自己的恩典将恩赐分给世人，并在他们出生之前就完全自由地为一些人预定一种命运、为另一些人预定另一种命运时，他不仅没有否定“上帝在此事上是基于对人类行为的预知而行事”这一观点，相反，他必然预设了这一观点： 因为他教导说，即使在这种情况下，上帝的作为也是公义的（罗9:14），并且如果祂使某些人刚愎并惩罚他们，那正是那些像法老一样，自己使自己成为愤怒之器的人，而祂的惩罚是在长久忍耐之后才施行的（罗9:22）。 “为什么，”圣金口若望在阐释《罗马书》第九章时问道，“一个人（雅各）被爱，另一个人（以扫）却被憎恶？ 为什么一个侍奉，另一个受人侍奉？因为一个邪恶，另一个善良；但当他们尚未出生时，一个已被尊荣，另一个已被定罪。在他们出生之前，上帝就说：‘那先生的要服侍那后生的。’上帝为何这样说？因为祂不像人那样，要等到事情结束才看谁是善的、谁是不善的； 相反，祂早已知道谁是邪恶的，谁不是。”稍后又说：“圣保罗的主要意图，是通过他所说的一切，教导人们：唯有上帝知道谁配得，而世人无人知晓；虽然许多人自以为知道，但他们的结论往往是错误的。 而那位洞悉人心奥秘的，完全知道谁配得冠冕，谁该受惩罚和折磨。因此，祂揭露并惩罚了许多在世人眼中被视为善良的人，却赐予许多被视为邪恶的人冠冕，并证明他们并非如此。 祂的判决并非依据奴仆们的评价，而是基于祂自己严厉而公正的审判；祂无需等到案件结束，便已认定一人配得，另一人不配……因此祂说：“我喜爱雅各，却憎恶以扫。”此事是否公正，你可以从结果中得知；但上帝在事情发生之前就完全知晓了； 祂不仅要求行为的表现，更要求自由意志和纯洁的情感。”此外还提到：“法老是盛怒之器，也就是说，他是一个因自己心肠刚硬而激起上帝之怒的人。 他多次亲身经历了神的长久忍耐，却并未变得更好，反而依然顽固不化。因此，使徒不仅称他为‘盛怒之器’，更称他为‘完全沉沦之人’，即已被预定沉沦——不过，这沉沦是源于他自身，并出于他自己的意志。 正如上帝没有留下任何有助于他悔改的途径一样，他自己也没有遗漏任何导致他灭亡、使他无可推诿的途径。不过，上帝预见了这一点，仍显明了极大的忍耐；因为祂希望引导他悔改。 倘若上帝不愿如此，便不会忍耐这么久。既然法老不愿利用上帝的宽容而悔改，反而将自己置于上帝的愤怒之中；那么上帝便利用他来管教他人，借着惩罚他使他人更加谨慎，从而彰显自己的大能。”</w:t>
      </w:r>
      <w:r>
        <w:rPr>
          <w:rStyle w:val="FootnoteReference"/>
        </w:rPr>
        <w:footnoteReference w:id="770"/>
      </w:r>
    </w:p>
    <w:p w14:paraId="04897CD0" w14:textId="77777777" w:rsidR="00BE1885" w:rsidRPr="006A21F9" w:rsidRDefault="00BE1885" w:rsidP="00BE1885">
      <w:pPr>
        <w:ind w:firstLine="708"/>
        <w:rPr>
          <w:lang w:val="ru-RU"/>
        </w:rPr>
      </w:pPr>
      <w:r w:rsidRPr="006A21F9">
        <w:rPr>
          <w:b/>
          <w:bCs/>
          <w:lang w:val="ru-RU"/>
        </w:rPr>
        <w:t>6.</w:t>
      </w:r>
      <w:r w:rsidRPr="006A21F9">
        <w:rPr>
          <w:lang w:val="ru-RU"/>
        </w:rPr>
        <w:t xml:space="preserve"> 关于上帝无条件预定论的教义违背了健全的理性。他确信上帝是公义的，因此不可能毫无缘由地将一些人预定为永享福乐，而将另一些人预定为永受定罪。 他确信，上帝是无限仁慈的，因此不可能毫无缘由地将任何人判处永恒的灭亡。他确信，上帝是无限睿智的，因此不可能在赋予人类自由之后，又通过其无条件的预定论来限制这种自由，并剥夺</w:t>
      </w:r>
      <w:r w:rsidRPr="001E4083">
        <w:t>其</w:t>
      </w:r>
      <w:r w:rsidRPr="006A21F9">
        <w:rPr>
          <w:lang w:val="ru-RU"/>
        </w:rPr>
        <w:t>行为的一切道德价值。</w:t>
      </w:r>
    </w:p>
    <w:p w14:paraId="2985F9CD" w14:textId="77777777" w:rsidR="00BE1885" w:rsidRPr="006A21F9" w:rsidRDefault="00BE1885" w:rsidP="00BE1885">
      <w:pPr>
        <w:pStyle w:val="Heading5"/>
        <w:rPr>
          <w:lang w:val="ru-RU"/>
        </w:rPr>
      </w:pPr>
    </w:p>
    <w:p w14:paraId="13CCF6D5" w14:textId="77777777" w:rsidR="00BE1885" w:rsidRPr="006A21F9" w:rsidRDefault="00BE1885" w:rsidP="00BE1885">
      <w:pPr>
        <w:pStyle w:val="Heading5"/>
        <w:rPr>
          <w:lang w:val="ru-RU"/>
        </w:rPr>
      </w:pPr>
      <w:bookmarkStart w:id="632" w:name="_Toc133142956"/>
      <w:bookmarkStart w:id="633" w:name="_Toc133166313"/>
      <w:bookmarkStart w:id="634" w:name="_Toc182221523"/>
      <w:bookmarkStart w:id="635" w:name="_Toc238453090"/>
      <w:bookmarkStart w:id="636" w:name="_Toc238453890"/>
      <w:bookmarkStart w:id="637" w:name="_Toc238576550"/>
      <w:r w:rsidRPr="006A21F9">
        <w:rPr>
          <w:bCs/>
          <w:lang w:val="ru-RU"/>
        </w:rPr>
        <w:t>§193.</w:t>
      </w:r>
      <w:r w:rsidRPr="006A21F9">
        <w:rPr>
          <w:lang w:val="ru-RU"/>
        </w:rPr>
        <w:t xml:space="preserve"> 神的恩典不会限制人的自由，也不会对其产生不可抗拒的影响</w:t>
      </w:r>
      <w:bookmarkEnd w:id="632"/>
      <w:bookmarkEnd w:id="633"/>
      <w:bookmarkEnd w:id="634"/>
      <w:bookmarkEnd w:id="635"/>
      <w:bookmarkEnd w:id="636"/>
      <w:bookmarkEnd w:id="637"/>
    </w:p>
    <w:p w14:paraId="3925F630" w14:textId="77777777" w:rsidR="00BE1885" w:rsidRPr="006A21F9" w:rsidRDefault="00BE1885" w:rsidP="00BE1885">
      <w:pPr>
        <w:ind w:firstLine="708"/>
        <w:rPr>
          <w:lang w:val="ru-RU"/>
        </w:rPr>
      </w:pPr>
      <w:r w:rsidRPr="006A21F9">
        <w:rPr>
          <w:lang w:val="ru-RU"/>
        </w:rPr>
        <w:t>尽管</w:t>
      </w:r>
      <w:r w:rsidRPr="006A21F9">
        <w:rPr>
          <w:i/>
          <w:iCs/>
          <w:lang w:val="ru-RU"/>
        </w:rPr>
        <w:t>“上帝照着祂的旨意，在你们心里动了善意，又成就了善行”</w:t>
      </w:r>
      <w:r w:rsidRPr="006A21F9">
        <w:rPr>
          <w:lang w:val="ru-RU"/>
        </w:rPr>
        <w:t xml:space="preserve"> （腓 2:</w:t>
      </w:r>
      <w:r>
        <w:rPr>
          <w:lang w:val="ru-RU"/>
        </w:rPr>
        <w:t>13</w:t>
      </w:r>
      <w:r w:rsidRPr="006A21F9">
        <w:rPr>
          <w:lang w:val="ru-RU"/>
        </w:rPr>
        <w:t>），且若无祂的恩典，我们既不能着手，也不能成就任何真正的美善之事；然而，这上帝的大能虽在我们里面并借着我们运行，却丝毫不会限制我们的自由，也不会以不可抗拒的方式将我们引向美善。正因如此——</w:t>
      </w:r>
    </w:p>
    <w:p w14:paraId="00625ABF"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圣经吩咐世人，要敞开心扉接受恩典，不要因</w:t>
      </w:r>
      <w:r w:rsidRPr="001E4083">
        <w:t>抵触其</w:t>
      </w:r>
      <w:r w:rsidRPr="006A21F9">
        <w:rPr>
          <w:lang w:val="ru-RU"/>
        </w:rPr>
        <w:t xml:space="preserve">作为而使心肠刚硬。 </w:t>
      </w:r>
      <w:r w:rsidRPr="006A21F9">
        <w:rPr>
          <w:i/>
          <w:iCs/>
          <w:lang w:val="ru-RU"/>
        </w:rPr>
        <w:t>“看哪，我</w:t>
      </w:r>
      <w:r w:rsidRPr="00C75C5D">
        <w:rPr>
          <w:i/>
          <w:iCs/>
          <w:lang w:val="ru-RU"/>
        </w:rPr>
        <w:t>站在门外叩门</w:t>
      </w:r>
      <w:r w:rsidRPr="006A21F9">
        <w:rPr>
          <w:lang w:val="ru-RU"/>
        </w:rPr>
        <w:t>，”救主说</w:t>
      </w:r>
      <w:r w:rsidRPr="00C75C5D">
        <w:rPr>
          <w:i/>
          <w:iCs/>
          <w:lang w:val="ru-RU"/>
        </w:rPr>
        <w:t>，“若有听见我声音就开门的，我要进到他那里去，我与他，他与我，一同坐席</w:t>
      </w:r>
      <w:r w:rsidRPr="006A21F9">
        <w:rPr>
          <w:lang w:val="ru-RU"/>
        </w:rPr>
        <w:t>”（启3:20）。 “今日，你们若听见这声音，就不要硬着心”，旧约和新约的圣经作者们一再重申这一点[（诗篇 94:7-8）；（以赛亚书 55:3）；（希伯来书 3:</w:t>
      </w:r>
      <w:r>
        <w:rPr>
          <w:lang w:val="ru-RU"/>
        </w:rPr>
        <w:t>7-8,</w:t>
      </w:r>
      <w:r w:rsidRPr="006A21F9">
        <w:rPr>
          <w:lang w:val="ru-RU"/>
        </w:rPr>
        <w:t xml:space="preserve"> 4:7）]。 倘若人无法抗拒恩典，倘若恩典对人的作用是不可抗拒的，那么这一切箴言又有什么意义呢？</w:t>
      </w:r>
    </w:p>
    <w:p w14:paraId="583FF38E" w14:textId="77777777" w:rsidR="00BE1885" w:rsidRPr="006A21F9" w:rsidRDefault="00BE1885" w:rsidP="00BE1885">
      <w:pPr>
        <w:ind w:firstLine="708"/>
        <w:rPr>
          <w:lang w:val="ru-RU"/>
        </w:rPr>
      </w:pPr>
      <w:r w:rsidRPr="006A21F9">
        <w:rPr>
          <w:b/>
          <w:bCs/>
          <w:lang w:val="ru-RU"/>
        </w:rPr>
        <w:t>2.</w:t>
      </w:r>
      <w:r w:rsidRPr="006A21F9">
        <w:rPr>
          <w:lang w:val="ru-RU"/>
        </w:rPr>
        <w:t xml:space="preserve"> 上帝的话语确实见证，人可以抗拒恩典，并且顽固地</w:t>
      </w:r>
      <w:r w:rsidRPr="001E4083">
        <w:t>抗拒</w:t>
      </w:r>
      <w:r w:rsidRPr="0097554A">
        <w:rPr>
          <w:lang w:val="ru-RU"/>
        </w:rPr>
        <w:t>，</w:t>
      </w:r>
      <w:r w:rsidRPr="001E4083">
        <w:t>尽管恩典已尽一切</w:t>
      </w:r>
      <w:r w:rsidRPr="006A21F9">
        <w:rPr>
          <w:lang w:val="ru-RU"/>
        </w:rPr>
        <w:t>努力。上帝自己在《旧约》中曾对以色列民说：</w:t>
      </w:r>
      <w:r w:rsidRPr="006A21F9">
        <w:rPr>
          <w:i/>
          <w:iCs/>
          <w:lang w:val="ru-RU"/>
        </w:rPr>
        <w:t>“我还能做什么</w:t>
      </w:r>
      <w:r w:rsidRPr="006A21F9">
        <w:rPr>
          <w:lang w:val="ru-RU"/>
        </w:rPr>
        <w:t>呢？</w:t>
      </w:r>
      <w:r w:rsidRPr="006A21F9">
        <w:rPr>
          <w:i/>
          <w:iCs/>
          <w:lang w:val="ru-RU"/>
        </w:rPr>
        <w:t>我为我的葡萄园还该做什么，是我没有为它做的呢</w:t>
      </w:r>
      <w:r w:rsidRPr="006A21F9">
        <w:rPr>
          <w:lang w:val="ru-RU"/>
        </w:rPr>
        <w:t xml:space="preserve">？”（赛5:4）； </w:t>
      </w:r>
      <w:r w:rsidRPr="006A21F9">
        <w:rPr>
          <w:i/>
          <w:iCs/>
          <w:lang w:val="ru-RU"/>
        </w:rPr>
        <w:t>“我天天向那悖逆的百姓、随从自己意念行恶之路的百姓，伸出我的手”</w:t>
      </w:r>
      <w:r w:rsidRPr="006A21F9">
        <w:rPr>
          <w:lang w:val="ru-RU"/>
        </w:rPr>
        <w:t xml:space="preserve">（赛65:2）。 </w:t>
      </w:r>
      <w:r w:rsidRPr="006A21F9">
        <w:rPr>
          <w:i/>
          <w:iCs/>
          <w:lang w:val="ru-RU"/>
        </w:rPr>
        <w:t>“我也要利用他们的迷惑，将他们所惧怕的降在他们身上；因为我呼唤，却无人应答；我说话，他们却不听从，反而在我眼中行恶，选择我所不喜悦的</w:t>
      </w:r>
      <w:r w:rsidRPr="006A21F9">
        <w:rPr>
          <w:lang w:val="ru-RU"/>
        </w:rPr>
        <w:t>[(赛66:4)；引自(赛65:12)； （箴言 1:24）；耶利米书 7:13）]。</w:t>
      </w:r>
      <w:r w:rsidRPr="006A21F9">
        <w:rPr>
          <w:i/>
          <w:iCs/>
          <w:lang w:val="ru-RU"/>
        </w:rPr>
        <w:t>‘你们这硬心硬耳的人啊！</w:t>
      </w:r>
      <w:r w:rsidRPr="006A21F9">
        <w:rPr>
          <w:lang w:val="ru-RU"/>
        </w:rPr>
        <w:t>’圣殉道者司提反在新约中也这样向犹太人喊道：</w:t>
      </w:r>
      <w:r w:rsidRPr="006A21F9">
        <w:rPr>
          <w:i/>
          <w:iCs/>
          <w:lang w:val="ru-RU"/>
        </w:rPr>
        <w:t>‘你们和你们的祖先一样，总是抵挡圣灵。</w:t>
      </w:r>
      <w:r w:rsidRPr="006A21F9">
        <w:rPr>
          <w:lang w:val="ru-RU"/>
        </w:rPr>
        <w:t>’（使徒行传 7:51）。 因此，圣使徒保罗指着犹太人这可悲的例子劝勉信徒们说：</w:t>
      </w:r>
      <w:r w:rsidRPr="006A21F9">
        <w:rPr>
          <w:i/>
          <w:iCs/>
          <w:lang w:val="ru-RU"/>
        </w:rPr>
        <w:t>让我们努力进入</w:t>
      </w:r>
      <w:r w:rsidRPr="006A21F9">
        <w:rPr>
          <w:lang w:val="ru-RU"/>
        </w:rPr>
        <w:t>（神的）</w:t>
      </w:r>
      <w:r w:rsidRPr="006A21F9">
        <w:rPr>
          <w:i/>
          <w:iCs/>
          <w:lang w:val="ru-RU"/>
        </w:rPr>
        <w:t>安息，免得有人陷入同样的悖逆之境</w:t>
      </w:r>
      <w:r w:rsidRPr="006A21F9">
        <w:rPr>
          <w:lang w:val="ru-RU"/>
        </w:rPr>
        <w:t>（希伯来书 4:11）。</w:t>
      </w:r>
    </w:p>
    <w:p w14:paraId="286F61D6" w14:textId="77777777" w:rsidR="00BE1885" w:rsidRPr="006A21F9" w:rsidRDefault="00BE1885" w:rsidP="00BE1885">
      <w:pPr>
        <w:ind w:firstLine="708"/>
        <w:rPr>
          <w:lang w:val="ru-RU"/>
        </w:rPr>
      </w:pPr>
      <w:r w:rsidRPr="006A21F9">
        <w:rPr>
          <w:b/>
          <w:bCs/>
          <w:lang w:val="ru-RU"/>
        </w:rPr>
        <w:t>3.</w:t>
      </w:r>
      <w:r w:rsidRPr="006A21F9">
        <w:rPr>
          <w:lang w:val="ru-RU"/>
        </w:rPr>
        <w:t xml:space="preserve"> 众所周知，圣经中包含无数劝诫、应许和警告，旨在激励人行善。如果恩典必然地作用于人，以致当神的大能引导他时，他根本无法不行善，那么所有这些劝诫、应许和警告的目的究竟何在？</w:t>
      </w:r>
    </w:p>
    <w:p w14:paraId="54090909" w14:textId="77777777" w:rsidR="00BE1885" w:rsidRPr="006A21F9" w:rsidRDefault="00BE1885" w:rsidP="00BE1885">
      <w:pPr>
        <w:ind w:firstLine="708"/>
        <w:rPr>
          <w:lang w:val="ru-RU"/>
        </w:rPr>
      </w:pPr>
      <w:r w:rsidRPr="006A21F9">
        <w:rPr>
          <w:b/>
          <w:bCs/>
          <w:lang w:val="ru-RU"/>
        </w:rPr>
        <w:t>4.</w:t>
      </w:r>
      <w:r w:rsidRPr="006A21F9">
        <w:rPr>
          <w:lang w:val="ru-RU"/>
        </w:rPr>
        <w:t xml:space="preserve"> 圣父们和教会的导师们一致宣讲：人在选择和行善方面拥有自由意志，并不受上帝恩典的限制。我们以以下言论为例： </w:t>
      </w:r>
      <w:r w:rsidRPr="006A21F9">
        <w:rPr>
          <w:b/>
          <w:bCs/>
          <w:lang w:val="ru-RU"/>
        </w:rPr>
        <w:t>a)</w:t>
      </w:r>
      <w:r w:rsidRPr="006A21F9">
        <w:rPr>
          <w:lang w:val="ru-RU"/>
        </w:rPr>
        <w:t xml:space="preserve"> 圣尤斯蒂娜：“我们最初的起源并非出于我们自身；但为了使我们能够借助祂赐予我们的理性能力来追随祂（上帝），选择祂所喜悦的事物，祂便劝导我们并引导我们走向信仰；”</w:t>
      </w:r>
      <w:r>
        <w:rPr>
          <w:rStyle w:val="FootnoteReference"/>
        </w:rPr>
        <w:footnoteReference w:id="771"/>
      </w:r>
      <w:r w:rsidRPr="006A21F9">
        <w:rPr>
          <w:lang w:val="ru-RU"/>
        </w:rPr>
        <w:t xml:space="preserve"> </w:t>
      </w:r>
      <w:r w:rsidRPr="006A21F9">
        <w:rPr>
          <w:b/>
          <w:bCs/>
          <w:lang w:val="ru-RU"/>
        </w:rPr>
        <w:t>b)</w:t>
      </w:r>
      <w:r w:rsidRPr="006A21F9">
        <w:rPr>
          <w:lang w:val="ru-RU"/>
        </w:rPr>
        <w:t xml:space="preserve"> 圣约翰·金口： “上帝不强迫任何人；但如果祂愿意，而我们不愿，那么我们的得救便不可能实现，这并非因为祂的意愿无力，而是因为祂不愿强迫任何人；”</w:t>
      </w:r>
      <w:r>
        <w:rPr>
          <w:rStyle w:val="FootnoteReference"/>
        </w:rPr>
        <w:footnoteReference w:id="772"/>
      </w:r>
      <w:r w:rsidRPr="006A21F9">
        <w:rPr>
          <w:lang w:val="ru-RU"/>
        </w:rPr>
        <w:t xml:space="preserve"> </w:t>
      </w:r>
      <w:r w:rsidRPr="006A21F9">
        <w:rPr>
          <w:b/>
          <w:bCs/>
          <w:lang w:val="ru-RU"/>
        </w:rPr>
        <w:t>c)</w:t>
      </w:r>
      <w:r w:rsidRPr="006A21F9">
        <w:rPr>
          <w:lang w:val="ru-RU"/>
        </w:rPr>
        <w:t xml:space="preserve"> 圣格里高利·神学家： “人的意志并不总是顺从，而是经常与上帝的意志相矛盾、相抗衡；”</w:t>
      </w:r>
      <w:r>
        <w:rPr>
          <w:rStyle w:val="FootnoteReference"/>
        </w:rPr>
        <w:footnoteReference w:id="773"/>
      </w:r>
      <w:r w:rsidRPr="006A21F9">
        <w:rPr>
          <w:lang w:val="ru-RU"/>
        </w:rPr>
        <w:t xml:space="preserve"> </w:t>
      </w:r>
      <w:r w:rsidRPr="006A21F9">
        <w:rPr>
          <w:b/>
          <w:bCs/>
          <w:lang w:val="ru-RU"/>
        </w:rPr>
        <w:t>d)</w:t>
      </w:r>
      <w:r w:rsidRPr="006A21F9">
        <w:rPr>
          <w:lang w:val="ru-RU"/>
        </w:rPr>
        <w:t xml:space="preserve"> 圣大巴西尔： “圣灵住在每一个乐于接受祂的人里面，如同祂独有的属性一般，并将全然的恩典充分倾注于众人，领受圣餐者根据自身所能接受的程度来享受这恩典，而非根据圣灵所能给予的程度；”</w:t>
      </w:r>
      <w:r>
        <w:rPr>
          <w:rStyle w:val="FootnoteReference"/>
        </w:rPr>
        <w:footnoteReference w:id="774"/>
      </w:r>
      <w:r w:rsidRPr="006A21F9">
        <w:rPr>
          <w:lang w:val="ru-RU"/>
        </w:rPr>
        <w:t xml:space="preserve"> </w:t>
      </w:r>
      <w:r w:rsidRPr="006A21F9">
        <w:rPr>
          <w:b/>
          <w:bCs/>
          <w:lang w:val="ru-RU"/>
        </w:rPr>
        <w:t>e)</w:t>
      </w:r>
      <w:r w:rsidRPr="006A21F9">
        <w:rPr>
          <w:lang w:val="ru-RU"/>
        </w:rPr>
        <w:t xml:space="preserve"> 圣马卡里乌斯（埃及）： “人的本性既能接受善也能接受恶，既能接受神圣的恩典也能接受与其相悖的力量，但不能被强迫去接受任何一方。”</w:t>
      </w:r>
      <w:r>
        <w:rPr>
          <w:rStyle w:val="FootnoteReference"/>
        </w:rPr>
        <w:footnoteReference w:id="775"/>
      </w:r>
      <w:r w:rsidRPr="006A21F9">
        <w:rPr>
          <w:lang w:val="ru-RU"/>
        </w:rPr>
        <w:t xml:space="preserve"> “若没有人的意志同意，上帝本身不会在人身上产生任何事物，尽管祂本可以这样做，这是因为人被赋予了自由。”</w:t>
      </w:r>
      <w:r>
        <w:rPr>
          <w:rStyle w:val="FootnoteReference"/>
        </w:rPr>
        <w:footnoteReference w:id="776"/>
      </w:r>
      <w:r w:rsidRPr="006A21F9">
        <w:rPr>
          <w:lang w:val="ru-RU"/>
        </w:rPr>
        <w:t xml:space="preserve"> “即便是那些在恩典中臻于完美的使徒们，若他们愿意，恩典也不会阻止他们按自己的意愿行事，哪怕是违背恩典的意愿，尽管他们无法犯罪，因为他们被如此的光照耀，蒙受了如此的恩典，因此不会自高</w:t>
      </w:r>
      <w:r w:rsidRPr="006A21F9">
        <w:rPr>
          <w:lang w:val="ru-RU"/>
        </w:rPr>
        <w:lastRenderedPageBreak/>
        <w:t>自大。”</w:t>
      </w:r>
      <w:r>
        <w:rPr>
          <w:rStyle w:val="FootnoteReference"/>
        </w:rPr>
        <w:footnoteReference w:id="777"/>
      </w:r>
      <w:r w:rsidRPr="006A21F9">
        <w:rPr>
          <w:lang w:val="ru-RU"/>
        </w:rPr>
        <w:t xml:space="preserve"> “主要求那些臻于完美之人，以灵魂的意志服侍圣灵，使意志与恩典相互协调；因为使徒说：</w:t>
      </w:r>
      <w:r w:rsidRPr="006A21F9">
        <w:rPr>
          <w:i/>
          <w:iCs/>
          <w:lang w:val="ru-RU"/>
        </w:rPr>
        <w:t>‘不要熄灭圣灵的火</w:t>
      </w:r>
      <w:r w:rsidRPr="006A21F9">
        <w:rPr>
          <w:lang w:val="ru-RU"/>
        </w:rPr>
        <w:t>’（帖前5:19）。”</w:t>
      </w:r>
      <w:r>
        <w:rPr>
          <w:rStyle w:val="FootnoteReference"/>
        </w:rPr>
        <w:footnoteReference w:id="778"/>
      </w:r>
    </w:p>
    <w:p w14:paraId="79AC843E" w14:textId="77777777" w:rsidR="00BE1885" w:rsidRPr="006A21F9" w:rsidRDefault="00BE1885" w:rsidP="00BE1885">
      <w:pPr>
        <w:ind w:firstLine="708"/>
        <w:rPr>
          <w:lang w:val="ru-RU"/>
        </w:rPr>
      </w:pPr>
      <w:r w:rsidRPr="006A21F9">
        <w:rPr>
          <w:b/>
          <w:bCs/>
          <w:lang w:val="ru-RU"/>
        </w:rPr>
        <w:t>5.</w:t>
      </w:r>
      <w:r w:rsidRPr="006A21F9">
        <w:rPr>
          <w:lang w:val="ru-RU"/>
        </w:rPr>
        <w:t xml:space="preserve"> 理智方面，人们不得不注意到：如果上帝的恩典限制了人的自由，并强行将其引向善，那么人的美德动机 便荡然无存，其善行也失去了任何功劳，甚至整个道德体系都会被动摇，而这一切的罪魁祸首——竟是上帝本人！ 我们能容许这样的想法吗？诚然，理性无法解释上帝那强大的力量在作用于人时，如何能不侵犯人的自由，也无法精确界定二者之间的相互关系；</w:t>
      </w:r>
      <w:r>
        <w:rPr>
          <w:rStyle w:val="FootnoteReference"/>
        </w:rPr>
        <w:footnoteReference w:id="779"/>
      </w:r>
      <w:r w:rsidRPr="006A21F9">
        <w:rPr>
          <w:lang w:val="ru-RU"/>
        </w:rPr>
        <w:t xml:space="preserve"> 但尽管如此，当我们有充分理由相信：人在受恩典影响时，不仅不会丧失自由，反而积极参与</w:t>
      </w:r>
      <w:r w:rsidRPr="001E4083">
        <w:t>恩典</w:t>
      </w:r>
      <w:r w:rsidRPr="006A21F9">
        <w:rPr>
          <w:lang w:val="ru-RU"/>
        </w:rPr>
        <w:t>在他身上及通过他所施行的作为时，这个奥秘对我们而言就应当毫无疑义。</w:t>
      </w:r>
    </w:p>
    <w:p w14:paraId="6A5A46E4" w14:textId="77777777" w:rsidR="00BE1885" w:rsidRPr="006A21F9" w:rsidRDefault="00BE1885" w:rsidP="00BE1885">
      <w:pPr>
        <w:rPr>
          <w:lang w:val="ru-RU"/>
        </w:rPr>
      </w:pPr>
    </w:p>
    <w:p w14:paraId="245E8926" w14:textId="77777777" w:rsidR="00BE1885" w:rsidRPr="006A21F9" w:rsidRDefault="00BE1885" w:rsidP="00BE1885">
      <w:pPr>
        <w:pStyle w:val="Heading5"/>
        <w:rPr>
          <w:lang w:val="ru-RU"/>
        </w:rPr>
      </w:pPr>
      <w:bookmarkStart w:id="638" w:name="_Toc133142957"/>
      <w:bookmarkStart w:id="639" w:name="_Toc133166314"/>
      <w:bookmarkStart w:id="640" w:name="_Toc182221524"/>
      <w:bookmarkStart w:id="641" w:name="_Toc238453091"/>
      <w:bookmarkStart w:id="642" w:name="_Toc238453891"/>
      <w:bookmarkStart w:id="643" w:name="_Toc238576551"/>
      <w:r w:rsidRPr="006A21F9">
        <w:rPr>
          <w:bCs/>
          <w:lang w:val="ru-RU"/>
        </w:rPr>
        <w:t xml:space="preserve">§194. </w:t>
      </w:r>
      <w:r w:rsidRPr="006A21F9">
        <w:rPr>
          <w:lang w:val="ru-RU"/>
        </w:rPr>
        <w:t>人积极参与了上帝的恩典在他身上以及通过他所成就的事工</w:t>
      </w:r>
      <w:bookmarkEnd w:id="638"/>
      <w:bookmarkEnd w:id="639"/>
      <w:bookmarkEnd w:id="640"/>
      <w:bookmarkEnd w:id="641"/>
      <w:bookmarkEnd w:id="642"/>
      <w:bookmarkEnd w:id="643"/>
    </w:p>
    <w:p w14:paraId="59C034FE" w14:textId="77777777" w:rsidR="00BE1885" w:rsidRPr="006A21F9" w:rsidRDefault="00BE1885" w:rsidP="00BE1885">
      <w:pPr>
        <w:ind w:firstLine="708"/>
        <w:rPr>
          <w:lang w:val="ru-RU"/>
        </w:rPr>
      </w:pPr>
      <w:r w:rsidRPr="006A21F9">
        <w:rPr>
          <w:b/>
          <w:bCs/>
          <w:lang w:val="ru-RU"/>
        </w:rPr>
        <w:t>1.</w:t>
      </w:r>
      <w:r w:rsidRPr="006A21F9">
        <w:rPr>
          <w:lang w:val="ru-RU"/>
        </w:rPr>
        <w:t xml:space="preserve"> 圣经非常明确地指出，人从始至终的成圣之事，既是上帝恩典的作为，也是人自身的作为。 经上这样说：</w:t>
      </w:r>
      <w:r w:rsidRPr="006A21F9">
        <w:rPr>
          <w:b/>
          <w:bCs/>
          <w:lang w:val="ru-RU"/>
        </w:rPr>
        <w:t>a)</w:t>
      </w:r>
      <w:r w:rsidRPr="006A21F9">
        <w:rPr>
          <w:lang w:val="ru-RU"/>
        </w:rPr>
        <w:t xml:space="preserve"> 关于人的归信：</w:t>
      </w:r>
      <w:r w:rsidRPr="006A21F9">
        <w:rPr>
          <w:i/>
          <w:iCs/>
          <w:lang w:val="ru-RU"/>
        </w:rPr>
        <w:t>“你使我回转，我就回转</w:t>
      </w:r>
      <w:r w:rsidRPr="006A21F9">
        <w:rPr>
          <w:lang w:val="ru-RU"/>
        </w:rPr>
        <w:t>”（耶31:18）；另一方面：</w:t>
      </w:r>
      <w:r w:rsidRPr="006A21F9">
        <w:rPr>
          <w:i/>
          <w:iCs/>
          <w:lang w:val="ru-RU"/>
        </w:rPr>
        <w:t>“万军之耶和华说：‘你们要归向我，我就必归向你们</w:t>
      </w:r>
      <w:r w:rsidRPr="006A21F9">
        <w:rPr>
          <w:lang w:val="ru-RU"/>
        </w:rPr>
        <w:t>’”（亚1:3）；又如：</w:t>
      </w:r>
      <w:r w:rsidRPr="006A21F9">
        <w:rPr>
          <w:i/>
          <w:iCs/>
          <w:lang w:val="ru-RU"/>
        </w:rPr>
        <w:t>“你们要亲近神，神就必亲近你们</w:t>
      </w:r>
      <w:r w:rsidRPr="006A21F9">
        <w:rPr>
          <w:lang w:val="ru-RU"/>
        </w:rPr>
        <w:t xml:space="preserve">”（雅4:8）； “与神和好”（林后5:20）； </w:t>
      </w:r>
      <w:r w:rsidRPr="006A21F9">
        <w:rPr>
          <w:b/>
          <w:bCs/>
          <w:lang w:val="ru-RU"/>
        </w:rPr>
        <w:t>b)</w:t>
      </w:r>
      <w:r w:rsidRPr="006A21F9">
        <w:rPr>
          <w:lang w:val="ru-RU"/>
        </w:rPr>
        <w:t xml:space="preserve"> 关于跟随基督：</w:t>
      </w:r>
      <w:r w:rsidRPr="006A21F9">
        <w:rPr>
          <w:i/>
          <w:iCs/>
          <w:lang w:val="ru-RU"/>
        </w:rPr>
        <w:t>若不是差我来的父吸引人</w:t>
      </w:r>
      <w:r w:rsidRPr="006A21F9">
        <w:rPr>
          <w:lang w:val="ru-RU"/>
        </w:rPr>
        <w:t>，</w:t>
      </w:r>
      <w:r w:rsidRPr="006A21F9">
        <w:rPr>
          <w:i/>
          <w:iCs/>
          <w:lang w:val="ru-RU"/>
        </w:rPr>
        <w:t>就没有人能到我这里来</w:t>
      </w:r>
      <w:r w:rsidRPr="006A21F9">
        <w:rPr>
          <w:lang w:val="ru-RU"/>
        </w:rPr>
        <w:t>（约6:44），另一方面：</w:t>
      </w:r>
      <w:r w:rsidRPr="006A21F9">
        <w:rPr>
          <w:i/>
          <w:iCs/>
          <w:lang w:val="ru-RU"/>
        </w:rPr>
        <w:t>不背起自己的十字架跟从我的，就不配作我的门徒</w:t>
      </w:r>
      <w:r w:rsidRPr="006A21F9">
        <w:rPr>
          <w:lang w:val="ru-RU"/>
        </w:rPr>
        <w:t xml:space="preserve">[（太10:38）；参（太19:21）]； </w:t>
      </w:r>
      <w:r w:rsidRPr="006A21F9">
        <w:rPr>
          <w:b/>
          <w:bCs/>
          <w:lang w:val="ru-RU"/>
        </w:rPr>
        <w:t>c)</w:t>
      </w:r>
      <w:r w:rsidRPr="006A21F9">
        <w:rPr>
          <w:lang w:val="ru-RU"/>
        </w:rPr>
        <w:t xml:space="preserve"> 关于重生：</w:t>
      </w:r>
      <w:r w:rsidRPr="006A21F9">
        <w:rPr>
          <w:i/>
          <w:iCs/>
          <w:lang w:val="ru-RU"/>
        </w:rPr>
        <w:t>人若不是从水和圣灵生的，就不能进神的国</w:t>
      </w:r>
      <w:r w:rsidRPr="006A21F9">
        <w:rPr>
          <w:lang w:val="ru-RU"/>
        </w:rPr>
        <w:t>（约3:5），同时：</w:t>
      </w:r>
      <w:r w:rsidRPr="006A21F9">
        <w:rPr>
          <w:i/>
          <w:iCs/>
          <w:lang w:val="ru-RU"/>
        </w:rPr>
        <w:t>你们要悔改，每人要奉耶稣基督的名受洗，使你们的罪得赦免；你们就必领受圣灵的恩赐</w:t>
      </w:r>
      <w:r w:rsidRPr="006A21F9">
        <w:rPr>
          <w:lang w:val="ru-RU"/>
        </w:rPr>
        <w:t xml:space="preserve">（徒2:38）； </w:t>
      </w:r>
      <w:r w:rsidRPr="006A21F9">
        <w:rPr>
          <w:b/>
          <w:bCs/>
          <w:lang w:val="ru-RU"/>
        </w:rPr>
        <w:t>d)</w:t>
      </w:r>
      <w:r w:rsidRPr="006A21F9">
        <w:rPr>
          <w:lang w:val="ru-RU"/>
        </w:rPr>
        <w:t xml:space="preserve"> 关于更新：</w:t>
      </w:r>
      <w:r w:rsidRPr="006A21F9">
        <w:rPr>
          <w:i/>
          <w:iCs/>
          <w:lang w:val="ru-RU"/>
        </w:rPr>
        <w:t>我要赐给他们一颗统一的心，将新的灵放在他们里面，从他们肉体中取走那颗石心，赐给他们一颗肉心，使他们遵行我的诫命，谨守我的律例</w:t>
      </w:r>
      <w:r w:rsidRPr="006A21F9">
        <w:rPr>
          <w:lang w:val="ru-RU"/>
        </w:rPr>
        <w:t xml:space="preserve">（以西结书 11:19-20），以及： </w:t>
      </w:r>
      <w:r w:rsidRPr="006A21F9">
        <w:rPr>
          <w:i/>
          <w:iCs/>
          <w:lang w:val="ru-RU"/>
        </w:rPr>
        <w:t>“你们要将一切所犯的罪从自己身上除掉，为自己造一颗新心和一个新</w:t>
      </w:r>
      <w:r w:rsidRPr="006A21F9">
        <w:rPr>
          <w:lang w:val="ru-RU"/>
        </w:rPr>
        <w:t>灵，并遵行我的一切诫命”[（耶18:31）；引自 （雅各书 4:8)]；</w:t>
      </w:r>
      <w:r w:rsidRPr="006A21F9">
        <w:rPr>
          <w:b/>
          <w:bCs/>
          <w:lang w:val="ru-RU"/>
        </w:rPr>
        <w:t>d）</w:t>
      </w:r>
      <w:r w:rsidRPr="006A21F9">
        <w:rPr>
          <w:lang w:val="ru-RU"/>
        </w:rPr>
        <w:t>关于与基督联合：</w:t>
      </w:r>
      <w:r w:rsidRPr="006A21F9">
        <w:rPr>
          <w:i/>
          <w:iCs/>
          <w:lang w:val="ru-RU"/>
        </w:rPr>
        <w:t>你们要常在我里面，我也常在你们里面</w:t>
      </w:r>
      <w:r w:rsidRPr="006A21F9">
        <w:rPr>
          <w:lang w:val="ru-RU"/>
        </w:rPr>
        <w:t>（约翰福音 15:4），以及：</w:t>
      </w:r>
      <w:r w:rsidRPr="006A21F9">
        <w:rPr>
          <w:i/>
          <w:iCs/>
          <w:lang w:val="ru-RU"/>
        </w:rPr>
        <w:t>常在我里面的，我也常在他里面，这人就多结果子</w:t>
      </w:r>
      <w:r w:rsidRPr="006A21F9">
        <w:rPr>
          <w:lang w:val="ru-RU"/>
        </w:rPr>
        <w:t>（约翰福音 15:5）。</w:t>
      </w:r>
    </w:p>
    <w:p w14:paraId="3DBDEB56" w14:textId="77777777" w:rsidR="00BE1885" w:rsidRPr="006A21F9" w:rsidRDefault="00BE1885" w:rsidP="00BE1885">
      <w:pPr>
        <w:ind w:firstLine="708"/>
        <w:rPr>
          <w:lang w:val="ru-RU"/>
        </w:rPr>
      </w:pPr>
      <w:r w:rsidRPr="006A21F9">
        <w:rPr>
          <w:b/>
          <w:bCs/>
          <w:lang w:val="ru-RU"/>
        </w:rPr>
        <w:t>2.</w:t>
      </w:r>
      <w:r w:rsidRPr="006A21F9">
        <w:rPr>
          <w:lang w:val="ru-RU"/>
        </w:rPr>
        <w:t xml:space="preserve"> 圣经在见证以下事实时，也表达了同样的真理：人的自由决定了：</w:t>
      </w:r>
      <w:r w:rsidRPr="006A21F9">
        <w:rPr>
          <w:b/>
          <w:bCs/>
          <w:lang w:val="ru-RU"/>
        </w:rPr>
        <w:t>a)</w:t>
      </w:r>
      <w:r w:rsidRPr="006A21F9">
        <w:rPr>
          <w:lang w:val="ru-RU"/>
        </w:rPr>
        <w:t xml:space="preserve"> 行善或作恶：</w:t>
      </w:r>
      <w:r w:rsidRPr="006A21F9">
        <w:rPr>
          <w:i/>
          <w:iCs/>
          <w:lang w:val="ru-RU"/>
        </w:rPr>
        <w:t>你们若愿意，又听从，就必享用地上的美物；若不愿意，又悖逆，刀剑必吞灭你们</w:t>
      </w:r>
      <w:r w:rsidRPr="006A21F9">
        <w:rPr>
          <w:lang w:val="ru-RU"/>
        </w:rPr>
        <w:t xml:space="preserve">（赛1:19-20）； </w:t>
      </w:r>
      <w:r w:rsidRPr="006A21F9">
        <w:rPr>
          <w:b/>
          <w:bCs/>
          <w:lang w:val="ru-RU"/>
        </w:rPr>
        <w:t>b)</w:t>
      </w:r>
      <w:r w:rsidRPr="006A21F9">
        <w:rPr>
          <w:lang w:val="ru-RU"/>
        </w:rPr>
        <w:t xml:space="preserve"> 是否跟随基督</w:t>
      </w:r>
      <w:r w:rsidRPr="006A21F9">
        <w:rPr>
          <w:i/>
          <w:iCs/>
          <w:lang w:val="ru-RU"/>
        </w:rPr>
        <w:t>：若有人要跟从我，就当舍己，背起他的十字架，跟从我</w:t>
      </w:r>
      <w:r w:rsidRPr="006A21F9">
        <w:rPr>
          <w:lang w:val="ru-RU"/>
        </w:rPr>
        <w:t xml:space="preserve">（马太福音 16:24）； </w:t>
      </w:r>
      <w:r w:rsidRPr="006A21F9">
        <w:rPr>
          <w:b/>
          <w:bCs/>
          <w:lang w:val="ru-RU"/>
        </w:rPr>
        <w:t>c)</w:t>
      </w:r>
      <w:r w:rsidRPr="006A21F9">
        <w:rPr>
          <w:lang w:val="ru-RU"/>
        </w:rPr>
        <w:t xml:space="preserve"> 追求至高的完美：</w:t>
      </w:r>
      <w:r w:rsidRPr="006A21F9">
        <w:rPr>
          <w:i/>
          <w:iCs/>
          <w:lang w:val="ru-RU"/>
        </w:rPr>
        <w:t>你若要完全，去变卖你的财物分给穷人，就必有财宝在天上；然后来跟从我</w:t>
      </w:r>
      <w:r w:rsidRPr="006A21F9">
        <w:rPr>
          <w:lang w:val="ru-RU"/>
        </w:rPr>
        <w:t>（太19:21）。</w:t>
      </w:r>
    </w:p>
    <w:p w14:paraId="39FA0DC5" w14:textId="77777777" w:rsidR="00BE1885" w:rsidRPr="006A21F9" w:rsidRDefault="00BE1885" w:rsidP="00BE1885">
      <w:pPr>
        <w:ind w:firstLine="708"/>
        <w:rPr>
          <w:lang w:val="ru-RU"/>
        </w:rPr>
      </w:pPr>
      <w:r w:rsidRPr="006A21F9">
        <w:rPr>
          <w:b/>
          <w:bCs/>
          <w:lang w:val="ru-RU"/>
        </w:rPr>
        <w:t>3.</w:t>
      </w:r>
      <w:r w:rsidRPr="006A21F9">
        <w:rPr>
          <w:lang w:val="ru-RU"/>
        </w:rPr>
        <w:t xml:space="preserve"> 最后，同样的真理也体现在圣经中那些将人的善行：</w:t>
      </w:r>
      <w:r w:rsidRPr="006A21F9">
        <w:rPr>
          <w:b/>
          <w:bCs/>
          <w:lang w:val="ru-RU"/>
        </w:rPr>
        <w:t>a)</w:t>
      </w:r>
      <w:r w:rsidRPr="006A21F9">
        <w:rPr>
          <w:lang w:val="ru-RU"/>
        </w:rPr>
        <w:t xml:space="preserve"> 称为他自己的地方：</w:t>
      </w:r>
      <w:r w:rsidRPr="006A21F9">
        <w:rPr>
          <w:i/>
          <w:iCs/>
          <w:lang w:val="ru-RU"/>
        </w:rPr>
        <w:t>你们的光也当这样照在人前，叫他们看见你们的好行为</w:t>
      </w:r>
      <w:r w:rsidRPr="006A21F9">
        <w:rPr>
          <w:lang w:val="ru-RU"/>
        </w:rPr>
        <w:t xml:space="preserve">（太5:16）； </w:t>
      </w:r>
      <w:r w:rsidRPr="006A21F9">
        <w:rPr>
          <w:i/>
          <w:iCs/>
          <w:lang w:val="ru-RU"/>
        </w:rPr>
        <w:t>“你们要刚强，不可动摇，总要在主的工作上不断进步，因为你们知道，在主面前，你们的劳苦并非徒然</w:t>
      </w:r>
      <w:r w:rsidRPr="006A21F9">
        <w:rPr>
          <w:lang w:val="ru-RU"/>
        </w:rPr>
        <w:t xml:space="preserve">”[（林前15:58）；引自 （帖后 1:3）；（来 </w:t>
      </w:r>
      <w:r w:rsidRPr="006A21F9">
        <w:rPr>
          <w:lang w:val="ru-RU"/>
        </w:rPr>
        <w:lastRenderedPageBreak/>
        <w:t>6:10）]；</w:t>
      </w:r>
      <w:r w:rsidRPr="006A21F9">
        <w:rPr>
          <w:b/>
          <w:bCs/>
          <w:lang w:val="ru-RU"/>
        </w:rPr>
        <w:t>b）</w:t>
      </w:r>
      <w:r w:rsidRPr="006A21F9">
        <w:rPr>
          <w:lang w:val="ru-RU"/>
        </w:rPr>
        <w:t>被视为他的功劳：</w:t>
      </w:r>
      <w:r w:rsidRPr="006A21F9">
        <w:rPr>
          <w:i/>
          <w:iCs/>
          <w:lang w:val="ru-RU"/>
        </w:rPr>
        <w:t>“你们要谨慎，免得我们所劳碌的归于徒然，却要得着完全的赏赐”</w:t>
      </w:r>
      <w:r w:rsidRPr="006A21F9">
        <w:rPr>
          <w:lang w:val="ru-RU"/>
        </w:rPr>
        <w:t>（约二 1</w:t>
      </w:r>
      <w:r w:rsidRPr="006A21F9">
        <w:rPr>
          <w:rFonts w:cs="Cambria Math"/>
          <w:lang w:val="ru-RU"/>
        </w:rPr>
        <w:t>:</w:t>
      </w:r>
      <w:r w:rsidRPr="006A21F9">
        <w:rPr>
          <w:lang w:val="ru-RU"/>
        </w:rPr>
        <w:t xml:space="preserve">8）； </w:t>
      </w:r>
      <w:r w:rsidRPr="006A21F9">
        <w:rPr>
          <w:i/>
          <w:iCs/>
          <w:lang w:val="ru-RU"/>
        </w:rPr>
        <w:t>各人必按自己的劳苦得着赏赐</w:t>
      </w:r>
      <w:r w:rsidRPr="006A21F9">
        <w:rPr>
          <w:lang w:val="ru-RU"/>
        </w:rPr>
        <w:t>（林前3:8）。</w:t>
      </w:r>
      <w:r w:rsidRPr="006A21F9">
        <w:rPr>
          <w:i/>
          <w:iCs/>
          <w:lang w:val="ru-RU"/>
        </w:rPr>
        <w:t>凡因门徒的名，只把一杯凉水给这些小者中的一位喝的，我实在告诉你们，他必不能失去他的赏赐</w:t>
      </w:r>
      <w:r w:rsidRPr="006A21F9">
        <w:rPr>
          <w:lang w:val="ru-RU"/>
        </w:rPr>
        <w:t xml:space="preserve">（太10:42）。 </w:t>
      </w:r>
      <w:r w:rsidRPr="006A21F9">
        <w:rPr>
          <w:i/>
          <w:iCs/>
          <w:lang w:val="ru-RU"/>
        </w:rPr>
        <w:t xml:space="preserve">我已经打完美好的仗，跑完当跑的路，守住了信仰；如今那公义的冠冕为我存留，到那日，公义的审判主必将它赐给我；不仅赐给我，也赐给所有爱慕祂显现的人 </w:t>
      </w:r>
      <w:r w:rsidRPr="006A21F9">
        <w:rPr>
          <w:lang w:val="ru-RU"/>
        </w:rPr>
        <w:t>[(提摩太后书 4:7-8)；引自 （太5:12）；（林前4:5），（林前15:58）；（启22:15）]。</w:t>
      </w:r>
    </w:p>
    <w:p w14:paraId="48EF1C00" w14:textId="77777777" w:rsidR="00BE1885" w:rsidRPr="006A21F9" w:rsidRDefault="00BE1885" w:rsidP="00BE1885">
      <w:pPr>
        <w:ind w:firstLine="708"/>
        <w:rPr>
          <w:lang w:val="ru-RU"/>
        </w:rPr>
      </w:pPr>
      <w:r w:rsidRPr="006A21F9">
        <w:rPr>
          <w:b/>
          <w:bCs/>
          <w:lang w:val="ru-RU"/>
        </w:rPr>
        <w:t>4.</w:t>
      </w:r>
      <w:r w:rsidRPr="006A21F9">
        <w:rPr>
          <w:lang w:val="ru-RU"/>
        </w:rPr>
        <w:t xml:space="preserve"> 圣父们和教会的导师们曾宣讲：</w:t>
      </w:r>
    </w:p>
    <w:p w14:paraId="18121940" w14:textId="77777777" w:rsidR="00BE1885" w:rsidRPr="006A21F9" w:rsidRDefault="00BE1885" w:rsidP="00BE1885">
      <w:pPr>
        <w:rPr>
          <w:lang w:val="ru-RU"/>
        </w:rPr>
      </w:pPr>
      <w:r w:rsidRPr="006A21F9">
        <w:rPr>
          <w:lang w:val="ru-RU"/>
        </w:rPr>
        <w:tab/>
        <w:t>耶路撒冷的圣西里尔：“播种和浇灌是上帝的事，结出果实是你的事；赐下恩典是上帝的事，领受并保守恩典是你的事。不要因为恩典是白白赐下的就轻视它，而是领受之后，要虔敬地保守它。”</w:t>
      </w:r>
      <w:r>
        <w:rPr>
          <w:rStyle w:val="FootnoteReference"/>
        </w:rPr>
        <w:footnoteReference w:id="780"/>
      </w:r>
    </w:p>
    <w:p w14:paraId="095F5949" w14:textId="77777777" w:rsidR="00BE1885" w:rsidRPr="006A21F9" w:rsidRDefault="00BE1885" w:rsidP="00BE1885">
      <w:pPr>
        <w:rPr>
          <w:lang w:val="ru-RU"/>
        </w:rPr>
      </w:pPr>
      <w:r w:rsidRPr="006A21F9">
        <w:rPr>
          <w:lang w:val="ru-RU"/>
        </w:rPr>
        <w:tab/>
        <w:t>圣格里高利·神学家：“美德不仅是伟大上帝的恩赐——祂以此尊荣了自己的形象；因为这也需要你的追求。它也不仅是你内心产生的产物；因为这需要至高无上的力量。 尽管视力再敏锐，却无法凭自身力量看见可见之物，也离不开那照亮我双眼、且本身亦为双眼所见的伟大光体。而要使我取得成功，需要伟大的上帝给予两部分，即起始与终结，同时也需要我自身贡献一份力量。 上帝使我能够接受美善，上帝赐予我力量，并在赛程中支撑我前行。我的脚步虽不轻快，但我仍怀着对奖赏的盼望，在奔跑中竭力奋力；因为基督是我的气息，我的力量，我奇妙的财富。”</w:t>
      </w:r>
      <w:r>
        <w:rPr>
          <w:rStyle w:val="FootnoteReference"/>
        </w:rPr>
        <w:footnoteReference w:id="781"/>
      </w:r>
    </w:p>
    <w:p w14:paraId="29F0FF5E" w14:textId="77777777" w:rsidR="00BE1885" w:rsidRPr="006A21F9" w:rsidRDefault="00BE1885" w:rsidP="00BE1885">
      <w:pPr>
        <w:rPr>
          <w:lang w:val="ru-RU"/>
        </w:rPr>
      </w:pPr>
      <w:r w:rsidRPr="006A21F9">
        <w:rPr>
          <w:lang w:val="ru-RU"/>
        </w:rPr>
        <w:tab/>
        <w:t>圣约翰·金口：“在领受了来自上天的恩典之后，行善或作恶都在于我们的意志。”</w:t>
      </w:r>
      <w:r>
        <w:rPr>
          <w:rStyle w:val="FootnoteReference"/>
        </w:rPr>
        <w:footnoteReference w:id="782"/>
      </w:r>
      <w:r w:rsidRPr="006A21F9">
        <w:rPr>
          <w:lang w:val="ru-RU"/>
        </w:rPr>
        <w:t xml:space="preserve"> “上帝开启那些渴望（认识真理）之人的心…… 关于那位贩卖朱红布的妇人，经上记载：</w:t>
      </w:r>
      <w:r w:rsidRPr="006A21F9">
        <w:rPr>
          <w:i/>
          <w:iCs/>
          <w:lang w:val="ru-RU"/>
        </w:rPr>
        <w:t>主开启了她的心，使她能听从保罗所讲的话</w:t>
      </w:r>
      <w:r w:rsidRPr="006A21F9">
        <w:rPr>
          <w:lang w:val="ru-RU"/>
        </w:rPr>
        <w:t>（使徒行传16:14）。因此，开启心灵是上帝的事，而倾听则是那妇人自身的事，所以这既是上帝的事，也是人的事。”</w:t>
      </w:r>
      <w:r>
        <w:rPr>
          <w:rStyle w:val="FootnoteReference"/>
        </w:rPr>
        <w:footnoteReference w:id="783"/>
      </w:r>
    </w:p>
    <w:p w14:paraId="1D817551" w14:textId="77777777" w:rsidR="00BE1885" w:rsidRPr="006A21F9" w:rsidRDefault="00BE1885" w:rsidP="00BE1885">
      <w:pPr>
        <w:rPr>
          <w:lang w:val="ru-RU"/>
        </w:rPr>
      </w:pPr>
      <w:r w:rsidRPr="006A21F9">
        <w:rPr>
          <w:lang w:val="ru-RU"/>
        </w:rPr>
        <w:tab/>
        <w:t>大圣巴西尔：“人在行善方面的意图若没有来自上天的帮助便无法实现，而那些未为此付出努力的人，上天的帮助也不会降临于他。相反，要实现美德，必须将两者结合起来——既要有人的热忱，也要有凭着信心从上天而来的帮助。”</w:t>
      </w:r>
      <w:r>
        <w:rPr>
          <w:rStyle w:val="FootnoteReference"/>
        </w:rPr>
        <w:footnoteReference w:id="784"/>
      </w:r>
    </w:p>
    <w:p w14:paraId="0A7E78CC" w14:textId="77777777" w:rsidR="00BE1885" w:rsidRPr="006A21F9" w:rsidRDefault="00BE1885" w:rsidP="00BE1885">
      <w:pPr>
        <w:rPr>
          <w:lang w:val="ru-RU"/>
        </w:rPr>
      </w:pPr>
      <w:r w:rsidRPr="006A21F9">
        <w:rPr>
          <w:lang w:val="ru-RU"/>
        </w:rPr>
        <w:tab/>
        <w:t>埃及的圣马卡里：“上帝命令人先用理智认识善，认识之后便要爱它，并凭意志行善。但使理智能够行动、承受劳苦并完成事工的力量，则是恩典赐予那些愿意且信靠的人的。”</w:t>
      </w:r>
      <w:r>
        <w:rPr>
          <w:rStyle w:val="FootnoteReference"/>
        </w:rPr>
        <w:footnoteReference w:id="785"/>
      </w:r>
    </w:p>
    <w:p w14:paraId="30ECF1D1" w14:textId="77777777" w:rsidR="00BE1885" w:rsidRPr="006A21F9" w:rsidRDefault="00BE1885" w:rsidP="00BE1885">
      <w:pPr>
        <w:rPr>
          <w:lang w:val="ru-RU"/>
        </w:rPr>
      </w:pPr>
      <w:r w:rsidRPr="006A21F9">
        <w:rPr>
          <w:lang w:val="ru-RU"/>
        </w:rPr>
        <w:tab/>
        <w:t>福者狄奥多里特：“使徒</w:t>
      </w:r>
      <w:r w:rsidRPr="006A21F9">
        <w:rPr>
          <w:i/>
          <w:iCs/>
          <w:lang w:val="ru-RU"/>
        </w:rPr>
        <w:t>将因基督之故不仅信靠祂，而且为祂受苦</w:t>
      </w:r>
      <w:r w:rsidRPr="006A21F9">
        <w:rPr>
          <w:lang w:val="ru-RU"/>
        </w:rPr>
        <w:t>（腓1:29）称为上帝的恩赐，这并非否定（人的）自由意志的参与，而是教导我们：若缺乏恩典，意志本身无法成就任何善事。 因为两者皆不可或缺：既需要我们行动的意愿或渴望，也需要上帝的协助。正如那些缺乏这种意愿的人仅靠圣灵的恩典是不够的，反之，单凭意愿若未蒙恩典支撑，也无法积聚美德的财富。”</w:t>
      </w:r>
      <w:r>
        <w:rPr>
          <w:rStyle w:val="FootnoteReference"/>
        </w:rPr>
        <w:footnoteReference w:id="786"/>
      </w:r>
    </w:p>
    <w:p w14:paraId="0D05B240" w14:textId="77777777" w:rsidR="00BE1885" w:rsidRPr="006A21F9" w:rsidRDefault="00BE1885" w:rsidP="00BE1885">
      <w:pPr>
        <w:rPr>
          <w:lang w:val="ru-RU"/>
        </w:rPr>
      </w:pPr>
      <w:r w:rsidRPr="006A21F9">
        <w:rPr>
          <w:lang w:val="ru-RU"/>
        </w:rPr>
        <w:lastRenderedPageBreak/>
        <w:tab/>
        <w:t>圣格里高利大帝：“至高圣者首先在我们里面不经我们参与就做些什么，以便当我们的自由意志随之而来时，能与我们一同成就我们所渴望的善。”</w:t>
      </w:r>
      <w:r>
        <w:rPr>
          <w:rStyle w:val="FootnoteReference"/>
        </w:rPr>
        <w:footnoteReference w:id="787"/>
      </w:r>
      <w:r w:rsidRPr="006A21F9">
        <w:rPr>
          <w:lang w:val="ru-RU"/>
        </w:rPr>
        <w:t xml:space="preserve"> “因此，在先有的恩典和随后产生的善意之下，那本是全能上帝的恩赐，便成了我们的功德。”</w:t>
      </w:r>
      <w:r>
        <w:rPr>
          <w:rStyle w:val="FootnoteReference"/>
        </w:rPr>
        <w:footnoteReference w:id="788"/>
      </w:r>
    </w:p>
    <w:p w14:paraId="2E93F421" w14:textId="77777777" w:rsidR="00BE1885" w:rsidRPr="006A21F9" w:rsidRDefault="00BE1885" w:rsidP="00BE1885">
      <w:pPr>
        <w:ind w:firstLine="708"/>
        <w:rPr>
          <w:lang w:val="ru-RU"/>
        </w:rPr>
      </w:pPr>
      <w:r w:rsidRPr="006A21F9">
        <w:rPr>
          <w:b/>
          <w:bCs/>
          <w:lang w:val="ru-RU"/>
        </w:rPr>
        <w:t>5.</w:t>
      </w:r>
      <w:r w:rsidRPr="006A21F9">
        <w:rPr>
          <w:lang w:val="ru-RU"/>
        </w:rPr>
        <w:t xml:space="preserve"> 若我们回顾自身的经历和历史，便会发现这一真理得到了新的印证。直接的自觉和对自身的密切观察向我们证实：</w:t>
      </w:r>
      <w:r w:rsidRPr="006A21F9">
        <w:rPr>
          <w:b/>
          <w:bCs/>
          <w:lang w:val="ru-RU"/>
        </w:rPr>
        <w:t xml:space="preserve">a) </w:t>
      </w:r>
      <w:r w:rsidRPr="006A21F9">
        <w:rPr>
          <w:lang w:val="ru-RU"/>
        </w:rPr>
        <w:t xml:space="preserve">我们这些藉着水和圣灵重生的人，在决定并实施善行时，并未感受到来自恩典的任何强迫； 相反，我们完全自由地从许多善行中选择并实施某一项，而且往往在尚未完成时，便凭自己的意愿放弃； </w:t>
      </w:r>
      <w:r w:rsidRPr="006A21F9">
        <w:rPr>
          <w:b/>
          <w:bCs/>
          <w:lang w:val="ru-RU"/>
        </w:rPr>
        <w:t xml:space="preserve">b) </w:t>
      </w:r>
      <w:r w:rsidRPr="006A21F9">
        <w:rPr>
          <w:lang w:val="ru-RU"/>
        </w:rPr>
        <w:t xml:space="preserve">我们行善并非轻而易举，需要付出特别的努力和参与，为此我们有时甚至必须奋战至流血（希伯来书 12:4），在恩典的帮助下，与我们得救的敌人进行不懈的争战； </w:t>
      </w:r>
      <w:r w:rsidRPr="006A21F9">
        <w:rPr>
          <w:b/>
          <w:bCs/>
          <w:lang w:val="ru-RU"/>
        </w:rPr>
        <w:t>c)</w:t>
      </w:r>
      <w:r w:rsidRPr="006A21F9">
        <w:rPr>
          <w:lang w:val="ru-RU"/>
        </w:rPr>
        <w:t xml:space="preserve"> 最后，我们常常在经历了许多壮举、长期操练虔敬之后，仍会违背神圣恩典的声音，重新回到以往的不虔与恶习之中。 而圣洁的基督教苦修者的历史，向我们生动地展示了两个方面：一方面，他们在美德上逐步 成长所付出的巨大努力；另一方面，即使达到道德完善的最高境界，人有时仍可能陷入罪恶。</w:t>
      </w:r>
    </w:p>
    <w:p w14:paraId="7D095646" w14:textId="77777777" w:rsidR="00BE1885" w:rsidRPr="006A21F9" w:rsidRDefault="00BE1885" w:rsidP="00BE1885">
      <w:pPr>
        <w:rPr>
          <w:lang w:val="ru-RU"/>
        </w:rPr>
      </w:pPr>
    </w:p>
    <w:p w14:paraId="6A3FB5C9" w14:textId="77777777" w:rsidR="00BE1885" w:rsidRPr="006A21F9" w:rsidRDefault="00BE1885" w:rsidP="00BE1885">
      <w:pPr>
        <w:pStyle w:val="Heading4"/>
        <w:rPr>
          <w:lang w:val="ru-RU"/>
        </w:rPr>
      </w:pPr>
      <w:bookmarkStart w:id="644" w:name="_Toc133142608"/>
      <w:bookmarkStart w:id="645" w:name="_Toc133142958"/>
      <w:bookmarkStart w:id="646" w:name="_Toc133166315"/>
      <w:bookmarkStart w:id="647" w:name="_Toc182221525"/>
      <w:bookmarkStart w:id="648" w:name="_Toc238453092"/>
      <w:bookmarkStart w:id="649" w:name="_Toc238453892"/>
      <w:bookmarkStart w:id="650" w:name="_Toc238454328"/>
      <w:bookmarkStart w:id="651" w:name="_Toc238466410"/>
      <w:bookmarkStart w:id="652" w:name="_Toc238576552"/>
      <w:r w:rsidRPr="001E4083">
        <w:rPr>
          <w:bCs/>
        </w:rPr>
        <w:t>III</w:t>
      </w:r>
      <w:r w:rsidRPr="006A21F9">
        <w:rPr>
          <w:bCs/>
          <w:lang w:val="ru-RU"/>
        </w:rPr>
        <w:t>.</w:t>
      </w:r>
      <w:r w:rsidRPr="006A21F9">
        <w:rPr>
          <w:lang w:val="ru-RU"/>
        </w:rPr>
        <w:t xml:space="preserve"> 关于人藉天主恩宠而成圣的本质与条件</w:t>
      </w:r>
      <w:bookmarkEnd w:id="644"/>
      <w:bookmarkEnd w:id="645"/>
      <w:bookmarkEnd w:id="646"/>
      <w:bookmarkEnd w:id="647"/>
      <w:bookmarkEnd w:id="648"/>
      <w:bookmarkEnd w:id="649"/>
      <w:bookmarkEnd w:id="650"/>
      <w:bookmarkEnd w:id="651"/>
      <w:bookmarkEnd w:id="652"/>
    </w:p>
    <w:p w14:paraId="292DD1B0" w14:textId="77777777" w:rsidR="00BE1885" w:rsidRPr="006A21F9" w:rsidRDefault="00BE1885" w:rsidP="00BE1885">
      <w:pPr>
        <w:rPr>
          <w:lang w:val="ru-RU"/>
        </w:rPr>
      </w:pPr>
      <w:r w:rsidRPr="006A21F9">
        <w:rPr>
          <w:lang w:val="ru-RU"/>
        </w:rPr>
        <w:tab/>
      </w:r>
    </w:p>
    <w:p w14:paraId="5DD21577" w14:textId="77777777" w:rsidR="00BE1885" w:rsidRPr="006A21F9" w:rsidRDefault="00BE1885" w:rsidP="00BE1885">
      <w:pPr>
        <w:pStyle w:val="Heading5"/>
        <w:rPr>
          <w:lang w:val="ru-RU"/>
        </w:rPr>
      </w:pPr>
      <w:bookmarkStart w:id="653" w:name="_Toc133142959"/>
      <w:bookmarkStart w:id="654" w:name="_Toc133166316"/>
      <w:bookmarkStart w:id="655" w:name="_Toc182221526"/>
      <w:bookmarkStart w:id="656" w:name="_Toc238453093"/>
      <w:bookmarkStart w:id="657" w:name="_Toc238453893"/>
      <w:bookmarkStart w:id="658" w:name="_Toc238576553"/>
      <w:r w:rsidRPr="006A21F9">
        <w:rPr>
          <w:bCs/>
          <w:lang w:val="ru-RU"/>
        </w:rPr>
        <w:t>§195.</w:t>
      </w:r>
      <w:r w:rsidRPr="006A21F9">
        <w:rPr>
          <w:lang w:val="ru-RU"/>
        </w:rPr>
        <w:t xml:space="preserve"> 教义的组成部分</w:t>
      </w:r>
      <w:bookmarkEnd w:id="653"/>
      <w:bookmarkEnd w:id="654"/>
      <w:bookmarkEnd w:id="655"/>
      <w:bookmarkEnd w:id="656"/>
      <w:bookmarkEnd w:id="657"/>
      <w:bookmarkEnd w:id="658"/>
    </w:p>
    <w:p w14:paraId="5F8E6FD6" w14:textId="77777777" w:rsidR="00BE1885" w:rsidRPr="006A21F9" w:rsidRDefault="00BE1885" w:rsidP="00BE1885">
      <w:pPr>
        <w:ind w:firstLine="708"/>
        <w:rPr>
          <w:lang w:val="ru-RU"/>
        </w:rPr>
      </w:pPr>
      <w:r w:rsidRPr="006A21F9">
        <w:rPr>
          <w:lang w:val="ru-RU"/>
        </w:rPr>
        <w:t>驳斥新教徒的谬误——他们以“称义”或“人藉恩典得成圣”之名，实则仅指赦免人的罪（尽管罪在人内仍存），以及将基督的义外在归算于人（尽管人实际上并未成为义人）；且将人的单方面“信”视为称义与成圣的唯一条件； 东正教会教导：</w:t>
      </w:r>
      <w:r w:rsidRPr="006A21F9">
        <w:rPr>
          <w:b/>
          <w:bCs/>
          <w:lang w:val="ru-RU"/>
        </w:rPr>
        <w:t>a)</w:t>
      </w:r>
      <w:r w:rsidRPr="006A21F9">
        <w:rPr>
          <w:lang w:val="ru-RU"/>
        </w:rPr>
        <w:t xml:space="preserve"> 人的成圣在于他确实藉着上帝的恩典从罪中得洁净，并藉此恩典的帮助成为义人和圣洁的人； </w:t>
      </w:r>
      <w:r w:rsidRPr="006A21F9">
        <w:rPr>
          <w:b/>
          <w:bCs/>
          <w:lang w:val="ru-RU"/>
        </w:rPr>
        <w:t>b)</w:t>
      </w:r>
      <w:r w:rsidRPr="006A21F9">
        <w:rPr>
          <w:lang w:val="ru-RU"/>
        </w:rPr>
        <w:t xml:space="preserve"> 信心仅是人获得成圣——进而获得救赎——的第一个条件，</w:t>
      </w:r>
      <w:r w:rsidRPr="006A21F9">
        <w:rPr>
          <w:b/>
          <w:bCs/>
          <w:lang w:val="ru-RU"/>
        </w:rPr>
        <w:t>但——c)</w:t>
      </w:r>
      <w:r w:rsidRPr="006A21F9">
        <w:rPr>
          <w:lang w:val="ru-RU"/>
        </w:rPr>
        <w:t xml:space="preserve"> 除了信心之外，人还必须行善（《正统信条》第1卷，对第103个问题的回答； 《东方教父论正统信仰》第9、</w:t>
      </w:r>
      <w:r w:rsidRPr="006D02F3">
        <w:rPr>
          <w:lang w:val="ru-RU"/>
        </w:rPr>
        <w:t>13、</w:t>
      </w:r>
      <w:r w:rsidRPr="006A21F9">
        <w:rPr>
          <w:lang w:val="ru-RU"/>
        </w:rPr>
        <w:t>16条）。</w:t>
      </w:r>
    </w:p>
    <w:p w14:paraId="76655D60" w14:textId="77777777" w:rsidR="00BE1885" w:rsidRPr="006A21F9" w:rsidRDefault="00BE1885" w:rsidP="00BE1885">
      <w:pPr>
        <w:rPr>
          <w:lang w:val="ru-RU"/>
        </w:rPr>
      </w:pPr>
      <w:r w:rsidRPr="006A21F9">
        <w:rPr>
          <w:lang w:val="ru-RU"/>
        </w:rPr>
        <w:tab/>
      </w:r>
    </w:p>
    <w:p w14:paraId="29BC16A6" w14:textId="77777777" w:rsidR="00BE1885" w:rsidRPr="006A21F9" w:rsidRDefault="00BE1885" w:rsidP="00BE1885">
      <w:pPr>
        <w:pStyle w:val="Heading5"/>
        <w:rPr>
          <w:lang w:val="ru-RU"/>
        </w:rPr>
      </w:pPr>
      <w:bookmarkStart w:id="659" w:name="_Toc133142960"/>
      <w:bookmarkStart w:id="660" w:name="_Toc133166317"/>
      <w:bookmarkStart w:id="661" w:name="_Toc182221527"/>
      <w:bookmarkStart w:id="662" w:name="_Toc238453094"/>
      <w:bookmarkStart w:id="663" w:name="_Toc238453894"/>
      <w:bookmarkStart w:id="664" w:name="_Toc238576554"/>
      <w:r w:rsidRPr="006A21F9">
        <w:rPr>
          <w:bCs/>
          <w:lang w:val="ru-RU"/>
        </w:rPr>
        <w:t>§196.</w:t>
      </w:r>
      <w:r w:rsidRPr="006A21F9">
        <w:rPr>
          <w:lang w:val="ru-RU"/>
        </w:rPr>
        <w:t xml:space="preserve"> 人的成圣在于：他确实借着上帝的恩典从罪中得洁净，并被造就为义人和圣人</w:t>
      </w:r>
      <w:bookmarkEnd w:id="659"/>
      <w:bookmarkEnd w:id="660"/>
      <w:bookmarkEnd w:id="661"/>
      <w:bookmarkEnd w:id="662"/>
      <w:bookmarkEnd w:id="663"/>
      <w:bookmarkEnd w:id="664"/>
    </w:p>
    <w:p w14:paraId="2FBDB200"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这一观点的正确性，以及与之相对的、所谓“人在称义与成圣时，仅是罪得赦免，且基督的义仅以表面形式归于他，而实际上他仍陷于罪中”这一观点的不正确性，在圣经中都有非常明确的阐述——</w:t>
      </w:r>
    </w:p>
    <w:p w14:paraId="1B627FB8" w14:textId="77777777" w:rsidR="00BE1885" w:rsidRPr="006A21F9" w:rsidRDefault="00BE1885" w:rsidP="00BE1885">
      <w:pPr>
        <w:ind w:firstLine="708"/>
        <w:rPr>
          <w:lang w:val="ru-RU"/>
        </w:rPr>
      </w:pPr>
      <w:r w:rsidRPr="006A21F9">
        <w:rPr>
          <w:b/>
          <w:bCs/>
          <w:lang w:val="ru-RU"/>
        </w:rPr>
        <w:t xml:space="preserve">1) </w:t>
      </w:r>
      <w:r w:rsidRPr="006A21F9">
        <w:rPr>
          <w:lang w:val="ru-RU"/>
        </w:rPr>
        <w:t>当</w:t>
      </w:r>
      <w:r w:rsidRPr="006A21F9">
        <w:rPr>
          <w:b/>
          <w:bCs/>
          <w:lang w:val="ru-RU"/>
        </w:rPr>
        <w:t>提到——a)</w:t>
      </w:r>
      <w:r w:rsidRPr="006A21F9">
        <w:rPr>
          <w:lang w:val="ru-RU"/>
        </w:rPr>
        <w:t xml:space="preserve"> 基督救主受难的目的时： </w:t>
      </w:r>
      <w:r w:rsidRPr="006A21F9">
        <w:rPr>
          <w:i/>
          <w:iCs/>
          <w:lang w:val="ru-RU"/>
        </w:rPr>
        <w:t>基督爱教会，为教会舍己，要用水藉着道把教会洗净，成为圣洁，好将教会献给自己，作荣耀的教会，毫无玷污、皱纹等类，乃是圣洁没有瑕疵的</w:t>
      </w:r>
      <w:r w:rsidRPr="006A21F9">
        <w:rPr>
          <w:lang w:val="ru-RU"/>
        </w:rPr>
        <w:t xml:space="preserve">（弗5:26-27）； </w:t>
      </w:r>
      <w:r w:rsidRPr="006A21F9">
        <w:rPr>
          <w:b/>
          <w:bCs/>
          <w:lang w:val="ru-RU"/>
        </w:rPr>
        <w:t>b)</w:t>
      </w:r>
      <w:r w:rsidRPr="006A21F9">
        <w:rPr>
          <w:lang w:val="ru-RU"/>
        </w:rPr>
        <w:t xml:space="preserve"> 关于祂在十字架上受死所结的果实：</w:t>
      </w:r>
      <w:r w:rsidRPr="006A21F9">
        <w:rPr>
          <w:i/>
          <w:iCs/>
          <w:lang w:val="ru-RU"/>
        </w:rPr>
        <w:t>祂儿子耶稣基督的血，洗净我们一切的罪</w:t>
      </w:r>
      <w:r w:rsidRPr="006A21F9">
        <w:rPr>
          <w:lang w:val="ru-RU"/>
        </w:rPr>
        <w:t>（约壹1:7），</w:t>
      </w:r>
      <w:r w:rsidRPr="006A21F9">
        <w:rPr>
          <w:i/>
          <w:iCs/>
          <w:lang w:val="ru-RU"/>
        </w:rPr>
        <w:t>祂是为我们的罪作了赎罪祭，不仅为我们的罪，也为全人类的罪</w:t>
      </w:r>
      <w:r w:rsidRPr="006A21F9">
        <w:rPr>
          <w:lang w:val="ru-RU"/>
        </w:rPr>
        <w:t xml:space="preserve">（约壹2:2）； </w:t>
      </w:r>
      <w:r w:rsidRPr="006A21F9">
        <w:rPr>
          <w:b/>
          <w:bCs/>
          <w:lang w:val="ru-RU"/>
        </w:rPr>
        <w:t>c)</w:t>
      </w:r>
      <w:r w:rsidRPr="006A21F9">
        <w:rPr>
          <w:lang w:val="ru-RU"/>
        </w:rPr>
        <w:t xml:space="preserve"> 关于在基督里的预选：</w:t>
      </w:r>
      <w:r w:rsidRPr="006A21F9">
        <w:rPr>
          <w:i/>
          <w:iCs/>
          <w:lang w:val="ru-RU"/>
        </w:rPr>
        <w:t>因为祂（神）在创世以前，就在基督里拣选了我们，使我们在祂面前因爱成为圣洁、毫无瑕疵</w:t>
      </w:r>
      <w:r w:rsidRPr="006A21F9">
        <w:rPr>
          <w:lang w:val="ru-RU"/>
        </w:rPr>
        <w:t xml:space="preserve">（以弗所书 1:4）。 </w:t>
      </w:r>
      <w:r w:rsidRPr="006A21F9">
        <w:rPr>
          <w:lang w:val="ru-RU"/>
        </w:rPr>
        <w:lastRenderedPageBreak/>
        <w:t>倘若神在基督里建立家室的全部目的，仅限于因救赎主的功绩使我们的罪得赦免，而非在我们里面被根除，那么我们该如何理解这些经文呢？</w:t>
      </w:r>
    </w:p>
    <w:p w14:paraId="2CCA87E4" w14:textId="77777777" w:rsidR="00BE1885" w:rsidRPr="006A21F9" w:rsidRDefault="00BE1885" w:rsidP="00BE1885">
      <w:pPr>
        <w:ind w:firstLine="708"/>
        <w:rPr>
          <w:lang w:val="ru-RU"/>
        </w:rPr>
      </w:pPr>
      <w:r w:rsidRPr="006A21F9">
        <w:rPr>
          <w:b/>
          <w:bCs/>
          <w:lang w:val="ru-RU"/>
        </w:rPr>
        <w:t xml:space="preserve">2) </w:t>
      </w:r>
      <w:r w:rsidRPr="006A21F9">
        <w:rPr>
          <w:lang w:val="ru-RU"/>
        </w:rPr>
        <w:t>当论及那些真正领受了救主所成就的救赎的基督徒时，经文指出他们：</w:t>
      </w:r>
      <w:r w:rsidRPr="006A21F9">
        <w:rPr>
          <w:b/>
          <w:bCs/>
          <w:lang w:val="ru-RU"/>
        </w:rPr>
        <w:t>a)</w:t>
      </w:r>
      <w:r w:rsidRPr="006A21F9">
        <w:rPr>
          <w:lang w:val="ru-RU"/>
        </w:rPr>
        <w:t xml:space="preserve"> 通过悔改并归向基督，从罪中得洁净：</w:t>
      </w:r>
      <w:r w:rsidRPr="006A21F9">
        <w:rPr>
          <w:i/>
          <w:iCs/>
          <w:lang w:val="ru-RU"/>
        </w:rPr>
        <w:t>“你们当悔改归正，使你们的罪得以涂抹</w:t>
      </w:r>
      <w:r w:rsidRPr="006A21F9">
        <w:rPr>
          <w:lang w:val="ru-RU"/>
        </w:rPr>
        <w:t xml:space="preserve">”（徒3:19）； </w:t>
      </w:r>
      <w:r w:rsidRPr="006A21F9">
        <w:rPr>
          <w:i/>
          <w:iCs/>
          <w:lang w:val="ru-RU"/>
        </w:rPr>
        <w:t>“若公牛和山羊的血，以及母牛犊的灰，借着洒血，能使被玷污的人成圣，使身体洁净，那么，基督的血岂不更能使我们的良心从死行中洁净出来，使我们事奉那活着、真实的上帝吗？</w:t>
      </w:r>
      <w:r w:rsidRPr="006A21F9">
        <w:rPr>
          <w:lang w:val="ru-RU"/>
        </w:rPr>
        <w:t xml:space="preserve"> [(希伯来书 9:13-14)；参见 (以赛亚书 1:18)；(使徒行传 15:9)； (帖前 5:23)]；</w:t>
      </w:r>
      <w:r w:rsidRPr="006A21F9">
        <w:rPr>
          <w:b/>
          <w:bCs/>
          <w:lang w:val="ru-RU"/>
        </w:rPr>
        <w:t>b)</w:t>
      </w:r>
      <w:r w:rsidRPr="006A21F9">
        <w:rPr>
          <w:lang w:val="ru-RU"/>
        </w:rPr>
        <w:t xml:space="preserve"> 借着圣灵重生，在基督里成为新造的人：</w:t>
      </w:r>
      <w:r w:rsidRPr="006A21F9">
        <w:rPr>
          <w:i/>
          <w:iCs/>
          <w:lang w:val="ru-RU"/>
        </w:rPr>
        <w:t xml:space="preserve">祂拯救我们，并非因我们所行的义，乃是照祂的怜悯，借着圣灵重生和更新的洗礼——祂已借着我们的救主耶稣基督，将圣灵丰丰富富地浇灌在我们身上， 我们的救主，好叫我们因祂的恩典称义，凭着盼望成为永生的继承人 </w:t>
      </w:r>
      <w:r w:rsidRPr="006A21F9">
        <w:rPr>
          <w:lang w:val="ru-RU"/>
        </w:rPr>
        <w:t>[(提多书 3:5-7)；引自 (约3:5-7)]；</w:t>
      </w:r>
      <w:r w:rsidRPr="006A21F9">
        <w:rPr>
          <w:i/>
          <w:iCs/>
          <w:lang w:val="ru-RU"/>
        </w:rPr>
        <w:t>祂按自己的旨意，借着真理的道生了我们，使我们成为祂所造之物的初熟果子</w:t>
      </w:r>
      <w:r w:rsidRPr="006A21F9">
        <w:rPr>
          <w:lang w:val="ru-RU"/>
        </w:rPr>
        <w:t>（雅1:18）；</w:t>
      </w:r>
      <w:r w:rsidRPr="006A21F9">
        <w:rPr>
          <w:i/>
          <w:iCs/>
          <w:lang w:val="ru-RU"/>
        </w:rPr>
        <w:t xml:space="preserve">在基督里的人，就是新造的人 </w:t>
      </w:r>
      <w:r w:rsidRPr="006A21F9">
        <w:rPr>
          <w:lang w:val="ru-RU"/>
        </w:rPr>
        <w:t>[(林后5:17)；引自 (加6:15)； （以弗所书 2:10）]；</w:t>
      </w:r>
      <w:r w:rsidRPr="006A21F9">
        <w:rPr>
          <w:b/>
          <w:bCs/>
          <w:lang w:val="ru-RU"/>
        </w:rPr>
        <w:t>c)</w:t>
      </w:r>
      <w:r w:rsidRPr="006A21F9">
        <w:rPr>
          <w:lang w:val="ru-RU"/>
        </w:rPr>
        <w:t xml:space="preserve"> 已经洗净、成圣、称义：他们（即大罪人）</w:t>
      </w:r>
      <w:r w:rsidRPr="006A21F9">
        <w:rPr>
          <w:i/>
          <w:iCs/>
          <w:lang w:val="ru-RU"/>
        </w:rPr>
        <w:t>中，你们中间也有人曾经是这样；但你们已经借着我们主耶稣基督的名和我们神的灵，被洗净、成圣、称义了</w:t>
      </w:r>
      <w:r w:rsidRPr="006A21F9">
        <w:rPr>
          <w:lang w:val="ru-RU"/>
        </w:rPr>
        <w:t xml:space="preserve">（哥林多前书 6:11）； </w:t>
      </w:r>
      <w:r w:rsidRPr="006A21F9">
        <w:rPr>
          <w:b/>
          <w:bCs/>
          <w:lang w:val="ru-RU"/>
        </w:rPr>
        <w:t>d)</w:t>
      </w:r>
      <w:r w:rsidRPr="006A21F9">
        <w:rPr>
          <w:i/>
          <w:iCs/>
          <w:lang w:val="ru-RU"/>
        </w:rPr>
        <w:t xml:space="preserve"> 脱去旧人及其行为，穿上新造的人，这新人是照着神的形像造的，在真理的公义和圣洁中 </w:t>
      </w:r>
      <w:r w:rsidRPr="006A21F9">
        <w:rPr>
          <w:lang w:val="ru-RU"/>
        </w:rPr>
        <w:t>[(歌罗西书 3:9-10); （以弗所书 4:22-24）]；</w:t>
      </w:r>
      <w:r w:rsidRPr="006A21F9">
        <w:rPr>
          <w:b/>
          <w:bCs/>
          <w:lang w:val="ru-RU"/>
        </w:rPr>
        <w:t>�)</w:t>
      </w:r>
      <w:r w:rsidRPr="006A21F9">
        <w:rPr>
          <w:lang w:val="ru-RU"/>
        </w:rPr>
        <w:t xml:space="preserve"> 成了神的儿女，与罪无份：</w:t>
      </w:r>
      <w:r w:rsidRPr="006A21F9">
        <w:rPr>
          <w:i/>
          <w:iCs/>
          <w:lang w:val="ru-RU"/>
        </w:rPr>
        <w:t>至于那些领受祂、信祂名的人，祂就赐给他们权柄，作神的儿女；这等人不是从血气生的，不是从情欲生的，也不是从人意生的，乃是从神生的</w:t>
      </w:r>
      <w:r w:rsidRPr="006A21F9">
        <w:rPr>
          <w:lang w:val="ru-RU"/>
        </w:rPr>
        <w:t xml:space="preserve">（约翰福音 1:12-13）； </w:t>
      </w:r>
      <w:r w:rsidRPr="006A21F9">
        <w:rPr>
          <w:i/>
          <w:iCs/>
          <w:lang w:val="ru-RU"/>
        </w:rPr>
        <w:t>凡从神生的，就不犯罪，因神的道存在他心里；他也不能 犯罪，因为他是从神生的</w:t>
      </w:r>
      <w:r w:rsidRPr="006A21F9">
        <w:rPr>
          <w:lang w:val="ru-RU"/>
        </w:rPr>
        <w:t>（约壹3:9）；</w:t>
      </w:r>
      <w:r w:rsidRPr="006A21F9">
        <w:rPr>
          <w:b/>
          <w:bCs/>
          <w:lang w:val="ru-RU"/>
        </w:rPr>
        <w:t>e)</w:t>
      </w:r>
      <w:r w:rsidRPr="006A21F9">
        <w:rPr>
          <w:lang w:val="ru-RU"/>
        </w:rPr>
        <w:t xml:space="preserve"> 成为神性本质的参与者： </w:t>
      </w:r>
      <w:r w:rsidRPr="006A21F9">
        <w:rPr>
          <w:i/>
          <w:iCs/>
          <w:lang w:val="ru-RU"/>
        </w:rPr>
        <w:t>祂的神能已将一切关乎生命和虔敬的事赐给我们，皆因我们认识了那用自己的荣耀和美善召我们的主；祂藉此将又大又宝贵的应许赐给我们，使你们借此得以分享神的性情，从而远离世上那因私欲而滋生的败坏</w:t>
      </w:r>
      <w:r w:rsidRPr="006A21F9">
        <w:rPr>
          <w:lang w:val="ru-RU"/>
        </w:rPr>
        <w:t>（彼得后书 1:3-4）。 倘若认为人的成圣仅仅在于罪得赦免，仅仅在于从外在将基督的义归算给他，那么这些经文就无法得到准确的阐释。</w:t>
      </w:r>
    </w:p>
    <w:p w14:paraId="70CC0BB1" w14:textId="77777777" w:rsidR="00BE1885" w:rsidRPr="006A21F9" w:rsidRDefault="00BE1885" w:rsidP="00BE1885">
      <w:pPr>
        <w:ind w:firstLine="708"/>
        <w:rPr>
          <w:lang w:val="ru-RU"/>
        </w:rPr>
      </w:pPr>
      <w:r w:rsidRPr="006A21F9">
        <w:rPr>
          <w:b/>
          <w:bCs/>
          <w:lang w:val="ru-RU"/>
        </w:rPr>
        <w:t>3)</w:t>
      </w:r>
      <w:r w:rsidRPr="006A21F9">
        <w:rPr>
          <w:lang w:val="ru-RU"/>
        </w:rPr>
        <w:t xml:space="preserve"> 最后，经文见证说，在那些重生、从罪中洁净、并得以分享神性的人里面，</w:t>
      </w:r>
      <w:r w:rsidRPr="006A21F9">
        <w:rPr>
          <w:b/>
          <w:bCs/>
          <w:lang w:val="ru-RU"/>
        </w:rPr>
        <w:t>居住着——a)</w:t>
      </w:r>
      <w:r w:rsidRPr="006A21F9">
        <w:rPr>
          <w:lang w:val="ru-RU"/>
        </w:rPr>
        <w:t xml:space="preserve"> 神父：</w:t>
      </w:r>
      <w:r w:rsidRPr="006A21F9">
        <w:rPr>
          <w:i/>
          <w:iCs/>
          <w:lang w:val="ru-RU"/>
        </w:rPr>
        <w:t xml:space="preserve">我们住在他里面，他也住在我们里面，这是从他将自己的圣灵赐给我们这一点上得知的 </w:t>
      </w:r>
      <w:r w:rsidRPr="006A21F9">
        <w:rPr>
          <w:lang w:val="ru-RU"/>
        </w:rPr>
        <w:t>[(约壹 4:13)；引自 （《约翰一书》3:24）]；</w:t>
      </w:r>
      <w:r w:rsidRPr="006A21F9">
        <w:rPr>
          <w:b/>
          <w:bCs/>
          <w:lang w:val="ru-RU"/>
        </w:rPr>
        <w:t>b)</w:t>
      </w:r>
      <w:r w:rsidRPr="006A21F9">
        <w:rPr>
          <w:lang w:val="ru-RU"/>
        </w:rPr>
        <w:t xml:space="preserve"> 圣子：</w:t>
      </w:r>
      <w:r w:rsidRPr="006A21F9">
        <w:rPr>
          <w:i/>
          <w:iCs/>
          <w:lang w:val="ru-RU"/>
        </w:rPr>
        <w:t xml:space="preserve">我在我父里面，你们在我里面，我也在你们里面 </w:t>
      </w:r>
      <w:r w:rsidRPr="006A21F9">
        <w:rPr>
          <w:lang w:val="ru-RU"/>
        </w:rPr>
        <w:t>[(《约翰福音</w:t>
      </w:r>
      <w:r>
        <w:rPr>
          <w:lang w:val="ru-RU"/>
        </w:rPr>
        <w:t>》</w:t>
      </w:r>
      <w:r w:rsidRPr="006A21F9">
        <w:rPr>
          <w:lang w:val="ru-RU"/>
        </w:rPr>
        <w:t>14:20</w:t>
      </w:r>
      <w:r>
        <w:rPr>
          <w:lang w:val="ru-RU"/>
        </w:rPr>
        <w:t>)</w:t>
      </w:r>
      <w:r w:rsidRPr="006A21F9">
        <w:rPr>
          <w:lang w:val="ru-RU"/>
        </w:rPr>
        <w:t>；引自</w:t>
      </w:r>
      <w:r>
        <w:rPr>
          <w:lang w:val="ru-RU"/>
        </w:rPr>
        <w:t>（</w:t>
      </w:r>
      <w:r w:rsidRPr="006A21F9">
        <w:rPr>
          <w:lang w:val="ru-RU"/>
        </w:rPr>
        <w:t xml:space="preserve">《罗马书》8:10）]； </w:t>
      </w:r>
      <w:r w:rsidRPr="006A21F9">
        <w:rPr>
          <w:b/>
          <w:bCs/>
          <w:lang w:val="ru-RU"/>
        </w:rPr>
        <w:t>c)</w:t>
      </w:r>
      <w:r w:rsidRPr="006A21F9">
        <w:rPr>
          <w:lang w:val="ru-RU"/>
        </w:rPr>
        <w:t xml:space="preserve"> 圣灵：</w:t>
      </w:r>
      <w:r w:rsidRPr="006A21F9">
        <w:rPr>
          <w:i/>
          <w:iCs/>
          <w:lang w:val="ru-RU"/>
        </w:rPr>
        <w:t>你们岂不知，你们是神的殿，神的灵住在你们里面</w:t>
      </w:r>
      <w:r w:rsidRPr="006A21F9">
        <w:rPr>
          <w:lang w:val="ru-RU"/>
        </w:rPr>
        <w:t>吗 [(林前 3:16</w:t>
      </w:r>
      <w:r>
        <w:rPr>
          <w:lang w:val="ru-RU"/>
        </w:rPr>
        <w:t>)</w:t>
      </w:r>
      <w:r w:rsidRPr="006A21F9">
        <w:rPr>
          <w:lang w:val="ru-RU"/>
        </w:rPr>
        <w:t>；参 (林前 6:19)]。 至圣者绝不可能住在那些虽然罪已蒙赦免，但罪仍存于心的人里面：</w:t>
      </w:r>
      <w:r w:rsidRPr="006A21F9">
        <w:rPr>
          <w:i/>
          <w:iCs/>
          <w:lang w:val="ru-RU"/>
        </w:rPr>
        <w:t>因为公义与不法有什么相通之处？光明与黑暗有什么相通之处</w:t>
      </w:r>
      <w:r w:rsidRPr="006A21F9">
        <w:rPr>
          <w:lang w:val="ru-RU"/>
        </w:rPr>
        <w:t>（林后6:14-15）？</w:t>
      </w:r>
    </w:p>
    <w:p w14:paraId="5EE98BA5" w14:textId="77777777" w:rsidR="00BE1885" w:rsidRPr="006A21F9" w:rsidRDefault="00BE1885" w:rsidP="00BE1885">
      <w:pPr>
        <w:rPr>
          <w:lang w:val="ru-RU"/>
        </w:rPr>
      </w:pPr>
      <w:r w:rsidRPr="006A21F9">
        <w:rPr>
          <w:lang w:val="ru-RU"/>
        </w:rPr>
        <w:tab/>
      </w:r>
      <w:r>
        <w:rPr>
          <w:b/>
          <w:bCs/>
        </w:rPr>
        <w:t>II</w:t>
      </w:r>
      <w:r w:rsidRPr="006A21F9">
        <w:rPr>
          <w:b/>
          <w:bCs/>
          <w:lang w:val="ru-RU"/>
        </w:rPr>
        <w:t>.</w:t>
      </w:r>
      <w:r w:rsidRPr="006A21F9">
        <w:rPr>
          <w:lang w:val="ru-RU"/>
        </w:rPr>
        <w:t xml:space="preserve"> 圣父们和教会的导师们认为，人的称义与成圣在于他真正从罪中得洁净，并领受公义与圣洁。例如，他们这样说：</w:t>
      </w:r>
    </w:p>
    <w:p w14:paraId="409F2D01" w14:textId="77777777" w:rsidR="00BE1885" w:rsidRPr="006A21F9" w:rsidRDefault="00BE1885" w:rsidP="00BE1885">
      <w:pPr>
        <w:rPr>
          <w:lang w:val="ru-RU"/>
        </w:rPr>
      </w:pPr>
      <w:r w:rsidRPr="006A21F9">
        <w:rPr>
          <w:lang w:val="ru-RU"/>
        </w:rPr>
        <w:tab/>
        <w:t>圣使徒巴拿巴：“祂使我们因弃绝罪恶而焕然一新，向我们显明了另一种样式（</w:t>
      </w:r>
      <w:r w:rsidRPr="001E4083">
        <w:t>τύπον</w:t>
      </w:r>
      <w:r w:rsidRPr="006A21F9">
        <w:rPr>
          <w:lang w:val="ru-RU"/>
        </w:rPr>
        <w:t>），使我们拥有如婴孩般的灵魂，祂仿佛重新创造了我们……”</w:t>
      </w:r>
      <w:r>
        <w:rPr>
          <w:rStyle w:val="FootnoteReference"/>
        </w:rPr>
        <w:footnoteReference w:id="789"/>
      </w:r>
    </w:p>
    <w:p w14:paraId="358E6711" w14:textId="77777777" w:rsidR="00BE1885" w:rsidRPr="006A21F9" w:rsidRDefault="00BE1885" w:rsidP="00BE1885">
      <w:pPr>
        <w:rPr>
          <w:lang w:val="ru-RU"/>
        </w:rPr>
      </w:pPr>
      <w:r w:rsidRPr="006A21F9">
        <w:rPr>
          <w:lang w:val="ru-RU"/>
        </w:rPr>
        <w:tab/>
        <w:t>大圣巴西尔：“圣灵并非受造之物，而是上帝圣洁的形象，也是众人圣洁的源泉。 正如使徒所教导的（帖后2:13），我们</w:t>
      </w:r>
      <w:r w:rsidRPr="006A21F9">
        <w:rPr>
          <w:i/>
          <w:iCs/>
          <w:lang w:val="ru-RU"/>
        </w:rPr>
        <w:t>是藉着圣灵的成圣</w:t>
      </w:r>
      <w:r w:rsidRPr="006A21F9">
        <w:rPr>
          <w:lang w:val="ru-RU"/>
        </w:rPr>
        <w:t>而被召的。祂更新我们，并再次将我们造就成</w:t>
      </w:r>
      <w:r w:rsidRPr="006A21F9">
        <w:rPr>
          <w:lang w:val="ru-RU"/>
        </w:rPr>
        <w:lastRenderedPageBreak/>
        <w:t>神的形像；</w:t>
      </w:r>
      <w:r w:rsidRPr="006A21F9">
        <w:rPr>
          <w:i/>
          <w:iCs/>
          <w:lang w:val="ru-RU"/>
        </w:rPr>
        <w:t>藉着圣灵重生与更新的洗礼，</w:t>
      </w:r>
      <w:r w:rsidRPr="006A21F9">
        <w:rPr>
          <w:lang w:val="ru-RU"/>
        </w:rPr>
        <w:t>我们被收纳为神的儿女。 领受圣灵的受造物，便焕然一新。”</w:t>
      </w:r>
      <w:r>
        <w:rPr>
          <w:rStyle w:val="FootnoteReference"/>
        </w:rPr>
        <w:footnoteReference w:id="790"/>
      </w:r>
      <w:r w:rsidRPr="006A21F9">
        <w:rPr>
          <w:lang w:val="ru-RU"/>
        </w:rPr>
        <w:t xml:space="preserve"> “圣灵与灵魂的结合，并非空间上的亲近（因为无形之物岂能以有形的方式亲近？），而是消除那些因灵魂对肉体的依恋而后来渗入灵魂、并使其远离与上帝相似之态的私欲。 因此，唯有那些洗净了因罪而招致的羞辱、重返自然之美、通过净化仿佛使君王形象恢复了昔日风采的人，才能亲近那位安慰者。”</w:t>
      </w:r>
      <w:r>
        <w:rPr>
          <w:rStyle w:val="FootnoteReference"/>
        </w:rPr>
        <w:footnoteReference w:id="791"/>
      </w:r>
    </w:p>
    <w:p w14:paraId="3314B9A3" w14:textId="77777777" w:rsidR="00BE1885" w:rsidRPr="00BC712C" w:rsidRDefault="00BE1885" w:rsidP="00BE1885">
      <w:pPr>
        <w:rPr>
          <w:lang w:val="ru-RU"/>
        </w:rPr>
      </w:pPr>
      <w:r w:rsidRPr="006A21F9">
        <w:rPr>
          <w:lang w:val="ru-RU"/>
        </w:rPr>
        <w:tab/>
        <w:t>圣格里高利·神学家：“祂（圣灵）在属灵的重生中创造； 这正印证了所说的话：若不藉圣灵从上头重生（约3:3-5），无人能看见或得着天国；且若不藉那白昼光明般的重造（诗138:16）——这重造使每个人各自得着新生——便无法从那作为黑夜奥秘的初次出生中得洁净。”</w:t>
      </w:r>
      <w:r>
        <w:rPr>
          <w:rStyle w:val="FootnoteReference"/>
        </w:rPr>
        <w:footnoteReference w:id="792"/>
      </w:r>
      <w:r w:rsidRPr="006A21F9">
        <w:rPr>
          <w:lang w:val="ru-RU"/>
        </w:rPr>
        <w:t xml:space="preserve"> “洗礼的恩典与能力不再像古时那样淹没世界，而是洁净每个人心中的罪，并彻底洗净因败坏而带来的各种污秽与玷污。”</w:t>
      </w:r>
      <w:r>
        <w:rPr>
          <w:rStyle w:val="FootnoteReference"/>
        </w:rPr>
        <w:footnoteReference w:id="793"/>
      </w:r>
    </w:p>
    <w:p w14:paraId="3D22807A" w14:textId="77777777" w:rsidR="00BE1885" w:rsidRPr="006A21F9" w:rsidRDefault="00BE1885" w:rsidP="00BE1885">
      <w:pPr>
        <w:rPr>
          <w:lang w:val="ru-RU"/>
        </w:rPr>
      </w:pPr>
      <w:r w:rsidRPr="006A21F9">
        <w:rPr>
          <w:lang w:val="ru-RU"/>
        </w:rPr>
        <w:tab/>
        <w:t>圣约翰·金口：“犹太祭司有权洁净身体上的麻风病，或者更准确地说，他们并非真正洁净，而只是为那些已被洁净的人作见证…… 而这些（基督教的祭司）所领受的权柄，并非针对肉体上的麻风病，而是针对灵魂的不洁；他们并非在灵魂得洁净后予以见证，而是彻底地洁净（</w:t>
      </w:r>
      <w:r w:rsidRPr="001E4083">
        <w:t>απαλλάττειν</w:t>
      </w:r>
      <w:r w:rsidRPr="0097554A">
        <w:rPr>
          <w:lang w:val="ru-RU"/>
        </w:rPr>
        <w:t xml:space="preserve"> </w:t>
      </w:r>
      <w:r w:rsidRPr="001E4083">
        <w:t>παντελώς</w:t>
      </w:r>
      <w:r w:rsidRPr="006A21F9">
        <w:rPr>
          <w:lang w:val="ru-RU"/>
        </w:rPr>
        <w:t>）。”</w:t>
      </w:r>
      <w:r>
        <w:rPr>
          <w:rStyle w:val="FootnoteReference"/>
        </w:rPr>
        <w:footnoteReference w:id="794"/>
      </w:r>
    </w:p>
    <w:p w14:paraId="6FA78F20" w14:textId="77777777" w:rsidR="00BE1885" w:rsidRPr="006A21F9" w:rsidRDefault="00BE1885" w:rsidP="00BE1885">
      <w:pPr>
        <w:rPr>
          <w:lang w:val="ru-RU"/>
        </w:rPr>
      </w:pPr>
      <w:r w:rsidRPr="006A21F9">
        <w:rPr>
          <w:lang w:val="ru-RU"/>
        </w:rPr>
        <w:tab/>
        <w:t>埃及的圣马卡里乌斯：“当圣灵将灵魂预备为祂的宝座和居所，并使之有幸分享祂的光辉，以祂荣耀中不可言喻的美照耀它时，这灵魂便全然成为光，全然成为面容，全然成为眼睛； 其中没有一处不被属灵的眼睛充满，也就是说，其中没有任何黑暗，而是全然化为光与灵……”</w:t>
      </w:r>
      <w:r>
        <w:rPr>
          <w:rStyle w:val="FootnoteReference"/>
        </w:rPr>
        <w:footnoteReference w:id="795"/>
      </w:r>
      <w:r w:rsidRPr="006A21F9">
        <w:rPr>
          <w:lang w:val="ru-RU"/>
        </w:rPr>
        <w:t xml:space="preserve"> “那些与上帝之灵全然联合的人，便成为基督的模样，在自己里面恒常保有圣灵的能力，并在 面前向众人显明一切属灵的果子：因为当他们借着圣灵在内心被造就得纯洁无瑕时，就不可能在自己以外结出恶果；而他们无论在何事上，总是显出圣灵的果子。”</w:t>
      </w:r>
      <w:r>
        <w:rPr>
          <w:rStyle w:val="FootnoteReference"/>
        </w:rPr>
        <w:footnoteReference w:id="796"/>
      </w:r>
    </w:p>
    <w:p w14:paraId="0A2AB16B" w14:textId="77777777" w:rsidR="00BE1885" w:rsidRPr="006A21F9" w:rsidRDefault="00BE1885" w:rsidP="00BE1885">
      <w:pPr>
        <w:rPr>
          <w:lang w:val="ru-RU"/>
        </w:rPr>
      </w:pPr>
      <w:r w:rsidRPr="006A21F9">
        <w:rPr>
          <w:lang w:val="ru-RU"/>
        </w:rPr>
        <w:tab/>
        <w:t>亚历山大的圣西里尔：“当圣灵借着成圣使我们称义，将某种神圣的形象赋予我们时，基督便在我们里面显明出来（加拉太书 4:19）。 正是如此，天父位格的形象才被铭刻在你们的灵魂中（希伯来书 1:3）——即当圣灵借着成圣来改变你们的时候。”</w:t>
      </w:r>
      <w:r>
        <w:rPr>
          <w:rStyle w:val="FootnoteReference"/>
        </w:rPr>
        <w:footnoteReference w:id="797"/>
      </w:r>
    </w:p>
    <w:p w14:paraId="22E513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那种认为人的称义与成圣仅在于赦免其罪而非洁净其罪，仅在于将基督的义外在归算给人的教义，是不合情理的：</w:t>
      </w:r>
    </w:p>
    <w:p w14:paraId="4936DAE6" w14:textId="77777777" w:rsidR="00BE1885" w:rsidRPr="006A21F9" w:rsidRDefault="00BE1885" w:rsidP="00BE1885">
      <w:pPr>
        <w:ind w:firstLine="708"/>
        <w:rPr>
          <w:lang w:val="ru-RU"/>
        </w:rPr>
      </w:pPr>
      <w:r w:rsidRPr="006A21F9">
        <w:rPr>
          <w:b/>
          <w:bCs/>
          <w:lang w:val="ru-RU"/>
        </w:rPr>
        <w:t>1)</w:t>
      </w:r>
      <w:r w:rsidRPr="006A21F9">
        <w:rPr>
          <w:lang w:val="ru-RU"/>
        </w:rPr>
        <w:t xml:space="preserve"> 与对上帝的认识相悖。若认为上帝在称义之事上仅是赦免人的罪，却未真正洁净这些罪，这就等于假设上帝要么无法，要么不愿用祂全能的恩典洁净罪人。但这两者都与上帝的尊严不相称。 倘若全知者将那些实际上并不圣洁的人视为称义且成圣的圣徒；倘若当他们仍陷于罪中时，祂却不视其为罪人——那么，便意味着祂并非真实。</w:t>
      </w:r>
    </w:p>
    <w:p w14:paraId="58788172" w14:textId="77777777" w:rsidR="00BE1885" w:rsidRPr="006A21F9" w:rsidRDefault="00BE1885" w:rsidP="00BE1885">
      <w:pPr>
        <w:ind w:firstLine="708"/>
        <w:rPr>
          <w:lang w:val="ru-RU"/>
        </w:rPr>
      </w:pPr>
      <w:r w:rsidRPr="006A21F9">
        <w:rPr>
          <w:b/>
          <w:bCs/>
          <w:lang w:val="ru-RU"/>
        </w:rPr>
        <w:lastRenderedPageBreak/>
        <w:t>2)</w:t>
      </w:r>
      <w:r w:rsidRPr="006A21F9">
        <w:rPr>
          <w:lang w:val="ru-RU"/>
        </w:rPr>
        <w:t xml:space="preserve"> 关于我们的救赎主耶稣基督作为“新亚当”、作为教会元首的观念。上帝的话语教导我们，基督就是新亚当 （林前15:45），正如从第一亚当传给所有后裔的是罪和死亡，同样地，从第二亚当传给所有由祂所生的（约壹2:29）的，是义和生命（罗5:15-19）。 然而，来自第一亚当的罪与死确实传给了他的所有后裔，并玷污了我们的本性；因此，来自第二亚当的义与生命同样确实传给了我们，并洁净了我们的本性。 同样，上帝的道教导我们：上帝</w:t>
      </w:r>
      <w:r w:rsidRPr="006A21F9">
        <w:rPr>
          <w:i/>
          <w:iCs/>
          <w:lang w:val="ru-RU"/>
        </w:rPr>
        <w:t>已将祂</w:t>
      </w:r>
      <w:r w:rsidRPr="006A21F9">
        <w:rPr>
          <w:lang w:val="ru-RU"/>
        </w:rPr>
        <w:t>（耶稣基督）</w:t>
      </w:r>
      <w:r w:rsidRPr="006A21F9">
        <w:rPr>
          <w:i/>
          <w:iCs/>
          <w:lang w:val="ru-RU"/>
        </w:rPr>
        <w:t>高举在万有之上，作为教会的元首——教会就是祂的身体，是那“充满万有者”的丰满</w:t>
      </w:r>
      <w:r w:rsidRPr="006A21F9">
        <w:rPr>
          <w:lang w:val="ru-RU"/>
        </w:rPr>
        <w:t>（以弗所书 1:22-23）；并且我们所有信靠祂的人，都是祂身体中活着的肢体（以弗所书 5:30）。 但生命自然而真实地从元首流向身体的所有肢体；因此，主耶稣的生命、公义和圣洁，不可能不以同样自然而真实的方式，传给所有真正信靠祂的人。</w:t>
      </w:r>
    </w:p>
    <w:p w14:paraId="220ACEBA" w14:textId="77777777" w:rsidR="00BE1885" w:rsidRPr="006A21F9" w:rsidRDefault="00BE1885" w:rsidP="00BE1885">
      <w:pPr>
        <w:ind w:firstLine="708"/>
        <w:rPr>
          <w:lang w:val="ru-RU"/>
        </w:rPr>
      </w:pPr>
      <w:r w:rsidRPr="006A21F9">
        <w:rPr>
          <w:b/>
          <w:bCs/>
          <w:lang w:val="ru-RU"/>
        </w:rPr>
        <w:t>3）</w:t>
      </w:r>
      <w:r w:rsidRPr="006A21F9">
        <w:rPr>
          <w:lang w:val="ru-RU"/>
        </w:rPr>
        <w:t>关于赎罪或恢复的概念。人的恢复无非就是将他带回堕落前的原始状态。但在堕落之前，人确实是无辜、公义且圣洁的。因此，他通过恢复也应当回到完全相同的状态。 否则，倘若那些被恢复并称义的人仍如往常般陷于罪中，既无公义也无圣洁，仅仅获得罪的赦免，并完全倚靠基督的公义作为遮盖：在这种情况下，实际上并不存在恢复，它不过是一个幻影，或是一种表象上的恢复。</w:t>
      </w:r>
      <w:r>
        <w:rPr>
          <w:rStyle w:val="FootnoteReference"/>
        </w:rPr>
        <w:footnoteReference w:id="798"/>
      </w:r>
    </w:p>
    <w:p w14:paraId="13A98705" w14:textId="77777777" w:rsidR="00BE1885" w:rsidRPr="006A21F9" w:rsidRDefault="00BE1885" w:rsidP="00BE1885">
      <w:pPr>
        <w:rPr>
          <w:lang w:val="ru-RU"/>
        </w:rPr>
      </w:pPr>
    </w:p>
    <w:p w14:paraId="69AD8F4C" w14:textId="77777777" w:rsidR="00BE1885" w:rsidRPr="006A21F9" w:rsidRDefault="00BE1885" w:rsidP="00BE1885">
      <w:pPr>
        <w:pStyle w:val="Heading5"/>
        <w:rPr>
          <w:lang w:val="ru-RU"/>
        </w:rPr>
      </w:pPr>
      <w:bookmarkStart w:id="665" w:name="_Toc133142961"/>
      <w:bookmarkStart w:id="666" w:name="_Toc133166318"/>
      <w:bookmarkStart w:id="667" w:name="_Toc182221528"/>
      <w:bookmarkStart w:id="668" w:name="_Toc238453095"/>
      <w:bookmarkStart w:id="669" w:name="_Toc238453895"/>
      <w:bookmarkStart w:id="670" w:name="_Toc238576555"/>
      <w:r w:rsidRPr="006A21F9">
        <w:rPr>
          <w:bCs/>
          <w:lang w:val="ru-RU"/>
        </w:rPr>
        <w:t>§197.</w:t>
      </w:r>
      <w:r w:rsidRPr="006A21F9">
        <w:rPr>
          <w:lang w:val="ru-RU"/>
        </w:rPr>
        <w:t xml:space="preserve"> 信心是人得成圣及随之而来的得救的首要条件</w:t>
      </w:r>
      <w:bookmarkEnd w:id="665"/>
      <w:bookmarkEnd w:id="666"/>
      <w:bookmarkEnd w:id="667"/>
      <w:bookmarkEnd w:id="668"/>
      <w:bookmarkEnd w:id="669"/>
      <w:bookmarkEnd w:id="670"/>
    </w:p>
    <w:p w14:paraId="425F5790" w14:textId="77777777" w:rsidR="00BE1885" w:rsidRPr="006A21F9" w:rsidRDefault="00BE1885" w:rsidP="00BE1885">
      <w:pPr>
        <w:ind w:firstLine="708"/>
        <w:rPr>
          <w:lang w:val="ru-RU"/>
        </w:rPr>
      </w:pPr>
      <w:r w:rsidRPr="006A21F9">
        <w:rPr>
          <w:lang w:val="ru-RU"/>
        </w:rPr>
        <w:t>成就我们成圣的上帝之恩，虽然遍及所有的人，但不会违背他们的意志而作用于他们——实际上，它只有在人满足某些特定条件的情况下，才会使罪人成圣，继而拯救他。这些条件中的首要条件就是信心。</w:t>
      </w:r>
    </w:p>
    <w:p w14:paraId="5EAEF9F1" w14:textId="77777777" w:rsidR="00BE1885" w:rsidRPr="006A21F9" w:rsidRDefault="00BE1885" w:rsidP="00BE1885">
      <w:pPr>
        <w:ind w:firstLine="708"/>
        <w:rPr>
          <w:lang w:val="ru-RU"/>
        </w:rPr>
      </w:pPr>
      <w:r w:rsidRPr="006A21F9">
        <w:rPr>
          <w:b/>
          <w:bCs/>
          <w:lang w:val="ru-RU"/>
        </w:rPr>
        <w:t>1.</w:t>
      </w:r>
      <w:r w:rsidRPr="006A21F9">
        <w:rPr>
          <w:lang w:val="ru-RU"/>
        </w:rPr>
        <w:t xml:space="preserve"> 这里所说的“信仰”，一般是指人运用灵魂的一切力量，自由地接受并领会那些上帝为了我们的成圣与得救，在基督里恩赐启示给我们的真理。</w:t>
      </w:r>
      <w:r>
        <w:rPr>
          <w:rStyle w:val="FootnoteReference"/>
        </w:rPr>
        <w:footnoteReference w:id="799"/>
      </w:r>
      <w:r w:rsidRPr="006A21F9">
        <w:rPr>
          <w:lang w:val="ru-RU"/>
        </w:rPr>
        <w:t xml:space="preserve"> 之所以将这种接纳和领受称为“信仰”，是因为这些启示的真理，在很大 程度上，是我们的理性无法理解、知识无法企及的，而只能通过信仰来领受。 关于信仰的这一概念源于：</w:t>
      </w:r>
      <w:r w:rsidRPr="006A21F9">
        <w:rPr>
          <w:b/>
          <w:bCs/>
          <w:lang w:val="ru-RU"/>
        </w:rPr>
        <w:t>a)</w:t>
      </w:r>
      <w:r w:rsidRPr="006A21F9">
        <w:rPr>
          <w:lang w:val="ru-RU"/>
        </w:rPr>
        <w:t xml:space="preserve"> 救主的话语，祂在差遣门徒前往世界各地传道时对他们说：“你们往普天下去，向万物传讲福音”，并紧接着补充道： </w:t>
      </w:r>
      <w:r w:rsidRPr="006A21F9">
        <w:rPr>
          <w:i/>
          <w:iCs/>
          <w:lang w:val="ru-RU"/>
        </w:rPr>
        <w:lastRenderedPageBreak/>
        <w:t>“信而受洗的，必然得救；不信的</w:t>
      </w:r>
      <w:r w:rsidRPr="006A21F9">
        <w:rPr>
          <w:lang w:val="ru-RU"/>
        </w:rPr>
        <w:t>，</w:t>
      </w:r>
      <w:r w:rsidRPr="006A21F9">
        <w:rPr>
          <w:i/>
          <w:iCs/>
          <w:lang w:val="ru-RU"/>
        </w:rPr>
        <w:t>必被定罪</w:t>
      </w:r>
      <w:r w:rsidRPr="006A21F9">
        <w:rPr>
          <w:lang w:val="ru-RU"/>
        </w:rPr>
        <w:t>”（可16:16）；</w:t>
      </w:r>
      <w:r w:rsidRPr="006A21F9">
        <w:rPr>
          <w:b/>
          <w:bCs/>
          <w:lang w:val="ru-RU"/>
        </w:rPr>
        <w:t>b）</w:t>
      </w:r>
      <w:r w:rsidRPr="006A21F9">
        <w:rPr>
          <w:lang w:val="ru-RU"/>
        </w:rPr>
        <w:t xml:space="preserve">源于圣约翰·神学家的话语，他在结束自己的福音书时指出： </w:t>
      </w:r>
      <w:r w:rsidRPr="006A21F9">
        <w:rPr>
          <w:i/>
          <w:iCs/>
          <w:lang w:val="ru-RU"/>
        </w:rPr>
        <w:t>耶稣在门徒面前还行了许多别的神迹，没有记在这书上。但记这些事，是要叫你们信耶稣是基督，是神的儿子，并且叫你们信了，就可以因祂的名得生命。</w:t>
      </w:r>
      <w:r w:rsidRPr="006A21F9">
        <w:rPr>
          <w:lang w:val="ru-RU"/>
        </w:rPr>
        <w:t xml:space="preserve"> （约20:30-31）；</w:t>
      </w:r>
      <w:r w:rsidRPr="006A21F9">
        <w:rPr>
          <w:b/>
          <w:bCs/>
          <w:lang w:val="ru-RU"/>
        </w:rPr>
        <w:t>c)</w:t>
      </w:r>
      <w:r w:rsidRPr="006A21F9">
        <w:rPr>
          <w:lang w:val="ru-RU"/>
        </w:rPr>
        <w:t xml:space="preserve"> 其他使徒的话语，他们将神的启示本身或整个基督教教义称为“信仰”[（加1:23）； (罗 1:5)；</w:t>
      </w:r>
      <w:r w:rsidRPr="00C5204B">
        <w:rPr>
          <w:lang w:val="ru-RU"/>
        </w:rPr>
        <w:t>(</w:t>
      </w:r>
      <w:r w:rsidRPr="006A21F9">
        <w:rPr>
          <w:lang w:val="ru-RU"/>
        </w:rPr>
        <w:t>徒 6:7；24:24)]，称为“信的律法”（罗 3:27），并将这一教义的追随者称为“信徒”[(弗 1:1)；(林前 7:14)； (提摩太前书 4:12-16)]，信徒 [(罗马书 3:22)；(哥林多前书</w:t>
      </w:r>
      <w:r>
        <w:rPr>
          <w:lang w:val="ru-RU"/>
        </w:rPr>
        <w:t xml:space="preserve"> 1</w:t>
      </w:r>
      <w:r w:rsidRPr="006A21F9">
        <w:rPr>
          <w:lang w:val="ru-RU"/>
        </w:rPr>
        <w:t>:21)]。而且，既然启示中包含了与人类灵魂三大主要力量—— 理智、意志和情感——人正是通过这三者来接受并领受启示的，其中包含三种真理：教义真理、道德真理和应许真理，因此，基督徒的信仰也表现为三种具体形式：</w:t>
      </w:r>
      <w:r w:rsidRPr="006A21F9">
        <w:rPr>
          <w:b/>
          <w:bCs/>
          <w:lang w:val="ru-RU"/>
        </w:rPr>
        <w:t>a)</w:t>
      </w:r>
      <w:r w:rsidRPr="006A21F9">
        <w:rPr>
          <w:lang w:val="ru-RU"/>
        </w:rPr>
        <w:t xml:space="preserve"> 作为最狭义上的信仰，即用来接受并领受教义真理的信仰； </w:t>
      </w:r>
      <w:r w:rsidRPr="006A21F9">
        <w:rPr>
          <w:b/>
          <w:bCs/>
          <w:lang w:val="ru-RU"/>
        </w:rPr>
        <w:t>b)</w:t>
      </w:r>
      <w:r w:rsidRPr="006A21F9">
        <w:rPr>
          <w:lang w:val="ru-RU"/>
        </w:rPr>
        <w:t xml:space="preserve"> 作为爱，借此接受并领会道德真理；以及 </w:t>
      </w:r>
      <w:r w:rsidRPr="006A21F9">
        <w:rPr>
          <w:b/>
          <w:bCs/>
          <w:lang w:val="ru-RU"/>
        </w:rPr>
        <w:t>c)</w:t>
      </w:r>
      <w:r w:rsidRPr="006A21F9">
        <w:rPr>
          <w:lang w:val="ru-RU"/>
        </w:rPr>
        <w:t xml:space="preserve"> 作为希望，借此接受并领会应许。 因此，圣使徒在阐明基督徒在尘世旅途中所遵循的信仰本质</w:t>
      </w:r>
      <w:r w:rsidRPr="006A21F9">
        <w:rPr>
          <w:i/>
          <w:iCs/>
          <w:lang w:val="ru-RU"/>
        </w:rPr>
        <w:t>时，曾这样</w:t>
      </w:r>
      <w:r w:rsidRPr="006A21F9">
        <w:rPr>
          <w:lang w:val="ru-RU"/>
        </w:rPr>
        <w:t>说道：</w:t>
      </w:r>
      <w:r w:rsidRPr="006A21F9">
        <w:rPr>
          <w:i/>
          <w:iCs/>
          <w:lang w:val="ru-RU"/>
        </w:rPr>
        <w:t>“如今常存的有这三样：信、望、爱</w:t>
      </w:r>
      <w:r w:rsidRPr="006A21F9">
        <w:rPr>
          <w:lang w:val="ru-RU"/>
        </w:rPr>
        <w:t>”（林前13:13）。</w:t>
      </w:r>
      <w:r>
        <w:rPr>
          <w:rStyle w:val="FootnoteReference"/>
        </w:rPr>
        <w:footnoteReference w:id="800"/>
      </w:r>
    </w:p>
    <w:p w14:paraId="79B76917" w14:textId="77777777" w:rsidR="00BE1885" w:rsidRPr="006A21F9" w:rsidRDefault="00BE1885" w:rsidP="00BE1885">
      <w:pPr>
        <w:ind w:firstLine="708"/>
        <w:rPr>
          <w:lang w:val="ru-RU"/>
        </w:rPr>
      </w:pPr>
      <w:r w:rsidRPr="006A21F9">
        <w:rPr>
          <w:b/>
          <w:bCs/>
          <w:lang w:val="ru-RU"/>
        </w:rPr>
        <w:t>2.</w:t>
      </w:r>
      <w:r w:rsidRPr="006A21F9">
        <w:rPr>
          <w:lang w:val="ru-RU"/>
        </w:rPr>
        <w:t xml:space="preserve"> 根据上帝圣言的见证，从广义上理解的信仰，对于我们的成圣与得救是不可或缺的。它是人方面必须满足的首要条件：</w:t>
      </w:r>
    </w:p>
    <w:p w14:paraId="0C478FB2"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使人得以进入基督恩典的国度：</w:t>
      </w:r>
      <w:r w:rsidRPr="006A21F9">
        <w:rPr>
          <w:i/>
          <w:iCs/>
          <w:lang w:val="ru-RU"/>
        </w:rPr>
        <w:t>“信而受洗的，必然得救；不信的，必被定罪”</w:t>
      </w:r>
      <w:r w:rsidRPr="006A21F9">
        <w:rPr>
          <w:lang w:val="ru-RU"/>
        </w:rPr>
        <w:t>（可16:16）。</w:t>
      </w:r>
    </w:p>
    <w:p w14:paraId="3060485A"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为了使人领受圣灵：</w:t>
      </w:r>
      <w:r w:rsidRPr="006A21F9">
        <w:rPr>
          <w:i/>
          <w:iCs/>
          <w:lang w:val="ru-RU"/>
        </w:rPr>
        <w:t>我只想从你们那里知道一件事：你们是因行律法而领受了圣灵，还是因信而领受的</w:t>
      </w:r>
      <w:r w:rsidRPr="006A21F9">
        <w:rPr>
          <w:lang w:val="ru-RU"/>
        </w:rPr>
        <w:t xml:space="preserve">（加拉太书 3:2）？ </w:t>
      </w:r>
      <w:r w:rsidRPr="006A21F9">
        <w:rPr>
          <w:i/>
          <w:iCs/>
          <w:lang w:val="ru-RU"/>
        </w:rPr>
        <w:t>赐给你们圣灵、并在你们中间行神迹的，是因行律法的缘故，还是因信心的教导呢？亚伯拉罕就是这样信了神，这就算为他的义。 你们要知道，信主的人就是亚伯拉罕的子孙</w:t>
      </w:r>
      <w:r w:rsidRPr="006A21F9">
        <w:rPr>
          <w:lang w:val="ru-RU"/>
        </w:rPr>
        <w:t>（加拉太书 3:5-7）。</w:t>
      </w:r>
      <w:r w:rsidRPr="006A21F9">
        <w:rPr>
          <w:i/>
          <w:iCs/>
          <w:lang w:val="ru-RU"/>
        </w:rPr>
        <w:t>这是要使亚伯拉罕的福，借着基督耶稣临到外邦人，使我们因信得着所应许的圣灵</w:t>
      </w:r>
      <w:r w:rsidRPr="006A21F9">
        <w:rPr>
          <w:lang w:val="ru-RU"/>
        </w:rPr>
        <w:t>（加拉太书 3:14）。</w:t>
      </w:r>
    </w:p>
    <w:p w14:paraId="78C4705F"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借着圣灵的恩典，使人称义并从罪中得洁净：</w:t>
      </w:r>
      <w:r w:rsidRPr="006A21F9">
        <w:rPr>
          <w:i/>
          <w:iCs/>
          <w:lang w:val="ru-RU"/>
        </w:rPr>
        <w:t>因为我们承认，人称义是因着信，与律法的行为无关</w:t>
      </w:r>
      <w:r w:rsidRPr="006A21F9">
        <w:rPr>
          <w:lang w:val="ru-RU"/>
        </w:rPr>
        <w:t>（罗3:28）。</w:t>
      </w:r>
      <w:r w:rsidRPr="006A21F9">
        <w:rPr>
          <w:i/>
          <w:iCs/>
          <w:lang w:val="ru-RU"/>
        </w:rPr>
        <w:t>因为只有一位神，祂要按着信称受割礼的为义，也要借着信称未受割礼的为义</w:t>
      </w:r>
      <w:r w:rsidRPr="006A21F9">
        <w:rPr>
          <w:lang w:val="ru-RU"/>
        </w:rPr>
        <w:t>[(罗3:30)；引自 （加拉太书 2:16）]。</w:t>
      </w:r>
      <w:r w:rsidRPr="006A21F9">
        <w:rPr>
          <w:i/>
          <w:iCs/>
          <w:lang w:val="ru-RU"/>
        </w:rPr>
        <w:t>因此，我们因信称义，就借着我们的主耶稣基督与神和好；我们也借着祂，因信得以进入那恩典之中，如今就站在这恩典之中</w:t>
      </w:r>
      <w:r w:rsidRPr="006A21F9">
        <w:rPr>
          <w:lang w:val="ru-RU"/>
        </w:rPr>
        <w:t xml:space="preserve">（罗马书 5:1-2）。 </w:t>
      </w:r>
      <w:r w:rsidRPr="006A21F9">
        <w:rPr>
          <w:i/>
          <w:iCs/>
          <w:lang w:val="ru-RU"/>
        </w:rPr>
        <w:t>我们因祂的恩典，借着在基督耶稣里的救赎，白白地称义了；神将基督耶稣作为赎罪祭，借着祂的血，因着信</w:t>
      </w:r>
      <w:r w:rsidRPr="006A21F9">
        <w:rPr>
          <w:lang w:val="ru-RU"/>
        </w:rPr>
        <w:t>，</w:t>
      </w:r>
      <w:r w:rsidRPr="006A21F9">
        <w:rPr>
          <w:i/>
          <w:iCs/>
          <w:lang w:val="ru-RU"/>
        </w:rPr>
        <w:t>将祂献上</w:t>
      </w:r>
      <w:r w:rsidRPr="006A21F9">
        <w:rPr>
          <w:lang w:val="ru-RU"/>
        </w:rPr>
        <w:t xml:space="preserve">（罗马书 3:24-25）。 </w:t>
      </w:r>
      <w:r w:rsidRPr="006A21F9">
        <w:rPr>
          <w:i/>
          <w:iCs/>
          <w:lang w:val="ru-RU"/>
        </w:rPr>
        <w:t>那鉴察人心的神，曾将圣灵赐给他们（旧约时代的人），正如赐给我们一样</w:t>
      </w:r>
      <w:r w:rsidRPr="006A21F9">
        <w:rPr>
          <w:lang w:val="ru-RU"/>
        </w:rPr>
        <w:t>；</w:t>
      </w:r>
      <w:r w:rsidRPr="006A21F9">
        <w:rPr>
          <w:i/>
          <w:iCs/>
          <w:lang w:val="ru-RU"/>
        </w:rPr>
        <w:t>祂并没有在我们和他们之间作任何区分，而是借着信心洁净了他们的心</w:t>
      </w:r>
      <w:r w:rsidRPr="006A21F9">
        <w:rPr>
          <w:lang w:val="ru-RU"/>
        </w:rPr>
        <w:t>（使徒行传 15:9）。</w:t>
      </w:r>
    </w:p>
    <w:p w14:paraId="2317D7E3"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为了在属灵生活和敬虔上持守并茁壮成长：</w:t>
      </w:r>
      <w:r w:rsidRPr="006A21F9">
        <w:rPr>
          <w:i/>
          <w:iCs/>
          <w:lang w:val="ru-RU"/>
        </w:rPr>
        <w:t>上帝的义在他（信徒）里面，是从信到信显明的，正如经上</w:t>
      </w:r>
      <w:r w:rsidRPr="006A21F9">
        <w:rPr>
          <w:i/>
          <w:iCs/>
          <w:lang w:val="ru-RU"/>
        </w:rPr>
        <w:lastRenderedPageBreak/>
        <w:t>所记：“义人必因信得生</w:t>
      </w:r>
      <w:r w:rsidRPr="006A21F9">
        <w:rPr>
          <w:lang w:val="ru-RU"/>
        </w:rPr>
        <w:t xml:space="preserve">”[（罗 1:17）；参（加 3:11）；（来 10:38）]。 </w:t>
      </w:r>
      <w:r w:rsidRPr="006A21F9">
        <w:rPr>
          <w:i/>
          <w:iCs/>
          <w:lang w:val="ru-RU"/>
        </w:rPr>
        <w:t>我们与你们同享喜乐，因为你们在信心中坚定不移</w:t>
      </w:r>
      <w:r w:rsidRPr="006A21F9">
        <w:rPr>
          <w:lang w:val="ru-RU"/>
        </w:rPr>
        <w:t>（林后 1:24）。</w:t>
      </w:r>
      <w:r w:rsidRPr="006A21F9">
        <w:rPr>
          <w:i/>
          <w:iCs/>
          <w:lang w:val="ru-RU"/>
        </w:rPr>
        <w:t>他们因不信而跌倒，你却因信而站立得稳</w:t>
      </w:r>
      <w:r w:rsidRPr="006A21F9">
        <w:rPr>
          <w:lang w:val="ru-RU"/>
        </w:rPr>
        <w:t>（罗 11:20）。</w:t>
      </w:r>
    </w:p>
    <w:p w14:paraId="64C1DE2E" w14:textId="77777777" w:rsidR="00BE1885" w:rsidRPr="006A21F9" w:rsidRDefault="00BE1885" w:rsidP="00BE1885">
      <w:pPr>
        <w:rPr>
          <w:lang w:val="ru-RU"/>
        </w:rPr>
      </w:pPr>
      <w:r w:rsidRPr="006A21F9">
        <w:rPr>
          <w:lang w:val="ru-RU"/>
        </w:rPr>
        <w:tab/>
      </w:r>
      <w:r w:rsidRPr="006A21F9">
        <w:rPr>
          <w:b/>
          <w:bCs/>
          <w:lang w:val="ru-RU"/>
        </w:rPr>
        <w:t>e)</w:t>
      </w:r>
      <w:r w:rsidRPr="006A21F9">
        <w:rPr>
          <w:lang w:val="ru-RU"/>
        </w:rPr>
        <w:t xml:space="preserve"> 为了讨神喜悦：</w:t>
      </w:r>
      <w:r w:rsidRPr="006A21F9">
        <w:rPr>
          <w:i/>
          <w:iCs/>
          <w:lang w:val="ru-RU"/>
        </w:rPr>
        <w:t>没有信心，就不能讨神喜悦</w:t>
      </w:r>
      <w:r w:rsidRPr="006A21F9">
        <w:rPr>
          <w:lang w:val="ru-RU"/>
        </w:rPr>
        <w:t>（希伯来书 11:6）。</w:t>
      </w:r>
      <w:r w:rsidRPr="006A21F9">
        <w:rPr>
          <w:i/>
          <w:iCs/>
          <w:lang w:val="ru-RU"/>
        </w:rPr>
        <w:t>凡不出于信心的，都是罪</w:t>
      </w:r>
      <w:r w:rsidRPr="006A21F9">
        <w:rPr>
          <w:lang w:val="ru-RU"/>
        </w:rPr>
        <w:t>（罗马书 14:23）。</w:t>
      </w:r>
    </w:p>
    <w:p w14:paraId="7C7565D2" w14:textId="77777777" w:rsidR="00BE1885" w:rsidRPr="006A21F9" w:rsidRDefault="00BE1885" w:rsidP="00BE1885">
      <w:pPr>
        <w:rPr>
          <w:lang w:val="ru-RU"/>
        </w:rPr>
      </w:pPr>
      <w:r w:rsidRPr="006A21F9">
        <w:rPr>
          <w:lang w:val="ru-RU"/>
        </w:rPr>
        <w:tab/>
      </w:r>
      <w:r w:rsidRPr="006A21F9">
        <w:rPr>
          <w:b/>
          <w:bCs/>
          <w:lang w:val="ru-RU"/>
        </w:rPr>
        <w:t>f)</w:t>
      </w:r>
      <w:r w:rsidRPr="006A21F9">
        <w:rPr>
          <w:lang w:val="ru-RU"/>
        </w:rPr>
        <w:t xml:space="preserve"> 为了获得永恒的救恩：</w:t>
      </w:r>
      <w:r w:rsidRPr="006A21F9">
        <w:rPr>
          <w:i/>
          <w:iCs/>
          <w:lang w:val="ru-RU"/>
        </w:rPr>
        <w:t>你从小就通晓圣经，这圣经能使你因信基督耶稣而得救</w:t>
      </w:r>
      <w:r w:rsidRPr="006A21F9">
        <w:rPr>
          <w:lang w:val="ru-RU"/>
        </w:rPr>
        <w:t>（提摩太后书 3:15）。</w:t>
      </w:r>
      <w:r w:rsidRPr="006A21F9">
        <w:rPr>
          <w:i/>
          <w:iCs/>
          <w:lang w:val="ru-RU"/>
        </w:rPr>
        <w:t>你们得救是本乎恩，也因着信</w:t>
      </w:r>
      <w:r w:rsidRPr="006A21F9">
        <w:rPr>
          <w:lang w:val="ru-RU"/>
        </w:rPr>
        <w:t>（以弗所书 2:8）。</w:t>
      </w:r>
    </w:p>
    <w:p w14:paraId="3ED024B2" w14:textId="77777777" w:rsidR="00BE1885" w:rsidRPr="006A21F9" w:rsidRDefault="00BE1885" w:rsidP="00BE1885">
      <w:pPr>
        <w:ind w:firstLine="708"/>
        <w:rPr>
          <w:lang w:val="ru-RU"/>
        </w:rPr>
      </w:pPr>
      <w:r w:rsidRPr="006A21F9">
        <w:rPr>
          <w:b/>
          <w:bCs/>
          <w:lang w:val="ru-RU"/>
        </w:rPr>
        <w:t>3.</w:t>
      </w:r>
      <w:r w:rsidRPr="006A21F9">
        <w:rPr>
          <w:lang w:val="ru-RU"/>
        </w:rPr>
        <w:t xml:space="preserve"> 同样，上帝的话语教导我们，要使有罪的人得着成圣与救恩，特别需要：</w:t>
      </w:r>
    </w:p>
    <w:p w14:paraId="521CA0CC"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最严格的意义上的信心，借此我们领受启示中的教义真理，例如：关于神存在的真理、祂在本质上的一体性与位格上的三位一体、关于耶稣基督作为我们的救赎主，以及其他真理。 </w:t>
      </w:r>
      <w:r w:rsidRPr="006A21F9">
        <w:rPr>
          <w:i/>
          <w:iCs/>
          <w:lang w:val="ru-RU"/>
        </w:rPr>
        <w:t>没有信心，就不可能讨神喜悦；因为到神那里的人，必须信祂是有的，并且信祂赏赐那寻求祂的人</w:t>
      </w:r>
      <w:r w:rsidRPr="006A21F9">
        <w:rPr>
          <w:lang w:val="ru-RU"/>
        </w:rPr>
        <w:t xml:space="preserve">（来11:6）。 </w:t>
      </w:r>
      <w:r w:rsidRPr="006A21F9">
        <w:rPr>
          <w:i/>
          <w:iCs/>
          <w:lang w:val="ru-RU"/>
        </w:rPr>
        <w:t>“永生就是认识你——独一的真神，以及你所差来的耶稣基督</w:t>
      </w:r>
      <w:r w:rsidRPr="006A21F9">
        <w:rPr>
          <w:lang w:val="ru-RU"/>
        </w:rPr>
        <w:t>”（约17:3）。</w:t>
      </w:r>
      <w:r w:rsidRPr="006A21F9">
        <w:rPr>
          <w:i/>
          <w:iCs/>
          <w:lang w:val="ru-RU"/>
        </w:rPr>
        <w:t>“你们要去，使万民作我的门徒，奉父、子、圣灵的名给他们施洗</w:t>
      </w:r>
      <w:r w:rsidRPr="006A21F9">
        <w:rPr>
          <w:lang w:val="ru-RU"/>
        </w:rPr>
        <w:t xml:space="preserve">”（太28:19）； </w:t>
      </w:r>
      <w:r w:rsidRPr="006A21F9">
        <w:rPr>
          <w:i/>
          <w:iCs/>
          <w:lang w:val="ru-RU"/>
        </w:rPr>
        <w:t>信而受洗的，必然得救；不信的，必被定罪</w:t>
      </w:r>
      <w:r w:rsidRPr="006A21F9">
        <w:rPr>
          <w:lang w:val="ru-RU"/>
        </w:rPr>
        <w:t>（马可福音 16:16）。</w:t>
      </w:r>
      <w:r w:rsidRPr="006A21F9">
        <w:rPr>
          <w:i/>
          <w:iCs/>
          <w:lang w:val="ru-RU"/>
        </w:rPr>
        <w:t>信子的人有永生；不信子的人不得见永生，神的忿怒常在他身上</w:t>
      </w:r>
      <w:r w:rsidRPr="006A21F9">
        <w:rPr>
          <w:lang w:val="ru-RU"/>
        </w:rPr>
        <w:t>[（约翰福音 3:36）；参 （约6:29）；（约8:24）；（彼前1:8）]。</w:t>
      </w:r>
      <w:r w:rsidRPr="006A21F9">
        <w:rPr>
          <w:i/>
          <w:iCs/>
          <w:lang w:val="ru-RU"/>
        </w:rPr>
        <w:t>我们信了基督耶稣，为要因信基督称义</w:t>
      </w:r>
      <w:r w:rsidRPr="006A21F9">
        <w:rPr>
          <w:lang w:val="ru-RU"/>
        </w:rPr>
        <w:t>[（加2:16）；参（罗10:9）；（约3:16）]。</w:t>
      </w:r>
    </w:p>
    <w:p w14:paraId="2F518DAC"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那使我们领受启示中道德真理的爱，即对上帝、对主耶稣以及对邻舍的爱。</w:t>
      </w:r>
      <w:r w:rsidRPr="006A21F9">
        <w:rPr>
          <w:i/>
          <w:iCs/>
          <w:lang w:val="ru-RU"/>
        </w:rPr>
        <w:t>我若有一切的信心，甚至能移山，却没有爱，我就算不得什么</w:t>
      </w:r>
      <w:r w:rsidRPr="006A21F9">
        <w:rPr>
          <w:lang w:val="ru-RU"/>
        </w:rPr>
        <w:t xml:space="preserve">（林前13:2）。 </w:t>
      </w:r>
      <w:r w:rsidRPr="006A21F9">
        <w:rPr>
          <w:i/>
          <w:iCs/>
          <w:lang w:val="ru-RU"/>
        </w:rPr>
        <w:t>在基督耶稣里，无论是受割礼还是未受割礼，都没有任何功效，唯有那借着爱而运行的信心</w:t>
      </w:r>
      <w:r w:rsidRPr="006A21F9">
        <w:rPr>
          <w:lang w:val="ru-RU"/>
        </w:rPr>
        <w:t>（加拉太书 5:6）。</w:t>
      </w:r>
      <w:r w:rsidRPr="006A21F9">
        <w:rPr>
          <w:i/>
          <w:iCs/>
          <w:lang w:val="ru-RU"/>
        </w:rPr>
        <w:t xml:space="preserve">神就是爱，住在爱里的人就住在神里面，神也住在他里面 </w:t>
      </w:r>
      <w:r w:rsidRPr="006A21F9">
        <w:rPr>
          <w:lang w:val="ru-RU"/>
        </w:rPr>
        <w:t>[(约翰一书 4:16)；参 （太22:37）；（路7:47）]。</w:t>
      </w:r>
      <w:r w:rsidRPr="006A21F9">
        <w:rPr>
          <w:i/>
          <w:iCs/>
          <w:lang w:val="ru-RU"/>
        </w:rPr>
        <w:t xml:space="preserve">不爱主耶稣基督的，当受咒诅，马兰·阿法 </w:t>
      </w:r>
      <w:r w:rsidRPr="006A21F9">
        <w:rPr>
          <w:lang w:val="ru-RU"/>
        </w:rPr>
        <w:t xml:space="preserve">[(林前16:22)；参（太10:37）；（约13:34）]。 </w:t>
      </w:r>
      <w:r w:rsidRPr="006A21F9">
        <w:rPr>
          <w:i/>
          <w:iCs/>
          <w:lang w:val="ru-RU"/>
        </w:rPr>
        <w:t>我们知道，我们已经从死里复活，因为我们爱弟兄；不爱弟兄的，仍住在死中</w:t>
      </w:r>
      <w:r w:rsidRPr="006A21F9">
        <w:rPr>
          <w:lang w:val="ru-RU"/>
        </w:rPr>
        <w:t>（约壹3:14）。</w:t>
      </w:r>
    </w:p>
    <w:p w14:paraId="66B4D7F9"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那使我们领受神应许的盼望。</w:t>
      </w:r>
      <w:r w:rsidRPr="006A21F9">
        <w:rPr>
          <w:i/>
          <w:iCs/>
          <w:lang w:val="ru-RU"/>
        </w:rPr>
        <w:t>亲爱的弟兄们！我们现在是神的儿女；将来如何，还未显明。 我们只知道，到那日，我们必像祂，因为我们要看见祂本来的样子。凡向祂怀有这指望的，就洁净自己，正如祂是洁净的一样</w:t>
      </w:r>
      <w:r w:rsidRPr="006A21F9">
        <w:rPr>
          <w:lang w:val="ru-RU"/>
        </w:rPr>
        <w:t>（《约翰一书》3:2-3）</w:t>
      </w:r>
      <w:r w:rsidRPr="006A21F9">
        <w:rPr>
          <w:i/>
          <w:iCs/>
          <w:lang w:val="ru-RU"/>
        </w:rPr>
        <w:t>。我们是在指望中得救的</w:t>
      </w:r>
      <w:r w:rsidRPr="006A21F9">
        <w:rPr>
          <w:lang w:val="ru-RU"/>
        </w:rPr>
        <w:t>（</w:t>
      </w:r>
      <w:r>
        <w:rPr>
          <w:lang w:val="ru-RU"/>
        </w:rPr>
        <w:t>《</w:t>
      </w:r>
      <w:r w:rsidRPr="006A21F9">
        <w:rPr>
          <w:lang w:val="ru-RU"/>
        </w:rPr>
        <w:t>罗马</w:t>
      </w:r>
      <w:r>
        <w:rPr>
          <w:lang w:val="ru-RU"/>
        </w:rPr>
        <w:t>书</w:t>
      </w:r>
      <w:r w:rsidRPr="006A21F9">
        <w:rPr>
          <w:lang w:val="ru-RU"/>
        </w:rPr>
        <w:t>》8:24）。</w:t>
      </w:r>
      <w:r w:rsidRPr="006A21F9">
        <w:rPr>
          <w:i/>
          <w:iCs/>
          <w:lang w:val="ru-RU"/>
        </w:rPr>
        <w:t xml:space="preserve">基督是祂家中的儿子； 而祂的家就是我们，只要我们所夸的胆量和盼望，能坚定不移地持守到底 </w:t>
      </w:r>
      <w:r w:rsidRPr="006A21F9">
        <w:rPr>
          <w:lang w:val="ru-RU"/>
        </w:rPr>
        <w:t>[(希伯来书 3:6)；参见 (希伯来书 6:11-12)]。</w:t>
      </w:r>
      <w:r w:rsidRPr="006A21F9">
        <w:rPr>
          <w:i/>
          <w:iCs/>
          <w:lang w:val="ru-RU"/>
        </w:rPr>
        <w:t xml:space="preserve">我们要坚定不移地持守这盼望的见证，因为那应许的，是信实的 </w:t>
      </w:r>
      <w:r w:rsidRPr="006A21F9">
        <w:rPr>
          <w:lang w:val="ru-RU"/>
        </w:rPr>
        <w:t>(希伯来书 10:23)。</w:t>
      </w:r>
    </w:p>
    <w:p w14:paraId="42CE5927" w14:textId="77777777" w:rsidR="00BE1885" w:rsidRPr="006A21F9" w:rsidRDefault="00BE1885" w:rsidP="00BE1885">
      <w:pPr>
        <w:ind w:firstLine="708"/>
        <w:rPr>
          <w:lang w:val="ru-RU"/>
        </w:rPr>
      </w:pPr>
      <w:r w:rsidRPr="006A21F9">
        <w:rPr>
          <w:b/>
          <w:bCs/>
          <w:lang w:val="ru-RU"/>
        </w:rPr>
        <w:t>4.</w:t>
      </w:r>
      <w:r w:rsidRPr="006A21F9">
        <w:rPr>
          <w:lang w:val="ru-RU"/>
        </w:rPr>
        <w:t xml:space="preserve"> 教会的圣父们一致认为，无论是信仰本身，还是具体而言的信仰、盼望和爱，都是人得成圣与得救所不可或缺的。例如：</w:t>
      </w:r>
    </w:p>
    <w:p w14:paraId="013F0404" w14:textId="77777777" w:rsidR="00BE1885" w:rsidRPr="006A21F9" w:rsidRDefault="00BE1885" w:rsidP="00BE1885">
      <w:pPr>
        <w:rPr>
          <w:lang w:val="ru-RU"/>
        </w:rPr>
      </w:pPr>
      <w:r w:rsidRPr="006A21F9">
        <w:rPr>
          <w:lang w:val="ru-RU"/>
        </w:rPr>
        <w:tab/>
        <w:t>罗马的圣克利门特：“我们因上帝的旨意在基督耶稣里蒙召，并非靠自己，也非靠自己的智慧、理智、虔诚，或我们以纯洁之心所行的善行而称义，而是靠那自创世以来全能上帝就藉以称义众人的信心。”</w:t>
      </w:r>
      <w:r>
        <w:rPr>
          <w:rStyle w:val="FootnoteReference"/>
        </w:rPr>
        <w:footnoteReference w:id="801"/>
      </w:r>
      <w:r w:rsidRPr="006A21F9">
        <w:rPr>
          <w:lang w:val="ru-RU"/>
        </w:rPr>
        <w:t xml:space="preserve"> </w:t>
      </w:r>
      <w:r w:rsidRPr="006A21F9">
        <w:rPr>
          <w:lang w:val="ru-RU"/>
        </w:rPr>
        <w:lastRenderedPageBreak/>
        <w:t>“爱所引领的高度，是无法言喻的。爱将我们与上帝联结在一起；爱能遮盖许多的罪（彼得前书 4:8）；……上帝所有的选民都是借着爱才达到完全的，没有爱，就没有任何事能讨上帝的喜悦。”</w:t>
      </w:r>
      <w:r>
        <w:rPr>
          <w:rStyle w:val="FootnoteReference"/>
        </w:rPr>
        <w:footnoteReference w:id="802"/>
      </w:r>
    </w:p>
    <w:p w14:paraId="6989AE92" w14:textId="77777777" w:rsidR="00BE1885" w:rsidRPr="006A21F9" w:rsidRDefault="00BE1885" w:rsidP="00BE1885">
      <w:pPr>
        <w:rPr>
          <w:lang w:val="ru-RU"/>
        </w:rPr>
      </w:pPr>
      <w:r w:rsidRPr="006A21F9">
        <w:rPr>
          <w:lang w:val="ru-RU"/>
        </w:rPr>
        <w:tab/>
        <w:t>圣波利卡普：“深入研读它们（圣保罗的书信），你们便能在所领受的信仰中获得教益；这信仰是你们众人的母亲，伴随着希望，并由对上帝、对基督以及对邻人的爱所引导。 凡持守这些教导的人，便是遵行了公义的诫命。因为有爱的人，就远离一切罪恶。”</w:t>
      </w:r>
      <w:r>
        <w:rPr>
          <w:rStyle w:val="FootnoteReference"/>
        </w:rPr>
        <w:footnoteReference w:id="803"/>
      </w:r>
    </w:p>
    <w:p w14:paraId="61FAFBD1" w14:textId="77777777" w:rsidR="00BE1885" w:rsidRPr="006A21F9" w:rsidRDefault="00BE1885" w:rsidP="00BE1885">
      <w:pPr>
        <w:rPr>
          <w:lang w:val="ru-RU"/>
        </w:rPr>
      </w:pPr>
      <w:r w:rsidRPr="006A21F9">
        <w:rPr>
          <w:lang w:val="ru-RU"/>
        </w:rPr>
        <w:tab/>
        <w:t>大圣巴西尔：“当人不再因自己的义而自高自大，而是深知自己并不具备真正的义，并仅凭对基督的 的信仰而称义时，这便是对上帝最完美、最彻底的赞美。”</w:t>
      </w:r>
      <w:r>
        <w:rPr>
          <w:rStyle w:val="FootnoteReference"/>
        </w:rPr>
        <w:footnoteReference w:id="804"/>
      </w:r>
      <w:r w:rsidRPr="006A21F9">
        <w:rPr>
          <w:lang w:val="ru-RU"/>
        </w:rPr>
        <w:t xml:space="preserve"> “若无对基督的虔诚信仰，任何善行都无法妥善完成。”</w:t>
      </w:r>
      <w:r>
        <w:rPr>
          <w:rStyle w:val="FootnoteReference"/>
        </w:rPr>
        <w:footnoteReference w:id="805"/>
      </w:r>
      <w:r w:rsidRPr="006A21F9">
        <w:rPr>
          <w:lang w:val="ru-RU"/>
        </w:rPr>
        <w:t xml:space="preserve"> “它（爱）以其力量包容并促成一切诫命的践行。”</w:t>
      </w:r>
      <w:r>
        <w:rPr>
          <w:rStyle w:val="FootnoteReference"/>
        </w:rPr>
        <w:footnoteReference w:id="806"/>
      </w:r>
    </w:p>
    <w:p w14:paraId="749B71FD" w14:textId="77777777" w:rsidR="00BE1885" w:rsidRPr="006A21F9" w:rsidRDefault="00BE1885" w:rsidP="00BE1885">
      <w:pPr>
        <w:rPr>
          <w:lang w:val="ru-RU"/>
        </w:rPr>
      </w:pPr>
      <w:r w:rsidRPr="006A21F9">
        <w:rPr>
          <w:lang w:val="ru-RU"/>
        </w:rPr>
        <w:tab/>
        <w:t>圣格里高利·神学家：“你当承认耶稣基督，并相信祂从死里复活；你便得救。因为称义仅在于信，而完全的救恩则在于承认，并在认识之上加上胆量。”</w:t>
      </w:r>
      <w:r>
        <w:rPr>
          <w:rStyle w:val="FootnoteReference"/>
        </w:rPr>
        <w:footnoteReference w:id="807"/>
      </w:r>
    </w:p>
    <w:p w14:paraId="0A70FACA" w14:textId="77777777" w:rsidR="00BE1885" w:rsidRPr="006A21F9" w:rsidRDefault="00BE1885" w:rsidP="00BE1885">
      <w:pPr>
        <w:rPr>
          <w:lang w:val="ru-RU"/>
        </w:rPr>
      </w:pPr>
      <w:r w:rsidRPr="006A21F9">
        <w:rPr>
          <w:lang w:val="ru-RU"/>
        </w:rPr>
        <w:tab/>
        <w:t>圣约翰·金口：“使徒指出，世人已在神面前有罪，众人皆已犯罪，且唯有借着信心才能得救；他竭力证明，以此方式得救绝非可耻，相反，是极其荣耀的。”</w:t>
      </w:r>
      <w:r>
        <w:rPr>
          <w:rStyle w:val="FootnoteReference"/>
        </w:rPr>
        <w:footnoteReference w:id="808"/>
      </w:r>
      <w:r w:rsidRPr="006A21F9">
        <w:rPr>
          <w:lang w:val="ru-RU"/>
        </w:rPr>
        <w:t xml:space="preserve"> “使徒证明，信仰不仅并非多余，而且是如此必要，以至于没有它就不可能得救。”</w:t>
      </w:r>
      <w:r>
        <w:rPr>
          <w:rStyle w:val="FootnoteReference"/>
        </w:rPr>
        <w:footnoteReference w:id="809"/>
      </w:r>
      <w:r w:rsidRPr="006A21F9">
        <w:rPr>
          <w:lang w:val="ru-RU"/>
        </w:rPr>
        <w:t xml:space="preserve"> “为了让你知道信徒应该怀有怎样的心，使徒说：我们以对上帝荣耀的盼望为荣。 信徒不仅应当对已蒙赐的恩典确信无疑，更应当将未来的恩典视作已然赐下的。 因为人只能为自己已经拥有的而夸口。既然对未来恩典的盼望与对已得恩典的盼望一样坚定且毫无疑问，因此使徒说，我们也因对未来的盼望而夸口。”</w:t>
      </w:r>
      <w:r>
        <w:rPr>
          <w:rStyle w:val="FootnoteReference"/>
        </w:rPr>
        <w:footnoteReference w:id="810"/>
      </w:r>
    </w:p>
    <w:p w14:paraId="2B51BEDF" w14:textId="77777777" w:rsidR="00BE1885" w:rsidRPr="006A21F9" w:rsidRDefault="00BE1885" w:rsidP="00BE1885">
      <w:pPr>
        <w:rPr>
          <w:lang w:val="ru-RU"/>
        </w:rPr>
      </w:pPr>
      <w:r w:rsidRPr="006A21F9">
        <w:rPr>
          <w:lang w:val="ru-RU"/>
        </w:rPr>
        <w:tab/>
        <w:t>圣基里尔·耶路撒冷：“罪的赦免同样赐予所有人，而圣灵的恩赐则按各人的信心程度而赐予。”</w:t>
      </w:r>
      <w:r>
        <w:rPr>
          <w:rStyle w:val="FootnoteReference"/>
        </w:rPr>
        <w:footnoteReference w:id="811"/>
      </w:r>
      <w:r w:rsidRPr="006A21F9">
        <w:rPr>
          <w:lang w:val="ru-RU"/>
        </w:rPr>
        <w:t xml:space="preserve"> “如果我们保持这样的信心，我们将在上帝面前无罪，并以各种美德装点自己…… 这种信仰具有这样的力量：不仅信徒自己得救，其他人也会因他人的信仰而得救。”</w:t>
      </w:r>
      <w:r>
        <w:rPr>
          <w:rStyle w:val="FootnoteReference"/>
        </w:rPr>
        <w:footnoteReference w:id="812"/>
      </w:r>
      <w:r w:rsidRPr="006A21F9">
        <w:rPr>
          <w:lang w:val="ru-RU"/>
        </w:rPr>
        <w:t xml:space="preserve"> “一切善行的根源在于对复活的盼望。因为对奖赏的期待，能激励灵魂行善。”</w:t>
      </w:r>
      <w:r>
        <w:rPr>
          <w:rStyle w:val="FootnoteReference"/>
        </w:rPr>
        <w:footnoteReference w:id="813"/>
      </w:r>
    </w:p>
    <w:p w14:paraId="7A144048" w14:textId="77777777" w:rsidR="00BE1885" w:rsidRPr="006A21F9" w:rsidRDefault="00BE1885" w:rsidP="00BE1885">
      <w:pPr>
        <w:rPr>
          <w:lang w:val="ru-RU"/>
        </w:rPr>
      </w:pPr>
      <w:r w:rsidRPr="006A21F9">
        <w:rPr>
          <w:lang w:val="ru-RU"/>
        </w:rPr>
        <w:lastRenderedPageBreak/>
        <w:tab/>
        <w:t>圣依纳爵·神恩者、</w:t>
      </w:r>
      <w:r>
        <w:rPr>
          <w:rStyle w:val="FootnoteReference"/>
        </w:rPr>
        <w:footnoteReference w:id="814"/>
      </w:r>
      <w:r w:rsidRPr="006A21F9">
        <w:rPr>
          <w:lang w:val="ru-RU"/>
        </w:rPr>
        <w:t xml:space="preserve"> 圣伊雷内乌斯、</w:t>
      </w:r>
      <w:r>
        <w:rPr>
          <w:rStyle w:val="FootnoteReference"/>
        </w:rPr>
        <w:footnoteReference w:id="815"/>
      </w:r>
      <w:r w:rsidRPr="006A21F9">
        <w:rPr>
          <w:lang w:val="ru-RU"/>
        </w:rPr>
        <w:t xml:space="preserve"> 圣安布罗斯、</w:t>
      </w:r>
      <w:r>
        <w:rPr>
          <w:rStyle w:val="FootnoteReference"/>
        </w:rPr>
        <w:footnoteReference w:id="816"/>
      </w:r>
      <w:r w:rsidRPr="006A21F9">
        <w:rPr>
          <w:lang w:val="ru-RU"/>
        </w:rPr>
        <w:t xml:space="preserve"> 圣马卡里乌斯·埃及人、</w:t>
      </w:r>
      <w:r>
        <w:rPr>
          <w:rStyle w:val="FootnoteReference"/>
        </w:rPr>
        <w:footnoteReference w:id="817"/>
      </w:r>
      <w:r w:rsidRPr="006A21F9">
        <w:rPr>
          <w:lang w:val="ru-RU"/>
        </w:rPr>
        <w:t xml:space="preserve"> 圣西里尔·亚历山大、</w:t>
      </w:r>
      <w:r>
        <w:rPr>
          <w:rStyle w:val="FootnoteReference"/>
        </w:rPr>
        <w:footnoteReference w:id="818"/>
      </w:r>
      <w:r w:rsidRPr="006A21F9">
        <w:rPr>
          <w:lang w:val="ru-RU"/>
        </w:rPr>
        <w:t xml:space="preserve"> 福者狄奥多里特、</w:t>
      </w:r>
      <w:r>
        <w:rPr>
          <w:rStyle w:val="FootnoteReference"/>
        </w:rPr>
        <w:footnoteReference w:id="819"/>
      </w:r>
      <w:r w:rsidRPr="006A21F9">
        <w:rPr>
          <w:lang w:val="ru-RU"/>
        </w:rPr>
        <w:t xml:space="preserve"> 福者奥古斯丁</w:t>
      </w:r>
      <w:r>
        <w:rPr>
          <w:rStyle w:val="FootnoteReference"/>
        </w:rPr>
        <w:footnoteReference w:id="820"/>
      </w:r>
      <w:r w:rsidRPr="006A21F9">
        <w:rPr>
          <w:lang w:val="ru-RU"/>
        </w:rPr>
        <w:t xml:space="preserve"> 等人也曾如此教导。</w:t>
      </w:r>
      <w:r>
        <w:rPr>
          <w:rStyle w:val="FootnoteReference"/>
        </w:rPr>
        <w:footnoteReference w:id="821"/>
      </w:r>
    </w:p>
    <w:p w14:paraId="75F31119" w14:textId="77777777" w:rsidR="00BE1885" w:rsidRPr="006A21F9" w:rsidRDefault="00BE1885" w:rsidP="00BE1885">
      <w:pPr>
        <w:ind w:firstLine="708"/>
        <w:rPr>
          <w:lang w:val="ru-RU"/>
        </w:rPr>
      </w:pPr>
      <w:r w:rsidRPr="006A21F9">
        <w:rPr>
          <w:b/>
          <w:bCs/>
          <w:lang w:val="ru-RU"/>
        </w:rPr>
        <w:t>5.</w:t>
      </w:r>
      <w:r w:rsidRPr="006A21F9">
        <w:rPr>
          <w:lang w:val="ru-RU"/>
        </w:rPr>
        <w:t xml:space="preserve"> 信仰对于我们的成圣与得救之必要性，从理性的角度来看也是显而易见的。 若无信仰，我们就无法领受神圣启示的真理；因此，我们将既不知道上帝为我们的得救所做的一切，也不知道我们自己应当做些什么。如此一来，启示连同整个救赎的计划，对我们而言都将变得陌生，而我们也将与启示和救赎疏远。 信靠基督这位救主及其启示之言，我们便如同敞开自己的灵魂，接纳上帝在我们身上的一切救赎作为；若不信，我们便将自己封闭于这些作为之外，并排斥神的帮助。 正因如此，尽管信心是由先行的恩典在我们心中激发出来的，且其本质上是上帝的恩赐，但一旦它在我们心中萌生，并经由我们自由的同意， 它便成为我们方面最首要的工具，用以切实地将救赎之恩——即一切神圣的力量，这些力量旨在使我们得着生命与敬虔 （彼得后书 1:3）；也是我们藉着恩典重生、成圣和得救的首要条件。</w:t>
      </w:r>
    </w:p>
    <w:p w14:paraId="08E3F188" w14:textId="77777777" w:rsidR="00BE1885" w:rsidRPr="006A21F9" w:rsidRDefault="00BE1885" w:rsidP="00BE1885">
      <w:pPr>
        <w:ind w:firstLine="708"/>
        <w:rPr>
          <w:lang w:val="ru-RU"/>
        </w:rPr>
      </w:pPr>
      <w:r w:rsidRPr="006A21F9">
        <w:rPr>
          <w:b/>
          <w:bCs/>
          <w:lang w:val="ru-RU"/>
        </w:rPr>
        <w:t>6.</w:t>
      </w:r>
      <w:r w:rsidRPr="006A21F9">
        <w:rPr>
          <w:lang w:val="ru-RU"/>
        </w:rPr>
        <w:t xml:space="preserve"> 信心的尊贵</w:t>
      </w:r>
      <w:r w:rsidRPr="001E4083">
        <w:t>及其</w:t>
      </w:r>
      <w:r w:rsidRPr="006A21F9">
        <w:rPr>
          <w:lang w:val="ru-RU"/>
        </w:rPr>
        <w:t>可归责性，可从以下事实中理解：虽然信心是因着上帝先赐的恩典而在我们心中萌发，但随后也取决于我们——作为对恩典之声的自由顺服，这恩典之声呼召我们归向基督；作为我们理性及灵魂一切力量对启示真理以及上帝所设立的一切的自由顺服， 我们成圣的秩序，以及自愿将自己交托于基督的引导。 “自然出生，”福者狄奥多里特说，“无需被生者参与；但信仰的诞生则需要生者与被生者双方的同意。因为即使传道者确实信了；但如果听道者没有信心而接受他的讲道，那么他就无法与传道者相契合。”</w:t>
      </w:r>
      <w:r>
        <w:rPr>
          <w:rStyle w:val="FootnoteReference"/>
        </w:rPr>
        <w:footnoteReference w:id="822"/>
      </w:r>
      <w:r w:rsidRPr="006A21F9">
        <w:rPr>
          <w:lang w:val="ru-RU"/>
        </w:rPr>
        <w:t xml:space="preserve"> 至于圣约翰·金口，他这样论述信仰在我们得救之事上的尊贵：“（圣使徒保罗）证明，因信得救在各方面都远胜于因行得救所能自夸和寄予希望的一切。 以行为自夸者，不过是炫耀自己的劳苦；而以信靠上帝为荣者，则提供了更值得称颂的理由；因为他是在颂扬并尊崇主。 他因信靠上帝，将肉眼可见之物所未能揭示的真理视为真实，由此证明了他对上帝的真诚之爱，并庄严地宣扬了祂的大能；这正体现出最感恩的心、最睿智的思维方式以及崇高的智慧。 不偷盗、不杀人是最寻常的事，但要相信上帝有能力成就不可能之事，这需要一颗坚定不移、深信上帝的伟大心灵——</w:t>
      </w:r>
      <w:r w:rsidRPr="006A21F9">
        <w:rPr>
          <w:lang w:val="ru-RU"/>
        </w:rPr>
        <w:lastRenderedPageBreak/>
        <w:t>这正是真爱的标志。虽然遵守诫命的人以此荣耀上帝；但那些凭着信心明理的人，所给予的荣耀要大得多。 前者顺服于上帝，而后者则对上帝有了正确的认识，所荣耀和尊崇祂的程度，远超通过行为所能达到的。前者的赞誉归于行善者本人；而后者则荣耀上帝，并全然归于祂……正如行善需要力量，信仰亦然。 在善行中，劳苦往往由身体分担；而信仰则是灵魂独力完成的；正因为无人与之分担功绩，</w:t>
      </w:r>
      <w:r w:rsidRPr="001E4083">
        <w:t>其劳苦便</w:t>
      </w:r>
      <w:r w:rsidRPr="006A21F9">
        <w:rPr>
          <w:lang w:val="ru-RU"/>
        </w:rPr>
        <w:t>更为显著……信靠是崇高而伟大的灵魂的特质；反之，不信则是愚昧、粗鄙的灵魂的标志，这种灵魂已堕落至与驮兽无异的愚昧境地。”</w:t>
      </w:r>
      <w:r>
        <w:rPr>
          <w:rStyle w:val="FootnoteReference"/>
        </w:rPr>
        <w:footnoteReference w:id="823"/>
      </w:r>
    </w:p>
    <w:p w14:paraId="2BB5B537" w14:textId="77777777" w:rsidR="00BE1885" w:rsidRPr="006A21F9" w:rsidRDefault="00BE1885" w:rsidP="00BE1885">
      <w:pPr>
        <w:rPr>
          <w:lang w:val="ru-RU"/>
        </w:rPr>
      </w:pPr>
      <w:r w:rsidRPr="006A21F9">
        <w:rPr>
          <w:lang w:val="ru-RU"/>
        </w:rPr>
        <w:tab/>
      </w:r>
    </w:p>
    <w:p w14:paraId="74F5CB68" w14:textId="77777777" w:rsidR="00BE1885" w:rsidRPr="006A21F9" w:rsidRDefault="00BE1885" w:rsidP="00BE1885">
      <w:pPr>
        <w:pStyle w:val="Heading5"/>
        <w:rPr>
          <w:lang w:val="ru-RU"/>
        </w:rPr>
      </w:pPr>
      <w:bookmarkStart w:id="671" w:name="_Toc133142962"/>
      <w:bookmarkStart w:id="672" w:name="_Toc133166319"/>
      <w:bookmarkStart w:id="673" w:name="_Toc182221529"/>
      <w:bookmarkStart w:id="674" w:name="_Toc238453096"/>
      <w:bookmarkStart w:id="675" w:name="_Toc238453896"/>
      <w:bookmarkStart w:id="676" w:name="_Toc238576556"/>
      <w:r w:rsidRPr="006A21F9">
        <w:rPr>
          <w:lang w:val="ru-RU"/>
        </w:rPr>
        <w:t>§198. 除了信仰之外，为了使人得到成圣与救赎，还要求他行善</w:t>
      </w:r>
      <w:bookmarkEnd w:id="671"/>
      <w:bookmarkEnd w:id="672"/>
      <w:bookmarkEnd w:id="673"/>
      <w:bookmarkEnd w:id="674"/>
      <w:bookmarkEnd w:id="675"/>
      <w:bookmarkEnd w:id="676"/>
    </w:p>
    <w:p w14:paraId="1489391D" w14:textId="77777777" w:rsidR="00BE1885" w:rsidRPr="006A21F9" w:rsidRDefault="00BE1885" w:rsidP="00BE1885">
      <w:pPr>
        <w:ind w:firstLine="708"/>
        <w:rPr>
          <w:lang w:val="ru-RU"/>
        </w:rPr>
      </w:pPr>
      <w:r w:rsidRPr="006A21F9">
        <w:rPr>
          <w:lang w:val="ru-RU"/>
        </w:rPr>
        <w:t>不过，尽管信仰的尊严何其伟大——它在广义上既包含希望，也包含爱——而且这种信仰确实是人领受基督功绩的首要条件；但仅凭信仰本身尚不足以达成目标。 仅凭信仰，人在刚进入基督恩典之国时，便可在洗礼圣事中获得称义并从罪中得洁净；随后还可通过教会的其他圣事领受恩典的恩赐。 但为了使他在进入恩典之国后，能够保持他在洗礼中所获得的义和纯洁；为了使他能够利用通过其他圣事所领受的圣灵恩赐；为了使他在基督徒生活中得以坚固，并在基督徒的圣洁中逐步提升； 最终，在完成尘世生涯后，能在基督的可怕审判中被宣告为义并蒙成圣——为此，除了信仰之外，还需要善行，即那些能使信仰、 希望与爱——这些栖息在基督徒心中的美德，能以果实的形式向外彰显，并成为对上帝旨意的准确践行，这旨意已通过福音律法传授给我们。</w:t>
      </w:r>
    </w:p>
    <w:p w14:paraId="6F60C966" w14:textId="77777777" w:rsidR="00BE1885" w:rsidRPr="006A21F9" w:rsidRDefault="00BE1885" w:rsidP="00BE1885">
      <w:pPr>
        <w:ind w:firstLine="708"/>
        <w:rPr>
          <w:lang w:val="ru-RU"/>
        </w:rPr>
      </w:pPr>
      <w:r w:rsidRPr="006A21F9">
        <w:rPr>
          <w:b/>
          <w:bCs/>
          <w:lang w:val="ru-RU"/>
        </w:rPr>
        <w:t>1.</w:t>
      </w:r>
      <w:r w:rsidRPr="006A21F9">
        <w:rPr>
          <w:lang w:val="ru-RU"/>
        </w:rPr>
        <w:t xml:space="preserve"> 上帝的话语明确宣讲：</w:t>
      </w:r>
    </w:p>
    <w:p w14:paraId="6F1B5346"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仅凭信仰而无行为，不足以使人得救。这一点得到了以下方面的印证</w:t>
      </w:r>
      <w:r w:rsidRPr="006A21F9">
        <w:rPr>
          <w:b/>
          <w:bCs/>
          <w:lang w:val="ru-RU"/>
        </w:rPr>
        <w:t>——aa)</w:t>
      </w:r>
      <w:r w:rsidRPr="006A21F9">
        <w:rPr>
          <w:lang w:val="ru-RU"/>
        </w:rPr>
        <w:t xml:space="preserve"> 救主基督本人曾说：</w:t>
      </w:r>
      <w:r w:rsidRPr="006A21F9">
        <w:rPr>
          <w:i/>
          <w:iCs/>
          <w:lang w:val="ru-RU"/>
        </w:rPr>
        <w:t>“不是每一个对我说‘主啊，主啊’的人都能进入天国，惟有遵行我天父旨意的人才能</w:t>
      </w:r>
      <w:r w:rsidRPr="006A21F9">
        <w:rPr>
          <w:lang w:val="ru-RU"/>
        </w:rPr>
        <w:t>进去”[（太7:21；参 （</w:t>
      </w:r>
      <w:r>
        <w:rPr>
          <w:lang w:val="ru-RU"/>
        </w:rPr>
        <w:t>太7:</w:t>
      </w:r>
      <w:r w:rsidRPr="006A21F9">
        <w:rPr>
          <w:lang w:val="ru-RU"/>
        </w:rPr>
        <w:t>26-27）]；</w:t>
      </w:r>
      <w:r w:rsidRPr="006A21F9">
        <w:rPr>
          <w:b/>
          <w:bCs/>
          <w:lang w:val="ru-RU"/>
        </w:rPr>
        <w:t>bb）</w:t>
      </w:r>
      <w:r w:rsidRPr="006A21F9">
        <w:rPr>
          <w:lang w:val="ru-RU"/>
        </w:rPr>
        <w:t>使徒雅各：</w:t>
      </w:r>
      <w:r w:rsidRPr="006A21F9">
        <w:rPr>
          <w:i/>
          <w:iCs/>
          <w:lang w:val="ru-RU"/>
        </w:rPr>
        <w:t>人因行为称义，而非单凭信心</w:t>
      </w:r>
      <w:r w:rsidRPr="006A21F9">
        <w:rPr>
          <w:lang w:val="ru-RU"/>
        </w:rPr>
        <w:t>（雅2:24）；</w:t>
      </w:r>
      <w:r w:rsidRPr="006A21F9">
        <w:rPr>
          <w:b/>
          <w:bCs/>
          <w:lang w:val="ru-RU"/>
        </w:rPr>
        <w:t>cc）</w:t>
      </w:r>
      <w:r w:rsidRPr="006A21F9">
        <w:rPr>
          <w:lang w:val="ru-RU"/>
        </w:rPr>
        <w:t xml:space="preserve">使徒约翰： </w:t>
      </w:r>
      <w:r w:rsidRPr="006A21F9">
        <w:rPr>
          <w:i/>
          <w:iCs/>
          <w:lang w:val="ru-RU"/>
        </w:rPr>
        <w:t>凡说“我认识祂” ，却不遵守祂诫命的，就是说谎的，真理也不在他心里</w:t>
      </w:r>
      <w:r w:rsidRPr="006A21F9">
        <w:rPr>
          <w:lang w:val="ru-RU"/>
        </w:rPr>
        <w:t>（约壹 2:4）；</w:t>
      </w:r>
      <w:r w:rsidRPr="006A21F9">
        <w:rPr>
          <w:b/>
          <w:bCs/>
          <w:lang w:val="ru-RU"/>
        </w:rPr>
        <w:t>gg)</w:t>
      </w:r>
      <w:r w:rsidRPr="006A21F9">
        <w:rPr>
          <w:lang w:val="ru-RU"/>
        </w:rPr>
        <w:t xml:space="preserve"> 使徒保罗：</w:t>
      </w:r>
      <w:r w:rsidRPr="006A21F9">
        <w:rPr>
          <w:i/>
          <w:iCs/>
          <w:lang w:val="ru-RU"/>
        </w:rPr>
        <w:t>在神面前称义的，不是听律法的人，乃是遵行律法的人</w:t>
      </w:r>
      <w:r w:rsidRPr="006A21F9">
        <w:rPr>
          <w:lang w:val="ru-RU"/>
        </w:rPr>
        <w:t>（罗 2:13）。</w:t>
      </w:r>
    </w:p>
    <w:p w14:paraId="0656A323"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基督徒有责任通过善行来彰显自己的信心、盼望和爱心。</w:t>
      </w:r>
      <w:r w:rsidRPr="006A21F9">
        <w:rPr>
          <w:i/>
          <w:iCs/>
          <w:lang w:val="ru-RU"/>
        </w:rPr>
        <w:t>信心若没有行为，本身就是死的……你用你的行为向我显明你的信心……正如身体没有灵魂是死的，信心没有行为也是死的</w:t>
      </w:r>
      <w:r w:rsidRPr="006A21F9">
        <w:rPr>
          <w:lang w:val="ru-RU"/>
        </w:rPr>
        <w:t xml:space="preserve">（雅各书 2:17-26）。 </w:t>
      </w:r>
      <w:r w:rsidRPr="006A21F9">
        <w:rPr>
          <w:i/>
          <w:iCs/>
          <w:lang w:val="ru-RU"/>
        </w:rPr>
        <w:t>凡</w:t>
      </w:r>
      <w:r w:rsidRPr="006A21F9">
        <w:rPr>
          <w:lang w:val="ru-RU"/>
        </w:rPr>
        <w:t>向</w:t>
      </w:r>
      <w:r w:rsidRPr="006A21F9">
        <w:rPr>
          <w:i/>
          <w:iCs/>
          <w:lang w:val="ru-RU"/>
        </w:rPr>
        <w:t>祂</w:t>
      </w:r>
      <w:r w:rsidRPr="006A21F9">
        <w:rPr>
          <w:lang w:val="ru-RU"/>
        </w:rPr>
        <w:t>（主耶稣）</w:t>
      </w:r>
      <w:r w:rsidRPr="006A21F9">
        <w:rPr>
          <w:i/>
          <w:iCs/>
          <w:lang w:val="ru-RU"/>
        </w:rPr>
        <w:t>怀有这指望</w:t>
      </w:r>
      <w:r w:rsidRPr="006A21F9">
        <w:rPr>
          <w:lang w:val="ru-RU"/>
        </w:rPr>
        <w:t>的</w:t>
      </w:r>
      <w:r w:rsidRPr="006A21F9">
        <w:rPr>
          <w:i/>
          <w:iCs/>
          <w:lang w:val="ru-RU"/>
        </w:rPr>
        <w:t>，就照祂的圣洁洁净自己</w:t>
      </w:r>
      <w:r w:rsidRPr="006A21F9">
        <w:rPr>
          <w:lang w:val="ru-RU"/>
        </w:rPr>
        <w:t>（约壹3:3）。</w:t>
      </w:r>
      <w:r w:rsidRPr="006A21F9">
        <w:rPr>
          <w:i/>
          <w:iCs/>
          <w:lang w:val="ru-RU"/>
        </w:rPr>
        <w:t>凡有我的诫命又遵守的，就是爱我</w:t>
      </w:r>
      <w:r w:rsidRPr="006A21F9">
        <w:rPr>
          <w:lang w:val="ru-RU"/>
        </w:rPr>
        <w:t xml:space="preserve">（约14:21）。 </w:t>
      </w:r>
      <w:r w:rsidRPr="006A21F9">
        <w:rPr>
          <w:i/>
          <w:iCs/>
          <w:lang w:val="ru-RU"/>
        </w:rPr>
        <w:t>我的儿女们啊！我们不要只用言语和舌头来爱，而要用行为和真理来爱</w:t>
      </w:r>
      <w:r w:rsidRPr="006A21F9">
        <w:rPr>
          <w:lang w:val="ru-RU"/>
        </w:rPr>
        <w:t>（约壹3:18）。</w:t>
      </w:r>
    </w:p>
    <w:p w14:paraId="44BD2F2F"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人们之所以被召入基督恩典的国度，正是为了行善。</w:t>
      </w:r>
      <w:r w:rsidRPr="006A21F9">
        <w:rPr>
          <w:i/>
          <w:iCs/>
          <w:lang w:val="ru-RU"/>
        </w:rPr>
        <w:t>我们是祂所造的，是在基督耶稣里被造，为要行善，就是神预先为我们预备的</w:t>
      </w:r>
      <w:r w:rsidRPr="006A21F9">
        <w:rPr>
          <w:lang w:val="ru-RU"/>
        </w:rPr>
        <w:t xml:space="preserve">（以弗所书 2:10）。 </w:t>
      </w:r>
      <w:r w:rsidRPr="006A21F9">
        <w:rPr>
          <w:i/>
          <w:iCs/>
          <w:lang w:val="ru-RU"/>
        </w:rPr>
        <w:t>神的恩典已经显明，这恩典是拯救所有人的，教导我们弃绝不义和世俗的私欲，在今世过着端正、公义、敬虔的生活，  等候那有福的盼望，并等候我们伟大的神和救主耶稣基督荣耀的显现，  祂为我们舍己，要救我们脱离一切不法的事，又为自己从世人中拣选出一群特别的子民，热心行善</w:t>
      </w:r>
      <w:r w:rsidRPr="006A21F9">
        <w:rPr>
          <w:lang w:val="ru-RU"/>
        </w:rPr>
        <w:t>（提多书 2:11-14）。</w:t>
      </w:r>
    </w:p>
    <w:p w14:paraId="28C80421"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最后，主将在来世按人的行为——而非仅凭信心——向人报应。</w:t>
      </w:r>
      <w:r w:rsidRPr="006A21F9">
        <w:rPr>
          <w:i/>
          <w:iCs/>
          <w:lang w:val="ru-RU"/>
        </w:rPr>
        <w:t xml:space="preserve">因为人子要带着祂的天使，在祂父的荣耀中降临，那时祂要按各人的行为报应各人 </w:t>
      </w:r>
      <w:r w:rsidRPr="006A21F9">
        <w:rPr>
          <w:lang w:val="ru-RU"/>
        </w:rPr>
        <w:t xml:space="preserve">[(太 </w:t>
      </w:r>
      <w:r w:rsidRPr="006A21F9">
        <w:rPr>
          <w:lang w:val="ru-RU"/>
        </w:rPr>
        <w:lastRenderedPageBreak/>
        <w:t>16:27)；参 （太25:34-36）]。</w:t>
      </w:r>
      <w:r w:rsidRPr="006A21F9">
        <w:rPr>
          <w:i/>
          <w:iCs/>
          <w:lang w:val="ru-RU"/>
        </w:rPr>
        <w:t>每个人都将从主那里按他所行的善事得着报偿</w:t>
      </w:r>
      <w:r w:rsidRPr="006A21F9">
        <w:rPr>
          <w:lang w:val="ru-RU"/>
        </w:rPr>
        <w:t>（弗6:8），</w:t>
      </w:r>
      <w:r w:rsidRPr="006A21F9">
        <w:rPr>
          <w:i/>
          <w:iCs/>
          <w:lang w:val="ru-RU"/>
        </w:rPr>
        <w:t>（神）必照各人的行为报应各人</w:t>
      </w:r>
      <w:r w:rsidRPr="006A21F9">
        <w:rPr>
          <w:lang w:val="ru-RU"/>
        </w:rPr>
        <w:t xml:space="preserve">（罗2:6）。 </w:t>
      </w:r>
      <w:r w:rsidRPr="006A21F9">
        <w:rPr>
          <w:i/>
          <w:iCs/>
          <w:lang w:val="ru-RU"/>
        </w:rPr>
        <w:t xml:space="preserve">我们众人必要在基督的审判台前显露出来，叫各人按着自己活在肉体中所行的，或善或恶，受报 </w:t>
      </w:r>
      <w:r w:rsidRPr="006A21F9">
        <w:rPr>
          <w:lang w:val="ru-RU"/>
        </w:rPr>
        <w:t>[(林后 5:10)；引自 （哥林多后书 9:6）]。</w:t>
      </w:r>
      <w:r w:rsidRPr="006A21F9">
        <w:rPr>
          <w:i/>
          <w:iCs/>
          <w:lang w:val="ru-RU"/>
        </w:rPr>
        <w:t xml:space="preserve">难道你们不知道，不义的人不能承受神的国吗 </w:t>
      </w:r>
      <w:r w:rsidRPr="006A21F9">
        <w:rPr>
          <w:lang w:val="ru-RU"/>
        </w:rPr>
        <w:t>[(哥林多前书 6:9)；参见（加拉太书 5:19-20）；（希伯来书 12:14）]。</w:t>
      </w:r>
    </w:p>
    <w:p w14:paraId="1C53289A" w14:textId="77777777" w:rsidR="00BE1885" w:rsidRPr="006A21F9" w:rsidRDefault="00BE1885" w:rsidP="00BE1885">
      <w:pPr>
        <w:ind w:firstLine="708"/>
        <w:rPr>
          <w:lang w:val="ru-RU"/>
        </w:rPr>
      </w:pPr>
      <w:r w:rsidRPr="006A21F9">
        <w:rPr>
          <w:b/>
          <w:bCs/>
          <w:lang w:val="ru-RU"/>
        </w:rPr>
        <w:t xml:space="preserve">2. </w:t>
      </w:r>
      <w:r w:rsidRPr="006A21F9">
        <w:rPr>
          <w:lang w:val="ru-RU"/>
        </w:rPr>
        <w:t>在圣父们和教会导师们的著作中，这一真理同样被阐述得十分清晰。我们引用以下话语：</w:t>
      </w:r>
    </w:p>
    <w:p w14:paraId="3D4961C7" w14:textId="77777777" w:rsidR="00BE1885" w:rsidRPr="006A21F9" w:rsidRDefault="00BE1885" w:rsidP="00BE1885">
      <w:pPr>
        <w:rPr>
          <w:lang w:val="ru-RU"/>
        </w:rPr>
      </w:pPr>
      <w:r w:rsidRPr="006A21F9">
        <w:rPr>
          <w:lang w:val="ru-RU"/>
        </w:rPr>
        <w:tab/>
        <w:t>罗马的圣克利门特：“那么，”他在指出我们因信称义之后问道，“弟兄们，我们该怎么做呢？难道要疏于行善和爱人吗？绝不，愿主保佑我们绝不如此；相反，我们要竭尽全力、满怀热忱地急切行各样的善事…… 勤勉的工人敢于领取自己劳碌所得的食粮；而懒惰和疏忽的人却不敢抬头看雇主一眼。我们也应当在美德上勤勉，因为一切都来自祂。先知这样对我们说：</w:t>
      </w:r>
      <w:r w:rsidRPr="006A21F9">
        <w:rPr>
          <w:i/>
          <w:iCs/>
          <w:lang w:val="ru-RU"/>
        </w:rPr>
        <w:t>看哪，主上帝正大有能力地降临，祂的膀臂充满权能。 看哪，祂的赏赐与祂同在，祂的报酬在祂面前</w:t>
      </w:r>
      <w:r w:rsidRPr="006A21F9">
        <w:rPr>
          <w:lang w:val="ru-RU"/>
        </w:rPr>
        <w:t>（赛40:10）。祂以此激励我们全心归向祂，在任何善事上都不应漫不经心、疏于职守。”</w:t>
      </w:r>
      <w:r>
        <w:rPr>
          <w:rStyle w:val="FootnoteReference"/>
        </w:rPr>
        <w:footnoteReference w:id="824"/>
      </w:r>
      <w:r w:rsidRPr="006A21F9">
        <w:rPr>
          <w:lang w:val="ru-RU"/>
        </w:rPr>
        <w:t xml:space="preserve"> 在另一封书信中：‘祂自己也说：</w:t>
      </w:r>
      <w:r w:rsidRPr="006A21F9">
        <w:rPr>
          <w:i/>
          <w:iCs/>
          <w:lang w:val="ru-RU"/>
        </w:rPr>
        <w:t>凡在人面前认我的，我在我天上的父面前也必认他</w:t>
      </w:r>
      <w:r w:rsidRPr="006A21F9">
        <w:rPr>
          <w:lang w:val="ru-RU"/>
        </w:rPr>
        <w:t>（太10:32）。’这就是我们因承认那位拯救我们的主而所得的报偿。 但我们该如何承认祂呢？就是遵行祂的命令，不违背祂的诫命，不仅用嘴唇，更用全心、全意来尊崇祂……我们不应仅满足于称祂为主：这不能拯救我们，因为祂自己说：‘不是每一个对我说“主啊！ ‘主啊！’的人，  都能得救，惟有行公义的人才能得救（太7:21）。因此，弟兄们，我们要用自己的行为来见证祂——通过彼此相爱，不犯奸淫，不互相诽谤，不嫉妒，而是持守节制、行仁慈、心怀良善； 我们应当彼此怜悯，而非贪爱钱财。我们正是要借着这些行为来见证上帝，而非与之相悖的行为。”</w:t>
      </w:r>
      <w:r>
        <w:rPr>
          <w:rStyle w:val="FootnoteReference"/>
        </w:rPr>
        <w:footnoteReference w:id="825"/>
      </w:r>
    </w:p>
    <w:p w14:paraId="4338F439" w14:textId="77777777" w:rsidR="00BE1885" w:rsidRPr="006A21F9" w:rsidRDefault="00BE1885" w:rsidP="00BE1885">
      <w:pPr>
        <w:rPr>
          <w:lang w:val="ru-RU"/>
        </w:rPr>
      </w:pPr>
      <w:r w:rsidRPr="006A21F9">
        <w:rPr>
          <w:lang w:val="ru-RU"/>
        </w:rPr>
        <w:tab/>
        <w:t>圣基里尔·耶路撒冷的教导：“敬拜上帝的本质在于这两方面：对虔诚教义的准确认识，以及行善；没有善行的教义不能讨上帝喜悦，而如果善行不是建立在虔诚教义的基础之上，上帝也不会接纳这些善行。 因为，若对关于上帝的教义了如指掌，却又可耻地行淫，又有何益处？反之，若像应当的那样节制，却又不敬虔地亵渎上帝，又有何益处？”</w:t>
      </w:r>
      <w:r>
        <w:rPr>
          <w:rStyle w:val="FootnoteReference"/>
        </w:rPr>
        <w:footnoteReference w:id="826"/>
      </w:r>
    </w:p>
    <w:p w14:paraId="7AFDFBE1" w14:textId="77777777" w:rsidR="00BE1885" w:rsidRPr="006A21F9" w:rsidRDefault="00BE1885" w:rsidP="00BE1885">
      <w:pPr>
        <w:rPr>
          <w:lang w:val="ru-RU"/>
        </w:rPr>
      </w:pPr>
      <w:r w:rsidRPr="006A21F9">
        <w:rPr>
          <w:lang w:val="ru-RU"/>
        </w:rPr>
        <w:tab/>
        <w:t>大圣巴西尔说：“我们多次注意到，每个人的行为和心灵的果实都被称为‘儿女’。因为经上说：</w:t>
      </w:r>
      <w:r w:rsidRPr="006A21F9">
        <w:rPr>
          <w:i/>
          <w:iCs/>
          <w:lang w:val="ru-RU"/>
        </w:rPr>
        <w:t>‘若持守信心、爱心，并以贞洁持守圣洁，就必因生养儿女得救</w:t>
      </w:r>
      <w:r w:rsidRPr="006A21F9">
        <w:rPr>
          <w:lang w:val="ru-RU"/>
        </w:rPr>
        <w:t>’（提摩太前书 2:</w:t>
      </w:r>
      <w:r>
        <w:rPr>
          <w:lang w:val="ru-RU"/>
        </w:rPr>
        <w:t>15</w:t>
      </w:r>
      <w:r w:rsidRPr="006A21F9">
        <w:rPr>
          <w:lang w:val="ru-RU"/>
        </w:rPr>
        <w:t>）。 因为灵魂也将得救，如同那位未被欺骗的新郎的妻子，当她藉着道结出‘儿女’——即善行——的果实时，只要她持守良善的习惯，且不因后续的任何罪过而蒙上阴影。”</w:t>
      </w:r>
      <w:r>
        <w:rPr>
          <w:rStyle w:val="FootnoteReference"/>
        </w:rPr>
        <w:footnoteReference w:id="827"/>
      </w:r>
    </w:p>
    <w:p w14:paraId="7CB4EA62" w14:textId="77777777" w:rsidR="00BE1885" w:rsidRPr="006A21F9" w:rsidRDefault="00BE1885" w:rsidP="00BE1885">
      <w:pPr>
        <w:rPr>
          <w:lang w:val="ru-RU"/>
        </w:rPr>
      </w:pPr>
      <w:r w:rsidRPr="006A21F9">
        <w:rPr>
          <w:lang w:val="ru-RU"/>
        </w:rPr>
        <w:tab/>
        <w:t>圣格里高利·神学家：“正如没有信心的善行是不被接纳的，因为许多人行善是为了名声或出于天性；同样，没有行为的信心也是死的（雅各书 2:26）……因此，请用行为来彰显你们的信心，展现你们心灵之地的丰硕果实：我播种的种子是否真的没有白费。”</w:t>
      </w:r>
      <w:r>
        <w:rPr>
          <w:rStyle w:val="FootnoteReference"/>
        </w:rPr>
        <w:footnoteReference w:id="828"/>
      </w:r>
    </w:p>
    <w:p w14:paraId="4390B759" w14:textId="77777777" w:rsidR="00BE1885" w:rsidRPr="006A21F9" w:rsidRDefault="00BE1885" w:rsidP="00BE1885">
      <w:pPr>
        <w:rPr>
          <w:lang w:val="ru-RU"/>
        </w:rPr>
      </w:pPr>
      <w:r w:rsidRPr="006A21F9">
        <w:rPr>
          <w:lang w:val="ru-RU"/>
        </w:rPr>
        <w:lastRenderedPageBreak/>
        <w:tab/>
        <w:t>圣约翰·金口：“我恳求你们，让我们竭尽全力，使我们坚守真道，过着美德的生活。因为如果我们不将信仰与合宜的生活结合起来，就会遭受最严厉的惩罚…… 基督本人在福音书中也证实了这一点，他说，有些曾赶鬼、行预言的人，将来要受刑罚。而且祂所有的比喻，比如：十个童女的比喻、撒网的比喻、荆棘的比喻、不结果子的树的比喻，都要求我们在行为上要品德高尚。 主很少论及教义（因为相信教义并不难），却经常——或者更确切地说，总是——谈论美德的生活：因为在这条道路上，永远存在着斗争，因此也伴随着艰辛。更不用说对美德的彻底漠视了？ 即便是对美德最微小部分的疏忽，也会招致巨大的灾祸。例如，对施舍善举的疏忽，便会将疏忽者投入地狱…… 我还要进一步说：不仅对任何一种美德的轻视会使我们与天堂隔绝；即使我们履行了美德，但若未以应有的谨慎和热忱去践行，也会产生同样的后果。”</w:t>
      </w:r>
      <w:r>
        <w:rPr>
          <w:rStyle w:val="FootnoteReference"/>
        </w:rPr>
        <w:footnoteReference w:id="829"/>
      </w:r>
      <w:r w:rsidRPr="006A21F9">
        <w:rPr>
          <w:lang w:val="ru-RU"/>
        </w:rPr>
        <w:t xml:space="preserve"> “无论是洗礼、赦罪、教职、参与圣礼、圣餐、领受（主的）圣体、领受圣血，还是其他任何类似之事，如果我们没有过一种正直、美好且远离一切罪恶的生活，都无法给我们带来益处。”</w:t>
      </w:r>
      <w:r>
        <w:rPr>
          <w:rStyle w:val="FootnoteReference"/>
        </w:rPr>
        <w:footnoteReference w:id="830"/>
      </w:r>
      <w:r w:rsidRPr="006A21F9">
        <w:rPr>
          <w:lang w:val="ru-RU"/>
        </w:rPr>
        <w:t xml:space="preserve"> “没有行为的信仰，可以说，不过是一个没有生命的幽灵。”</w:t>
      </w:r>
      <w:r>
        <w:rPr>
          <w:rStyle w:val="FootnoteReference"/>
        </w:rPr>
        <w:footnoteReference w:id="831"/>
      </w:r>
    </w:p>
    <w:p w14:paraId="21D6B404" w14:textId="77777777" w:rsidR="00BE1885" w:rsidRPr="006A21F9" w:rsidRDefault="00BE1885" w:rsidP="00BE1885">
      <w:pPr>
        <w:rPr>
          <w:lang w:val="ru-RU"/>
        </w:rPr>
      </w:pPr>
      <w:r w:rsidRPr="006A21F9">
        <w:rPr>
          <w:lang w:val="ru-RU"/>
        </w:rPr>
        <w:tab/>
        <w:t>福者狄奥多里特：“仅凭信仰不足以得救，要达到圆满，还必须有善行。”</w:t>
      </w:r>
      <w:r>
        <w:rPr>
          <w:rStyle w:val="FootnoteReference"/>
        </w:rPr>
        <w:footnoteReference w:id="832"/>
      </w:r>
      <w:r w:rsidRPr="006A21F9">
        <w:rPr>
          <w:lang w:val="ru-RU"/>
        </w:rPr>
        <w:t xml:space="preserve"> “我们需要的不仅仅是有信仰，更需要善行。”</w:t>
      </w:r>
      <w:r>
        <w:rPr>
          <w:rStyle w:val="FootnoteReference"/>
        </w:rPr>
        <w:footnoteReference w:id="833"/>
      </w:r>
      <w:r w:rsidRPr="006A21F9">
        <w:rPr>
          <w:lang w:val="ru-RU"/>
        </w:rPr>
        <w:t xml:space="preserve"> “善行的核心与真正根基在于对上帝的认识和对祂的信仰：正如眼睛之于身体，对上帝的信仰和对祂的认识之于灵魂。但信仰同样需要积极的德行，正如眼睛需要手、脚及其他身体部位一样。”</w:t>
      </w:r>
      <w:r>
        <w:rPr>
          <w:rStyle w:val="FootnoteReference"/>
        </w:rPr>
        <w:footnoteReference w:id="834"/>
      </w:r>
    </w:p>
    <w:p w14:paraId="44C4B965" w14:textId="77777777" w:rsidR="00BE1885" w:rsidRPr="006A21F9" w:rsidRDefault="00BE1885" w:rsidP="00BE1885">
      <w:pPr>
        <w:rPr>
          <w:lang w:val="ru-RU"/>
        </w:rPr>
      </w:pPr>
      <w:r w:rsidRPr="006A21F9">
        <w:rPr>
          <w:lang w:val="ru-RU"/>
        </w:rPr>
        <w:tab/>
        <w:t>在此无需再列举许多其他教会导师的证言，他们一致重申了这一真理，例如：圣伊格纳提乌斯·神载者、圣巴拿巴、圣爱任纽、圣提奥菲勒·安提阿的、 亚历山大的克利门特、凯撒利亚的优西比乌、圣格里高利·尼西的、</w:t>
      </w:r>
      <w:r>
        <w:rPr>
          <w:rStyle w:val="FootnoteReference"/>
        </w:rPr>
        <w:footnoteReference w:id="835"/>
      </w:r>
      <w:r w:rsidRPr="006A21F9">
        <w:rPr>
          <w:lang w:val="ru-RU"/>
        </w:rPr>
        <w:t xml:space="preserve"> 圣伊西多尔·佩卢西奥的、</w:t>
      </w:r>
      <w:r>
        <w:rPr>
          <w:rStyle w:val="FootnoteReference"/>
        </w:rPr>
        <w:footnoteReference w:id="836"/>
      </w:r>
      <w:r w:rsidRPr="006A21F9">
        <w:rPr>
          <w:lang w:val="ru-RU"/>
        </w:rPr>
        <w:t xml:space="preserve"> 圣安布罗斯、福者耶罗尼莫、福者奥古斯丁、圣约翰·达马斯库斯。</w:t>
      </w:r>
      <w:r>
        <w:rPr>
          <w:rStyle w:val="FootnoteReference"/>
        </w:rPr>
        <w:footnoteReference w:id="837"/>
      </w:r>
    </w:p>
    <w:p w14:paraId="4A093D85" w14:textId="77777777" w:rsidR="00BE1885" w:rsidRPr="006A21F9" w:rsidRDefault="00BE1885" w:rsidP="00BE1885">
      <w:pPr>
        <w:ind w:firstLine="708"/>
        <w:rPr>
          <w:lang w:val="ru-RU"/>
        </w:rPr>
      </w:pPr>
      <w:r w:rsidRPr="006A21F9">
        <w:rPr>
          <w:b/>
          <w:bCs/>
          <w:lang w:val="ru-RU"/>
        </w:rPr>
        <w:t>3.</w:t>
      </w:r>
      <w:r w:rsidRPr="006A21F9">
        <w:rPr>
          <w:lang w:val="ru-RU"/>
        </w:rPr>
        <w:t xml:space="preserve"> 持错误观点者不公正地援引了圣经中某些看似与此相悖的经文，例如： </w:t>
      </w:r>
      <w:r w:rsidRPr="006A21F9">
        <w:rPr>
          <w:i/>
          <w:iCs/>
          <w:lang w:val="ru-RU"/>
        </w:rPr>
        <w:t>“我们既然知道人称义不是因行律法，乃是因信耶稣基督，我们就信了基督耶稣，使我们因信基督称义，不因行律法；因为凡有血气的，没有一个因行律法称义的</w:t>
      </w:r>
      <w:r w:rsidRPr="006A21F9">
        <w:rPr>
          <w:lang w:val="ru-RU"/>
        </w:rPr>
        <w:t xml:space="preserve">”（加拉太书 2:16）。 </w:t>
      </w:r>
      <w:r w:rsidRPr="006A21F9">
        <w:rPr>
          <w:i/>
          <w:iCs/>
          <w:lang w:val="ru-RU"/>
        </w:rPr>
        <w:t>我们承认，人 因信称义，与律法的行为无关</w:t>
      </w:r>
      <w:r w:rsidRPr="006A21F9">
        <w:rPr>
          <w:lang w:val="ru-RU"/>
        </w:rPr>
        <w:t>（罗3:28）。</w:t>
      </w:r>
      <w:r w:rsidRPr="006A21F9">
        <w:rPr>
          <w:i/>
          <w:iCs/>
          <w:lang w:val="ru-RU"/>
        </w:rPr>
        <w:t>不是那行律法的，而是那信靠那位称不义之人为义的，他的信就算为义</w:t>
      </w:r>
      <w:r w:rsidRPr="006A21F9">
        <w:rPr>
          <w:lang w:val="ru-RU"/>
        </w:rPr>
        <w:t xml:space="preserve">（罗4:5）。 </w:t>
      </w:r>
      <w:r w:rsidRPr="006A21F9">
        <w:rPr>
          <w:i/>
          <w:iCs/>
          <w:lang w:val="ru-RU"/>
        </w:rPr>
        <w:t>你们得救是本乎恩，也因着信；这并不是出于你们自己，乃是神的恩赐</w:t>
      </w:r>
      <w:r w:rsidRPr="006A21F9">
        <w:rPr>
          <w:lang w:val="ru-RU"/>
        </w:rPr>
        <w:t>（以弗所书 2:8）。须知，圣保罗在其称义教义中：</w:t>
      </w:r>
    </w:p>
    <w:p w14:paraId="5F89EB62" w14:textId="77777777" w:rsidR="00BE1885" w:rsidRPr="006A21F9" w:rsidRDefault="00BE1885" w:rsidP="00BE1885">
      <w:pPr>
        <w:rPr>
          <w:lang w:val="ru-RU"/>
        </w:rPr>
      </w:pPr>
      <w:r w:rsidRPr="006A21F9">
        <w:rPr>
          <w:lang w:val="ru-RU"/>
        </w:rPr>
        <w:lastRenderedPageBreak/>
        <w:tab/>
      </w:r>
      <w:r w:rsidRPr="006A21F9">
        <w:rPr>
          <w:b/>
          <w:bCs/>
          <w:lang w:val="ru-RU"/>
        </w:rPr>
        <w:t>a)</w:t>
      </w:r>
      <w:r w:rsidRPr="006A21F9">
        <w:rPr>
          <w:lang w:val="ru-RU"/>
        </w:rPr>
        <w:t xml:space="preserve"> 针对那些试图凭律法的行为在神面前称义、却不相信基督这位救主的人，即那些自夸在自然律指引下所行善事的异教徒，尤其是那些倚靠自己符合摩西律法之善行的犹太人。 因此，圣使徒反过来断言：无论罪人是否为犹太人或外邦人，唯有凭着对世界救赎主耶稣基督的信心，才能称义；这种称义是出于神的恩典，是白白的恩赐，而非基于自己的行为和功德， 这位圣使徒所指的，正是人在未信基督救主、尚未归信之前，无论是在外邦或犹太教中所行的行为，绝非指人归信基督教后所行的那些行为——这些行为既基于信仰，又因信仰而圣洁，可谓是</w:t>
      </w:r>
      <w:r w:rsidRPr="001E4083">
        <w:t>信仰的</w:t>
      </w:r>
      <w:r w:rsidRPr="006A21F9">
        <w:rPr>
          <w:lang w:val="ru-RU"/>
        </w:rPr>
        <w:t>自然果实与体现。</w:t>
      </w:r>
    </w:p>
    <w:p w14:paraId="49180729"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具体而言，在反驳犹太人时，所指的并非道德律所要求的善行，而是主要指礼仪性的善行——外邦人无法参与这些礼仪的履行，而犹太人正因如此，仅将称义的权利归于自己，将外邦人排除在外。 因此，使徒在反驳犹太人时说：</w:t>
      </w:r>
      <w:r w:rsidRPr="006A21F9">
        <w:rPr>
          <w:i/>
          <w:iCs/>
          <w:lang w:val="ru-RU"/>
        </w:rPr>
        <w:t>“我们承认，人因信称义</w:t>
      </w:r>
      <w:r w:rsidRPr="006A21F9">
        <w:rPr>
          <w:lang w:val="ru-RU"/>
        </w:rPr>
        <w:t>，</w:t>
      </w:r>
      <w:r w:rsidRPr="006A21F9">
        <w:rPr>
          <w:i/>
          <w:iCs/>
          <w:lang w:val="ru-RU"/>
        </w:rPr>
        <w:t>与律法的行为无关</w:t>
      </w:r>
      <w:r w:rsidRPr="006A21F9">
        <w:rPr>
          <w:lang w:val="ru-RU"/>
        </w:rPr>
        <w:t>”，随即接着说：</w:t>
      </w:r>
      <w:r w:rsidRPr="006A21F9">
        <w:rPr>
          <w:i/>
          <w:iCs/>
          <w:lang w:val="ru-RU"/>
        </w:rPr>
        <w:t>“难道神只是犹太人的神，不是外邦人的神吗？” 当然，也是外邦人的神，因为只有一位神，祂要凭着信心称受割礼的为义，也要凭着信心称未受割礼的为义</w:t>
      </w:r>
      <w:r w:rsidRPr="006A21F9">
        <w:rPr>
          <w:lang w:val="ru-RU"/>
        </w:rPr>
        <w:t>（罗3:28-30）。</w:t>
      </w:r>
    </w:p>
    <w:p w14:paraId="39D793B3"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所谓“称义”，是指每个罪人——无论是外邦人还是犹太人——在皈依基督教并接受洗礼圣礼时所获得的称义，这种称义确实仅因信基督而赐予我们，此时对律法之行的践行尚未显明； 而非每位基督徒在完成尘世使命后，渴望在天上的审判者面前所获得的称义——据同一位使徒的见证，那位</w:t>
      </w:r>
      <w:r w:rsidRPr="006A21F9">
        <w:rPr>
          <w:i/>
          <w:iCs/>
          <w:lang w:val="ru-RU"/>
        </w:rPr>
        <w:t>审判者将按各人的行为报应各人</w:t>
      </w:r>
      <w:r w:rsidRPr="006A21F9">
        <w:rPr>
          <w:lang w:val="ru-RU"/>
        </w:rPr>
        <w:t>（罗马书 2:6）。</w:t>
      </w:r>
    </w:p>
    <w:p w14:paraId="1E4A11C5"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所谓“不靠人在异教或犹太教中遵行的律法行为而称义的信心”，所指的并非理智的冷漠认同，而是伴随着爱的活泼信心。 </w:t>
      </w:r>
      <w:r w:rsidRPr="006A21F9">
        <w:rPr>
          <w:i/>
          <w:iCs/>
          <w:lang w:val="ru-RU"/>
        </w:rPr>
        <w:t>在基督耶稣里，无论是受割礼还是未受割礼，都没有任何功效，唯有那以爱为动力的信心</w:t>
      </w:r>
      <w:r w:rsidRPr="006A21F9">
        <w:rPr>
          <w:lang w:val="ru-RU"/>
        </w:rPr>
        <w:t>（加拉太书 5:6）。</w:t>
      </w:r>
    </w:p>
    <w:p w14:paraId="1A9880F2" w14:textId="77777777" w:rsidR="00BE1885" w:rsidRPr="006A21F9" w:rsidRDefault="00BE1885" w:rsidP="00BE1885">
      <w:pPr>
        <w:rPr>
          <w:lang w:val="ru-RU"/>
        </w:rPr>
      </w:pPr>
      <w:r w:rsidRPr="006A21F9">
        <w:rPr>
          <w:lang w:val="ru-RU"/>
        </w:rPr>
        <w:tab/>
      </w:r>
      <w:r w:rsidRPr="006A21F9">
        <w:rPr>
          <w:b/>
          <w:bCs/>
          <w:lang w:val="ru-RU"/>
        </w:rPr>
        <w:t>（五）</w:t>
      </w:r>
      <w:r w:rsidRPr="006A21F9">
        <w:rPr>
          <w:lang w:val="ru-RU"/>
        </w:rPr>
        <w:t>最后，总而言之：圣保罗并未否定那些源于对基督的信仰并由此产生的善行，相反，他认为这些善行对基督徒而言是必不可少的——这一点在他所有的书信中都有所体现，他在其中屡次劝勉信徒要操练敬虔 （提摩太前书 4:7），在善行上富足（提摩太前书 6:18），在各样善事上富足[(哥林多后书 9:8)；(歌罗西书 1:10)；同上 (加拉太书 6:10)；(帖撒罗尼迦后书 2:17)； (提多书 3:1)；(希伯来书 13:21)]，并补充道：</w:t>
      </w:r>
      <w:r w:rsidRPr="006A21F9">
        <w:rPr>
          <w:i/>
          <w:iCs/>
          <w:lang w:val="ru-RU"/>
        </w:rPr>
        <w:t>我们众人必要在基督的审判台前显露出来，叫各人按着自己所行的，或善或恶，得着应得的报应</w:t>
      </w:r>
      <w:r w:rsidRPr="006A21F9">
        <w:rPr>
          <w:lang w:val="ru-RU"/>
        </w:rPr>
        <w:t>（哥林多后书 5:10）。</w:t>
      </w:r>
    </w:p>
    <w:p w14:paraId="6797773D" w14:textId="77777777" w:rsidR="00BE1885" w:rsidRPr="006A21F9" w:rsidRDefault="00BE1885" w:rsidP="00BE1885">
      <w:pPr>
        <w:ind w:firstLine="708"/>
        <w:rPr>
          <w:lang w:val="ru-RU"/>
        </w:rPr>
      </w:pPr>
      <w:r w:rsidRPr="006A21F9">
        <w:rPr>
          <w:b/>
          <w:bCs/>
          <w:lang w:val="ru-RU"/>
        </w:rPr>
        <w:t>4.</w:t>
      </w:r>
      <w:r w:rsidRPr="006A21F9">
        <w:rPr>
          <w:lang w:val="ru-RU"/>
        </w:rPr>
        <w:t xml:space="preserve"> 若非蒙神恩典的帮助，我们便无法行善，因此这些善行被称为圣灵的果子（加拉太书 5:22）。 但既然行善需要我们自由意志的参与；既然通过这种对善行的自由参与，我们表达了对上帝的信心、爱心和盼望；既然这种参与往往需要我们付出巨大的牺牲和辛劳 [(路加福音 13:24)；(哥林多后书 6:4-6)； （提后 3:12）]，与我们得救的仇敌——世界、肉体和魔鬼——作斗争：因此，主上帝乐意将我们的善行算为功德。 首先，随着我们在恩典的帮助下在虔诚上日益长进，祂乐意在我们里面增添属灵的恩赐（太 25:21-29），</w:t>
      </w:r>
      <w:r>
        <w:rPr>
          <w:rStyle w:val="FootnoteReference"/>
        </w:rPr>
        <w:footnoteReference w:id="838"/>
      </w:r>
      <w:r w:rsidRPr="006A21F9">
        <w:rPr>
          <w:lang w:val="ru-RU"/>
        </w:rPr>
        <w:t xml:space="preserve"> 以便我们藉着这些恩赐，能够从能力进入更强的能力，从荣耀进入更高的荣耀（林后 </w:t>
      </w:r>
      <w:r w:rsidRPr="006A21F9">
        <w:rPr>
          <w:lang w:val="ru-RU"/>
        </w:rPr>
        <w:lastRenderedPageBreak/>
        <w:t>3:18）。 其次，祂向义人应许道：</w:t>
      </w:r>
      <w:r w:rsidRPr="006A21F9">
        <w:rPr>
          <w:i/>
          <w:iCs/>
          <w:lang w:val="ru-RU"/>
        </w:rPr>
        <w:t>“你们应当欢喜快乐，因为你们在天上的赏赐是大的</w:t>
      </w:r>
      <w:r w:rsidRPr="006A21F9">
        <w:rPr>
          <w:lang w:val="ru-RU"/>
        </w:rPr>
        <w:t>”（太5:12）。</w:t>
      </w:r>
      <w:r w:rsidRPr="006A21F9">
        <w:rPr>
          <w:i/>
          <w:iCs/>
          <w:lang w:val="ru-RU"/>
        </w:rPr>
        <w:t>“各人必按自己的劳苦得自己的赏赐</w:t>
      </w:r>
      <w:r w:rsidRPr="006A21F9">
        <w:rPr>
          <w:lang w:val="ru-RU"/>
        </w:rPr>
        <w:t>”（林前3:8）。</w:t>
      </w:r>
    </w:p>
    <w:p w14:paraId="38C64942" w14:textId="77777777" w:rsidR="00BE1885" w:rsidRPr="006A21F9" w:rsidRDefault="00BE1885" w:rsidP="00BE1885">
      <w:pPr>
        <w:rPr>
          <w:lang w:val="ru-RU"/>
        </w:rPr>
      </w:pPr>
    </w:p>
    <w:p w14:paraId="29F54A9C" w14:textId="77777777" w:rsidR="00BE1885" w:rsidRPr="006A21F9" w:rsidRDefault="00BE1885" w:rsidP="00BE1885">
      <w:pPr>
        <w:pStyle w:val="Heading5"/>
        <w:rPr>
          <w:lang w:val="ru-RU"/>
        </w:rPr>
      </w:pPr>
      <w:bookmarkStart w:id="677" w:name="_Toc133142963"/>
      <w:bookmarkStart w:id="678" w:name="_Toc133166320"/>
      <w:bookmarkStart w:id="679" w:name="_Toc182221530"/>
      <w:bookmarkStart w:id="680" w:name="_Toc238453097"/>
      <w:bookmarkStart w:id="681" w:name="_Toc238453897"/>
      <w:bookmarkStart w:id="682" w:name="_Toc238576557"/>
      <w:r w:rsidRPr="006A21F9">
        <w:rPr>
          <w:lang w:val="ru-RU"/>
        </w:rPr>
        <w:t>§199. 教义的道德应用</w:t>
      </w:r>
      <w:bookmarkEnd w:id="677"/>
      <w:bookmarkEnd w:id="678"/>
      <w:bookmarkEnd w:id="679"/>
      <w:bookmarkEnd w:id="680"/>
      <w:bookmarkEnd w:id="681"/>
      <w:bookmarkEnd w:id="682"/>
    </w:p>
    <w:p w14:paraId="423C1026" w14:textId="77777777" w:rsidR="00BE1885" w:rsidRPr="006A21F9" w:rsidRDefault="00BE1885" w:rsidP="00BE1885">
      <w:pPr>
        <w:ind w:firstLine="708"/>
        <w:rPr>
          <w:lang w:val="ru-RU"/>
        </w:rPr>
      </w:pPr>
      <w:r w:rsidRPr="006A21F9">
        <w:rPr>
          <w:b/>
          <w:bCs/>
          <w:lang w:val="ru-RU"/>
        </w:rPr>
        <w:t>1.</w:t>
      </w:r>
      <w:r w:rsidRPr="006A21F9">
        <w:rPr>
          <w:lang w:val="ru-RU"/>
        </w:rPr>
        <w:t xml:space="preserve"> 恩典对于我们的得救是绝对必要的，以至于若没有它的帮助，我们既无法归向神，也无法信靠基督——我们的救主，更无法行出真正良善、属灵的善行：让我们在体会到自身软弱与无力之时，学会在神和人面前谦卑自己； 要学会谦卑地恳求主赐予我们这救赎之力，谦卑地将其珍藏于心，谦卑地运用它，并铭记使徒的话语：</w:t>
      </w:r>
      <w:r w:rsidRPr="006A21F9">
        <w:rPr>
          <w:i/>
          <w:iCs/>
          <w:lang w:val="ru-RU"/>
        </w:rPr>
        <w:t>“神阻挡骄傲的人，赐恩给谦卑的人</w:t>
      </w:r>
      <w:r w:rsidRPr="006A21F9">
        <w:rPr>
          <w:lang w:val="ru-RU"/>
        </w:rPr>
        <w:t>”（彼得前书 5:5）。</w:t>
      </w:r>
    </w:p>
    <w:p w14:paraId="1544549A" w14:textId="77777777" w:rsidR="00BE1885" w:rsidRPr="006A21F9" w:rsidRDefault="00BE1885" w:rsidP="00BE1885">
      <w:pPr>
        <w:ind w:firstLine="708"/>
        <w:rPr>
          <w:lang w:val="ru-RU"/>
        </w:rPr>
      </w:pPr>
      <w:r w:rsidRPr="006A21F9">
        <w:rPr>
          <w:b/>
          <w:bCs/>
          <w:lang w:val="ru-RU"/>
        </w:rPr>
        <w:t>2.</w:t>
      </w:r>
      <w:r w:rsidRPr="006A21F9">
        <w:rPr>
          <w:lang w:val="ru-RU"/>
        </w:rPr>
        <w:t xml:space="preserve"> 恩典是因我们救赎主的功绩而白白赐予我们的：因此</w:t>
      </w:r>
      <w:r w:rsidRPr="006A21F9">
        <w:rPr>
          <w:i/>
          <w:iCs/>
          <w:lang w:val="ru-RU"/>
        </w:rPr>
        <w:t>，为了祂那不可言喻的恩赐，愿</w:t>
      </w:r>
      <w:r w:rsidRPr="006A21F9">
        <w:rPr>
          <w:lang w:val="ru-RU"/>
        </w:rPr>
        <w:t>我们对上帝——我们的施恩者——的感谢，永远存于心中、挂在嘴边，并贯穿我们的一生（哥林多后书 9:15）！ 感谢天父上帝，祂将祂那至圣的圣灵赐给我们（路加福音 11</w:t>
      </w:r>
      <w:r>
        <w:rPr>
          <w:lang w:val="ru-RU"/>
        </w:rPr>
        <w:t>:13</w:t>
      </w:r>
      <w:r w:rsidRPr="006A21F9">
        <w:rPr>
          <w:lang w:val="ru-RU"/>
        </w:rPr>
        <w:t>）；感谢主耶稣，祂用自己的宝血为我们赢得了如此伟大、无可估量的恩赐；感谢圣灵，祂丰丰富富地浇灌在我们心里，并在我们里面结出永生的果子！</w:t>
      </w:r>
    </w:p>
    <w:p w14:paraId="796E66C4" w14:textId="77777777" w:rsidR="00BE1885" w:rsidRPr="006A21F9" w:rsidRDefault="00BE1885" w:rsidP="00BE1885">
      <w:pPr>
        <w:ind w:firstLine="708"/>
        <w:rPr>
          <w:lang w:val="ru-RU"/>
        </w:rPr>
      </w:pPr>
      <w:r w:rsidRPr="006A21F9">
        <w:rPr>
          <w:b/>
          <w:bCs/>
          <w:lang w:val="ru-RU"/>
        </w:rPr>
        <w:t>3.</w:t>
      </w:r>
      <w:r w:rsidRPr="006A21F9">
        <w:rPr>
          <w:lang w:val="ru-RU"/>
        </w:rPr>
        <w:t xml:space="preserve"> 恩典遍及所有的人，而不仅仅是那些被预定得享永恒荣耀的人，也不仅仅是义人。 因此，无论我们堕落得多么深重，无论我们的罪孽多么沉重、多么众多，都绝不要对自己的得救绝望；相反，我们应当急忙转向天父，祂</w:t>
      </w:r>
      <w:r w:rsidRPr="006A21F9">
        <w:rPr>
          <w:i/>
          <w:iCs/>
          <w:lang w:val="ru-RU"/>
        </w:rPr>
        <w:t>长久地忍耐我们，不愿任何人灭亡，而是愿所有人都悔改</w:t>
      </w:r>
      <w:r w:rsidRPr="006A21F9">
        <w:rPr>
          <w:lang w:val="ru-RU"/>
        </w:rPr>
        <w:t>（彼得后书 3:9）； 让我们向主耶稣呼求恩典的帮助，祂降临世</w:t>
      </w:r>
      <w:r w:rsidRPr="006A21F9">
        <w:rPr>
          <w:i/>
          <w:iCs/>
          <w:lang w:val="ru-RU"/>
        </w:rPr>
        <w:t>上，不是要召义人，而是要召罪人悔改</w:t>
      </w:r>
      <w:r w:rsidRPr="006A21F9">
        <w:rPr>
          <w:lang w:val="ru-RU"/>
        </w:rPr>
        <w:t>（马太福音 9:13），并要从心底不断祈求圣灵： “良善与生命的赐予者，求祢降临并住在我们里面，洁净我们一切的污秽，并拯救我们，至福者，拯救我们的灵魂。”</w:t>
      </w:r>
    </w:p>
    <w:p w14:paraId="1B6970B4" w14:textId="77777777" w:rsidR="00BE1885" w:rsidRPr="006A21F9" w:rsidRDefault="00BE1885" w:rsidP="00BE1885">
      <w:pPr>
        <w:ind w:firstLine="708"/>
        <w:rPr>
          <w:lang w:val="ru-RU"/>
        </w:rPr>
      </w:pPr>
      <w:r w:rsidRPr="006A21F9">
        <w:rPr>
          <w:b/>
          <w:bCs/>
          <w:lang w:val="ru-RU"/>
        </w:rPr>
        <w:t>4.</w:t>
      </w:r>
      <w:r w:rsidRPr="006A21F9">
        <w:rPr>
          <w:lang w:val="ru-RU"/>
        </w:rPr>
        <w:t xml:space="preserve"> 恩典，无论多么强大而有效， 却不会限制我们的自由，也不会以不可抗拒的力量将我们引向善，而是呼吁我们悔改并归向神，激励我们过敬虔的生活，在一切善事上帮助我们；当我们不抗拒恩典、顺服恩典，并积极参与恩典在我们里面和通过我们所成就的事工时，恩典便使我们成圣并拯救我们。 让我们学会倾听恩典的声音，遵循</w:t>
      </w:r>
      <w:r w:rsidRPr="001E4083">
        <w:t>它的</w:t>
      </w:r>
      <w:r w:rsidRPr="006A21F9">
        <w:rPr>
          <w:lang w:val="ru-RU"/>
        </w:rPr>
        <w:t>启示，运用它赋予我们的力量，行它激励我们去行的善，在行善的过程中它帮助我们，甚至亲自在我们里面成就这善。</w:t>
      </w:r>
    </w:p>
    <w:p w14:paraId="37157AD7" w14:textId="77777777" w:rsidR="00BE1885" w:rsidRPr="006A21F9" w:rsidRDefault="00BE1885" w:rsidP="00BE1885">
      <w:pPr>
        <w:ind w:firstLine="708"/>
        <w:rPr>
          <w:lang w:val="ru-RU"/>
        </w:rPr>
      </w:pPr>
      <w:r w:rsidRPr="006A21F9">
        <w:rPr>
          <w:b/>
          <w:bCs/>
          <w:lang w:val="ru-RU"/>
        </w:rPr>
        <w:t xml:space="preserve">5. </w:t>
      </w:r>
      <w:r w:rsidRPr="006A21F9">
        <w:rPr>
          <w:lang w:val="ru-RU"/>
        </w:rPr>
        <w:t>人藉恩典得圣洁，在于恩典确实能洗净罪人的罪，使他变得完全无瑕、纯洁无辜，正如我们的始祖亚当从造物主手中被造时那样： 这对所有蒙圣化的人，即所有基督徒而言，何等重大的责任与激励，要使自己远离肉体与灵里的一切污秽，并在种种试探中守护赐予他们的无辜！</w:t>
      </w:r>
    </w:p>
    <w:p w14:paraId="4E164E97" w14:textId="77777777" w:rsidR="00BE1885" w:rsidRPr="006A21F9" w:rsidRDefault="00BE1885" w:rsidP="00BE1885">
      <w:pPr>
        <w:ind w:firstLine="708"/>
        <w:rPr>
          <w:lang w:val="ru-RU"/>
        </w:rPr>
      </w:pPr>
      <w:r w:rsidRPr="006A21F9">
        <w:rPr>
          <w:b/>
          <w:bCs/>
          <w:lang w:val="ru-RU"/>
        </w:rPr>
        <w:t>6.</w:t>
      </w:r>
      <w:r w:rsidRPr="006A21F9">
        <w:rPr>
          <w:lang w:val="ru-RU"/>
        </w:rPr>
        <w:t xml:space="preserve"> 为了使人藉着神的恩典得以成圣，进而得救，人自身必须具备两个必要条件：信心与善行。 </w:t>
      </w:r>
      <w:r w:rsidRPr="006A21F9">
        <w:rPr>
          <w:i/>
          <w:iCs/>
          <w:lang w:val="ru-RU"/>
        </w:rPr>
        <w:t>让我们怀着诚挚的心、满怀信心</w:t>
      </w:r>
      <w:r w:rsidRPr="006A21F9">
        <w:rPr>
          <w:lang w:val="ru-RU"/>
        </w:rPr>
        <w:t>来到恩典的宝座</w:t>
      </w:r>
      <w:r w:rsidRPr="006A21F9">
        <w:rPr>
          <w:i/>
          <w:iCs/>
          <w:lang w:val="ru-RU"/>
        </w:rPr>
        <w:t>前，坚定不移地持守我们所承认的</w:t>
      </w:r>
      <w:r w:rsidRPr="006A21F9">
        <w:rPr>
          <w:lang w:val="ru-RU"/>
        </w:rPr>
        <w:t>盼望</w:t>
      </w:r>
      <w:r w:rsidRPr="006A21F9">
        <w:rPr>
          <w:i/>
          <w:iCs/>
          <w:lang w:val="ru-RU"/>
        </w:rPr>
        <w:t>，彼此关照，互相勉励，以行出爱与善行</w:t>
      </w:r>
      <w:r w:rsidRPr="006A21F9">
        <w:rPr>
          <w:lang w:val="ru-RU"/>
        </w:rPr>
        <w:t>（来10:22-24）， 并要坚定地铭记：</w:t>
      </w:r>
      <w:r w:rsidRPr="006A21F9">
        <w:rPr>
          <w:i/>
          <w:iCs/>
          <w:lang w:val="ru-RU"/>
        </w:rPr>
        <w:t>没有信心就无法讨神喜悦</w:t>
      </w:r>
      <w:r w:rsidRPr="006A21F9">
        <w:rPr>
          <w:lang w:val="ru-RU"/>
        </w:rPr>
        <w:t>（希伯来书 11:6），</w:t>
      </w:r>
      <w:r w:rsidRPr="006A21F9">
        <w:rPr>
          <w:i/>
          <w:iCs/>
          <w:lang w:val="ru-RU"/>
        </w:rPr>
        <w:t>而没有行为的信心是死的</w:t>
      </w:r>
      <w:r w:rsidRPr="006A21F9">
        <w:rPr>
          <w:lang w:val="ru-RU"/>
        </w:rPr>
        <w:t>（雅各书 2:26）。</w:t>
      </w:r>
    </w:p>
    <w:p w14:paraId="48D1D172" w14:textId="77777777" w:rsidR="00BE1885" w:rsidRPr="006A21F9" w:rsidRDefault="00BE1885" w:rsidP="00BE1885">
      <w:pPr>
        <w:rPr>
          <w:lang w:val="ru-RU"/>
        </w:rPr>
      </w:pPr>
    </w:p>
    <w:p w14:paraId="345CCD0B" w14:textId="77777777" w:rsidR="00BE1885" w:rsidRPr="006A21F9" w:rsidRDefault="00BE1885" w:rsidP="00BE1885">
      <w:pPr>
        <w:rPr>
          <w:lang w:val="ru-RU"/>
        </w:rPr>
      </w:pPr>
    </w:p>
    <w:p w14:paraId="6732F589" w14:textId="77777777" w:rsidR="00BE1885" w:rsidRPr="006A21F9" w:rsidRDefault="00BE1885" w:rsidP="00BE1885">
      <w:pPr>
        <w:pStyle w:val="Heading3"/>
        <w:rPr>
          <w:lang w:val="ru-RU"/>
        </w:rPr>
      </w:pPr>
      <w:bookmarkStart w:id="683" w:name="_Toc133142609"/>
      <w:bookmarkStart w:id="684" w:name="_Toc133142964"/>
      <w:bookmarkStart w:id="685" w:name="_Toc133166321"/>
      <w:bookmarkStart w:id="686" w:name="_Toc182221531"/>
      <w:bookmarkStart w:id="687" w:name="_Toc238453098"/>
      <w:bookmarkStart w:id="688" w:name="_Toc238453898"/>
      <w:bookmarkStart w:id="689" w:name="_Toc238454329"/>
      <w:bookmarkStart w:id="690" w:name="_Toc238466411"/>
      <w:bookmarkStart w:id="691" w:name="_Toc238576558"/>
      <w:r w:rsidRPr="001E4083">
        <w:rPr>
          <w:bCs/>
        </w:rPr>
        <w:lastRenderedPageBreak/>
        <w:t>第三条</w:t>
      </w:r>
      <w:r w:rsidRPr="006A21F9">
        <w:rPr>
          <w:bCs/>
          <w:lang w:val="ru-RU"/>
        </w:rPr>
        <w:t xml:space="preserve">。 </w:t>
      </w:r>
      <w:r w:rsidRPr="006A21F9">
        <w:rPr>
          <w:lang w:val="ru-RU"/>
        </w:rPr>
        <w:br/>
        <w:t>关于教会的圣礼，作为向我们传递上帝恩典的媒介</w:t>
      </w:r>
      <w:bookmarkEnd w:id="683"/>
      <w:bookmarkEnd w:id="684"/>
      <w:bookmarkEnd w:id="685"/>
      <w:bookmarkEnd w:id="686"/>
      <w:bookmarkEnd w:id="687"/>
      <w:bookmarkEnd w:id="688"/>
      <w:bookmarkEnd w:id="689"/>
      <w:bookmarkEnd w:id="690"/>
      <w:bookmarkEnd w:id="691"/>
    </w:p>
    <w:p w14:paraId="2902811B" w14:textId="77777777" w:rsidR="00BE1885" w:rsidRPr="006A21F9" w:rsidRDefault="00BE1885" w:rsidP="00BE1885">
      <w:pPr>
        <w:rPr>
          <w:lang w:val="ru-RU"/>
        </w:rPr>
      </w:pPr>
    </w:p>
    <w:p w14:paraId="601FB7B5" w14:textId="77777777" w:rsidR="00BE1885" w:rsidRPr="006A21F9" w:rsidRDefault="00BE1885" w:rsidP="00BE1885">
      <w:pPr>
        <w:pStyle w:val="Heading5"/>
        <w:rPr>
          <w:lang w:val="ru-RU"/>
        </w:rPr>
      </w:pPr>
      <w:bookmarkStart w:id="692" w:name="_Toc133142965"/>
      <w:bookmarkStart w:id="693" w:name="_Toc133166322"/>
      <w:bookmarkStart w:id="694" w:name="_Toc182221532"/>
      <w:bookmarkStart w:id="695" w:name="_Toc238453099"/>
      <w:bookmarkStart w:id="696" w:name="_Toc238453899"/>
      <w:bookmarkStart w:id="697" w:name="_Toc238576559"/>
      <w:r w:rsidRPr="006A21F9">
        <w:rPr>
          <w:lang w:val="ru-RU"/>
        </w:rPr>
        <w:t>§200. 东正教会关于圣礼的教义、对该教义的错误观点简要概述，以及成员构成</w:t>
      </w:r>
      <w:bookmarkEnd w:id="692"/>
      <w:bookmarkEnd w:id="693"/>
      <w:bookmarkEnd w:id="694"/>
      <w:bookmarkEnd w:id="695"/>
      <w:bookmarkEnd w:id="696"/>
      <w:bookmarkEnd w:id="697"/>
    </w:p>
    <w:p w14:paraId="3BD77EDC"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东正教关于圣事的教义主要特征如下：</w:t>
      </w:r>
    </w:p>
    <w:p w14:paraId="552A8B2C" w14:textId="77777777" w:rsidR="00BE1885" w:rsidRPr="006A21F9" w:rsidRDefault="00BE1885" w:rsidP="00BE1885">
      <w:pPr>
        <w:ind w:firstLine="708"/>
        <w:rPr>
          <w:lang w:val="ru-RU"/>
        </w:rPr>
      </w:pPr>
      <w:r w:rsidRPr="006A21F9">
        <w:rPr>
          <w:b/>
          <w:bCs/>
          <w:lang w:val="ru-RU"/>
        </w:rPr>
        <w:t xml:space="preserve">1) </w:t>
      </w:r>
      <w:r w:rsidRPr="006A21F9">
        <w:rPr>
          <w:lang w:val="ru-RU"/>
        </w:rPr>
        <w:t>“圣礼是一种神圣的仪式，它通过可见的形式将不可见的上帝恩典赐予信徒的灵魂，是由我们的主所设立的，借此每位信徒都能获得神的恩典”（《正教信条》第一卷，对第99个问题的回答）。</w:t>
      </w:r>
      <w:r>
        <w:rPr>
          <w:rStyle w:val="FootnoteReference"/>
        </w:rPr>
        <w:footnoteReference w:id="839"/>
      </w:r>
      <w:r w:rsidRPr="006A21F9">
        <w:rPr>
          <w:lang w:val="ru-RU"/>
        </w:rPr>
        <w:t xml:space="preserve"> 因此，教会认为圣礼的本质在于：这是确实将上帝的恩典赐予信徒的神圣仪式，它们“不仅是上帝应许的标志，更是通过恩典对参与者产生实际作用的工具” （《东方宗主教关于正统信仰的信函》，第15条）。而教会认为每个圣礼的本质要素包括：</w:t>
      </w:r>
      <w:r w:rsidRPr="006A21F9">
        <w:rPr>
          <w:b/>
          <w:bCs/>
          <w:lang w:val="ru-RU"/>
        </w:rPr>
        <w:t>a)</w:t>
      </w:r>
      <w:r w:rsidRPr="006A21F9">
        <w:rPr>
          <w:lang w:val="ru-RU"/>
        </w:rPr>
        <w:t xml:space="preserve"> 圣礼的神圣设立；</w:t>
      </w:r>
      <w:r w:rsidRPr="006A21F9">
        <w:rPr>
          <w:b/>
          <w:bCs/>
          <w:lang w:val="ru-RU"/>
        </w:rPr>
        <w:t>b)</w:t>
      </w:r>
      <w:r w:rsidRPr="006A21F9">
        <w:rPr>
          <w:lang w:val="ru-RU"/>
        </w:rPr>
        <w:t xml:space="preserve"> 某种可见或可感知的形式；以及 </w:t>
      </w:r>
      <w:r w:rsidRPr="006A21F9">
        <w:rPr>
          <w:b/>
          <w:bCs/>
          <w:lang w:val="ru-RU"/>
        </w:rPr>
        <w:t>c)</w:t>
      </w:r>
      <w:r w:rsidRPr="006A21F9">
        <w:rPr>
          <w:lang w:val="ru-RU"/>
        </w:rPr>
        <w:t xml:space="preserve"> 通过圣礼将不可见的恩典赐予信徒的灵魂。</w:t>
      </w:r>
    </w:p>
    <w:p w14:paraId="5C29FB3D" w14:textId="77777777" w:rsidR="00BE1885" w:rsidRPr="006A21F9" w:rsidRDefault="00BE1885" w:rsidP="00BE1885">
      <w:pPr>
        <w:ind w:firstLine="708"/>
        <w:rPr>
          <w:lang w:val="ru-RU"/>
        </w:rPr>
      </w:pPr>
      <w:r w:rsidRPr="006A21F9">
        <w:rPr>
          <w:b/>
          <w:bCs/>
          <w:lang w:val="ru-RU"/>
        </w:rPr>
        <w:t xml:space="preserve">2) </w:t>
      </w:r>
      <w:r w:rsidRPr="006A21F9">
        <w:rPr>
          <w:lang w:val="ru-RU"/>
        </w:rPr>
        <w:t>“圣礼共有七种：洗礼、坚振礼、圣餐礼、忏悔礼、圣职礼、婚姻礼、傅油礼。人在洗礼中神秘地重生于属灵的生命；在坚振礼中获得属灵滋养与坚固的恩典；在圣餐礼中获得属灵的滋养； 在忏悔中，从属灵的疾病——即罪恶中——得到医治；在圣职中，获得通过教导和圣礼使他人属灵重生并加以培育的恩典；在婚姻中，获得使夫妻关系、子女的自然生育及养育得以成圣的恩典； 在傅油圣事中，通过治愈属灵的疾病，也治愈身体的疾病”（《基督教教理问答》第10条）。“我们在教会中拥有的圣事数量既不多也不少”（《东方宗主教关于正统信仰的书信》第15条）。</w:t>
      </w:r>
    </w:p>
    <w:p w14:paraId="51982E59" w14:textId="77777777" w:rsidR="00BE1885" w:rsidRPr="006A21F9" w:rsidRDefault="00BE1885" w:rsidP="00BE1885">
      <w:pPr>
        <w:ind w:firstLine="708"/>
        <w:rPr>
          <w:lang w:val="ru-RU"/>
        </w:rPr>
      </w:pPr>
      <w:r w:rsidRPr="006A21F9">
        <w:rPr>
          <w:b/>
          <w:bCs/>
          <w:lang w:val="ru-RU"/>
        </w:rPr>
        <w:t>3）</w:t>
      </w:r>
      <w:r w:rsidRPr="006A21F9">
        <w:rPr>
          <w:lang w:val="ru-RU"/>
        </w:rPr>
        <w:t>“施行圣礼需要三样事物（</w:t>
      </w:r>
      <w:r w:rsidRPr="001E4083">
        <w:t>πράγματα</w:t>
      </w:r>
      <w:r w:rsidRPr="006A21F9">
        <w:rPr>
          <w:lang w:val="ru-RU"/>
        </w:rPr>
        <w:t>）：合适的物质，例如：洗礼用的水、圣餐用的饼和酒、圣油以及其他符合该圣礼的物品； 其次，是经合法按立的司祭或主教；第三，是圣灵的感召以及特定的言词形式，司祭借此以圣灵的大能使圣礼成圣，并表明其使圣礼成圣的意图”（《正统信条》</w:t>
      </w:r>
      <w:r w:rsidRPr="001E4083">
        <w:t>第一</w:t>
      </w:r>
      <w:r w:rsidRPr="006A21F9">
        <w:rPr>
          <w:lang w:val="ru-RU"/>
        </w:rPr>
        <w:t>卷，对第100个问题的回答）。 “但我们驳斥那种与基督教教义相悖的观点，即圣礼的完善性发生在实际使用（例如食用等）世俗之物（即在圣礼中被祝圣之物）之时： 仿佛在未被使用时，圣礼中被祝圣之物，即使在祝圣之后仍仅为普通之物……同样，我们认为那种主张——即信仰的不完善会破坏圣礼的完整性和完美性——是极其错误且不纯正的教义”（《东方教父论正统信仰书信》第15条）。</w:t>
      </w:r>
    </w:p>
    <w:p w14:paraId="5636E858"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与东正教会的这一教义相反，一些异端分子——无论是在古代，还是特别是在近代——都曾错误地宣扬并至今仍在宣扬：</w:t>
      </w:r>
    </w:p>
    <w:p w14:paraId="137C53E9" w14:textId="77777777" w:rsidR="00BE1885" w:rsidRPr="006A21F9" w:rsidRDefault="00BE1885" w:rsidP="00BE1885">
      <w:pPr>
        <w:ind w:firstLine="708"/>
        <w:rPr>
          <w:lang w:val="ru-RU"/>
        </w:rPr>
      </w:pPr>
      <w:r w:rsidRPr="006A21F9">
        <w:rPr>
          <w:b/>
          <w:bCs/>
          <w:lang w:val="ru-RU"/>
        </w:rPr>
        <w:t>1)</w:t>
      </w:r>
      <w:r w:rsidRPr="006A21F9">
        <w:rPr>
          <w:lang w:val="ru-RU"/>
        </w:rPr>
        <w:t xml:space="preserve"> 关于圣礼的本质。据路德所言，圣礼不过是激发对基督之信的简单记号，基督能赦免罪孽。</w:t>
      </w:r>
      <w:r>
        <w:rPr>
          <w:rStyle w:val="FootnoteReference"/>
        </w:rPr>
        <w:footnoteReference w:id="840"/>
      </w:r>
      <w:r w:rsidRPr="006A21F9">
        <w:rPr>
          <w:lang w:val="ru-RU"/>
        </w:rPr>
        <w:t xml:space="preserve"> 据加尔文和茨温利所言，圣礼是神圣恩典的标志，借此被拣选者得以在所领受的信仰和神圣应许中得到</w:t>
      </w:r>
      <w:r w:rsidRPr="006A21F9">
        <w:rPr>
          <w:lang w:val="ru-RU"/>
        </w:rPr>
        <w:lastRenderedPageBreak/>
        <w:t>确证；或者说，圣礼对整个教会的信仰所起的确证作用，甚至比对被拣选者个人的确证更为显著。</w:t>
      </w:r>
      <w:r>
        <w:rPr>
          <w:rStyle w:val="FootnoteReference"/>
        </w:rPr>
        <w:footnoteReference w:id="841"/>
      </w:r>
      <w:r w:rsidRPr="006A21F9">
        <w:rPr>
          <w:lang w:val="ru-RU"/>
        </w:rPr>
        <w:t xml:space="preserve"> 索西尼派和阿明尼乌斯派将圣礼视为单纯的外在仪式，以此区分基督徒与异教徒。</w:t>
      </w:r>
      <w:r>
        <w:rPr>
          <w:rStyle w:val="FootnoteReference"/>
        </w:rPr>
        <w:footnoteReference w:id="842"/>
      </w:r>
      <w:r w:rsidRPr="006A21F9">
        <w:rPr>
          <w:lang w:val="ru-RU"/>
        </w:rPr>
        <w:t xml:space="preserve"> 再洗礼派认为圣礼是属灵生命的寓言性象征。</w:t>
      </w:r>
      <w:r>
        <w:rPr>
          <w:rStyle w:val="FootnoteReference"/>
        </w:rPr>
        <w:footnoteReference w:id="843"/>
      </w:r>
      <w:r w:rsidRPr="006A21F9">
        <w:rPr>
          <w:lang w:val="ru-RU"/>
        </w:rPr>
        <w:t xml:space="preserve"> 斯韦登堡派则将其视为神与人之间相互联结的象征。</w:t>
      </w:r>
      <w:r>
        <w:rPr>
          <w:rStyle w:val="FootnoteReference"/>
        </w:rPr>
        <w:footnoteReference w:id="844"/>
      </w:r>
      <w:r w:rsidRPr="006A21F9">
        <w:rPr>
          <w:lang w:val="ru-RU"/>
        </w:rPr>
        <w:t xml:space="preserve"> 贵格会和我们的“灵斗派”，完全否定圣礼的可见层面，仅将其视为天光内在的、属灵的作为。</w:t>
      </w:r>
      <w:r>
        <w:rPr>
          <w:rStyle w:val="FootnoteReference"/>
        </w:rPr>
        <w:footnoteReference w:id="845"/>
      </w:r>
      <w:r w:rsidRPr="006A21F9">
        <w:rPr>
          <w:lang w:val="ru-RU"/>
        </w:rPr>
        <w:t xml:space="preserve"> 所有这些以及其他关于不同新教教派圣礼的类似观念，尽管存在种种差异，但在 这一点上却有相似之处：它们同样否定了关于圣礼的真正概念，即圣礼作为外在的圣礼仪式，确实将上帝的恩典赐予信徒，并借此使人重生、更新和成圣。</w:t>
      </w:r>
    </w:p>
    <w:p w14:paraId="23ABC041" w14:textId="77777777" w:rsidR="00BE1885" w:rsidRPr="006A21F9" w:rsidRDefault="00BE1885" w:rsidP="00BE1885">
      <w:pPr>
        <w:ind w:firstLine="708"/>
        <w:rPr>
          <w:lang w:val="ru-RU"/>
        </w:rPr>
      </w:pPr>
      <w:r w:rsidRPr="006A21F9">
        <w:rPr>
          <w:b/>
          <w:bCs/>
          <w:lang w:val="ru-RU"/>
        </w:rPr>
        <w:t>2)</w:t>
      </w:r>
      <w:r w:rsidRPr="006A21F9">
        <w:rPr>
          <w:lang w:val="ru-RU"/>
        </w:rPr>
        <w:t xml:space="preserve"> 关于圣礼的数量。新教似乎并不满足于仅仅歪曲关于圣礼本质和功效的真正概念，还伸出了亵渎之手，企图减少圣礼的数量；尽管起初新教徒在此问题上表现出不少分歧，</w:t>
      </w:r>
      <w:r>
        <w:rPr>
          <w:rStyle w:val="FootnoteReference"/>
        </w:rPr>
        <w:footnoteReference w:id="846"/>
      </w:r>
      <w:r w:rsidRPr="006A21F9">
        <w:rPr>
          <w:lang w:val="ru-RU"/>
        </w:rPr>
        <w:t xml:space="preserve"> 但最终还是达成共识，承认只有两种圣礼——当然，每个教派都有其独特的理解——即洗礼和圣餐。</w:t>
      </w:r>
      <w:r>
        <w:rPr>
          <w:rStyle w:val="FootnoteReference"/>
        </w:rPr>
        <w:footnoteReference w:id="847"/>
      </w:r>
      <w:r w:rsidRPr="006A21F9">
        <w:rPr>
          <w:lang w:val="ru-RU"/>
        </w:rPr>
        <w:t xml:space="preserve"> 在我们的分裂派中，所谓的“无牧师派”，虽然不否认设有七项圣礼，但仅满足于其中两项，并宣称：“根据需要，洗礼和忏悔这两项就足够了；其余的可以省略。”</w:t>
      </w:r>
      <w:r>
        <w:rPr>
          <w:rStyle w:val="FootnoteReference"/>
        </w:rPr>
        <w:footnoteReference w:id="848"/>
      </w:r>
    </w:p>
    <w:p w14:paraId="0EFB3058" w14:textId="77777777" w:rsidR="00BE1885" w:rsidRPr="006A21F9" w:rsidRDefault="00BE1885" w:rsidP="00BE1885">
      <w:pPr>
        <w:ind w:firstLine="708"/>
        <w:rPr>
          <w:lang w:val="ru-RU"/>
        </w:rPr>
      </w:pPr>
      <w:r w:rsidRPr="006A21F9">
        <w:rPr>
          <w:b/>
          <w:bCs/>
          <w:lang w:val="ru-RU"/>
        </w:rPr>
        <w:t>3）</w:t>
      </w:r>
      <w:r w:rsidRPr="006A21F9">
        <w:rPr>
          <w:lang w:val="ru-RU"/>
        </w:rPr>
        <w:t>关于施行圣礼的条件及其效力。 根据路德的教义，施行圣礼根本不需要合法任命的牧师或主教，圣礼可由任何神职人员或平信徒——无论男女——施行，并无论以何种方式施行，即使完全缺乏施行的意图（</w:t>
      </w:r>
      <w:r w:rsidRPr="001E4083">
        <w:t>intentione</w:t>
      </w:r>
      <w:r w:rsidRPr="006A21F9">
        <w:rPr>
          <w:lang w:val="ru-RU"/>
        </w:rPr>
        <w:t>），甚至带着嘲弄或做作的态度，圣礼仍能保持其意义和效力。</w:t>
      </w:r>
      <w:r>
        <w:rPr>
          <w:rStyle w:val="FootnoteReference"/>
        </w:rPr>
        <w:footnoteReference w:id="849"/>
      </w:r>
      <w:r w:rsidRPr="006A21F9">
        <w:rPr>
          <w:lang w:val="ru-RU"/>
        </w:rPr>
        <w:t xml:space="preserve"> 我们那些组成“无神职派”的分裂分子中，有一半也允许普通平信徒施行圣事； 而另一半，即所谓的“有神职派”，虽允许神父施行圣礼，但这些神父要么是被禁止的，要么甚至已被剥夺神职，总之都是从东正教会逃离并背离该教会、转而加入分裂教派的人。</w:t>
      </w:r>
      <w:r>
        <w:rPr>
          <w:rStyle w:val="FootnoteReference"/>
        </w:rPr>
        <w:footnoteReference w:id="850"/>
      </w:r>
      <w:r w:rsidRPr="006A21F9">
        <w:rPr>
          <w:lang w:val="ru-RU"/>
        </w:rPr>
        <w:t xml:space="preserve"> 另一方面，早期的多纳图斯派，随后在</w:t>
      </w:r>
      <w:r w:rsidRPr="0097554A">
        <w:rPr>
          <w:lang w:val="ru-RU"/>
        </w:rPr>
        <w:t>12</w:t>
      </w:r>
      <w:r w:rsidRPr="006A21F9">
        <w:rPr>
          <w:lang w:val="ru-RU"/>
        </w:rPr>
        <w:t xml:space="preserve">世纪的瓦尔登派和阿尔比派， </w:t>
      </w:r>
      <w:r w:rsidRPr="001E4083">
        <w:t>从</w:t>
      </w:r>
      <w:r w:rsidRPr="0097554A">
        <w:rPr>
          <w:lang w:val="ru-RU"/>
        </w:rPr>
        <w:t>14</w:t>
      </w:r>
      <w:r w:rsidRPr="001E4083">
        <w:t>世纪</w:t>
      </w:r>
      <w:r w:rsidRPr="006A21F9">
        <w:rPr>
          <w:lang w:val="ru-RU"/>
        </w:rPr>
        <w:t>起，威克里夫的追随者则陷入了相反的极端，主张圣礼的施行与效力不仅需要合法任命的神职人员，更需要虔诚的神职人员，而由品行不端的神职人员所施行的圣礼则毫无意义。</w:t>
      </w:r>
      <w:r>
        <w:rPr>
          <w:rStyle w:val="FootnoteReference"/>
        </w:rPr>
        <w:footnoteReference w:id="851"/>
      </w:r>
      <w:r w:rsidRPr="006A21F9">
        <w:rPr>
          <w:lang w:val="ru-RU"/>
        </w:rPr>
        <w:t xml:space="preserve"> </w:t>
      </w:r>
      <w:r w:rsidRPr="006A21F9">
        <w:rPr>
          <w:lang w:val="ru-RU"/>
        </w:rPr>
        <w:lastRenderedPageBreak/>
        <w:t>最后，改革宗和路德宗提出了一种学说，认为圣礼的有效性和效力并不取决于施行者的人格品德和内心态度，而是取决于接受圣礼者的态度和信仰；因此，圣礼只有在以信心接受并施行之时，才成为真正的圣礼并具有效力， 而在未施行之时，或若无信仰地接受时，便不构成圣礼，亦无果效。</w:t>
      </w:r>
      <w:r>
        <w:rPr>
          <w:rStyle w:val="FootnoteReference"/>
        </w:rPr>
        <w:footnoteReference w:id="852"/>
      </w:r>
    </w:p>
    <w:p w14:paraId="557A5252" w14:textId="77777777" w:rsidR="00BE1885" w:rsidRPr="006A21F9" w:rsidRDefault="00BE1885" w:rsidP="00BE1885">
      <w:pPr>
        <w:rPr>
          <w:lang w:val="ru-RU"/>
        </w:rPr>
      </w:pPr>
      <w:r w:rsidRPr="006A21F9">
        <w:rPr>
          <w:lang w:val="ru-RU"/>
        </w:rPr>
        <w:tab/>
      </w:r>
      <w:r w:rsidRPr="001E4083">
        <w:rPr>
          <w:b/>
          <w:bCs/>
        </w:rPr>
        <w:t>一</w:t>
      </w:r>
      <w:r w:rsidRPr="006A21F9">
        <w:rPr>
          <w:lang w:val="ru-RU"/>
        </w:rPr>
        <w:t>、为了尽可能清晰、全面地阐明东正教关于圣礼的教义之公正性，以及此处列举的种种错误观点之不公，我们将首先分别阐述每项圣礼的教义，并在必要时指出关于某项圣礼的、此处未列举的具体谬误； 随后，基于这些具体分析，我们将对圣礼作出总体论述，以驳斥本文中指出的关于圣礼的普遍谬误。</w:t>
      </w:r>
    </w:p>
    <w:p w14:paraId="50B4F006" w14:textId="77777777" w:rsidR="00BE1885" w:rsidRPr="006A21F9" w:rsidRDefault="00BE1885" w:rsidP="00BE1885">
      <w:pPr>
        <w:rPr>
          <w:lang w:val="ru-RU"/>
        </w:rPr>
      </w:pPr>
    </w:p>
    <w:p w14:paraId="48690706" w14:textId="77777777" w:rsidR="00BE1885" w:rsidRPr="006A21F9" w:rsidRDefault="00BE1885" w:rsidP="00BE1885">
      <w:pPr>
        <w:pStyle w:val="Heading4"/>
        <w:rPr>
          <w:lang w:val="ru-RU"/>
        </w:rPr>
      </w:pPr>
      <w:bookmarkStart w:id="698" w:name="_Toc133142610"/>
      <w:bookmarkStart w:id="699" w:name="_Toc133142966"/>
      <w:bookmarkStart w:id="700" w:name="_Toc133166323"/>
      <w:bookmarkStart w:id="701" w:name="_Toc182221533"/>
      <w:bookmarkStart w:id="702" w:name="_Toc238453100"/>
      <w:bookmarkStart w:id="703" w:name="_Toc238453900"/>
      <w:bookmarkStart w:id="704" w:name="_Toc238454330"/>
      <w:bookmarkStart w:id="705" w:name="_Toc238466412"/>
      <w:bookmarkStart w:id="706" w:name="_Toc238576560"/>
      <w:r w:rsidRPr="006A21F9">
        <w:rPr>
          <w:bCs/>
          <w:lang w:val="ru-RU"/>
        </w:rPr>
        <w:t>1.</w:t>
      </w:r>
      <w:r w:rsidRPr="006A21F9">
        <w:rPr>
          <w:lang w:val="ru-RU"/>
        </w:rPr>
        <w:t xml:space="preserve"> 关于洗礼圣事</w:t>
      </w:r>
      <w:bookmarkEnd w:id="698"/>
      <w:bookmarkEnd w:id="699"/>
      <w:bookmarkEnd w:id="700"/>
      <w:bookmarkEnd w:id="701"/>
      <w:bookmarkEnd w:id="702"/>
      <w:bookmarkEnd w:id="703"/>
      <w:bookmarkEnd w:id="704"/>
      <w:bookmarkEnd w:id="705"/>
      <w:bookmarkEnd w:id="706"/>
    </w:p>
    <w:p w14:paraId="003F39CA" w14:textId="77777777" w:rsidR="00BE1885" w:rsidRPr="006A21F9" w:rsidRDefault="00BE1885" w:rsidP="00BE1885">
      <w:pPr>
        <w:rPr>
          <w:lang w:val="ru-RU"/>
        </w:rPr>
      </w:pPr>
    </w:p>
    <w:p w14:paraId="1498AE3C" w14:textId="77777777" w:rsidR="00BE1885" w:rsidRPr="006A21F9" w:rsidRDefault="00BE1885" w:rsidP="00BE1885">
      <w:pPr>
        <w:pStyle w:val="Heading5"/>
        <w:rPr>
          <w:lang w:val="ru-RU"/>
        </w:rPr>
      </w:pPr>
      <w:bookmarkStart w:id="707" w:name="_Toc133142967"/>
      <w:bookmarkStart w:id="708" w:name="_Toc133166324"/>
      <w:bookmarkStart w:id="709" w:name="_Toc182221534"/>
      <w:bookmarkStart w:id="710" w:name="_Toc238453101"/>
      <w:bookmarkStart w:id="711" w:name="_Toc238453901"/>
      <w:bookmarkStart w:id="712" w:name="_Toc238576561"/>
      <w:r w:rsidRPr="006A21F9">
        <w:rPr>
          <w:bCs/>
          <w:lang w:val="ru-RU"/>
        </w:rPr>
        <w:t>§201.</w:t>
      </w:r>
      <w:r w:rsidRPr="006A21F9">
        <w:rPr>
          <w:lang w:val="ru-RU"/>
        </w:rPr>
        <w:t xml:space="preserve"> 洗礼圣事在其他圣事中的地位、洗礼的概念及其不同名称</w:t>
      </w:r>
      <w:bookmarkEnd w:id="707"/>
      <w:bookmarkEnd w:id="708"/>
      <w:bookmarkEnd w:id="709"/>
      <w:bookmarkEnd w:id="710"/>
      <w:bookmarkEnd w:id="711"/>
      <w:bookmarkEnd w:id="712"/>
    </w:p>
    <w:p w14:paraId="406101F3" w14:textId="77777777" w:rsidR="00BE1885" w:rsidRPr="006A21F9" w:rsidRDefault="00BE1885" w:rsidP="00BE1885">
      <w:pPr>
        <w:rPr>
          <w:lang w:val="ru-RU"/>
        </w:rPr>
      </w:pPr>
      <w:r w:rsidRPr="006A21F9">
        <w:rPr>
          <w:b/>
          <w:bCs/>
          <w:lang w:val="ru-RU"/>
        </w:rPr>
        <w:tab/>
        <w:t>1.</w:t>
      </w:r>
      <w:r w:rsidRPr="006A21F9">
        <w:rPr>
          <w:lang w:val="ru-RU"/>
        </w:rPr>
        <w:t xml:space="preserve"> 洗礼在东正教会的七大圣事中居于首位：因为它对人们而言，仿佛是通往教会本身的门，正如救主所言：</w:t>
      </w:r>
      <w:r w:rsidRPr="006A21F9">
        <w:rPr>
          <w:i/>
          <w:iCs/>
          <w:lang w:val="ru-RU"/>
        </w:rPr>
        <w:t>“人若不是从水和圣灵生的，就不能进神的国</w:t>
      </w:r>
      <w:r w:rsidRPr="006A21F9">
        <w:rPr>
          <w:lang w:val="ru-RU"/>
        </w:rPr>
        <w:t>”（约3:5）， ——因此，洗礼同时也作为通往其他所有 圣事的门户，这些圣事唯有在教会中才得以保存并合法施行。正因如此，这一圣事自古以来便被传授给世人，至今仍优先于其他圣事被传授；凡尚未蒙受洗礼者，过去不能、现在也不能参与任何其他教会圣事。</w:t>
      </w:r>
      <w:r>
        <w:rPr>
          <w:rStyle w:val="FootnoteReference"/>
        </w:rPr>
        <w:footnoteReference w:id="853"/>
      </w:r>
    </w:p>
    <w:p w14:paraId="64949A6D" w14:textId="77777777" w:rsidR="00BE1885" w:rsidRPr="006A21F9" w:rsidRDefault="00BE1885" w:rsidP="00BE1885">
      <w:pPr>
        <w:ind w:firstLine="708"/>
        <w:rPr>
          <w:lang w:val="ru-RU"/>
        </w:rPr>
      </w:pPr>
      <w:r w:rsidRPr="006A21F9">
        <w:rPr>
          <w:b/>
          <w:bCs/>
          <w:lang w:val="ru-RU"/>
        </w:rPr>
        <w:t xml:space="preserve">2. </w:t>
      </w:r>
      <w:r w:rsidRPr="006A21F9">
        <w:rPr>
          <w:lang w:val="ru-RU"/>
        </w:rPr>
        <w:t>“洗礼”一词所指的圣礼，是指一个生来就因始祖而带有原罪的罪人，藉着水和圣灵重生（约3:5）； 或者更具体地说——这是指：当罪人听闻基督的福音后，在奉圣父、圣子、圣灵之名三次浸入水中时，藉着上帝的恩典从一切罪中得洁净，并成为被称义且被成圣的新人（《正统信条》 第1卷，对第102个问题的回答）。因此，上帝的恩典——此前仅是呼召罪人归向基督的信仰并在我们心中激发信仰——在此首次以奥秘的方式倾注于人的本性之上，并彻底洁净、成圣、重造了他。</w:t>
      </w:r>
    </w:p>
    <w:p w14:paraId="33F54122" w14:textId="77777777" w:rsidR="00BE1885" w:rsidRPr="006A21F9" w:rsidRDefault="00BE1885" w:rsidP="00BE1885">
      <w:pPr>
        <w:ind w:firstLine="708"/>
        <w:rPr>
          <w:lang w:val="ru-RU"/>
        </w:rPr>
      </w:pPr>
      <w:r w:rsidRPr="006A21F9">
        <w:rPr>
          <w:b/>
          <w:bCs/>
          <w:lang w:val="ru-RU"/>
        </w:rPr>
        <w:t>3.</w:t>
      </w:r>
      <w:r w:rsidRPr="006A21F9">
        <w:rPr>
          <w:lang w:val="ru-RU"/>
        </w:rPr>
        <w:t xml:space="preserve"> 据此，洗礼圣事自古以来就被赋予了不同的名称。 例如</w:t>
      </w:r>
      <w:r w:rsidRPr="006A21F9">
        <w:rPr>
          <w:b/>
          <w:bCs/>
          <w:lang w:val="ru-RU"/>
        </w:rPr>
        <w:t>——a)</w:t>
      </w:r>
      <w:r w:rsidRPr="006A21F9">
        <w:rPr>
          <w:lang w:val="ru-RU"/>
        </w:rPr>
        <w:t xml:space="preserve"> 根据其可见方面，它被称为：浴池或洗礼池，</w:t>
      </w:r>
      <w:r>
        <w:rPr>
          <w:rStyle w:val="FootnoteReference"/>
        </w:rPr>
        <w:footnoteReference w:id="854"/>
      </w:r>
      <w:r w:rsidRPr="006A21F9">
        <w:rPr>
          <w:lang w:val="ru-RU"/>
        </w:rPr>
        <w:t xml:space="preserve"> 神圣之泉，</w:t>
      </w:r>
      <w:r>
        <w:rPr>
          <w:rStyle w:val="FootnoteReference"/>
        </w:rPr>
        <w:footnoteReference w:id="855"/>
      </w:r>
      <w:r w:rsidRPr="006A21F9">
        <w:rPr>
          <w:lang w:val="ru-RU"/>
        </w:rPr>
        <w:t xml:space="preserve"> 有时简称为水；</w:t>
      </w:r>
      <w:r>
        <w:rPr>
          <w:rStyle w:val="FootnoteReference"/>
        </w:rPr>
        <w:footnoteReference w:id="856"/>
      </w:r>
      <w:r w:rsidRPr="006A21F9">
        <w:rPr>
          <w:lang w:val="ru-RU"/>
        </w:rPr>
        <w:t xml:space="preserve"> </w:t>
      </w:r>
      <w:r w:rsidRPr="006A21F9">
        <w:rPr>
          <w:b/>
          <w:bCs/>
          <w:lang w:val="ru-RU"/>
        </w:rPr>
        <w:t>b)</w:t>
      </w:r>
      <w:r w:rsidRPr="006A21F9">
        <w:rPr>
          <w:lang w:val="ru-RU"/>
        </w:rPr>
        <w:t xml:space="preserve"> 根据其不可见的作用和象征意义：——启蒙，</w:t>
      </w:r>
      <w:r>
        <w:rPr>
          <w:rStyle w:val="FootnoteReference"/>
        </w:rPr>
        <w:footnoteReference w:id="857"/>
      </w:r>
      <w:r w:rsidRPr="006A21F9">
        <w:rPr>
          <w:lang w:val="ru-RU"/>
        </w:rPr>
        <w:t xml:space="preserve"> 恩典之礼，</w:t>
      </w:r>
      <w:r>
        <w:rPr>
          <w:rStyle w:val="FootnoteReference"/>
        </w:rPr>
        <w:footnoteReference w:id="858"/>
      </w:r>
      <w:r w:rsidRPr="006A21F9">
        <w:rPr>
          <w:lang w:val="ru-RU"/>
        </w:rPr>
        <w:t xml:space="preserve"> 重生，</w:t>
      </w:r>
      <w:r>
        <w:rPr>
          <w:rStyle w:val="FootnoteReference"/>
        </w:rPr>
        <w:footnoteReference w:id="859"/>
      </w:r>
      <w:r w:rsidRPr="006A21F9">
        <w:rPr>
          <w:lang w:val="ru-RU"/>
        </w:rPr>
        <w:t xml:space="preserve"> 成圣，</w:t>
      </w:r>
      <w:r>
        <w:rPr>
          <w:rStyle w:val="FootnoteReference"/>
        </w:rPr>
        <w:footnoteReference w:id="860"/>
      </w:r>
      <w:r w:rsidRPr="006A21F9">
        <w:rPr>
          <w:lang w:val="ru-RU"/>
        </w:rPr>
        <w:t xml:space="preserve"> 基督的印记，</w:t>
      </w:r>
      <w:r>
        <w:rPr>
          <w:rStyle w:val="FootnoteReference"/>
        </w:rPr>
        <w:footnoteReference w:id="861"/>
      </w:r>
      <w:r w:rsidRPr="006A21F9">
        <w:rPr>
          <w:lang w:val="ru-RU"/>
        </w:rPr>
        <w:t xml:space="preserve"> </w:t>
      </w:r>
      <w:r w:rsidRPr="006A21F9">
        <w:rPr>
          <w:lang w:val="ru-RU"/>
        </w:rPr>
        <w:lastRenderedPageBreak/>
        <w:t>基督教的印记，</w:t>
      </w:r>
      <w:r>
        <w:rPr>
          <w:rStyle w:val="FootnoteReference"/>
        </w:rPr>
        <w:footnoteReference w:id="862"/>
      </w:r>
      <w:r w:rsidRPr="006A21F9">
        <w:rPr>
          <w:lang w:val="ru-RU"/>
        </w:rPr>
        <w:t xml:space="preserve"> 信仰的印记；</w:t>
      </w:r>
      <w:r>
        <w:rPr>
          <w:rStyle w:val="FootnoteReference"/>
        </w:rPr>
        <w:footnoteReference w:id="863"/>
      </w:r>
      <w:r w:rsidRPr="006A21F9">
        <w:rPr>
          <w:lang w:val="ru-RU"/>
        </w:rPr>
        <w:t xml:space="preserve"> </w:t>
      </w:r>
      <w:r w:rsidRPr="006A21F9">
        <w:rPr>
          <w:b/>
          <w:bCs/>
          <w:lang w:val="ru-RU"/>
        </w:rPr>
        <w:t>c)</w:t>
      </w:r>
      <w:r w:rsidRPr="006A21F9">
        <w:rPr>
          <w:lang w:val="ru-RU"/>
        </w:rPr>
        <w:t xml:space="preserve"> 兼指上述两方面：——奥秘的洗礼池，</w:t>
      </w:r>
      <w:r>
        <w:rPr>
          <w:rStyle w:val="FootnoteReference"/>
        </w:rPr>
        <w:footnoteReference w:id="864"/>
      </w:r>
      <w:r w:rsidRPr="006A21F9">
        <w:rPr>
          <w:lang w:val="ru-RU"/>
        </w:rPr>
        <w:t xml:space="preserve"> 救赎的洗礼池，</w:t>
      </w:r>
      <w:r>
        <w:rPr>
          <w:rStyle w:val="FootnoteReference"/>
        </w:rPr>
        <w:footnoteReference w:id="865"/>
      </w:r>
      <w:r w:rsidRPr="006A21F9">
        <w:rPr>
          <w:lang w:val="ru-RU"/>
        </w:rPr>
        <w:t xml:space="preserve"> 悔改与认识的洗礼池，</w:t>
      </w:r>
      <w:r>
        <w:rPr>
          <w:rStyle w:val="FootnoteReference"/>
        </w:rPr>
        <w:footnoteReference w:id="866"/>
      </w:r>
      <w:r w:rsidRPr="006A21F9">
        <w:rPr>
          <w:lang w:val="ru-RU"/>
        </w:rPr>
        <w:t xml:space="preserve"> 重生（提多书 3:5）与复活的洗礼池，</w:t>
      </w:r>
      <w:r>
        <w:rPr>
          <w:rStyle w:val="FootnoteReference"/>
        </w:rPr>
        <w:footnoteReference w:id="867"/>
      </w:r>
      <w:r w:rsidRPr="006A21F9">
        <w:rPr>
          <w:lang w:val="ru-RU"/>
        </w:rPr>
        <w:t xml:space="preserve"> 生命的洗礼池，</w:t>
      </w:r>
      <w:r>
        <w:rPr>
          <w:rStyle w:val="FootnoteReference"/>
        </w:rPr>
        <w:footnoteReference w:id="868"/>
      </w:r>
      <w:r w:rsidRPr="006A21F9">
        <w:rPr>
          <w:lang w:val="ru-RU"/>
        </w:rPr>
        <w:t xml:space="preserve"> 永生之水，</w:t>
      </w:r>
      <w:r>
        <w:rPr>
          <w:rStyle w:val="FootnoteReference"/>
        </w:rPr>
        <w:footnoteReference w:id="869"/>
      </w:r>
      <w:r w:rsidRPr="006A21F9">
        <w:rPr>
          <w:lang w:val="ru-RU"/>
        </w:rPr>
        <w:t xml:space="preserve"> 神圣的泉源，</w:t>
      </w:r>
      <w:r>
        <w:rPr>
          <w:rStyle w:val="FootnoteReference"/>
        </w:rPr>
        <w:footnoteReference w:id="870"/>
      </w:r>
      <w:r w:rsidRPr="006A21F9">
        <w:rPr>
          <w:lang w:val="ru-RU"/>
        </w:rPr>
        <w:t xml:space="preserve"> 水的奥秘，</w:t>
      </w:r>
      <w:r>
        <w:rPr>
          <w:rStyle w:val="FootnoteReference"/>
        </w:rPr>
        <w:footnoteReference w:id="871"/>
      </w:r>
      <w:r w:rsidRPr="006A21F9">
        <w:rPr>
          <w:lang w:val="ru-RU"/>
        </w:rPr>
        <w:t xml:space="preserve"> 新生的奥秘，</w:t>
      </w:r>
      <w:r>
        <w:rPr>
          <w:rStyle w:val="FootnoteReference"/>
        </w:rPr>
        <w:footnoteReference w:id="872"/>
      </w:r>
      <w:r w:rsidRPr="006A21F9">
        <w:rPr>
          <w:lang w:val="ru-RU"/>
        </w:rPr>
        <w:t xml:space="preserve"> 等。</w:t>
      </w:r>
    </w:p>
    <w:p w14:paraId="62D080A7" w14:textId="77777777" w:rsidR="00BE1885" w:rsidRPr="006A21F9" w:rsidRDefault="00BE1885" w:rsidP="00BE1885">
      <w:pPr>
        <w:rPr>
          <w:lang w:val="ru-RU"/>
        </w:rPr>
      </w:pPr>
      <w:r w:rsidRPr="006A21F9">
        <w:rPr>
          <w:lang w:val="ru-RU"/>
        </w:rPr>
        <w:tab/>
      </w:r>
    </w:p>
    <w:p w14:paraId="73E4758F" w14:textId="77777777" w:rsidR="00BE1885" w:rsidRPr="006A21F9" w:rsidRDefault="00BE1885" w:rsidP="00BE1885">
      <w:pPr>
        <w:pStyle w:val="Heading5"/>
        <w:rPr>
          <w:lang w:val="ru-RU"/>
        </w:rPr>
      </w:pPr>
      <w:bookmarkStart w:id="713" w:name="_Toc133142968"/>
      <w:bookmarkStart w:id="714" w:name="_Toc133166325"/>
      <w:bookmarkStart w:id="715" w:name="_Toc182221535"/>
      <w:bookmarkStart w:id="716" w:name="_Toc238453102"/>
      <w:bookmarkStart w:id="717" w:name="_Toc238453902"/>
      <w:bookmarkStart w:id="718" w:name="_Toc238576562"/>
      <w:r w:rsidRPr="006A21F9">
        <w:rPr>
          <w:bCs/>
          <w:lang w:val="ru-RU"/>
        </w:rPr>
        <w:t>§202.</w:t>
      </w:r>
      <w:r w:rsidRPr="006A21F9">
        <w:rPr>
          <w:lang w:val="ru-RU"/>
        </w:rPr>
        <w:t xml:space="preserve"> 洗礼圣礼的神圣设立</w:t>
      </w:r>
      <w:bookmarkEnd w:id="713"/>
      <w:bookmarkEnd w:id="714"/>
      <w:bookmarkEnd w:id="715"/>
      <w:bookmarkEnd w:id="716"/>
      <w:bookmarkEnd w:id="717"/>
      <w:bookmarkEnd w:id="718"/>
    </w:p>
    <w:p w14:paraId="1E7EE88F" w14:textId="77777777" w:rsidR="00BE1885" w:rsidRPr="006A21F9" w:rsidRDefault="00BE1885" w:rsidP="00BE1885">
      <w:pPr>
        <w:ind w:firstLine="708"/>
        <w:rPr>
          <w:lang w:val="ru-RU"/>
        </w:rPr>
      </w:pPr>
      <w:r w:rsidRPr="006A21F9">
        <w:rPr>
          <w:lang w:val="ru-RU"/>
        </w:rPr>
        <w:t>洗礼圣礼的神圣设立毋庸置疑。为证实这一真理，我们无需援引约翰的洗礼——尽管它也是从天上来的（可11:30）——因为约翰的洗礼仅仅是基督洗礼的预表[(太3:11)；(可1:8)； （路加福音 3:16）]，仅是为迎接弥赛亚及其国度做准备，且仅针对犹太人 [(马太福音 3:1-2)；（路加福音 1:16；3:3)]；那仅仅是悔改的洗礼 [(马可福音 1:4)； （使徒行传 19:4）]，并未借着圣灵的恩典使人重生，因此那些接受过约翰洗礼的人，后来还必须再接受基督的洗礼（使徒行传 19:2-6）。</w:t>
      </w:r>
      <w:r>
        <w:rPr>
          <w:rStyle w:val="FootnoteReference"/>
        </w:rPr>
        <w:footnoteReference w:id="873"/>
      </w:r>
      <w:r w:rsidRPr="006A21F9">
        <w:rPr>
          <w:lang w:val="ru-RU"/>
        </w:rPr>
        <w:t xml:space="preserve"> 我们也不必特别指出救主基督自己曾接受约翰的洗礼，尽管主 正如圣金口若望所言，祂在此“完成了犹太人的洗礼，为新约教会的洗礼敞开了大门”，</w:t>
      </w:r>
      <w:r>
        <w:rPr>
          <w:rStyle w:val="FootnoteReference"/>
        </w:rPr>
        <w:footnoteReference w:id="874"/>
      </w:r>
      <w:r w:rsidRPr="006A21F9">
        <w:rPr>
          <w:lang w:val="ru-RU"/>
        </w:rPr>
        <w:t xml:space="preserve"> 尽管祂降临约旦河的水流中，使水性得以圣化，从而借此圣水使全人类得蒙圣化，</w:t>
      </w:r>
      <w:r>
        <w:rPr>
          <w:rStyle w:val="FootnoteReference"/>
        </w:rPr>
        <w:footnoteReference w:id="875"/>
      </w:r>
      <w:r w:rsidRPr="006A21F9">
        <w:rPr>
          <w:lang w:val="ru-RU"/>
        </w:rPr>
        <w:t xml:space="preserve"> 而且我们在此已能看见，圣灵降临在受洗的耶稣身上，正如祂那使人重生的恩典在基督教圣礼中降临在每位信徒身上一样。</w:t>
      </w:r>
      <w:r>
        <w:rPr>
          <w:rStyle w:val="FootnoteReference"/>
        </w:rPr>
        <w:footnoteReference w:id="876"/>
      </w:r>
      <w:r w:rsidRPr="006A21F9">
        <w:rPr>
          <w:lang w:val="ru-RU"/>
        </w:rPr>
        <w:t xml:space="preserve"> 最后，我们不必特别提及主耶稣的门徒们在他世上生活期间所施行的洗礼； 因为正如圣金口若望所指出的，那洗礼与约翰的洗礼并无二致，</w:t>
      </w:r>
      <w:r>
        <w:rPr>
          <w:rStyle w:val="FootnoteReference"/>
        </w:rPr>
        <w:footnoteReference w:id="877"/>
      </w:r>
      <w:r w:rsidRPr="006A21F9">
        <w:rPr>
          <w:lang w:val="ru-RU"/>
        </w:rPr>
        <w:t xml:space="preserve"> 它与约翰的洗礼同时进行，而非取而代之（约4:1-2），且仅针对犹太人（约3:22-23）； </w:t>
      </w:r>
      <w:r w:rsidRPr="006A21F9">
        <w:rPr>
          <w:lang w:val="ru-RU"/>
        </w:rPr>
        <w:lastRenderedPageBreak/>
        <w:t>因此，它与约翰的洗礼一样，只是通过悔改使他们做好准备，以迎接显现的弥赛亚，并进入祂的恩典之国（马太福音 10:7）。所有这些都只是对基督教洗礼圣事的预示、预表，以及某种意义上的先驱。</w:t>
      </w:r>
    </w:p>
    <w:p w14:paraId="05AC884D" w14:textId="77777777" w:rsidR="00BE1885" w:rsidRPr="006A21F9" w:rsidRDefault="00BE1885" w:rsidP="00BE1885">
      <w:pPr>
        <w:rPr>
          <w:lang w:val="ru-RU"/>
        </w:rPr>
      </w:pPr>
      <w:r w:rsidRPr="006A21F9">
        <w:rPr>
          <w:lang w:val="ru-RU"/>
        </w:rPr>
        <w:tab/>
        <w:t>事实上，主是在祂复活之后才设立了洗礼圣礼的。那时，祂用自己无价的宝血救赎了我们，并借此获得了向信徒赐下圣灵恩赐的权柄 [(约 7:39)； （彼得后书 1:3）；（哥林多前书 1:4）]，从而</w:t>
      </w:r>
      <w:r w:rsidRPr="006A21F9">
        <w:rPr>
          <w:i/>
          <w:iCs/>
          <w:lang w:val="ru-RU"/>
        </w:rPr>
        <w:t>获得了向信徒赐予圣灵恩赐的权柄，祂</w:t>
      </w:r>
      <w:r w:rsidRPr="006A21F9">
        <w:rPr>
          <w:lang w:val="ru-RU"/>
        </w:rPr>
        <w:t>庄严地对门徒说：</w:t>
      </w:r>
      <w:r w:rsidRPr="006A21F9">
        <w:rPr>
          <w:i/>
          <w:iCs/>
          <w:lang w:val="ru-RU"/>
        </w:rPr>
        <w:t>“天上地下所有的权柄都赐给我了。” 所以，你们要去，使万民作我的门徒，奉父、子、圣灵的名给他们施洗，教导他们遵守我所吩咐你们的一切；看哪，我常与你们同在，直到世界的末了</w:t>
      </w:r>
      <w:r w:rsidRPr="006A21F9">
        <w:rPr>
          <w:lang w:val="ru-RU"/>
        </w:rPr>
        <w:t xml:space="preserve">（太28:18-20）； </w:t>
      </w:r>
      <w:r w:rsidRPr="006A21F9">
        <w:rPr>
          <w:i/>
          <w:iCs/>
          <w:lang w:val="ru-RU"/>
        </w:rPr>
        <w:t xml:space="preserve">凡信而受洗的，必然得救；不信的，必被定罪 </w:t>
      </w:r>
      <w:r w:rsidRPr="006A21F9">
        <w:rPr>
          <w:lang w:val="ru-RU"/>
        </w:rPr>
        <w:t>[(马可福音 16:16)；引自 《东方教父论</w:t>
      </w:r>
      <w:r w:rsidRPr="001E4083">
        <w:t>正统</w:t>
      </w:r>
      <w:r w:rsidRPr="006A21F9">
        <w:rPr>
          <w:lang w:val="ru-RU"/>
        </w:rPr>
        <w:t>信仰》</w:t>
      </w:r>
      <w:r w:rsidRPr="001E4083">
        <w:t>第十五条</w:t>
      </w:r>
      <w:r w:rsidRPr="006A21F9">
        <w:rPr>
          <w:lang w:val="ru-RU"/>
        </w:rPr>
        <w:t xml:space="preserve">)]。这里所说的洗礼，已是面向全人类的圣礼，而非仅限于犹太人；是被设立为直到世世代代永恒的，而非暂时的；是获得永恒救赎的必要条件，而非仅仅为进入弥赛亚的恩典之国所做的准备。 从那时起，圣使徒们一获得从上头来的能力（路加福音24:49），便开始不断施行洗礼圣事，并藉着圣灵的恩典，在其中洁净信徒、使他们重生： </w:t>
      </w:r>
      <w:r w:rsidRPr="006A21F9">
        <w:rPr>
          <w:i/>
          <w:iCs/>
          <w:lang w:val="ru-RU"/>
        </w:rPr>
        <w:t>“你们要悔</w:t>
      </w:r>
      <w:r w:rsidRPr="006A21F9">
        <w:rPr>
          <w:lang w:val="ru-RU"/>
        </w:rPr>
        <w:t>改，”圣使徒彼得在同一天对聆听他讲道的犹太人说</w:t>
      </w:r>
      <w:r w:rsidRPr="006A21F9">
        <w:rPr>
          <w:i/>
          <w:iCs/>
          <w:lang w:val="ru-RU"/>
        </w:rPr>
        <w:t>，“你们每个人都要奉耶稣基督的名受洗，使你们的罪得赦免；你们就必领受圣灵的恩赐</w:t>
      </w:r>
      <w:r w:rsidRPr="006A21F9">
        <w:rPr>
          <w:lang w:val="ru-RU"/>
        </w:rPr>
        <w:t>”（使徒行传 2:38）。 确实，当时约有三千人受洗并加入了基督的教会（使徒行传 2:41）。不久，圣腓力给太监施洗（使徒行传 8:38），圣彼得给百夫长哥尼流及其全家和其他人施洗（使徒行传 10:47-48）， 圣保罗为吕底亚施洗（使徒行传 16:15），为监狱长及其家人施洗（使徒行传 16:33）， 克里索及其全家以及许多哥林多人（《使徒行传》18:8），还有以弗所的一些门徒——他们此前曾受过约翰的洗礼（《使徒行传》19:1-5），等等。 圣教会从圣使徒那里领受了洗礼圣事，自那时起，她始终如一地为所有渴望成为她的儿女并在其中获得永恒救赎的人施行这一圣事。</w:t>
      </w:r>
    </w:p>
    <w:p w14:paraId="46F596FD" w14:textId="77777777" w:rsidR="00BE1885" w:rsidRPr="006A21F9" w:rsidRDefault="00BE1885" w:rsidP="00BE1885">
      <w:pPr>
        <w:rPr>
          <w:lang w:val="ru-RU"/>
        </w:rPr>
      </w:pPr>
      <w:r w:rsidRPr="006A21F9">
        <w:rPr>
          <w:lang w:val="ru-RU"/>
        </w:rPr>
        <w:tab/>
        <w:t>古代教父和圣教会之父们正是这样看待基督教洗礼圣事的设立，以及约翰洗礼与之的关系的。例如：</w:t>
      </w:r>
    </w:p>
    <w:p w14:paraId="56AE3768" w14:textId="77777777" w:rsidR="00BE1885" w:rsidRPr="006A21F9" w:rsidRDefault="00BE1885" w:rsidP="00BE1885">
      <w:pPr>
        <w:rPr>
          <w:lang w:val="ru-RU"/>
        </w:rPr>
      </w:pPr>
      <w:r w:rsidRPr="006A21F9">
        <w:rPr>
          <w:lang w:val="ru-RU"/>
        </w:rPr>
        <w:tab/>
        <w:t>特土良：“在《使徒行传》中，我们看到那些接受过约翰洗礼的人并未领受圣灵，甚至从未听说过圣灵（徒19）…… 这是一种悔改的洗礼，仿佛是（</w:t>
      </w:r>
      <w:r w:rsidRPr="001E4083">
        <w:t>quasi</w:t>
      </w:r>
      <w:r w:rsidRPr="0097554A">
        <w:rPr>
          <w:lang w:val="ru-RU"/>
        </w:rPr>
        <w:t xml:space="preserve"> </w:t>
      </w:r>
      <w:r w:rsidRPr="001E4083">
        <w:t>candidatus</w:t>
      </w:r>
      <w:r w:rsidRPr="006A21F9">
        <w:rPr>
          <w:lang w:val="ru-RU"/>
        </w:rPr>
        <w:t>）随后将在基督里获得赦罪与成圣的预备。因为如果约翰所宣讲的是为赦免罪孽而行的悔改洗礼，那么这显然是指未来的赦免——既然悔改在先，赦免在后，而这正是‘预备道路’的含义…… 耶稣的门徒们作为事奉者，效法施洗约翰，用约翰所施的洗礼——而非其他洗礼——为人们施洗。 因为 ，除了后来由基督所确立的洗礼之外，别无其他；而当时门徒们还无法传授这种洗礼：因为主的荣耀尚未显现，洗礼的效力（</w:t>
      </w:r>
      <w:r w:rsidRPr="001E4083">
        <w:t>efficatia</w:t>
      </w:r>
      <w:r w:rsidRPr="0097554A">
        <w:rPr>
          <w:lang w:val="ru-RU"/>
        </w:rPr>
        <w:t xml:space="preserve"> </w:t>
      </w:r>
      <w:r w:rsidRPr="001E4083">
        <w:t>lavacri</w:t>
      </w:r>
      <w:r w:rsidRPr="006A21F9">
        <w:rPr>
          <w:lang w:val="ru-RU"/>
        </w:rPr>
        <w:t>）也尚未通过受难与复活得以确立…… 在主受难与复活之前，得救仅凭一种（</w:t>
      </w:r>
      <w:r w:rsidRPr="001E4083">
        <w:t>nuda</w:t>
      </w:r>
      <w:r w:rsidRPr="006A21F9">
        <w:rPr>
          <w:lang w:val="ru-RU"/>
        </w:rPr>
        <w:t>）单纯的信仰。但当这种信仰因对祂的降生、受难与复活的信德而得以充实时，圣礼的圆满便被赐予，洗礼的印记如同信仰的外衣——这信仰此前是赤裸的，若无其律法便毫无力量。 如今，洗礼（浸礼）的律法已赐下，形式也已规定：主说：</w:t>
      </w:r>
      <w:r w:rsidRPr="006A21F9">
        <w:rPr>
          <w:i/>
          <w:iCs/>
          <w:lang w:val="ru-RU"/>
        </w:rPr>
        <w:t>“你们要去，使万民作我的门徒，奉父、子、圣灵的名给他们施洗</w:t>
      </w:r>
      <w:r w:rsidRPr="006A21F9">
        <w:rPr>
          <w:lang w:val="ru-RU"/>
        </w:rPr>
        <w:t xml:space="preserve">”（太28:19）。 </w:t>
      </w:r>
      <w:r w:rsidRPr="006A21F9">
        <w:rPr>
          <w:lang w:val="ru-RU"/>
        </w:rPr>
        <w:lastRenderedPageBreak/>
        <w:t>针对这一律法所作的定义：</w:t>
      </w:r>
      <w:r w:rsidRPr="006A21F9">
        <w:rPr>
          <w:i/>
          <w:iCs/>
          <w:lang w:val="ru-RU"/>
        </w:rPr>
        <w:t>“人若不是从水和圣灵生的，就不能进神的国”</w:t>
      </w:r>
      <w:r w:rsidRPr="006A21F9">
        <w:rPr>
          <w:lang w:val="ru-RU"/>
        </w:rPr>
        <w:t>（约3:5），使信仰必须接受洗礼。自那时起，所有信徒都接受洗礼。”</w:t>
      </w:r>
      <w:r>
        <w:rPr>
          <w:rStyle w:val="FootnoteReference"/>
        </w:rPr>
        <w:footnoteReference w:id="878"/>
      </w:r>
    </w:p>
    <w:p w14:paraId="74908644" w14:textId="77777777" w:rsidR="00BE1885" w:rsidRPr="006A21F9" w:rsidRDefault="00BE1885" w:rsidP="00BE1885">
      <w:pPr>
        <w:rPr>
          <w:lang w:val="ru-RU"/>
        </w:rPr>
      </w:pPr>
      <w:r w:rsidRPr="006A21F9">
        <w:rPr>
          <w:lang w:val="ru-RU"/>
        </w:rPr>
        <w:tab/>
        <w:t>大圣巴西尔：“约翰宣讲悔改的洗礼；整个犹太地都出来见他。 主宣讲的是成为儿女的洗礼；凡将希望寄托于祂的人，岂有不顺服的呢？前者是预备性的洗礼，后者是成全性的洗礼；前者是远离罪恶，后者则是归属于上帝。”</w:t>
      </w:r>
      <w:r>
        <w:rPr>
          <w:rStyle w:val="FootnoteReference"/>
        </w:rPr>
        <w:footnoteReference w:id="879"/>
      </w:r>
    </w:p>
    <w:p w14:paraId="677BD7B6" w14:textId="77777777" w:rsidR="00BE1885" w:rsidRPr="006A21F9" w:rsidRDefault="00BE1885" w:rsidP="00BE1885">
      <w:pPr>
        <w:rPr>
          <w:lang w:val="ru-RU"/>
        </w:rPr>
      </w:pPr>
      <w:r w:rsidRPr="006A21F9">
        <w:rPr>
          <w:lang w:val="ru-RU"/>
        </w:rPr>
        <w:tab/>
        <w:t>圣格里高利·神学家：“摩西施行了洗礼；但在水中；而在那之前，</w:t>
      </w:r>
      <w:r w:rsidRPr="006A21F9">
        <w:rPr>
          <w:i/>
          <w:iCs/>
          <w:lang w:val="ru-RU"/>
        </w:rPr>
        <w:t>是在云中与海中</w:t>
      </w:r>
      <w:r w:rsidRPr="006A21F9">
        <w:rPr>
          <w:lang w:val="ru-RU"/>
        </w:rPr>
        <w:t>（林前10:2）；这具有预表的意义，正如保罗所理解的那样。 海预表了水，云预表了圣灵，吗哪预表了生命之粮，饮品预表了神圣的饮品。 约翰也施洗，但已不再是按犹太人的方式，因为他不仅用水，而且是为了悔改（马太福音 3:11）；然而，这还不是完全属灵的，因为他没有加上‘并圣灵’。耶稣也施洗，但用圣灵：这才是完全的。”</w:t>
      </w:r>
      <w:r>
        <w:rPr>
          <w:rStyle w:val="FootnoteReference"/>
        </w:rPr>
        <w:footnoteReference w:id="880"/>
      </w:r>
    </w:p>
    <w:p w14:paraId="150F4872" w14:textId="77777777" w:rsidR="00BE1885" w:rsidRPr="006A21F9" w:rsidRDefault="00BE1885" w:rsidP="00BE1885">
      <w:pPr>
        <w:rPr>
          <w:lang w:val="ru-RU"/>
        </w:rPr>
      </w:pPr>
      <w:r w:rsidRPr="006A21F9">
        <w:rPr>
          <w:lang w:val="ru-RU"/>
        </w:rPr>
        <w:tab/>
        <w:t>圣约翰·金口：“你或许会问：为什么主没有亲自施洗呢？约翰此前曾说过：</w:t>
      </w:r>
      <w:r w:rsidRPr="006A21F9">
        <w:rPr>
          <w:i/>
          <w:iCs/>
          <w:lang w:val="ru-RU"/>
        </w:rPr>
        <w:t>‘他要用圣灵与火给你们施洗</w:t>
      </w:r>
      <w:r w:rsidRPr="006A21F9">
        <w:rPr>
          <w:lang w:val="ru-RU"/>
        </w:rPr>
        <w:t>’（马太福音3:11）。但那时他尚未赐下圣灵，因此没有亲自施洗。 当时只有门徒们施洗，是为了吸引更多人归向救赎的教义……若有人问：基督的门徒在施洗约翰之前所行的洗礼，有何不同？我们会说：毫无不同。因为若没有圣灵的恩典，这两种洗礼都是一样的，而双方施洗的动机也相同——都是为了将受洗者引向基督。”</w:t>
      </w:r>
      <w:r>
        <w:rPr>
          <w:rStyle w:val="FootnoteReference"/>
        </w:rPr>
        <w:footnoteReference w:id="881"/>
      </w:r>
      <w:r w:rsidRPr="006A21F9">
        <w:rPr>
          <w:lang w:val="ru-RU"/>
        </w:rPr>
        <w:t xml:space="preserve"> “复活节的情况如何，洗礼也是如此。因为正如耶稣基督完成了那两个复活节——废除了一个，开启了另一个——同样，在这里，祂完成了犹太人的洗礼，为新约教会的洗礼敞开了大门。 正如在那个晚宴上所发生的那样，在这里同一条河流中——祂既预示了影子，也显明了真理。因为唯有这洗礼才拥有圣灵的恩典；而约翰的洗礼却没有这恩赐。 正因如此，在为其他人施洗时并未发生类似之事；这事唯独发生在那位将要赐下此恩赐的主身上，为要让你除了上述所言之外，还明白：促成此事的不在于受洗者的洁净，而在于施洗者的能力。那时，天开了，圣灵降临。”</w:t>
      </w:r>
      <w:r>
        <w:rPr>
          <w:rStyle w:val="FootnoteReference"/>
        </w:rPr>
        <w:footnoteReference w:id="882"/>
      </w:r>
    </w:p>
    <w:p w14:paraId="065B0367" w14:textId="77777777" w:rsidR="00BE1885" w:rsidRPr="006A21F9" w:rsidRDefault="00BE1885" w:rsidP="00BE1885">
      <w:pPr>
        <w:rPr>
          <w:lang w:val="ru-RU"/>
        </w:rPr>
      </w:pPr>
      <w:r w:rsidRPr="006A21F9">
        <w:rPr>
          <w:lang w:val="ru-RU"/>
        </w:rPr>
        <w:tab/>
        <w:t>亚历山大的圣西里尔：“正如摩西的律法对某些人而言是未来福分和属灵敬拜的预备，其中蕴含着隐秘的真理；同样，约翰的洗礼相对于基督的洗礼，也蕴含着预备的力量。”</w:t>
      </w:r>
      <w:r>
        <w:rPr>
          <w:rStyle w:val="FootnoteReference"/>
        </w:rPr>
        <w:footnoteReference w:id="883"/>
      </w:r>
    </w:p>
    <w:p w14:paraId="6C9E2C8E" w14:textId="77777777" w:rsidR="00BE1885" w:rsidRPr="006A21F9" w:rsidRDefault="00BE1885" w:rsidP="00BE1885">
      <w:pPr>
        <w:rPr>
          <w:lang w:val="ru-RU"/>
        </w:rPr>
      </w:pPr>
      <w:r w:rsidRPr="006A21F9">
        <w:rPr>
          <w:lang w:val="ru-RU"/>
        </w:rPr>
        <w:lastRenderedPageBreak/>
        <w:tab/>
        <w:t>以下圣人亦阐述了同样的教义：圣耶路撒冷的西里尔，</w:t>
      </w:r>
      <w:r>
        <w:rPr>
          <w:rStyle w:val="FootnoteReference"/>
        </w:rPr>
        <w:footnoteReference w:id="884"/>
      </w:r>
      <w:r w:rsidRPr="006A21F9">
        <w:rPr>
          <w:lang w:val="ru-RU"/>
        </w:rPr>
        <w:t xml:space="preserve"> ；圣亚他那修，</w:t>
      </w:r>
      <w:r>
        <w:rPr>
          <w:rStyle w:val="FootnoteReference"/>
        </w:rPr>
        <w:footnoteReference w:id="885"/>
      </w:r>
      <w:r w:rsidRPr="006A21F9">
        <w:rPr>
          <w:lang w:val="ru-RU"/>
        </w:rPr>
        <w:t xml:space="preserve"> ；福者奥古斯丁，</w:t>
      </w:r>
      <w:r>
        <w:rPr>
          <w:rStyle w:val="FootnoteReference"/>
        </w:rPr>
        <w:footnoteReference w:id="886"/>
      </w:r>
      <w:r w:rsidRPr="006A21F9">
        <w:rPr>
          <w:lang w:val="ru-RU"/>
        </w:rPr>
        <w:t xml:space="preserve"> ；福者杰罗姆，</w:t>
      </w:r>
      <w:r>
        <w:rPr>
          <w:rStyle w:val="FootnoteReference"/>
        </w:rPr>
        <w:footnoteReference w:id="887"/>
      </w:r>
      <w:r w:rsidRPr="006A21F9">
        <w:rPr>
          <w:lang w:val="ru-RU"/>
        </w:rPr>
        <w:t xml:space="preserve"> ；圣约翰·达马斯库斯等人。</w:t>
      </w:r>
      <w:r>
        <w:rPr>
          <w:rStyle w:val="FootnoteReference"/>
        </w:rPr>
        <w:footnoteReference w:id="888"/>
      </w:r>
    </w:p>
    <w:p w14:paraId="0B202EE3" w14:textId="77777777" w:rsidR="00BE1885" w:rsidRPr="006A21F9" w:rsidRDefault="00BE1885" w:rsidP="00BE1885">
      <w:pPr>
        <w:rPr>
          <w:lang w:val="ru-RU"/>
        </w:rPr>
      </w:pPr>
      <w:r w:rsidRPr="006A21F9">
        <w:rPr>
          <w:lang w:val="ru-RU"/>
        </w:rPr>
        <w:tab/>
      </w:r>
    </w:p>
    <w:p w14:paraId="6CB37222" w14:textId="77777777" w:rsidR="00BE1885" w:rsidRPr="006A21F9" w:rsidRDefault="00BE1885" w:rsidP="00BE1885">
      <w:pPr>
        <w:pStyle w:val="Heading5"/>
        <w:rPr>
          <w:lang w:val="ru-RU"/>
        </w:rPr>
      </w:pPr>
      <w:bookmarkStart w:id="719" w:name="_Toc133142969"/>
      <w:bookmarkStart w:id="720" w:name="_Toc133166326"/>
      <w:bookmarkStart w:id="721" w:name="_Toc182221536"/>
      <w:bookmarkStart w:id="722" w:name="_Toc238453103"/>
      <w:bookmarkStart w:id="723" w:name="_Toc238453903"/>
      <w:bookmarkStart w:id="724" w:name="_Toc238576563"/>
      <w:r w:rsidRPr="006A21F9">
        <w:rPr>
          <w:bCs/>
          <w:lang w:val="ru-RU"/>
        </w:rPr>
        <w:t>§203.</w:t>
      </w:r>
      <w:r w:rsidRPr="006A21F9">
        <w:rPr>
          <w:lang w:val="ru-RU"/>
        </w:rPr>
        <w:t xml:space="preserve"> 洗礼圣事的可见方面</w:t>
      </w:r>
      <w:bookmarkEnd w:id="719"/>
      <w:bookmarkEnd w:id="720"/>
      <w:bookmarkEnd w:id="721"/>
      <w:bookmarkEnd w:id="722"/>
      <w:bookmarkEnd w:id="723"/>
      <w:bookmarkEnd w:id="724"/>
    </w:p>
    <w:p w14:paraId="3B2E80FB" w14:textId="77777777" w:rsidR="00BE1885" w:rsidRPr="006A21F9" w:rsidRDefault="00BE1885" w:rsidP="00BE1885">
      <w:pPr>
        <w:ind w:firstLine="708"/>
        <w:rPr>
          <w:lang w:val="ru-RU"/>
        </w:rPr>
      </w:pPr>
      <w:r w:rsidRPr="006A21F9">
        <w:rPr>
          <w:lang w:val="ru-RU"/>
        </w:rPr>
        <w:t>洗礼圣事本身的可见部分（该部分连同所有细节</w:t>
      </w:r>
      <w:r w:rsidRPr="006A21F9">
        <w:rPr>
          <w:b/>
          <w:bCs/>
          <w:lang w:val="ru-RU"/>
        </w:rPr>
        <w:t>均在该圣事的</w:t>
      </w:r>
      <w:r w:rsidRPr="006A21F9">
        <w:rPr>
          <w:lang w:val="ru-RU"/>
        </w:rPr>
        <w:t>礼仪程序中有所体现</w:t>
      </w:r>
      <w:r w:rsidRPr="006A21F9">
        <w:rPr>
          <w:b/>
          <w:bCs/>
          <w:lang w:val="ru-RU"/>
        </w:rPr>
        <w:t>）</w:t>
      </w:r>
      <w:r w:rsidRPr="006A21F9">
        <w:rPr>
          <w:lang w:val="ru-RU"/>
        </w:rPr>
        <w:t>包括将受洗者三次浸入水中，并诵念：“上帝的仆人奉圣父、圣子及圣灵之名受洗”（《东正教洗礼教理问答》）。 在此，具体可区分以下三点：</w:t>
      </w:r>
      <w:r w:rsidRPr="006A21F9">
        <w:rPr>
          <w:b/>
          <w:bCs/>
          <w:lang w:val="ru-RU"/>
        </w:rPr>
        <w:t>a)</w:t>
      </w:r>
      <w:r w:rsidRPr="006A21F9">
        <w:rPr>
          <w:lang w:val="ru-RU"/>
        </w:rPr>
        <w:t xml:space="preserve"> 圣礼的物质——水；</w:t>
      </w:r>
      <w:r w:rsidRPr="006A21F9">
        <w:rPr>
          <w:b/>
          <w:bCs/>
          <w:lang w:val="ru-RU"/>
        </w:rPr>
        <w:t>b)</w:t>
      </w:r>
      <w:r w:rsidRPr="006A21F9">
        <w:rPr>
          <w:lang w:val="ru-RU"/>
        </w:rPr>
        <w:t xml:space="preserve"> 施行圣礼时的动作——受洗者三次浸入水中；以及 </w:t>
      </w:r>
      <w:r w:rsidRPr="006A21F9">
        <w:rPr>
          <w:b/>
          <w:bCs/>
          <w:lang w:val="ru-RU"/>
        </w:rPr>
        <w:t>c)</w:t>
      </w:r>
      <w:r w:rsidRPr="006A21F9">
        <w:rPr>
          <w:lang w:val="ru-RU"/>
        </w:rPr>
        <w:t xml:space="preserve"> 该动作进行时所诵念的词句。</w:t>
      </w:r>
    </w:p>
    <w:p w14:paraId="0216F621" w14:textId="77777777" w:rsidR="00BE1885" w:rsidRPr="006A21F9" w:rsidRDefault="00BE1885" w:rsidP="00BE1885">
      <w:pPr>
        <w:ind w:firstLine="708"/>
        <w:rPr>
          <w:lang w:val="ru-RU"/>
        </w:rPr>
      </w:pPr>
      <w:r w:rsidRPr="006A21F9">
        <w:rPr>
          <w:b/>
          <w:bCs/>
          <w:lang w:val="ru-RU"/>
        </w:rPr>
        <w:t>1)</w:t>
      </w:r>
      <w:r w:rsidRPr="006A21F9">
        <w:rPr>
          <w:lang w:val="ru-RU"/>
        </w:rPr>
        <w:t xml:space="preserve"> 洗礼圣事的物质必须是纯净、天然的水（《正统信条》第1卷，对第103个问题的回答）。因为救主亲自用以下话语指明了洗礼所用的物质：</w:t>
      </w:r>
      <w:r w:rsidRPr="006A21F9">
        <w:rPr>
          <w:i/>
          <w:iCs/>
          <w:lang w:val="ru-RU"/>
        </w:rPr>
        <w:t>“人若不是从水和圣灵生的，就不能进神的</w:t>
      </w:r>
      <w:r w:rsidRPr="006A21F9">
        <w:rPr>
          <w:lang w:val="ru-RU"/>
        </w:rPr>
        <w:t>国”（约翰福音3:5）。 圣使徒们曾在水中施行洗礼：《使徒行传》记载，圣腓力与太监行路时，</w:t>
      </w:r>
      <w:r w:rsidRPr="006A21F9">
        <w:rPr>
          <w:i/>
          <w:iCs/>
          <w:lang w:val="ru-RU"/>
        </w:rPr>
        <w:t>来到一处有水的地方；太监说：“看哪，有水；有什么能阻止我受洗呢？” ……于是他吩咐停下马车，腓力与太监二人一同下到水中，腓力就给他施洗</w:t>
      </w:r>
      <w:r w:rsidRPr="006A21F9">
        <w:rPr>
          <w:lang w:val="ru-RU"/>
        </w:rPr>
        <w:t>（使徒行传 8:36-38）。 同样，当圣彼得看到聆听他讲道的外邦人身上突然降下圣灵时，便说：</w:t>
      </w:r>
      <w:r w:rsidRPr="006A21F9">
        <w:rPr>
          <w:i/>
          <w:iCs/>
          <w:lang w:val="ru-RU"/>
        </w:rPr>
        <w:t>“谁能禁止这些与我们一样领受了圣灵的人受水洗呢？”于是他吩咐他们奉耶稣基督的名受洗</w:t>
      </w:r>
      <w:r w:rsidRPr="006A21F9">
        <w:rPr>
          <w:lang w:val="ru-RU"/>
        </w:rPr>
        <w:t>（使徒行传10:47-48）。 圣教会也一直以水施洗</w:t>
      </w:r>
      <w:r w:rsidRPr="0097554A">
        <w:rPr>
          <w:lang w:val="ru-RU"/>
        </w:rPr>
        <w:t>，</w:t>
      </w:r>
      <w:r w:rsidRPr="001E4083">
        <w:t>这从其</w:t>
      </w:r>
      <w:r w:rsidRPr="006A21F9">
        <w:rPr>
          <w:lang w:val="ru-RU"/>
        </w:rPr>
        <w:t>牧者与教师无数的见证中可见一斑，例如：</w:t>
      </w:r>
      <w:r w:rsidRPr="006A21F9">
        <w:rPr>
          <w:b/>
          <w:bCs/>
          <w:lang w:val="ru-RU"/>
        </w:rPr>
        <w:t>a)</w:t>
      </w:r>
      <w:r w:rsidRPr="006A21F9">
        <w:rPr>
          <w:lang w:val="ru-RU"/>
        </w:rPr>
        <w:t xml:space="preserve"> 圣尤斯蒂娜： “凡确信并相信我们的教义和话语是真实的，且承诺能以此方式生活的人，我们便教导他们：要通过祈祷和斋戒，向神求赦免以往的罪过；我们与他们一同祈祷并斋戒； 随后，我们带领他们前往有水之处，在那里以我们自己重生时的方式使他们重生，即以万有的父、主上帝、我们的救主耶稣基督及圣灵之名，用水为他们施洗；”</w:t>
      </w:r>
      <w:r>
        <w:rPr>
          <w:rStyle w:val="FootnoteReference"/>
        </w:rPr>
        <w:footnoteReference w:id="889"/>
      </w:r>
      <w:r w:rsidRPr="006A21F9">
        <w:rPr>
          <w:lang w:val="ru-RU"/>
        </w:rPr>
        <w:t xml:space="preserve"> </w:t>
      </w:r>
      <w:r w:rsidRPr="006A21F9">
        <w:rPr>
          <w:b/>
          <w:bCs/>
          <w:lang w:val="ru-RU"/>
        </w:rPr>
        <w:t>b)</w:t>
      </w:r>
      <w:r w:rsidRPr="006A21F9">
        <w:rPr>
          <w:lang w:val="ru-RU"/>
        </w:rPr>
        <w:t xml:space="preserve"> 耶路撒冷的圣西里尔： “既然人由两部分组成，即灵魂与身体； 因此，洁净也是双重的：无形之物以无形的方式洁净，有形之物则以有形的方式洁净：水洁净身体，圣灵则在灵魂上盖上印记，使我们能以被圣水洒过的心，以及被纯净之水洗净的身体，亲近上帝；”</w:t>
      </w:r>
      <w:r>
        <w:rPr>
          <w:rStyle w:val="FootnoteReference"/>
        </w:rPr>
        <w:footnoteReference w:id="890"/>
      </w:r>
      <w:r w:rsidRPr="006A21F9">
        <w:rPr>
          <w:lang w:val="ru-RU"/>
        </w:rPr>
        <w:t xml:space="preserve"> </w:t>
      </w:r>
      <w:r w:rsidRPr="006A21F9">
        <w:rPr>
          <w:b/>
          <w:bCs/>
          <w:lang w:val="ru-RU"/>
        </w:rPr>
        <w:t>c)</w:t>
      </w:r>
      <w:r w:rsidRPr="006A21F9">
        <w:rPr>
          <w:lang w:val="ru-RU"/>
        </w:rPr>
        <w:t xml:space="preserve"> 圣格里高利·神学家： “既然我们由两种本性组成，即灵魂与身体，可见与不可见之本性；因此，洁净也是双重的，即：用水和圣灵；其中一种以可见且属肉体的方式接受，而另一种则在同一时刻以无形且不可见的方式完成； 一种是象征性的，另一种则是真实的，能净化灵魂的最深处；”</w:t>
      </w:r>
      <w:r>
        <w:rPr>
          <w:rStyle w:val="FootnoteReference"/>
        </w:rPr>
        <w:footnoteReference w:id="891"/>
      </w:r>
      <w:r w:rsidRPr="006A21F9">
        <w:rPr>
          <w:lang w:val="ru-RU"/>
        </w:rPr>
        <w:t xml:space="preserve"> </w:t>
      </w:r>
      <w:r w:rsidRPr="006A21F9">
        <w:rPr>
          <w:b/>
          <w:bCs/>
          <w:lang w:val="ru-RU"/>
        </w:rPr>
        <w:t>d)</w:t>
      </w:r>
      <w:r w:rsidRPr="006A21F9">
        <w:rPr>
          <w:lang w:val="ru-RU"/>
        </w:rPr>
        <w:t xml:space="preserve"> 圣巴西尔大帝：“既然洗礼有两个目的，一是消灭罪恶的肉体，使其不再结出死亡的果实；二是借圣灵</w:t>
      </w:r>
      <w:r w:rsidRPr="006A21F9">
        <w:rPr>
          <w:lang w:val="ru-RU"/>
        </w:rPr>
        <w:lastRenderedPageBreak/>
        <w:t>复活，并在圣洁中结出果实； 因此，水象征着死亡，仿佛将身体收进棺材一般；而圣灵则赋予生命之力，使我们的灵魂从罪恶的死寂中焕发新生，回归最初的生命；”</w:t>
      </w:r>
      <w:r>
        <w:rPr>
          <w:rStyle w:val="FootnoteReference"/>
        </w:rPr>
        <w:footnoteReference w:id="892"/>
      </w:r>
      <w:r w:rsidRPr="006A21F9">
        <w:rPr>
          <w:lang w:val="ru-RU"/>
        </w:rPr>
        <w:t xml:space="preserve"> </w:t>
      </w:r>
      <w:r w:rsidRPr="006A21F9">
        <w:rPr>
          <w:b/>
          <w:bCs/>
          <w:lang w:val="ru-RU"/>
        </w:rPr>
        <w:t>(e)</w:t>
      </w:r>
      <w:r w:rsidRPr="006A21F9">
        <w:rPr>
          <w:lang w:val="ru-RU"/>
        </w:rPr>
        <w:t xml:space="preserve"> 圣奥古斯丁：“何谓基督的洗礼？ 那是在诵念圣言（</w:t>
      </w:r>
      <w:r w:rsidRPr="001E4083">
        <w:t>in</w:t>
      </w:r>
      <w:r w:rsidRPr="0097554A">
        <w:rPr>
          <w:lang w:val="ru-RU"/>
        </w:rPr>
        <w:t xml:space="preserve"> </w:t>
      </w:r>
      <w:r w:rsidRPr="001E4083">
        <w:t>verbo</w:t>
      </w:r>
      <w:r w:rsidRPr="006A21F9">
        <w:rPr>
          <w:lang w:val="ru-RU"/>
        </w:rPr>
        <w:t>）时的水池；若无水，便无洗礼；若无圣言，便无洗礼；”</w:t>
      </w:r>
      <w:r>
        <w:rPr>
          <w:rStyle w:val="FootnoteReference"/>
        </w:rPr>
        <w:footnoteReference w:id="893"/>
      </w:r>
      <w:r w:rsidRPr="006A21F9">
        <w:rPr>
          <w:lang w:val="ru-RU"/>
        </w:rPr>
        <w:t xml:space="preserve"> </w:t>
      </w:r>
      <w:r w:rsidRPr="006A21F9">
        <w:rPr>
          <w:b/>
          <w:bCs/>
          <w:lang w:val="ru-RU"/>
        </w:rPr>
        <w:t>e)</w:t>
      </w:r>
      <w:r w:rsidRPr="006A21F9">
        <w:rPr>
          <w:lang w:val="ru-RU"/>
        </w:rPr>
        <w:t xml:space="preserve"> 圣约翰·达马斯库斯（ ）：“祂（主）吩咐我们，在圣灵降临于水之上、经由祈祷与呼求之时，藉着水与圣灵重生。 因为人由灵魂和身体两部分组成；因此，主也赐予我们双重的洁净，即水与圣灵。藉着圣灵，是为了在我们里面更新（神的）形象和样式；藉着水，是为了藉着圣灵的恩典，使身体脱离罪恶，并免于朽坏。 这里的水象征着死亡，而圣灵则赐予生命的保证。”</w:t>
      </w:r>
      <w:r>
        <w:rPr>
          <w:rStyle w:val="FootnoteReference"/>
        </w:rPr>
        <w:footnoteReference w:id="894"/>
      </w:r>
      <w:r w:rsidRPr="006A21F9">
        <w:rPr>
          <w:lang w:val="ru-RU"/>
        </w:rPr>
        <w:t xml:space="preserve"> 因此，那些否认洗礼圣礼中存在任何物质的人，</w:t>
      </w:r>
      <w:r>
        <w:rPr>
          <w:rStyle w:val="FootnoteReference"/>
        </w:rPr>
        <w:footnoteReference w:id="895"/>
      </w:r>
      <w:r w:rsidRPr="006A21F9">
        <w:rPr>
          <w:lang w:val="ru-RU"/>
        </w:rPr>
        <w:t xml:space="preserve"> 以及那些追随路德、认为不仅水，而且任何液体都可作为洗礼有效物质的人，都是完全不公正的。</w:t>
      </w:r>
      <w:r>
        <w:rPr>
          <w:rStyle w:val="FootnoteReference"/>
        </w:rPr>
        <w:footnoteReference w:id="896"/>
      </w:r>
    </w:p>
    <w:p w14:paraId="45ECF467" w14:textId="77777777" w:rsidR="00BE1885" w:rsidRPr="006A21F9" w:rsidRDefault="00BE1885" w:rsidP="00BE1885">
      <w:pPr>
        <w:ind w:firstLine="708"/>
        <w:rPr>
          <w:lang w:val="ru-RU"/>
        </w:rPr>
      </w:pPr>
      <w:r w:rsidRPr="006A21F9">
        <w:rPr>
          <w:b/>
          <w:bCs/>
          <w:lang w:val="ru-RU"/>
        </w:rPr>
        <w:t>2)</w:t>
      </w:r>
      <w:r w:rsidRPr="006A21F9">
        <w:rPr>
          <w:lang w:val="ru-RU"/>
        </w:rPr>
        <w:t xml:space="preserve"> 洗礼必须通过将受洗者三次浸入水中来施行。三次浸入： 根据圣使徒的规条</w:t>
      </w:r>
      <w:r>
        <w:rPr>
          <w:rStyle w:val="FootnoteReference"/>
        </w:rPr>
        <w:footnoteReference w:id="897"/>
      </w:r>
      <w:r w:rsidRPr="006A21F9">
        <w:rPr>
          <w:lang w:val="ru-RU"/>
        </w:rPr>
        <w:t xml:space="preserve"> 以及早期教会导师的教导——奉至圣三位一体的三位格之名，</w:t>
      </w:r>
      <w:r>
        <w:rPr>
          <w:rStyle w:val="FootnoteReference"/>
        </w:rPr>
        <w:footnoteReference w:id="898"/>
      </w:r>
      <w:r w:rsidRPr="006A21F9">
        <w:rPr>
          <w:lang w:val="ru-RU"/>
        </w:rPr>
        <w:t xml:space="preserve"> 同时也为了纪念主耶稣基督的受难、埋葬与复活，</w:t>
      </w:r>
      <w:r>
        <w:rPr>
          <w:rStyle w:val="FootnoteReference"/>
        </w:rPr>
        <w:footnoteReference w:id="899"/>
      </w:r>
      <w:r w:rsidRPr="006A21F9">
        <w:rPr>
          <w:lang w:val="ru-RU"/>
        </w:rPr>
        <w:t xml:space="preserve"> ——因此，教会不承认欧诺米安派及其他异端分子仅以一次浸入水中的方式所施行的洗礼为有效。</w:t>
      </w:r>
      <w:r>
        <w:rPr>
          <w:rStyle w:val="FootnoteReference"/>
        </w:rPr>
        <w:footnoteReference w:id="900"/>
      </w:r>
      <w:r w:rsidRPr="006A21F9">
        <w:rPr>
          <w:lang w:val="ru-RU"/>
        </w:rPr>
        <w:t xml:space="preserve"> ——通过浸没：因为</w:t>
      </w:r>
      <w:r w:rsidRPr="006A21F9">
        <w:rPr>
          <w:b/>
          <w:bCs/>
          <w:lang w:val="ru-RU"/>
        </w:rPr>
        <w:t>——a)</w:t>
      </w:r>
      <w:r w:rsidRPr="006A21F9">
        <w:rPr>
          <w:lang w:val="ru-RU"/>
        </w:rPr>
        <w:t xml:space="preserve"> 基督自己就是由约翰通过浸没受洗的 [(太 3:16)；参见 (可 1:5)；(约 3:23)]；</w:t>
      </w:r>
      <w:r w:rsidRPr="006A21F9">
        <w:rPr>
          <w:b/>
          <w:bCs/>
          <w:lang w:val="ru-RU"/>
        </w:rPr>
        <w:t>b)</w:t>
      </w:r>
      <w:r w:rsidRPr="006A21F9">
        <w:rPr>
          <w:lang w:val="ru-RU"/>
        </w:rPr>
        <w:t xml:space="preserve"> 圣使徒们也是通过浸没施洗的 (徒 8:37-38)； </w:t>
      </w:r>
      <w:r w:rsidRPr="006A21F9">
        <w:rPr>
          <w:b/>
          <w:bCs/>
          <w:lang w:val="ru-RU"/>
        </w:rPr>
        <w:t>c)</w:t>
      </w:r>
      <w:r w:rsidRPr="006A21F9">
        <w:rPr>
          <w:lang w:val="ru-RU"/>
        </w:rPr>
        <w:t xml:space="preserve"> 洗礼在圣经中被描绘为大洪水的确切预表（</w:t>
      </w:r>
      <w:r w:rsidRPr="001E4083">
        <w:t>άντιτυπον</w:t>
      </w:r>
      <w:r w:rsidRPr="006A21F9">
        <w:rPr>
          <w:lang w:val="ru-RU"/>
        </w:rPr>
        <w:t xml:space="preserve">），正如圣彼得所言，如今洗礼也拯救了我们（彼得前书 3:19-21）；它如同水浴，主借此洁净我们 [(以弗所书 5:26)； （提多书 3:5）]，又仿佛是一口棺材，我们在其中与基督同埋于死中 [(罗马书 6:4)；同上 (歌罗西书 2:12)]：所有这些称谓，只有当圣礼通过浸没的方式施行时，才与之相符。 </w:t>
      </w:r>
      <w:r w:rsidRPr="006A21F9">
        <w:rPr>
          <w:b/>
          <w:bCs/>
          <w:lang w:val="ru-RU"/>
        </w:rPr>
        <w:t>最后——d)</w:t>
      </w:r>
      <w:r w:rsidRPr="006A21F9">
        <w:rPr>
          <w:lang w:val="ru-RU"/>
        </w:rPr>
        <w:t xml:space="preserve"> 通过浸礼，甚至连持不同意见者自己也承认，</w:t>
      </w:r>
      <w:r>
        <w:rPr>
          <w:rStyle w:val="FootnoteReference"/>
        </w:rPr>
        <w:footnoteReference w:id="901"/>
      </w:r>
      <w:r w:rsidRPr="006A21F9">
        <w:rPr>
          <w:lang w:val="ru-RU"/>
        </w:rPr>
        <w:t xml:space="preserve"> </w:t>
      </w:r>
      <w:r w:rsidRPr="006A21F9">
        <w:rPr>
          <w:lang w:val="ru-RU"/>
        </w:rPr>
        <w:lastRenderedPageBreak/>
        <w:t>，这一圣礼在古代教会中正是如此举行的，这一点得到了以下圣人的无可置疑的见证：圣狄奥尼修斯·阿雷奥帕吉特，</w:t>
      </w:r>
      <w:r>
        <w:rPr>
          <w:rStyle w:val="FootnoteReference"/>
        </w:rPr>
        <w:footnoteReference w:id="902"/>
      </w:r>
      <w:r w:rsidRPr="006A21F9">
        <w:rPr>
          <w:lang w:val="ru-RU"/>
        </w:rPr>
        <w:t xml:space="preserve"> 特土良，</w:t>
      </w:r>
      <w:r>
        <w:rPr>
          <w:rStyle w:val="FootnoteReference"/>
        </w:rPr>
        <w:footnoteReference w:id="903"/>
      </w:r>
      <w:r w:rsidRPr="006A21F9">
        <w:rPr>
          <w:lang w:val="ru-RU"/>
        </w:rPr>
        <w:t xml:space="preserve"> 圣大巴西勒，</w:t>
      </w:r>
      <w:r>
        <w:rPr>
          <w:rStyle w:val="FootnoteReference"/>
        </w:rPr>
        <w:footnoteReference w:id="904"/>
      </w:r>
      <w:r w:rsidRPr="006A21F9">
        <w:rPr>
          <w:lang w:val="ru-RU"/>
        </w:rPr>
        <w:t xml:space="preserve"> 圣格里高利·尼西亚等人。</w:t>
      </w:r>
      <w:r>
        <w:rPr>
          <w:rStyle w:val="FootnoteReference"/>
        </w:rPr>
        <w:footnoteReference w:id="905"/>
      </w:r>
    </w:p>
    <w:p w14:paraId="2E68F7E7" w14:textId="77777777" w:rsidR="00BE1885" w:rsidRPr="006A21F9" w:rsidRDefault="00BE1885" w:rsidP="00BE1885">
      <w:pPr>
        <w:rPr>
          <w:lang w:val="ru-RU"/>
        </w:rPr>
      </w:pPr>
      <w:r w:rsidRPr="006A21F9">
        <w:rPr>
          <w:lang w:val="ru-RU"/>
        </w:rPr>
        <w:tab/>
        <w:t>至于洒水和浇水，正如当今西方教会通常所行的洗礼仪式那样： 在古代，这种施行圣礼的方式仅被视为规则的例外，仅在极端情况下才被允许，主要针对那些卧床不起的重病患者（即所谓的“病床受洗者”，源自</w:t>
      </w:r>
      <w:r w:rsidRPr="001E4083">
        <w:t>希腊语κλίνη</w:t>
      </w:r>
      <w:r w:rsidRPr="006A21F9">
        <w:rPr>
          <w:lang w:val="ru-RU"/>
        </w:rPr>
        <w:t>——意为“病床”），因为他们无法通过浸礼的方式受洗。</w:t>
      </w:r>
      <w:r>
        <w:rPr>
          <w:rStyle w:val="FootnoteReference"/>
        </w:rPr>
        <w:footnoteReference w:id="906"/>
      </w:r>
      <w:r w:rsidRPr="006A21F9">
        <w:rPr>
          <w:lang w:val="ru-RU"/>
        </w:rPr>
        <w:t xml:space="preserve"> 值得注意的是，即便在第三世纪，这种施洗方式仍遭到某些人的质疑，因此圣基普里安为了消除疑虑，特意写道：即使采用这种方式施行，洗礼圣事也不会失去其效力。</w:t>
      </w:r>
      <w:r>
        <w:rPr>
          <w:rStyle w:val="FootnoteReference"/>
        </w:rPr>
        <w:footnoteReference w:id="907"/>
      </w:r>
      <w:r w:rsidRPr="006A21F9">
        <w:rPr>
          <w:lang w:val="ru-RU"/>
        </w:rPr>
        <w:t xml:space="preserve"> 正因如此，东正教会至今虽 也允许在施行洗礼时采用浇水或洒水的方式——因其并不削弱圣事的效力，</w:t>
      </w:r>
      <w:r>
        <w:rPr>
          <w:rStyle w:val="FootnoteReference"/>
        </w:rPr>
        <w:footnoteReference w:id="908"/>
      </w:r>
      <w:r w:rsidRPr="006A21F9">
        <w:rPr>
          <w:lang w:val="ru-RU"/>
        </w:rPr>
        <w:t xml:space="preserve"> ——但仅在极端情况下才予以允许，作为一般规则的例外。</w:t>
      </w:r>
    </w:p>
    <w:p w14:paraId="0BFB134A" w14:textId="77777777" w:rsidR="00BE1885" w:rsidRPr="006A21F9" w:rsidRDefault="00BE1885" w:rsidP="00BE1885">
      <w:pPr>
        <w:ind w:firstLine="708"/>
        <w:rPr>
          <w:lang w:val="ru-RU"/>
        </w:rPr>
      </w:pPr>
      <w:r w:rsidRPr="006A21F9">
        <w:rPr>
          <w:b/>
          <w:bCs/>
          <w:lang w:val="ru-RU"/>
        </w:rPr>
        <w:t>3)</w:t>
      </w:r>
      <w:r w:rsidRPr="006A21F9">
        <w:rPr>
          <w:lang w:val="ru-RU"/>
        </w:rPr>
        <w:t xml:space="preserve"> 洗礼必须奉至圣三一之名施行，并诵念如下话语：“上帝的仆人……奉圣父、圣子及圣灵之名受洗。”因为主救主亲自吩咐，要奉圣父、圣子及圣灵之名给万民施洗（玛28:19）。 正因这一诫命如此清晰明确，圣教会自其创立之初便始终以此方式施行洗礼，从未改变。 以下内容对此予以佐证：</w:t>
      </w:r>
      <w:r w:rsidRPr="006A21F9">
        <w:rPr>
          <w:b/>
          <w:bCs/>
          <w:lang w:val="ru-RU"/>
        </w:rPr>
        <w:t xml:space="preserve">a) </w:t>
      </w:r>
      <w:r w:rsidRPr="006A21F9">
        <w:rPr>
          <w:lang w:val="ru-RU"/>
        </w:rPr>
        <w:t>《使徒规条》：“若有人——无论是主教还是长老——不按主的设立，不奉圣父、圣子及圣灵之名施洗，当被逐出”（第49条）；</w:t>
      </w:r>
      <w:r w:rsidRPr="006A21F9">
        <w:rPr>
          <w:b/>
          <w:bCs/>
          <w:lang w:val="ru-RU"/>
        </w:rPr>
        <w:t>b)</w:t>
      </w:r>
      <w:r w:rsidRPr="006A21F9">
        <w:rPr>
          <w:lang w:val="ru-RU"/>
        </w:rPr>
        <w:t xml:space="preserve"> 圣殉道者尤斯丁和特土良，我们已在上文引用过他们的言论；</w:t>
      </w:r>
      <w:r>
        <w:rPr>
          <w:rStyle w:val="FootnoteReference"/>
        </w:rPr>
        <w:footnoteReference w:id="909"/>
      </w:r>
      <w:r w:rsidRPr="006A21F9">
        <w:rPr>
          <w:lang w:val="ru-RU"/>
        </w:rPr>
        <w:t xml:space="preserve"> </w:t>
      </w:r>
      <w:r w:rsidRPr="006A21F9">
        <w:rPr>
          <w:b/>
          <w:bCs/>
          <w:lang w:val="ru-RU"/>
        </w:rPr>
        <w:t>c)</w:t>
      </w:r>
      <w:r w:rsidRPr="006A21F9">
        <w:rPr>
          <w:lang w:val="ru-RU"/>
        </w:rPr>
        <w:t xml:space="preserve"> 奥利金：“救赎性的洗礼必须仅以至高圣三（</w:t>
      </w:r>
      <w:r w:rsidRPr="001E4083">
        <w:t>auctoritate</w:t>
      </w:r>
      <w:r w:rsidRPr="006A21F9">
        <w:rPr>
          <w:lang w:val="ru-RU"/>
        </w:rPr>
        <w:t>）的名义施行，即通过呼求 （</w:t>
      </w:r>
      <w:r w:rsidRPr="001E4083">
        <w:t>cognominatione</w:t>
      </w:r>
      <w:r w:rsidRPr="006A21F9">
        <w:rPr>
          <w:lang w:val="ru-RU"/>
        </w:rPr>
        <w:t>）圣父、圣子和圣灵之名；”</w:t>
      </w:r>
      <w:r>
        <w:rPr>
          <w:rStyle w:val="FootnoteReference"/>
        </w:rPr>
        <w:footnoteReference w:id="910"/>
      </w:r>
      <w:r w:rsidRPr="006A21F9">
        <w:rPr>
          <w:lang w:val="ru-RU"/>
        </w:rPr>
        <w:t xml:space="preserve"> </w:t>
      </w:r>
      <w:r w:rsidRPr="006A21F9">
        <w:rPr>
          <w:b/>
          <w:bCs/>
          <w:lang w:val="ru-RU"/>
        </w:rPr>
        <w:t>d)</w:t>
      </w:r>
      <w:r w:rsidRPr="006A21F9">
        <w:rPr>
          <w:lang w:val="ru-RU"/>
        </w:rPr>
        <w:t xml:space="preserve"> 圣基普里安：“基督本人吩咐要以整个圣三的名义一同施洗；”</w:t>
      </w:r>
      <w:r>
        <w:rPr>
          <w:rStyle w:val="FootnoteReference"/>
        </w:rPr>
        <w:footnoteReference w:id="911"/>
      </w:r>
      <w:r w:rsidRPr="006A21F9">
        <w:rPr>
          <w:lang w:val="ru-RU"/>
        </w:rPr>
        <w:t xml:space="preserve"> </w:t>
      </w:r>
      <w:r w:rsidRPr="006A21F9">
        <w:rPr>
          <w:b/>
          <w:bCs/>
          <w:lang w:val="ru-RU"/>
        </w:rPr>
        <w:t>e)</w:t>
      </w:r>
      <w:r w:rsidRPr="006A21F9">
        <w:rPr>
          <w:lang w:val="ru-RU"/>
        </w:rPr>
        <w:t xml:space="preserve"> 圣亚他那修： “凡将任何事物从圣三中分离出来，仅以圣父之名、或仅以圣子之名、或仅以圣父与圣子之名（而不包括圣灵）受洗者，将一无所得……因为成全（</w:t>
      </w:r>
      <w:r w:rsidRPr="001E4083">
        <w:t>τελείωσις</w:t>
      </w:r>
      <w:r w:rsidRPr="006A21F9">
        <w:rPr>
          <w:lang w:val="ru-RU"/>
        </w:rPr>
        <w:t>）在于圣三之中；”</w:t>
      </w:r>
      <w:r>
        <w:rPr>
          <w:rStyle w:val="FootnoteReference"/>
        </w:rPr>
        <w:footnoteReference w:id="912"/>
      </w:r>
      <w:r w:rsidRPr="006A21F9">
        <w:rPr>
          <w:lang w:val="ru-RU"/>
        </w:rPr>
        <w:t xml:space="preserve"> </w:t>
      </w:r>
      <w:r w:rsidRPr="006A21F9">
        <w:rPr>
          <w:b/>
          <w:bCs/>
          <w:lang w:val="ru-RU"/>
        </w:rPr>
        <w:t>e)</w:t>
      </w:r>
      <w:r w:rsidRPr="006A21F9">
        <w:rPr>
          <w:lang w:val="ru-RU"/>
        </w:rPr>
        <w:t xml:space="preserve"> 圣大巴西勒： “信仰与洗礼是两种救赎的方式，彼此相通且不可分割。因为信仰通过洗礼得以实现，而洗礼以信仰为基础，二者皆以同一圣名施行。正如我们信靠圣父、圣子和圣灵，我们也奉圣父、圣子和圣灵之名受洗。 正如引领我们进入救恩的信德告白先行，随后便是洗礼，它以自身印证了我们对这告白的一致认同。”</w:t>
      </w:r>
      <w:r>
        <w:rPr>
          <w:rStyle w:val="FootnoteReference"/>
        </w:rPr>
        <w:lastRenderedPageBreak/>
        <w:footnoteReference w:id="913"/>
      </w:r>
      <w:r w:rsidRPr="006A21F9">
        <w:rPr>
          <w:lang w:val="ru-RU"/>
        </w:rPr>
        <w:t xml:space="preserve"> 同样作此见证的还有：圣格里高利·尼西的、圣安布罗斯、圣西里尔·亚历山大的、</w:t>
      </w:r>
      <w:r>
        <w:rPr>
          <w:rStyle w:val="FootnoteReference"/>
        </w:rPr>
        <w:footnoteReference w:id="914"/>
      </w:r>
      <w:r w:rsidRPr="006A21F9">
        <w:rPr>
          <w:lang w:val="ru-RU"/>
        </w:rPr>
        <w:t xml:space="preserve"> 福者杰罗姆、</w:t>
      </w:r>
      <w:r>
        <w:rPr>
          <w:rStyle w:val="FootnoteReference"/>
        </w:rPr>
        <w:footnoteReference w:id="915"/>
      </w:r>
      <w:r w:rsidRPr="006A21F9">
        <w:rPr>
          <w:lang w:val="ru-RU"/>
        </w:rPr>
        <w:t xml:space="preserve"> 福者奥古斯丁</w:t>
      </w:r>
      <w:r>
        <w:rPr>
          <w:rStyle w:val="FootnoteReference"/>
        </w:rPr>
        <w:footnoteReference w:id="916"/>
      </w:r>
      <w:r w:rsidRPr="006A21F9">
        <w:rPr>
          <w:lang w:val="ru-RU"/>
        </w:rPr>
        <w:t xml:space="preserve"> 以及其他人。</w:t>
      </w:r>
    </w:p>
    <w:p w14:paraId="3A1FC477" w14:textId="77777777" w:rsidR="00BE1885" w:rsidRPr="006A21F9" w:rsidRDefault="00BE1885" w:rsidP="00BE1885">
      <w:pPr>
        <w:rPr>
          <w:lang w:val="ru-RU"/>
        </w:rPr>
      </w:pPr>
      <w:r w:rsidRPr="006A21F9">
        <w:rPr>
          <w:lang w:val="ru-RU"/>
        </w:rPr>
        <w:tab/>
        <w:t>至于圣经中那些提到“在基督里受洗”（林前1:2-13）或“奉耶稣基督的名受洗”（徒2:38；8:16；</w:t>
      </w:r>
      <w:r w:rsidRPr="006A21F9">
        <w:rPr>
          <w:rFonts w:cs="Cambria Math"/>
          <w:lang w:val="ru-RU"/>
        </w:rPr>
        <w:t xml:space="preserve"> </w:t>
      </w:r>
      <w:r w:rsidRPr="006A21F9">
        <w:rPr>
          <w:lang w:val="ru-RU"/>
        </w:rPr>
        <w:t>10:48；19:5），需要指出的是，根据教会教师们的解释，这些经文绝不表明洗礼曾以非圣三一之名施行，或应当如此施行。因为：</w:t>
      </w:r>
    </w:p>
    <w:p w14:paraId="6FC0E71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“奉基督之名受洗”这一表述，仅指按照耶稣基督所设立的洗礼方式受洗，而非约翰式的或其他任何形式的洗礼，而是奉圣三一之名进行的基督教洗礼。 “亚历山大的圣尤洛吉乌斯明确指出：‘以耶稣基督之名受洗’，即指按照耶稣基督的诫命和传统受洗，也就是奉圣父、圣子和圣灵之名受洗。”</w:t>
      </w:r>
      <w:r>
        <w:rPr>
          <w:rStyle w:val="FootnoteReference"/>
        </w:rPr>
        <w:footnoteReference w:id="917"/>
      </w:r>
      <w:r w:rsidRPr="006A21F9">
        <w:rPr>
          <w:lang w:val="ru-RU"/>
        </w:rPr>
        <w:t xml:space="preserve"> 事实上，《使徒行传》中记载，有些人先前接受了约翰的洗礼，但尚未领受圣灵的恩赐；后来，为了得以领受这些恩赐，他们又奉主耶稣的名受了洗（徒19:4-5）——这显然可以理解为： 他们接受的是基督教的洗礼。</w:t>
      </w:r>
    </w:p>
    <w:p w14:paraId="566F343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“奉耶稣基督的名受洗”这一表述不仅没有被否定，相反，它还隐含了圣父和圣灵之名；就至圣三位一体各位格的本质与神性而言，这名字是唯一且不可分割的。 “圣大巴西尔写道：‘切勿因使徒在提及洗礼时，常省略圣父与圣灵之名而受其误导；任何人都不应由此推断，认为无需遵守呼求圣名的礼仪。’ 经上说：</w:t>
      </w:r>
      <w:r w:rsidRPr="006A21F9">
        <w:rPr>
          <w:i/>
          <w:iCs/>
          <w:lang w:val="ru-RU"/>
        </w:rPr>
        <w:t>‘你们受洗归入基督的，就是披戴基督了</w:t>
      </w:r>
      <w:r w:rsidRPr="006A21F9">
        <w:rPr>
          <w:lang w:val="ru-RU"/>
        </w:rPr>
        <w:t>’（加拉太书 3:27）；又说：</w:t>
      </w:r>
      <w:r w:rsidRPr="006A21F9">
        <w:rPr>
          <w:i/>
          <w:iCs/>
          <w:lang w:val="ru-RU"/>
        </w:rPr>
        <w:t>‘我们这受洗归入基督耶稣的，就是受洗归入祂的死</w:t>
      </w:r>
      <w:r w:rsidRPr="006A21F9">
        <w:rPr>
          <w:lang w:val="ru-RU"/>
        </w:rPr>
        <w:t>’（罗马书 6:3）。 这是因为基督之名就是一切的告白；它既指明施膏的上帝，也指明受膏的圣子，还指明那施膏的圣灵——正如彼得在《使徒行传》 中所教导的：</w:t>
      </w:r>
      <w:r w:rsidRPr="006A21F9">
        <w:rPr>
          <w:i/>
          <w:iCs/>
          <w:lang w:val="ru-RU"/>
        </w:rPr>
        <w:t>上帝曾用圣灵和大能膏立拿撒勒人耶稣</w:t>
      </w:r>
      <w:r w:rsidRPr="006A21F9">
        <w:rPr>
          <w:lang w:val="ru-RU"/>
        </w:rPr>
        <w:t>（徒10:38）。</w:t>
      </w:r>
      <w:r>
        <w:rPr>
          <w:rStyle w:val="FootnoteReference"/>
        </w:rPr>
        <w:footnoteReference w:id="918"/>
      </w:r>
      <w:r w:rsidRPr="006A21F9">
        <w:rPr>
          <w:lang w:val="ru-RU"/>
        </w:rPr>
        <w:t xml:space="preserve"> 或者，正如另一位古代教会导师所理解的：“他（圣使徒彼得）既持守基督信仰的真理，又深知圣三一只有一个名，因此，当</w:t>
      </w:r>
      <w:r w:rsidRPr="006A21F9">
        <w:rPr>
          <w:i/>
          <w:iCs/>
          <w:lang w:val="ru-RU"/>
        </w:rPr>
        <w:t>他说‘天下人间没有赐下别的名，我们可以靠着得救</w:t>
      </w:r>
      <w:r w:rsidRPr="006A21F9">
        <w:rPr>
          <w:lang w:val="ru-RU"/>
        </w:rPr>
        <w:t>’（使徒行传 4:12）时， 以及当他教导人们奉耶稣基督的名受洗时，却是以圣父、圣子和圣灵这一唯一之名施洗。因为在三位一体中——那里在本质上完全合一——名字上并不存在任何本质上的差异。”</w:t>
      </w:r>
      <w:r>
        <w:rPr>
          <w:rStyle w:val="FootnoteReference"/>
        </w:rPr>
        <w:footnoteReference w:id="919"/>
      </w:r>
      <w:r w:rsidRPr="006A21F9">
        <w:rPr>
          <w:lang w:val="ru-RU"/>
        </w:rPr>
        <w:t xml:space="preserve"> 圣约翰·达马斯库斯的话也颇有深意：“虽然神圣的使徒说，我们受洗是归入基督，也是归入他的死（罗马书 6:5）；但他并非指洗礼时的呼求应当如此；而是要表明，洗礼是基督之死的象征。 因为在洗礼中，三次浸入象征着主在坟墓中停留的三日。而受洗归入基督，意味着怀着对祂的信仰受洗；但若未学会宣认圣父、圣子和圣灵，就不可能信靠基督。 因为基督是永生神的儿子，由圣父藉圣灵所膏立的……至于施洗时应诵念的祷文，主亲自教导了他的门徒，说：</w:t>
      </w:r>
      <w:r w:rsidRPr="00A74001">
        <w:rPr>
          <w:i/>
          <w:iCs/>
          <w:lang w:val="ru-RU"/>
        </w:rPr>
        <w:t>‘你们要奉父、子、圣灵的名给他们施洗</w:t>
      </w:r>
      <w:r w:rsidRPr="006A21F9">
        <w:rPr>
          <w:lang w:val="ru-RU"/>
        </w:rPr>
        <w:t>’（太28:19）。”</w:t>
      </w:r>
      <w:r>
        <w:rPr>
          <w:rStyle w:val="FootnoteReference"/>
        </w:rPr>
        <w:footnoteReference w:id="920"/>
      </w:r>
    </w:p>
    <w:p w14:paraId="0333761B" w14:textId="77777777" w:rsidR="00BE1885" w:rsidRPr="006A21F9" w:rsidRDefault="00BE1885" w:rsidP="00BE1885">
      <w:pPr>
        <w:rPr>
          <w:lang w:val="ru-RU"/>
        </w:rPr>
      </w:pPr>
      <w:r w:rsidRPr="006A21F9">
        <w:rPr>
          <w:lang w:val="ru-RU"/>
        </w:rPr>
        <w:tab/>
        <w:t>圣教会始终遵照救主明确的诫命，以圣父、圣子和圣灵之名施行洗礼，并一贯谴责那些背离这一神圣仪式的行为，例如：</w:t>
      </w:r>
      <w:r w:rsidRPr="006A21F9">
        <w:rPr>
          <w:b/>
          <w:bCs/>
          <w:lang w:val="ru-RU"/>
        </w:rPr>
        <w:t>a)</w:t>
      </w:r>
      <w:r w:rsidRPr="006A21F9">
        <w:rPr>
          <w:lang w:val="ru-RU"/>
        </w:rPr>
        <w:t xml:space="preserve"> </w:t>
      </w:r>
      <w:r w:rsidRPr="006A21F9">
        <w:rPr>
          <w:lang w:val="ru-RU"/>
        </w:rPr>
        <w:lastRenderedPageBreak/>
        <w:t>某些无名异端分子，他们以“三位圣父”、“三位圣子”或“三位圣慰者”之名施洗；</w:t>
      </w:r>
      <w:r>
        <w:rPr>
          <w:rStyle w:val="FootnoteReference"/>
        </w:rPr>
        <w:footnoteReference w:id="921"/>
      </w:r>
      <w:r w:rsidRPr="006A21F9">
        <w:rPr>
          <w:lang w:val="ru-RU"/>
        </w:rPr>
        <w:t xml:space="preserve"> </w:t>
      </w:r>
      <w:r w:rsidRPr="006A21F9">
        <w:rPr>
          <w:b/>
          <w:bCs/>
          <w:lang w:val="ru-RU"/>
        </w:rPr>
        <w:t>b)</w:t>
      </w:r>
      <w:r w:rsidRPr="006A21F9">
        <w:rPr>
          <w:lang w:val="ru-RU"/>
        </w:rPr>
        <w:t xml:space="preserve"> 许多诺斯替派和优诺米派信徒，他们以“基督之死”的名义施洗；</w:t>
      </w:r>
      <w:r>
        <w:rPr>
          <w:rStyle w:val="FootnoteReference"/>
        </w:rPr>
        <w:footnoteReference w:id="922"/>
      </w:r>
      <w:r w:rsidRPr="006A21F9">
        <w:rPr>
          <w:b/>
          <w:bCs/>
          <w:lang w:val="ru-RU"/>
        </w:rPr>
        <w:t xml:space="preserve"> c)</w:t>
      </w:r>
      <w:r w:rsidRPr="006A21F9">
        <w:rPr>
          <w:lang w:val="ru-RU"/>
        </w:rPr>
        <w:t xml:space="preserve"> 马可西安派信徒，他们以“万物之父——真理，万物之母”的名义施洗，即基督降临于耶稣身上，与祂结合，并与祂一同行神迹并成就救赎；</w:t>
      </w:r>
      <w:r>
        <w:rPr>
          <w:rStyle w:val="FootnoteReference"/>
        </w:rPr>
        <w:footnoteReference w:id="923"/>
      </w:r>
      <w:r w:rsidRPr="006A21F9">
        <w:rPr>
          <w:lang w:val="ru-RU"/>
        </w:rPr>
        <w:t xml:space="preserve"> </w:t>
      </w:r>
      <w:r w:rsidRPr="006A21F9">
        <w:rPr>
          <w:b/>
          <w:bCs/>
          <w:lang w:val="ru-RU"/>
        </w:rPr>
        <w:t>d)</w:t>
      </w:r>
      <w:r w:rsidRPr="006A21F9">
        <w:rPr>
          <w:lang w:val="ru-RU"/>
        </w:rPr>
        <w:t xml:space="preserve"> 埃夫诺米派，他们奉造物主之名施洗，或奉上帝之名——即未被造的上帝、被造的圣子，以及通过圣子被造的圣灵——施洗；</w:t>
      </w:r>
      <w:r>
        <w:rPr>
          <w:rStyle w:val="FootnoteReference"/>
        </w:rPr>
        <w:footnoteReference w:id="924"/>
      </w:r>
      <w:r w:rsidRPr="006A21F9">
        <w:rPr>
          <w:lang w:val="ru-RU"/>
        </w:rPr>
        <w:t xml:space="preserve"> 等。</w:t>
      </w:r>
    </w:p>
    <w:p w14:paraId="6846A5E6" w14:textId="77777777" w:rsidR="00BE1885" w:rsidRPr="006A21F9" w:rsidRDefault="00BE1885" w:rsidP="00BE1885">
      <w:pPr>
        <w:rPr>
          <w:lang w:val="ru-RU"/>
        </w:rPr>
      </w:pPr>
    </w:p>
    <w:p w14:paraId="79575C51" w14:textId="77777777" w:rsidR="00BE1885" w:rsidRPr="006A21F9" w:rsidRDefault="00BE1885" w:rsidP="00BE1885">
      <w:pPr>
        <w:pStyle w:val="Heading5"/>
        <w:rPr>
          <w:lang w:val="ru-RU"/>
        </w:rPr>
      </w:pPr>
      <w:bookmarkStart w:id="725" w:name="_Toc133142970"/>
      <w:bookmarkStart w:id="726" w:name="_Toc133166327"/>
      <w:bookmarkStart w:id="727" w:name="_Toc182221537"/>
      <w:bookmarkStart w:id="728" w:name="_Toc238453104"/>
      <w:bookmarkStart w:id="729" w:name="_Toc238453904"/>
      <w:bookmarkStart w:id="730" w:name="_Toc238576564"/>
      <w:r w:rsidRPr="006A21F9">
        <w:rPr>
          <w:bCs/>
          <w:lang w:val="ru-RU"/>
        </w:rPr>
        <w:t>§204.</w:t>
      </w:r>
      <w:r w:rsidRPr="006A21F9">
        <w:rPr>
          <w:lang w:val="ru-RU"/>
        </w:rPr>
        <w:t xml:space="preserve"> 洗礼圣事中不可见的作用及其不可重复性</w:t>
      </w:r>
      <w:bookmarkEnd w:id="725"/>
      <w:bookmarkEnd w:id="726"/>
      <w:bookmarkEnd w:id="727"/>
      <w:bookmarkEnd w:id="728"/>
      <w:bookmarkEnd w:id="729"/>
      <w:bookmarkEnd w:id="730"/>
    </w:p>
    <w:p w14:paraId="277D989F"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然而，就在受洗者因圣洁的信仰而被可见地浸入洗礼之水之时，当诵念“上帝的仆人……奉圣父、圣子、圣灵之名受洗”这句祷文之际——上帝的恩典便以不可见的方式作用于受洗者整个身心，并且：</w:t>
      </w:r>
    </w:p>
    <w:p w14:paraId="1854D5B8" w14:textId="77777777" w:rsidR="00BE1885" w:rsidRPr="006A21F9" w:rsidRDefault="00BE1885" w:rsidP="00BE1885">
      <w:pPr>
        <w:ind w:firstLine="708"/>
        <w:rPr>
          <w:lang w:val="ru-RU"/>
        </w:rPr>
      </w:pPr>
      <w:r w:rsidRPr="006A21F9">
        <w:rPr>
          <w:b/>
          <w:bCs/>
          <w:lang w:val="ru-RU"/>
        </w:rPr>
        <w:t>1)</w:t>
      </w:r>
      <w:r w:rsidRPr="006A21F9">
        <w:rPr>
          <w:lang w:val="ru-RU"/>
        </w:rPr>
        <w:t xml:space="preserve"> 使他重生，或说重造，正如救主基督本人在与尼哥底母的对话中所见证的。</w:t>
      </w:r>
      <w:r w:rsidRPr="006A21F9">
        <w:rPr>
          <w:i/>
          <w:iCs/>
          <w:lang w:val="ru-RU"/>
        </w:rPr>
        <w:t>耶稣回答他说：“我实实在在地告诉你，人若不从上头生，就不能见神的国。” 尼哥底母对他说：“人已经老了，怎能重生呢？岂能再进母腹生出来吗？”耶稣回答说：“我实实在在地告诉你，人若不是从水和圣灵生的，就不能进神的国。” 从肉身生的就是肉身，从圣灵生的就是灵</w:t>
      </w:r>
      <w:r w:rsidRPr="006A21F9">
        <w:rPr>
          <w:lang w:val="ru-RU"/>
        </w:rPr>
        <w:t>（约3:4-6）。正因如此，圣保罗才将洗礼称为“重生”（</w:t>
      </w:r>
      <w:r w:rsidRPr="001E4083">
        <w:t>παλιγγενεσία</w:t>
      </w:r>
      <w:r w:rsidRPr="006A21F9">
        <w:rPr>
          <w:lang w:val="ru-RU"/>
        </w:rPr>
        <w:t>）的洗礼（提多书3:5）。</w:t>
      </w:r>
    </w:p>
    <w:p w14:paraId="0997B20A" w14:textId="77777777" w:rsidR="00BE1885" w:rsidRPr="006A21F9" w:rsidRDefault="00BE1885" w:rsidP="00BE1885">
      <w:pPr>
        <w:ind w:firstLine="708"/>
        <w:rPr>
          <w:lang w:val="ru-RU"/>
        </w:rPr>
      </w:pPr>
      <w:r w:rsidRPr="006A21F9">
        <w:rPr>
          <w:b/>
          <w:bCs/>
          <w:lang w:val="ru-RU"/>
        </w:rPr>
        <w:t>2)</w:t>
      </w:r>
      <w:r w:rsidRPr="006A21F9">
        <w:rPr>
          <w:lang w:val="ru-RU"/>
        </w:rPr>
        <w:t xml:space="preserve"> 洗净一切罪孽，称义并成圣。 这一点可见于</w:t>
      </w:r>
      <w:r w:rsidRPr="006A21F9">
        <w:rPr>
          <w:b/>
          <w:bCs/>
          <w:lang w:val="ru-RU"/>
        </w:rPr>
        <w:t>——a)</w:t>
      </w:r>
      <w:r w:rsidRPr="006A21F9">
        <w:rPr>
          <w:lang w:val="ru-RU"/>
        </w:rPr>
        <w:t xml:space="preserve"> 救主与尼哥底母的同一段对话，其中明确指出：正如在受洗之前，我们因从肉体而生而属于肉体，即从父母那里继承了原罪的污秽，这阻碍我们进入神的国度： 同样，在洗礼圣事中，我们因圣灵重生，便成为属灵的，因此得以从原罪或肉体的污秽中洁净——正因如此，我们才能进入神的国度。 这一点可见于：</w:t>
      </w:r>
      <w:r w:rsidRPr="006A21F9">
        <w:rPr>
          <w:b/>
          <w:bCs/>
          <w:lang w:val="ru-RU"/>
        </w:rPr>
        <w:t>b)</w:t>
      </w:r>
      <w:r w:rsidRPr="006A21F9">
        <w:rPr>
          <w:lang w:val="ru-RU"/>
        </w:rPr>
        <w:t xml:space="preserve"> 圣使徒彼得的话：</w:t>
      </w:r>
      <w:r w:rsidRPr="006A21F9">
        <w:rPr>
          <w:i/>
          <w:iCs/>
          <w:lang w:val="ru-RU"/>
        </w:rPr>
        <w:t>“你们要悔改，你们各人要奉耶稣基督的名受洗</w:t>
      </w:r>
      <w:r w:rsidRPr="006A21F9">
        <w:rPr>
          <w:lang w:val="ru-RU"/>
        </w:rPr>
        <w:t>”（使徒行传 2:38）；“那洗礼现在也救了你们</w:t>
      </w:r>
      <w:r w:rsidRPr="006A21F9">
        <w:rPr>
          <w:i/>
          <w:iCs/>
          <w:lang w:val="ru-RU"/>
        </w:rPr>
        <w:t>，这并非指除掉肉体的污秽，乃是向神立誓，要存着无亏的良心</w:t>
      </w:r>
      <w:r w:rsidRPr="006A21F9">
        <w:rPr>
          <w:lang w:val="ru-RU"/>
        </w:rPr>
        <w:t xml:space="preserve">”（彼得前书 3:21）； </w:t>
      </w:r>
      <w:r w:rsidRPr="006A21F9">
        <w:rPr>
          <w:b/>
          <w:bCs/>
          <w:lang w:val="ru-RU"/>
        </w:rPr>
        <w:t>c)</w:t>
      </w:r>
      <w:r w:rsidRPr="006A21F9">
        <w:rPr>
          <w:lang w:val="ru-RU"/>
        </w:rPr>
        <w:t xml:space="preserve"> 最后，从圣使徒保罗的见证中可见： </w:t>
      </w:r>
      <w:r w:rsidRPr="006A21F9">
        <w:rPr>
          <w:i/>
          <w:iCs/>
          <w:lang w:val="ru-RU"/>
        </w:rPr>
        <w:t>基督爱教会，为教会舍己，要用水藉着道把教会洗净，成为圣洁，好将她 呈献给自己，作荣耀的教会，毫无玷污、瑕疵，或任何类似的缺陷，使她成为圣洁、毫无瑕疵的</w:t>
      </w:r>
      <w:r w:rsidRPr="006A21F9">
        <w:rPr>
          <w:lang w:val="ru-RU"/>
        </w:rPr>
        <w:t>（以弗所书 5:25-27）， ——这里经文中所说的“水洗”，即通过宣读特定话语，特指洗礼圣事，</w:t>
      </w:r>
      <w:r>
        <w:rPr>
          <w:rStyle w:val="FootnoteReference"/>
        </w:rPr>
        <w:footnoteReference w:id="925"/>
      </w:r>
      <w:r w:rsidRPr="006A21F9">
        <w:rPr>
          <w:lang w:val="ru-RU"/>
        </w:rPr>
        <w:t xml:space="preserve"> ——以及另一处见证：</w:t>
      </w:r>
      <w:r w:rsidRPr="006A21F9">
        <w:rPr>
          <w:i/>
          <w:iCs/>
          <w:lang w:val="ru-RU"/>
        </w:rPr>
        <w:t>你们中间也有人从前是</w:t>
      </w:r>
      <w:r w:rsidRPr="006A21F9">
        <w:rPr>
          <w:lang w:val="ru-RU"/>
        </w:rPr>
        <w:t>这样（有罪的）</w:t>
      </w:r>
      <w:r w:rsidRPr="006A21F9">
        <w:rPr>
          <w:i/>
          <w:iCs/>
          <w:lang w:val="ru-RU"/>
        </w:rPr>
        <w:t>； 但你们已经洗净了，已经成圣了，已经称义了，是借着我们主耶稣基督的名和我们神的灵</w:t>
      </w:r>
      <w:r w:rsidRPr="006A21F9">
        <w:rPr>
          <w:lang w:val="ru-RU"/>
        </w:rPr>
        <w:t>（林前6:11）。 因此，洗礼消除了所有的罪：在婴孩身上是原罪，而在成年人身上则是原罪和自犯之罪，并使人恢复到无辜无罪状态时所拥有的义（《正统信条》第1卷，对第103个问题的回答；参见 《东方教父论正统信仰》第16条）。</w:t>
      </w:r>
    </w:p>
    <w:p w14:paraId="1B95D3F8" w14:textId="77777777" w:rsidR="00BE1885" w:rsidRPr="006A21F9" w:rsidRDefault="00BE1885" w:rsidP="00BE1885">
      <w:pPr>
        <w:ind w:firstLine="708"/>
        <w:rPr>
          <w:lang w:val="ru-RU"/>
        </w:rPr>
      </w:pPr>
      <w:r w:rsidRPr="006A21F9">
        <w:rPr>
          <w:b/>
          <w:bCs/>
          <w:lang w:val="ru-RU"/>
        </w:rPr>
        <w:t>3)</w:t>
      </w:r>
      <w:r w:rsidRPr="006A21F9">
        <w:rPr>
          <w:lang w:val="ru-RU"/>
        </w:rPr>
        <w:t xml:space="preserve"> 使人成为神的儿女，并成为基督身体——教会——的一员</w:t>
      </w:r>
      <w:r w:rsidRPr="006A21F9">
        <w:rPr>
          <w:i/>
          <w:iCs/>
          <w:lang w:val="ru-RU"/>
        </w:rPr>
        <w:t>。因为</w:t>
      </w:r>
      <w:r w:rsidRPr="006A21F9">
        <w:rPr>
          <w:lang w:val="ru-RU"/>
        </w:rPr>
        <w:t>圣使徒对基督徒说：</w:t>
      </w:r>
      <w:r w:rsidRPr="006A21F9">
        <w:rPr>
          <w:i/>
          <w:iCs/>
          <w:lang w:val="ru-RU"/>
        </w:rPr>
        <w:t>“你们因信基督耶稣，都是神的儿女；凡受洗归入基督的，就是披戴了基督……你们在基督耶稣里都成为一体了</w:t>
      </w:r>
      <w:r w:rsidRPr="006A21F9">
        <w:rPr>
          <w:lang w:val="ru-RU"/>
        </w:rPr>
        <w:t xml:space="preserve">”（加拉太书 3:26-28）。 </w:t>
      </w:r>
      <w:r w:rsidRPr="006A21F9">
        <w:rPr>
          <w:lang w:val="ru-RU"/>
        </w:rPr>
        <w:lastRenderedPageBreak/>
        <w:t>在另一处经文中也提到：</w:t>
      </w:r>
      <w:r w:rsidRPr="006A21F9">
        <w:rPr>
          <w:i/>
          <w:iCs/>
          <w:lang w:val="ru-RU"/>
        </w:rPr>
        <w:t>“因为我们不分犹太人或希腊人，为奴的或自主的，都藉着一位圣灵受洗，成为一个身体，也都喝了那位圣灵。</w:t>
      </w:r>
      <w:r w:rsidRPr="006A21F9">
        <w:rPr>
          <w:lang w:val="ru-RU"/>
        </w:rPr>
        <w:t>”[(林前 12:13)；参见 (徒 2:41)；(罗 6:3-5)]。</w:t>
      </w:r>
    </w:p>
    <w:p w14:paraId="5DF19C9F" w14:textId="77777777" w:rsidR="00BE1885" w:rsidRPr="006A21F9" w:rsidRDefault="00BE1885" w:rsidP="00BE1885">
      <w:pPr>
        <w:ind w:firstLine="708"/>
        <w:rPr>
          <w:lang w:val="ru-RU"/>
        </w:rPr>
      </w:pPr>
      <w:r w:rsidRPr="006A21F9">
        <w:rPr>
          <w:b/>
          <w:bCs/>
          <w:lang w:val="ru-RU"/>
        </w:rPr>
        <w:t>4)</w:t>
      </w:r>
      <w:r w:rsidRPr="006A21F9">
        <w:rPr>
          <w:lang w:val="ru-RU"/>
        </w:rPr>
        <w:t xml:space="preserve"> 拯救人脱离因罪所受的永恒刑罚，并使人成为永生的继承者。</w:t>
      </w:r>
      <w:r w:rsidRPr="006A21F9">
        <w:rPr>
          <w:i/>
          <w:iCs/>
          <w:lang w:val="ru-RU"/>
        </w:rPr>
        <w:t>信而受洗的，必然得救；不信的，必被定罪</w:t>
      </w:r>
      <w:r w:rsidRPr="006A21F9">
        <w:rPr>
          <w:lang w:val="ru-RU"/>
        </w:rPr>
        <w:t xml:space="preserve">（可16:16）。 </w:t>
      </w:r>
      <w:r w:rsidRPr="006A21F9">
        <w:rPr>
          <w:i/>
          <w:iCs/>
          <w:lang w:val="ru-RU"/>
        </w:rPr>
        <w:t>祂拯救我们，并非因我们所行的义，乃是照祂的怜悯，藉着重生的洗礼</w:t>
      </w:r>
      <w:r w:rsidRPr="006A21F9">
        <w:rPr>
          <w:lang w:val="ru-RU"/>
        </w:rPr>
        <w:t>（即受洗）</w:t>
      </w:r>
      <w:r w:rsidRPr="006A21F9">
        <w:rPr>
          <w:i/>
          <w:iCs/>
          <w:lang w:val="ru-RU"/>
        </w:rPr>
        <w:t>和圣灵的更新</w:t>
      </w:r>
      <w:r w:rsidRPr="006A21F9">
        <w:rPr>
          <w:lang w:val="ru-RU"/>
        </w:rPr>
        <w:t>；</w:t>
      </w:r>
      <w:r w:rsidRPr="006A21F9">
        <w:rPr>
          <w:i/>
          <w:iCs/>
          <w:lang w:val="ru-RU"/>
        </w:rPr>
        <w:t>祂藉着我们的救主耶稣基督，将圣灵丰丰富富地浇灌在我们身上，使我们因祂的恩典称义，凭着盼望成为永生的继承人</w:t>
      </w:r>
      <w:r w:rsidRPr="006A21F9">
        <w:rPr>
          <w:lang w:val="ru-RU"/>
        </w:rPr>
        <w:t xml:space="preserve"> [(提多书 3:5-7)；参见 (彼得前书 3:21)]。</w:t>
      </w:r>
    </w:p>
    <w:p w14:paraId="19125D33" w14:textId="77777777" w:rsidR="00BE1885" w:rsidRPr="006A21F9" w:rsidRDefault="00BE1885" w:rsidP="00BE1885">
      <w:pPr>
        <w:rPr>
          <w:lang w:val="ru-RU"/>
        </w:rPr>
      </w:pPr>
      <w:r w:rsidRPr="006A21F9">
        <w:rPr>
          <w:lang w:val="ru-RU"/>
        </w:rPr>
        <w:tab/>
        <w:t>洗礼圣事中所有这些恩典的作为是密不可分的。 圣洗使人重生，从而洗净他一切的罪，称他为义并使他成圣。洗净罪孽，便使人免于因罪而受的永恒惩罚；而在神面前称他为义并使他成圣，便使他成为神的儿女、基督身体的肢体，以及永生的继承人。</w:t>
      </w:r>
    </w:p>
    <w:p w14:paraId="708E3468" w14:textId="77777777" w:rsidR="00BE1885" w:rsidRPr="006A21F9" w:rsidRDefault="00BE1885" w:rsidP="00BE1885">
      <w:pPr>
        <w:rPr>
          <w:lang w:val="ru-RU"/>
        </w:rPr>
      </w:pPr>
      <w:r w:rsidRPr="006A21F9">
        <w:rPr>
          <w:lang w:val="ru-RU"/>
        </w:rPr>
        <w:tab/>
        <w:t>同样，关于洗礼圣事中那些不可见的作用，圣教父们和教会的导师们也一致教导道：</w:t>
      </w:r>
    </w:p>
    <w:p w14:paraId="1A7D738B" w14:textId="77777777" w:rsidR="00BE1885" w:rsidRPr="006A21F9" w:rsidRDefault="00BE1885" w:rsidP="00BE1885">
      <w:pPr>
        <w:rPr>
          <w:lang w:val="ru-RU"/>
        </w:rPr>
      </w:pPr>
      <w:r w:rsidRPr="006A21F9">
        <w:rPr>
          <w:lang w:val="ru-RU"/>
        </w:rPr>
        <w:tab/>
        <w:t>圣巴拿巴：“洗礼是为了赦免罪过而施行的。我们带着沉重的罪孽和污秽进入水中，却带着心中结出的敬畏与盼望从水中出来。”</w:t>
      </w:r>
      <w:r>
        <w:rPr>
          <w:rStyle w:val="FootnoteReference"/>
        </w:rPr>
        <w:footnoteReference w:id="926"/>
      </w:r>
    </w:p>
    <w:p w14:paraId="59C6556A" w14:textId="77777777" w:rsidR="00BE1885" w:rsidRPr="006A21F9" w:rsidRDefault="00BE1885" w:rsidP="00BE1885">
      <w:pPr>
        <w:rPr>
          <w:lang w:val="ru-RU"/>
        </w:rPr>
      </w:pPr>
      <w:r w:rsidRPr="006A21F9">
        <w:rPr>
          <w:lang w:val="ru-RU"/>
        </w:rPr>
        <w:tab/>
        <w:t>圣尤斯丁：“应当努力使你们明白，通过何种途径才能获得罪的赦免，并获得继承应许之福的希望。除了认识基督，并通过洗礼洗净罪孽，进而开始过无罪的生活之外，别无他途。”</w:t>
      </w:r>
      <w:r>
        <w:rPr>
          <w:rStyle w:val="FootnoteReference"/>
        </w:rPr>
        <w:footnoteReference w:id="927"/>
      </w:r>
    </w:p>
    <w:p w14:paraId="28C7AD02" w14:textId="77777777" w:rsidR="00BE1885" w:rsidRPr="006A21F9" w:rsidRDefault="00BE1885" w:rsidP="00BE1885">
      <w:pPr>
        <w:rPr>
          <w:lang w:val="ru-RU"/>
        </w:rPr>
      </w:pPr>
      <w:r w:rsidRPr="006A21F9">
        <w:rPr>
          <w:lang w:val="ru-RU"/>
        </w:rPr>
        <w:tab/>
        <w:t>亚历山大的克利门特：“当我们被浸入（水中）时，我们便得着光照；得着光照后，便成为上帝的儿女；成为儿女后，便臻于完美，从而获得永生：</w:t>
      </w:r>
      <w:r w:rsidRPr="006A21F9">
        <w:rPr>
          <w:i/>
          <w:iCs/>
          <w:lang w:val="ru-RU"/>
        </w:rPr>
        <w:t>‘我说：你们是神，都是至高者的儿子——你们众人</w:t>
      </w:r>
      <w:r w:rsidRPr="006A21F9">
        <w:rPr>
          <w:lang w:val="ru-RU"/>
        </w:rPr>
        <w:t>’（诗篇81:6）。 同样，这一行为也被称为：恩典、启迪和洗礼——洗礼，借此我们洗净罪孽；恩典，借此我们因罪所受的惩罚得以赦免；启迪，借此我们凝视那圣洁而救赎的光芒，即清晰地观照神性……”</w:t>
      </w:r>
      <w:r>
        <w:rPr>
          <w:rStyle w:val="FootnoteReference"/>
        </w:rPr>
        <w:footnoteReference w:id="928"/>
      </w:r>
    </w:p>
    <w:p w14:paraId="0F44F5FA" w14:textId="77777777" w:rsidR="00BE1885" w:rsidRPr="006A21F9" w:rsidRDefault="00BE1885" w:rsidP="00BE1885">
      <w:pPr>
        <w:rPr>
          <w:lang w:val="ru-RU"/>
        </w:rPr>
      </w:pPr>
      <w:r w:rsidRPr="006A21F9">
        <w:rPr>
          <w:lang w:val="ru-RU"/>
        </w:rPr>
        <w:tab/>
        <w:t>圣基里尔·耶路撒冷：“洗礼是伟大的事。它是俘虏的赎罪，罪孽的赦免，罪的死亡，灵魂的重生，明亮的衣裳，神圣的、不可破坏的印记，通往天堂的战车，天堂的安慰，进入天国的代求，以及成为上帝儿女的恩赐。”</w:t>
      </w:r>
      <w:r>
        <w:rPr>
          <w:rStyle w:val="FootnoteReference"/>
        </w:rPr>
        <w:footnoteReference w:id="929"/>
      </w:r>
    </w:p>
    <w:p w14:paraId="639D3FE6" w14:textId="77777777" w:rsidR="00BE1885" w:rsidRPr="006A21F9" w:rsidRDefault="00BE1885" w:rsidP="00BE1885">
      <w:pPr>
        <w:rPr>
          <w:lang w:val="ru-RU"/>
        </w:rPr>
      </w:pPr>
      <w:r w:rsidRPr="006A21F9">
        <w:rPr>
          <w:lang w:val="ru-RU"/>
        </w:rPr>
        <w:tab/>
        <w:t>大圣巴西略：“洗礼是囚徒的救赎，债务的赦免，罪恶的死亡，灵魂的重生，光明的衣袍，不可侵犯的印记，通往天国的战车，天国的预备，以及成为神之子的恩赐。”</w:t>
      </w:r>
      <w:r>
        <w:rPr>
          <w:rStyle w:val="FootnoteReference"/>
        </w:rPr>
        <w:footnoteReference w:id="930"/>
      </w:r>
    </w:p>
    <w:p w14:paraId="22A950B8" w14:textId="77777777" w:rsidR="00BE1885" w:rsidRPr="006A21F9" w:rsidRDefault="00BE1885" w:rsidP="00BE1885">
      <w:pPr>
        <w:rPr>
          <w:lang w:val="ru-RU"/>
        </w:rPr>
      </w:pPr>
      <w:r w:rsidRPr="006A21F9">
        <w:rPr>
          <w:lang w:val="ru-RU"/>
        </w:rPr>
        <w:tab/>
        <w:t>圣格里高利·神学家：“洗礼的恩典与大能，并非像从前那样淹没世界，而是洁净每个人心中的罪，彻底洗净因原罪而带来的种种污秽与玷污…… 通过协助第一次重生（圣灵的洗礼），它使我们从陈旧的变成新的，使我们从如今这般属肉体的，变成像神一样的，在不经火焚的情况下将我们熔化，在不经破坏的情况下将我们重建。”</w:t>
      </w:r>
      <w:r>
        <w:rPr>
          <w:rStyle w:val="FootnoteReference"/>
        </w:rPr>
        <w:footnoteReference w:id="931"/>
      </w:r>
      <w:r w:rsidRPr="006A21F9">
        <w:rPr>
          <w:lang w:val="ru-RU"/>
        </w:rPr>
        <w:t xml:space="preserve"> “洗礼池赦免的是已经犯下的罪，而非正在犯的罪…… 洗礼虽能洗净罪孽，却不会抹去功德…… 因此，让我们受洗以获得胜利；让我们领受这洁净之水，它比牛膝草更能洗净，比律法所定的血更能洁净，比母牛犊的灰更神圣——那灰通过洒水使被玷污者成圣（希伯来书9:13），却只能暂时洁净身体，而不能彻底根除罪恶。”</w:t>
      </w:r>
      <w:r>
        <w:rPr>
          <w:rStyle w:val="FootnoteReference"/>
        </w:rPr>
        <w:footnoteReference w:id="932"/>
      </w:r>
    </w:p>
    <w:p w14:paraId="548A677A" w14:textId="77777777" w:rsidR="00BE1885" w:rsidRPr="006A21F9" w:rsidRDefault="00BE1885" w:rsidP="00BE1885">
      <w:pPr>
        <w:rPr>
          <w:lang w:val="ru-RU"/>
        </w:rPr>
      </w:pPr>
      <w:r w:rsidRPr="006A21F9">
        <w:rPr>
          <w:lang w:val="ru-RU"/>
        </w:rPr>
        <w:lastRenderedPageBreak/>
        <w:tab/>
        <w:t>圣约翰·金口： “恩典的洗礼能洁净所有人：无论是柔弱如妇人者，还是淫乱者，或是拜偶像者，抑或其他任何大罪人，哪怕他身上集人类一切罪恶于一身——一旦浸入洗礼池中，他从神圣之水中出来时，便比阳光还要纯净。 从这洗礼池中出来，他不仅变得纯洁，而且成为圣洁和义人。因为使徒不仅说：‘你们已经洗净了’，还说‘你们已经成圣了，并且称义了’（林前6:11）…… 洗礼不仅赦免我们的罪，不仅洗净我们的不法之行，更是使我们仿佛重生一般：因为它重新塑造我们，使我们焕然一新。”</w:t>
      </w:r>
      <w:r>
        <w:rPr>
          <w:rStyle w:val="FootnoteReference"/>
        </w:rPr>
        <w:footnoteReference w:id="933"/>
      </w:r>
    </w:p>
    <w:p w14:paraId="5CB09BD8" w14:textId="77777777" w:rsidR="00BE1885" w:rsidRPr="006A21F9" w:rsidRDefault="00BE1885" w:rsidP="00BE1885">
      <w:pPr>
        <w:rPr>
          <w:lang w:val="ru-RU"/>
        </w:rPr>
      </w:pPr>
      <w:r w:rsidRPr="006A21F9">
        <w:rPr>
          <w:lang w:val="ru-RU"/>
        </w:rPr>
        <w:tab/>
        <w:t>类似的论述也可见于安提阿的西奥菲勒（</w:t>
      </w:r>
      <w:r>
        <w:rPr>
          <w:rStyle w:val="FootnoteReference"/>
        </w:rPr>
        <w:footnoteReference w:id="934"/>
      </w:r>
      <w:r w:rsidRPr="006A21F9">
        <w:rPr>
          <w:lang w:val="ru-RU"/>
        </w:rPr>
        <w:t xml:space="preserve"> ）、安布罗斯（</w:t>
      </w:r>
      <w:r>
        <w:rPr>
          <w:rStyle w:val="FootnoteReference"/>
        </w:rPr>
        <w:footnoteReference w:id="935"/>
      </w:r>
      <w:r w:rsidRPr="006A21F9">
        <w:rPr>
          <w:lang w:val="ru-RU"/>
        </w:rPr>
        <w:t xml:space="preserve"> ）、尼西亚的格里高利（</w:t>
      </w:r>
      <w:r>
        <w:rPr>
          <w:rStyle w:val="FootnoteReference"/>
        </w:rPr>
        <w:footnoteReference w:id="936"/>
      </w:r>
      <w:r w:rsidRPr="006A21F9">
        <w:rPr>
          <w:lang w:val="ru-RU"/>
        </w:rPr>
        <w:t xml:space="preserve"> ）、奥古斯丁（</w:t>
      </w:r>
      <w:r>
        <w:rPr>
          <w:rStyle w:val="FootnoteReference"/>
        </w:rPr>
        <w:footnoteReference w:id="937"/>
      </w:r>
      <w:r w:rsidRPr="006A21F9">
        <w:rPr>
          <w:lang w:val="ru-RU"/>
        </w:rPr>
        <w:t xml:space="preserve"> ）、狄奥多里特（</w:t>
      </w:r>
      <w:r>
        <w:rPr>
          <w:rStyle w:val="FootnoteReference"/>
        </w:rPr>
        <w:footnoteReference w:id="938"/>
      </w:r>
      <w:r w:rsidRPr="006A21F9">
        <w:rPr>
          <w:lang w:val="ru-RU"/>
        </w:rPr>
        <w:t xml:space="preserve"> ）以及许多其他人的著作中。</w:t>
      </w:r>
      <w:r>
        <w:rPr>
          <w:rStyle w:val="FootnoteReference"/>
        </w:rPr>
        <w:footnoteReference w:id="939"/>
      </w:r>
    </w:p>
    <w:p w14:paraId="7E579637"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由于洗礼圣事在信徒灵魂中产生的这些作用，东正教会遵循上帝的话语（以弗所书 4:6），教导我们信奉“唯一的洗礼”， ——所谓“唯一”，是指洗礼对每个人仅施予一次，且若按规程正确施行，则绝不能为任何人重复（《基督教教理问答》关于洗礼的篇章）。因为从本质上讲，这一圣礼使我们重生于属灵的生命之中（约3:5）。 但正如在自然生命中，每个人只能出生一次，属灵的生命亦是如此；正如在自然出生时，我们每个人都从自然中获得一种特定的外貌和形象，并永远伴随我们， ——同样，在我们属灵的重生中，洗礼圣事也在每个人身上烙下不可磨灭的印记，这印记将永远留在受洗者身上，即使他在受洗后犯下千般罪过，甚至背弃了信仰本身（《东方教父论正统信仰书信》第16条）。</w:t>
      </w:r>
    </w:p>
    <w:p w14:paraId="012AB9A4" w14:textId="77777777" w:rsidR="00BE1885" w:rsidRPr="006A21F9" w:rsidRDefault="00BE1885" w:rsidP="00BE1885">
      <w:pPr>
        <w:rPr>
          <w:lang w:val="ru-RU"/>
        </w:rPr>
      </w:pPr>
      <w:r w:rsidRPr="006A21F9">
        <w:rPr>
          <w:lang w:val="ru-RU"/>
        </w:rPr>
        <w:tab/>
        <w:t>关于洗礼赋予每个人的这一不可磨灭的印记，除了《使徒宪章》</w:t>
      </w:r>
      <w:r>
        <w:rPr>
          <w:rStyle w:val="FootnoteReference"/>
        </w:rPr>
        <w:footnoteReference w:id="940"/>
      </w:r>
      <w:r w:rsidRPr="006A21F9">
        <w:rPr>
          <w:lang w:val="ru-RU"/>
        </w:rPr>
        <w:t xml:space="preserve"> 之外，古代教会导师们也一致如此宣称：赫尔马</w:t>
      </w:r>
      <w:r>
        <w:rPr>
          <w:rStyle w:val="FootnoteReference"/>
        </w:rPr>
        <w:footnoteReference w:id="941"/>
      </w:r>
      <w:r w:rsidRPr="006A21F9">
        <w:rPr>
          <w:lang w:val="ru-RU"/>
        </w:rPr>
        <w:t xml:space="preserve"> 、亚历山大的克利门特</w:t>
      </w:r>
      <w:r>
        <w:rPr>
          <w:rStyle w:val="FootnoteReference"/>
        </w:rPr>
        <w:footnoteReference w:id="942"/>
      </w:r>
      <w:r w:rsidRPr="006A21F9">
        <w:rPr>
          <w:lang w:val="ru-RU"/>
        </w:rPr>
        <w:t xml:space="preserve"> 、所有出席第一次迦太基大公会议的人</w:t>
      </w:r>
      <w:r>
        <w:rPr>
          <w:rStyle w:val="FootnoteReference"/>
        </w:rPr>
        <w:footnoteReference w:id="943"/>
      </w:r>
      <w:r w:rsidRPr="006A21F9">
        <w:rPr>
          <w:lang w:val="ru-RU"/>
        </w:rPr>
        <w:t xml:space="preserve"> 、圣西里尔 （耶路撒冷）</w:t>
      </w:r>
      <w:r>
        <w:rPr>
          <w:rStyle w:val="FootnoteReference"/>
        </w:rPr>
        <w:footnoteReference w:id="944"/>
      </w:r>
      <w:r w:rsidRPr="006A21F9">
        <w:rPr>
          <w:lang w:val="ru-RU"/>
        </w:rPr>
        <w:t xml:space="preserve"> 、圣约翰·金口</w:t>
      </w:r>
      <w:r>
        <w:rPr>
          <w:rStyle w:val="FootnoteReference"/>
        </w:rPr>
        <w:footnoteReference w:id="945"/>
      </w:r>
      <w:r w:rsidRPr="006A21F9">
        <w:rPr>
          <w:lang w:val="ru-RU"/>
        </w:rPr>
        <w:t xml:space="preserve"> 、蒙福的 </w:t>
      </w:r>
      <w:r w:rsidRPr="006A21F9">
        <w:rPr>
          <w:lang w:val="ru-RU"/>
        </w:rPr>
        <w:lastRenderedPageBreak/>
        <w:t>杰罗姆，</w:t>
      </w:r>
      <w:r>
        <w:rPr>
          <w:rStyle w:val="FootnoteReference"/>
        </w:rPr>
        <w:footnoteReference w:id="946"/>
      </w:r>
      <w:r w:rsidRPr="006A21F9">
        <w:rPr>
          <w:lang w:val="ru-RU"/>
        </w:rPr>
        <w:t xml:space="preserve"> 福者奥古斯丁，</w:t>
      </w:r>
      <w:r>
        <w:rPr>
          <w:rStyle w:val="FootnoteReference"/>
        </w:rPr>
        <w:footnoteReference w:id="947"/>
      </w:r>
      <w:r w:rsidRPr="006A21F9">
        <w:rPr>
          <w:lang w:val="ru-RU"/>
        </w:rPr>
        <w:t xml:space="preserve"> 以及其他人。</w:t>
      </w:r>
      <w:r>
        <w:rPr>
          <w:rStyle w:val="FootnoteReference"/>
        </w:rPr>
        <w:footnoteReference w:id="948"/>
      </w:r>
      <w:r w:rsidRPr="006A21F9">
        <w:rPr>
          <w:lang w:val="ru-RU"/>
        </w:rPr>
        <w:t xml:space="preserve"> 随后，古代教会的导师们也宣讲了洗礼不可重复的道理。</w:t>
      </w:r>
      <w:r>
        <w:rPr>
          <w:rStyle w:val="FootnoteReference"/>
        </w:rPr>
        <w:footnoteReference w:id="949"/>
      </w:r>
      <w:r w:rsidRPr="006A21F9">
        <w:rPr>
          <w:lang w:val="ru-RU"/>
        </w:rPr>
        <w:t xml:space="preserve"> 例如，我们可以引用以下言论：</w:t>
      </w:r>
      <w:r w:rsidRPr="006A21F9">
        <w:rPr>
          <w:b/>
          <w:bCs/>
          <w:lang w:val="ru-RU"/>
        </w:rPr>
        <w:t xml:space="preserve">a) </w:t>
      </w:r>
      <w:r w:rsidRPr="006A21F9">
        <w:rPr>
          <w:lang w:val="ru-RU"/>
        </w:rPr>
        <w:t>特土良：“不应再次受洗；”</w:t>
      </w:r>
      <w:r>
        <w:rPr>
          <w:rStyle w:val="FootnoteReference"/>
        </w:rPr>
        <w:footnoteReference w:id="950"/>
      </w:r>
      <w:r w:rsidRPr="006A21F9">
        <w:rPr>
          <w:lang w:val="ru-RU"/>
        </w:rPr>
        <w:t xml:space="preserve"> </w:t>
      </w:r>
      <w:r w:rsidRPr="006A21F9">
        <w:rPr>
          <w:b/>
          <w:bCs/>
          <w:lang w:val="ru-RU"/>
        </w:rPr>
        <w:t>b)</w:t>
      </w:r>
      <w:r w:rsidRPr="006A21F9">
        <w:rPr>
          <w:lang w:val="ru-RU"/>
        </w:rPr>
        <w:t xml:space="preserve"> 圣约翰·金口：</w:t>
      </w:r>
      <w:r w:rsidRPr="006A21F9">
        <w:rPr>
          <w:i/>
          <w:iCs/>
          <w:lang w:val="ru-RU"/>
        </w:rPr>
        <w:t>“我们藉着洗礼与祂</w:t>
      </w:r>
      <w:r w:rsidRPr="006A21F9">
        <w:rPr>
          <w:lang w:val="ru-RU"/>
        </w:rPr>
        <w:t>（基督）同埋葬于死中——因此，正如基督不可能再次被钉十字架一样，再次受洗也是不可能的；”</w:t>
      </w:r>
      <w:r>
        <w:rPr>
          <w:rStyle w:val="FootnoteReference"/>
        </w:rPr>
        <w:footnoteReference w:id="951"/>
      </w:r>
      <w:r w:rsidRPr="006A21F9">
        <w:rPr>
          <w:lang w:val="ru-RU"/>
        </w:rPr>
        <w:t xml:space="preserve"> </w:t>
      </w:r>
      <w:r w:rsidRPr="006A21F9">
        <w:rPr>
          <w:b/>
          <w:bCs/>
          <w:lang w:val="ru-RU"/>
        </w:rPr>
        <w:t>c)</w:t>
      </w:r>
      <w:r w:rsidRPr="006A21F9">
        <w:rPr>
          <w:lang w:val="ru-RU"/>
        </w:rPr>
        <w:t xml:space="preserve"> 圣以弗所·西里尔：“ “主吩咐祂的门徒，只用圣水一次洗净人类本性的罪孽；”</w:t>
      </w:r>
      <w:r>
        <w:rPr>
          <w:rStyle w:val="FootnoteReference"/>
        </w:rPr>
        <w:footnoteReference w:id="952"/>
      </w:r>
      <w:r w:rsidRPr="006A21F9">
        <w:rPr>
          <w:lang w:val="ru-RU"/>
        </w:rPr>
        <w:t xml:space="preserve"> </w:t>
      </w:r>
      <w:r w:rsidRPr="006A21F9">
        <w:rPr>
          <w:b/>
          <w:bCs/>
          <w:lang w:val="ru-RU"/>
        </w:rPr>
        <w:t>d)</w:t>
      </w:r>
      <w:r w:rsidRPr="006A21F9">
        <w:rPr>
          <w:lang w:val="ru-RU"/>
        </w:rPr>
        <w:t xml:space="preserve"> 福者狄奥多里特：“正如祂曾一次受苦；我们也只能一次在祂的受苦中与祂联合——而我们正是通过洗礼与祂同埋，并与祂一同复活； 因此，我们不应再次接受洗礼；”</w:t>
      </w:r>
      <w:r>
        <w:rPr>
          <w:rStyle w:val="FootnoteReference"/>
        </w:rPr>
        <w:footnoteReference w:id="953"/>
      </w:r>
      <w:r w:rsidRPr="006A21F9">
        <w:rPr>
          <w:lang w:val="ru-RU"/>
        </w:rPr>
        <w:t xml:space="preserve"> </w:t>
      </w:r>
      <w:r w:rsidRPr="006A21F9">
        <w:rPr>
          <w:b/>
          <w:bCs/>
          <w:lang w:val="ru-RU"/>
        </w:rPr>
        <w:t>d)</w:t>
      </w:r>
      <w:r w:rsidRPr="006A21F9">
        <w:rPr>
          <w:lang w:val="ru-RU"/>
        </w:rPr>
        <w:t xml:space="preserve"> 圣约翰·达马斯库斯：“我们信奉唯一的洗礼，以赦免罪过并得享永生。因为洗礼象征主的死亡，我们借着洗礼与主一同埋葬，正如神圣的使徒所言 [(罗 6:4)； （歌罗西书 2:12）]。因此，正如主曾死过一次，受洗也应当只受一次；而受洗，照主的吩咐</w:t>
      </w:r>
      <w:r w:rsidRPr="006A21F9">
        <w:rPr>
          <w:i/>
          <w:iCs/>
          <w:lang w:val="ru-RU"/>
        </w:rPr>
        <w:t>，是要奉父、子、圣灵的名</w:t>
      </w:r>
      <w:r w:rsidRPr="006A21F9">
        <w:rPr>
          <w:lang w:val="ru-RU"/>
        </w:rPr>
        <w:t>（马太福音 28:19），借此学习信奉父、子、圣灵。 因此，凡曾奉父、子、圣灵的名受洗，并受教承认三位一体中唯一神性的人，若再次受洗，便如神圣使徒所言（希伯来书 6:4-6），这些人便再次将基督钉在十字架上。”</w:t>
      </w:r>
      <w:r>
        <w:rPr>
          <w:rStyle w:val="FootnoteReference"/>
        </w:rPr>
        <w:footnoteReference w:id="954"/>
      </w:r>
    </w:p>
    <w:p w14:paraId="5F206D37" w14:textId="77777777" w:rsidR="00BE1885" w:rsidRPr="006A21F9" w:rsidRDefault="00BE1885" w:rsidP="00BE1885">
      <w:pPr>
        <w:rPr>
          <w:lang w:val="ru-RU"/>
        </w:rPr>
      </w:pPr>
      <w:r w:rsidRPr="006A21F9">
        <w:rPr>
          <w:lang w:val="ru-RU"/>
        </w:rPr>
        <w:tab/>
        <w:t>正因如此，所有人——即使是曾由异端施洗者所施洗的——只要当初是按照古老的教会规条，以至圣三一之名正确受洗的，</w:t>
      </w:r>
      <w:r>
        <w:rPr>
          <w:rStyle w:val="FootnoteReference"/>
        </w:rPr>
        <w:footnoteReference w:id="955"/>
      </w:r>
      <w:r w:rsidRPr="006A21F9">
        <w:rPr>
          <w:lang w:val="ru-RU"/>
        </w:rPr>
        <w:t xml:space="preserve"> 当他们归入东正教会时，便无需重新受洗，如今亦无需重新受洗， ——而是通过按手礼</w:t>
      </w:r>
      <w:r>
        <w:rPr>
          <w:rStyle w:val="FootnoteReference"/>
        </w:rPr>
        <w:footnoteReference w:id="956"/>
      </w:r>
      <w:r w:rsidRPr="006A21F9">
        <w:rPr>
          <w:lang w:val="ru-RU"/>
        </w:rPr>
        <w:t xml:space="preserve"> 或圣油礼</w:t>
      </w:r>
      <w:r>
        <w:rPr>
          <w:rStyle w:val="FootnoteReference"/>
        </w:rPr>
        <w:footnoteReference w:id="957"/>
      </w:r>
      <w:r w:rsidRPr="006A21F9">
        <w:rPr>
          <w:lang w:val="ru-RU"/>
        </w:rPr>
        <w:t xml:space="preserve"> 被接纳并继续被接纳到教会中。至于重新施洗，过去仅针对那些先前受洗不合规、未奉至圣三位一体之名、而是按主所设立的方式受洗，因而完全未能蒙受此圣礼恩典的人，如今也仅针对此类人重新施洗。</w:t>
      </w:r>
      <w:r>
        <w:rPr>
          <w:rStyle w:val="FootnoteReference"/>
        </w:rPr>
        <w:footnoteReference w:id="958"/>
      </w:r>
    </w:p>
    <w:p w14:paraId="7A0AD05D" w14:textId="77777777" w:rsidR="00BE1885" w:rsidRPr="006A21F9" w:rsidRDefault="00BE1885" w:rsidP="00BE1885">
      <w:pPr>
        <w:rPr>
          <w:lang w:val="ru-RU"/>
        </w:rPr>
      </w:pPr>
    </w:p>
    <w:p w14:paraId="0BE86EFB" w14:textId="77777777" w:rsidR="00BE1885" w:rsidRPr="006A21F9" w:rsidRDefault="00BE1885" w:rsidP="00BE1885">
      <w:pPr>
        <w:pStyle w:val="Heading5"/>
        <w:rPr>
          <w:lang w:val="ru-RU"/>
        </w:rPr>
      </w:pPr>
      <w:bookmarkStart w:id="731" w:name="_Toc133142971"/>
      <w:bookmarkStart w:id="732" w:name="_Toc133166328"/>
      <w:bookmarkStart w:id="733" w:name="_Toc182221538"/>
      <w:bookmarkStart w:id="734" w:name="_Toc238453105"/>
      <w:bookmarkStart w:id="735" w:name="_Toc238453905"/>
      <w:bookmarkStart w:id="736" w:name="_Toc238576565"/>
      <w:r w:rsidRPr="006A21F9">
        <w:rPr>
          <w:bCs/>
          <w:lang w:val="ru-RU"/>
        </w:rPr>
        <w:lastRenderedPageBreak/>
        <w:t>§205.</w:t>
      </w:r>
      <w:r w:rsidRPr="006A21F9">
        <w:rPr>
          <w:lang w:val="ru-RU"/>
        </w:rPr>
        <w:t xml:space="preserve"> 洗礼对所有人的必要性；婴儿洗礼；血洗礼</w:t>
      </w:r>
      <w:bookmarkEnd w:id="731"/>
      <w:bookmarkEnd w:id="732"/>
      <w:bookmarkEnd w:id="733"/>
      <w:bookmarkEnd w:id="734"/>
      <w:bookmarkEnd w:id="735"/>
      <w:bookmarkEnd w:id="736"/>
    </w:p>
    <w:p w14:paraId="6EF65BF0"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根据洗礼圣礼所带来的恩典功效，自然可以得出结论：凡是渴望洗净罪孽、成为上帝的儿女、获得永恒救赎的人，都必须接受洗礼。这种必要性：</w:t>
      </w:r>
    </w:p>
    <w:p w14:paraId="7C31EE56" w14:textId="77777777" w:rsidR="00BE1885" w:rsidRPr="006A21F9" w:rsidRDefault="00BE1885" w:rsidP="00BE1885">
      <w:pPr>
        <w:ind w:firstLine="708"/>
        <w:rPr>
          <w:lang w:val="ru-RU"/>
        </w:rPr>
      </w:pPr>
      <w:r w:rsidRPr="006A21F9">
        <w:rPr>
          <w:b/>
          <w:bCs/>
          <w:lang w:val="ru-RU"/>
        </w:rPr>
        <w:t>1)</w:t>
      </w:r>
      <w:r w:rsidRPr="006A21F9">
        <w:rPr>
          <w:lang w:val="ru-RU"/>
        </w:rPr>
        <w:t xml:space="preserve"> 救主基督亲自作证，他说：</w:t>
      </w:r>
      <w:r w:rsidRPr="006A21F9">
        <w:rPr>
          <w:i/>
          <w:iCs/>
          <w:lang w:val="ru-RU"/>
        </w:rPr>
        <w:t>“人若不是从水和圣灵生的，就不能进神的国</w:t>
      </w:r>
      <w:r w:rsidRPr="006A21F9">
        <w:rPr>
          <w:lang w:val="ru-RU"/>
        </w:rPr>
        <w:t>”（约3:5）。</w:t>
      </w:r>
      <w:r w:rsidRPr="006A21F9">
        <w:rPr>
          <w:i/>
          <w:iCs/>
          <w:lang w:val="ru-RU"/>
        </w:rPr>
        <w:t>“信而受洗的，必然得救；不信的，必被定罪”</w:t>
      </w:r>
      <w:r w:rsidRPr="006A21F9">
        <w:rPr>
          <w:lang w:val="ru-RU"/>
        </w:rPr>
        <w:t>（可16:16）。 这些话如此清晰明确，无需任何解释。</w:t>
      </w:r>
    </w:p>
    <w:p w14:paraId="229145AA" w14:textId="77777777" w:rsidR="00BE1885" w:rsidRPr="006A21F9" w:rsidRDefault="00BE1885" w:rsidP="00BE1885">
      <w:pPr>
        <w:ind w:firstLine="708"/>
        <w:rPr>
          <w:lang w:val="ru-RU"/>
        </w:rPr>
      </w:pPr>
      <w:r w:rsidRPr="006A21F9">
        <w:rPr>
          <w:b/>
          <w:bCs/>
          <w:lang w:val="ru-RU"/>
        </w:rPr>
        <w:t>2)</w:t>
      </w:r>
      <w:r w:rsidRPr="006A21F9">
        <w:rPr>
          <w:lang w:val="ru-RU"/>
        </w:rPr>
        <w:t xml:space="preserve"> 圣使徒们也作过见证。 圣彼得在听到他首次讲道后，许多人的心都深受感动，便问他和其他使徒：“</w:t>
      </w:r>
      <w:r w:rsidRPr="006A21F9">
        <w:rPr>
          <w:i/>
          <w:iCs/>
          <w:lang w:val="ru-RU"/>
        </w:rPr>
        <w:t>弟兄</w:t>
      </w:r>
      <w:r w:rsidRPr="006A21F9">
        <w:rPr>
          <w:lang w:val="ru-RU"/>
        </w:rPr>
        <w:t>们，</w:t>
      </w:r>
      <w:r w:rsidRPr="006A21F9">
        <w:rPr>
          <w:i/>
          <w:iCs/>
          <w:lang w:val="ru-RU"/>
        </w:rPr>
        <w:t>我们当怎样行</w:t>
      </w:r>
      <w:r w:rsidRPr="006A21F9">
        <w:rPr>
          <w:lang w:val="ru-RU"/>
        </w:rPr>
        <w:t>？”他回答说：</w:t>
      </w:r>
      <w:r w:rsidRPr="006A21F9">
        <w:rPr>
          <w:i/>
          <w:iCs/>
          <w:lang w:val="ru-RU"/>
        </w:rPr>
        <w:t>“你们要悔改，每人奉耶稣基督的名受洗，使你们的罪得赦免；你们就必领受圣灵的恩赐</w:t>
      </w:r>
      <w:r w:rsidRPr="006A21F9">
        <w:rPr>
          <w:lang w:val="ru-RU"/>
        </w:rPr>
        <w:t>”（使徒行传2:37-38）。而且——他普遍认为洗礼对每个人都是如此必要，甚至向那些在受洗前就蒙受圣灵恩赐的人传授洗礼（使徒行传 10:45-48）。 同样，圣保罗在论及主所成就的我们得救这一伟大事工时，指出</w:t>
      </w:r>
      <w:r w:rsidRPr="006A21F9">
        <w:rPr>
          <w:i/>
          <w:iCs/>
          <w:lang w:val="ru-RU"/>
        </w:rPr>
        <w:t>基督爱教会，为教会舍己，要用水藉着道把教会洗净，使她成圣</w:t>
      </w:r>
      <w:r w:rsidRPr="006A21F9">
        <w:rPr>
          <w:lang w:val="ru-RU"/>
        </w:rPr>
        <w:t>（以弗所书 5:25-26）， 并且祂正是</w:t>
      </w:r>
      <w:r w:rsidRPr="006A21F9">
        <w:rPr>
          <w:i/>
          <w:iCs/>
          <w:lang w:val="ru-RU"/>
        </w:rPr>
        <w:t>藉着圣灵重生与更新的洗礼</w:t>
      </w:r>
      <w:r w:rsidRPr="006A21F9">
        <w:rPr>
          <w:lang w:val="ru-RU"/>
        </w:rPr>
        <w:t>拯救了我们（提多书3:5），即承认洗礼圣事是我们领受救恩的本质性必要条件。</w:t>
      </w:r>
    </w:p>
    <w:p w14:paraId="3A2A5E4E" w14:textId="77777777" w:rsidR="00BE1885" w:rsidRPr="006A21F9" w:rsidRDefault="00BE1885" w:rsidP="00BE1885">
      <w:pPr>
        <w:ind w:firstLine="708"/>
        <w:rPr>
          <w:lang w:val="ru-RU"/>
        </w:rPr>
      </w:pPr>
      <w:r w:rsidRPr="006A21F9">
        <w:rPr>
          <w:b/>
          <w:bCs/>
          <w:lang w:val="ru-RU"/>
        </w:rPr>
        <w:t>3)</w:t>
      </w:r>
      <w:r w:rsidRPr="006A21F9">
        <w:rPr>
          <w:lang w:val="ru-RU"/>
        </w:rPr>
        <w:t xml:space="preserve"> 教会的圣父们和教师们也一致承认并宣认这一点。在众多见证</w:t>
      </w:r>
      <w:r>
        <w:rPr>
          <w:rStyle w:val="FootnoteReference"/>
        </w:rPr>
        <w:footnoteReference w:id="959"/>
      </w:r>
      <w:r w:rsidRPr="006A21F9">
        <w:rPr>
          <w:lang w:val="ru-RU"/>
        </w:rPr>
        <w:t xml:space="preserve"> 中，我们引用以下话语：</w:t>
      </w:r>
    </w:p>
    <w:p w14:paraId="06709E1F" w14:textId="77777777" w:rsidR="00BE1885" w:rsidRPr="006A21F9" w:rsidRDefault="00BE1885" w:rsidP="00BE1885">
      <w:pPr>
        <w:rPr>
          <w:lang w:val="ru-RU"/>
        </w:rPr>
      </w:pPr>
      <w:r w:rsidRPr="006A21F9">
        <w:rPr>
          <w:lang w:val="ru-RU"/>
        </w:rPr>
        <w:tab/>
        <w:t>耶路撒冷的圣西里尔：“当你下到水中时，不要只把水当作普通的水，而要期待藉着圣灵的大能获得救恩。因为若缺少其中任何一项，你便无法达到完全。 说这话的并非我，而是在这事上掌权的主耶稣基督。祂说：</w:t>
      </w:r>
      <w:r w:rsidRPr="006A21F9">
        <w:rPr>
          <w:i/>
          <w:iCs/>
          <w:lang w:val="ru-RU"/>
        </w:rPr>
        <w:t>‘人若不从上头生，就不能进神的国’</w:t>
      </w:r>
      <w:r w:rsidRPr="006A21F9">
        <w:rPr>
          <w:lang w:val="ru-RU"/>
        </w:rPr>
        <w:t>（约3:3-5），并补充道：</w:t>
      </w:r>
      <w:r w:rsidRPr="006A21F9">
        <w:rPr>
          <w:i/>
          <w:iCs/>
          <w:lang w:val="ru-RU"/>
        </w:rPr>
        <w:t>‘从水和圣灵生’</w:t>
      </w:r>
      <w:r w:rsidRPr="006A21F9">
        <w:rPr>
          <w:lang w:val="ru-RU"/>
        </w:rPr>
        <w:t>。 无论是受了水洗却未蒙圣灵感召的人，还是行善却未受水洗印记的人，都无法进入天国。 这话虽大胆，却非出我之口；因为耶稣已如此断定。以下是圣经中的明证：哥尼流是个义人，蒙受了天使的显现；他的祷告和施舍在天上呈现在神面前，形成了一根美丽的柱子。 彼得来到后，圣灵便降临在信徒身上，他们开始说方言并作预言；不过，圣经记载，即便在蒙受这属灵恩典之后，彼得仍吩咐他们奉耶稣基督的名受洗，以便在因信重生之后，借着水使身体也蒙受恩典。”</w:t>
      </w:r>
      <w:r>
        <w:rPr>
          <w:rStyle w:val="FootnoteReference"/>
        </w:rPr>
        <w:footnoteReference w:id="960"/>
      </w:r>
    </w:p>
    <w:p w14:paraId="296EBF30" w14:textId="77777777" w:rsidR="00BE1885" w:rsidRPr="006A21F9" w:rsidRDefault="00BE1885" w:rsidP="00BE1885">
      <w:pPr>
        <w:rPr>
          <w:lang w:val="ru-RU"/>
        </w:rPr>
      </w:pPr>
      <w:r w:rsidRPr="006A21F9">
        <w:rPr>
          <w:lang w:val="ru-RU"/>
        </w:rPr>
        <w:tab/>
        <w:t>大圣巴西尔：“我们为何是基督徒？人人都会说：因着信仰。那么我们如何得救呢？就是通过重生，确切地说，是通过洗礼所赐予的恩典。因为除此之外，还有什么别的得救之道呢？”</w:t>
      </w:r>
      <w:r>
        <w:rPr>
          <w:rStyle w:val="FootnoteReference"/>
        </w:rPr>
        <w:footnoteReference w:id="961"/>
      </w:r>
    </w:p>
    <w:p w14:paraId="18A9698F" w14:textId="77777777" w:rsidR="00BE1885" w:rsidRPr="006A21F9" w:rsidRDefault="00BE1885" w:rsidP="00BE1885">
      <w:pPr>
        <w:rPr>
          <w:lang w:val="ru-RU"/>
        </w:rPr>
      </w:pPr>
      <w:r w:rsidRPr="006A21F9">
        <w:rPr>
          <w:lang w:val="ru-RU"/>
        </w:rPr>
        <w:tab/>
        <w:t>圣安布罗斯：“除了通过洗礼圣事，没有人能进入天国。”</w:t>
      </w:r>
      <w:r>
        <w:rPr>
          <w:rStyle w:val="FootnoteReference"/>
        </w:rPr>
        <w:footnoteReference w:id="962"/>
      </w:r>
      <w:r w:rsidRPr="006A21F9">
        <w:rPr>
          <w:lang w:val="ru-RU"/>
        </w:rPr>
        <w:t xml:space="preserve"> “受教者也信靠主耶稣的十字架，并以此为记号；但如果他不奉圣父、圣子、圣灵的名受洗，就无法获得罪的赦免，也无法蒙受属灵恩典的恩赐。”</w:t>
      </w:r>
      <w:r>
        <w:rPr>
          <w:rStyle w:val="FootnoteReference"/>
        </w:rPr>
        <w:footnoteReference w:id="963"/>
      </w:r>
    </w:p>
    <w:p w14:paraId="3643539D" w14:textId="77777777" w:rsidR="00BE1885" w:rsidRPr="006A21F9" w:rsidRDefault="00BE1885" w:rsidP="00BE1885">
      <w:pPr>
        <w:rPr>
          <w:lang w:val="ru-RU"/>
        </w:rPr>
      </w:pPr>
      <w:r w:rsidRPr="006A21F9">
        <w:rPr>
          <w:lang w:val="ru-RU"/>
        </w:rPr>
        <w:tab/>
        <w:t>马西利亚的根纳迪乌斯：“我们相信，唯有受洗者才能获得得救之路。”</w:t>
      </w:r>
      <w:r>
        <w:rPr>
          <w:rStyle w:val="FootnoteReference"/>
        </w:rPr>
        <w:footnoteReference w:id="964"/>
      </w:r>
    </w:p>
    <w:p w14:paraId="4FEB7E82"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w:t>
      </w:r>
      <w:r w:rsidRPr="006A21F9">
        <w:rPr>
          <w:lang w:val="ru-RU"/>
        </w:rPr>
        <w:t xml:space="preserve"> 既然如此，洗礼作为通往上帝国度的唯一门户，对所有人而言都是必要的；那么，这一圣礼不仅应施予成年人，也应施予婴孩，这与某些教派（如再洗礼派等）的谬论相悖。因为：</w:t>
      </w:r>
    </w:p>
    <w:p w14:paraId="18611E37" w14:textId="77777777" w:rsidR="00BE1885" w:rsidRPr="006A21F9" w:rsidRDefault="00BE1885" w:rsidP="00BE1885">
      <w:pPr>
        <w:ind w:firstLine="708"/>
        <w:rPr>
          <w:lang w:val="ru-RU"/>
        </w:rPr>
      </w:pPr>
      <w:r w:rsidRPr="006A21F9">
        <w:rPr>
          <w:b/>
          <w:bCs/>
          <w:lang w:val="ru-RU"/>
        </w:rPr>
        <w:t>1)</w:t>
      </w:r>
      <w:r w:rsidRPr="006A21F9">
        <w:rPr>
          <w:lang w:val="ru-RU"/>
        </w:rPr>
        <w:t xml:space="preserve"> 婴孩也有资格进入上帝的国度，接受圣灵的圣化。救主曾对门徒说：“</w:t>
      </w:r>
      <w:r w:rsidRPr="006A21F9">
        <w:rPr>
          <w:i/>
          <w:iCs/>
          <w:lang w:val="ru-RU"/>
        </w:rPr>
        <w:t>让小孩子到我这里来，不要禁止他们，因为天国正是属于这样的人。</w:t>
      </w:r>
      <w:r w:rsidRPr="006A21F9">
        <w:rPr>
          <w:lang w:val="ru-RU"/>
        </w:rPr>
        <w:t>”[(太 19:14)；(太 18:3)； （可10:15）；（路18:15）]。曾有事例表明，上帝早在母腹中就藉圣灵使婴孩成圣并充满圣灵，例如耶利米（耶1:5）和施洗约翰（路1:15-41）。</w:t>
      </w:r>
    </w:p>
    <w:p w14:paraId="60D0E76A" w14:textId="77777777" w:rsidR="00BE1885" w:rsidRPr="006A21F9" w:rsidRDefault="00BE1885" w:rsidP="00BE1885">
      <w:pPr>
        <w:ind w:firstLine="708"/>
        <w:rPr>
          <w:lang w:val="ru-RU"/>
        </w:rPr>
      </w:pPr>
      <w:r w:rsidRPr="006A21F9">
        <w:rPr>
          <w:b/>
          <w:bCs/>
          <w:lang w:val="ru-RU"/>
        </w:rPr>
        <w:t>2)</w:t>
      </w:r>
      <w:r w:rsidRPr="006A21F9">
        <w:rPr>
          <w:lang w:val="ru-RU"/>
        </w:rPr>
        <w:t xml:space="preserve"> 婴孩同样难逃原罪的桎梏，唯有通过洗礼，他们才能从原罪中得洁净，进入神的国度。 救主有句名言：</w:t>
      </w:r>
      <w:r w:rsidRPr="006A21F9">
        <w:rPr>
          <w:i/>
          <w:iCs/>
          <w:lang w:val="ru-RU"/>
        </w:rPr>
        <w:t>人若不从水 和圣灵重生，就不能进神的国。从肉身生的就是肉身</w:t>
      </w:r>
      <w:r w:rsidRPr="006A21F9">
        <w:rPr>
          <w:lang w:val="ru-RU"/>
        </w:rPr>
        <w:t>[(约3:5-6)；(罗5:12-18)]。</w:t>
      </w:r>
      <w:r>
        <w:rPr>
          <w:rStyle w:val="FootnoteReference"/>
        </w:rPr>
        <w:footnoteReference w:id="965"/>
      </w:r>
    </w:p>
    <w:p w14:paraId="494AB9A1" w14:textId="77777777" w:rsidR="00BE1885" w:rsidRPr="006A21F9" w:rsidRDefault="00BE1885" w:rsidP="00BE1885">
      <w:pPr>
        <w:ind w:firstLine="708"/>
        <w:rPr>
          <w:lang w:val="ru-RU"/>
        </w:rPr>
      </w:pPr>
      <w:r w:rsidRPr="006A21F9">
        <w:rPr>
          <w:b/>
          <w:bCs/>
          <w:lang w:val="ru-RU"/>
        </w:rPr>
        <w:t xml:space="preserve">3) </w:t>
      </w:r>
      <w:r w:rsidRPr="006A21F9">
        <w:rPr>
          <w:lang w:val="ru-RU"/>
        </w:rPr>
        <w:t>在旧约中，以色列人通过割礼与上帝立约，这割礼是按照上帝的命令，甚至对婴孩也要施行（创世记 17:12）。 但旧约的割礼是洗礼圣礼的预表，我们正是通过洗礼在新约中与神立约 [(歌罗西书 2:11-12)；(加拉太书 3:26-29)]。 因此，如果在新约中，上帝自己承认连婴孩也有能力与祂立约，那么为什么在新约中要剥夺他们这一恩典呢？</w:t>
      </w:r>
    </w:p>
    <w:p w14:paraId="52C03373" w14:textId="77777777" w:rsidR="00BE1885" w:rsidRPr="006A21F9" w:rsidRDefault="00BE1885" w:rsidP="00BE1885">
      <w:pPr>
        <w:ind w:firstLine="708"/>
        <w:rPr>
          <w:lang w:val="ru-RU"/>
        </w:rPr>
      </w:pPr>
      <w:r w:rsidRPr="006A21F9">
        <w:rPr>
          <w:b/>
          <w:bCs/>
          <w:lang w:val="ru-RU"/>
        </w:rPr>
        <w:t>4)</w:t>
      </w:r>
      <w:r w:rsidRPr="006A21F9">
        <w:rPr>
          <w:lang w:val="ru-RU"/>
        </w:rPr>
        <w:t xml:space="preserve"> 圣使徒们有时会为整个家庭施洗，例如吕底亚的全家（使徒行传 16:14-15）、斯提芬尼一家（哥林多前书 1:16），以及某位守卫的全家（使徒行传 16:30-39）。 但没有人能断言，这些家庭中只有成年人，完全没有儿童和婴儿；更不能断言，即使有儿童，他们也被排除在洗礼之外。</w:t>
      </w:r>
    </w:p>
    <w:p w14:paraId="32829413" w14:textId="77777777" w:rsidR="00BE1885" w:rsidRPr="006A21F9" w:rsidRDefault="00BE1885" w:rsidP="00BE1885">
      <w:pPr>
        <w:rPr>
          <w:lang w:val="ru-RU"/>
        </w:rPr>
      </w:pPr>
      <w:r w:rsidRPr="006A21F9">
        <w:rPr>
          <w:lang w:val="ru-RU"/>
        </w:rPr>
        <w:tab/>
        <w:t>教会的圣父们和教师们留下了无可置疑的见证，表明洗礼一直以来都是、也应当施予婴孩，有些人甚至直接将此称为“使徒传统”。例如，他们这样说：</w:t>
      </w:r>
    </w:p>
    <w:p w14:paraId="567779D0" w14:textId="77777777" w:rsidR="00BE1885" w:rsidRPr="006A21F9" w:rsidRDefault="00BE1885" w:rsidP="00BE1885">
      <w:pPr>
        <w:rPr>
          <w:lang w:val="ru-RU"/>
        </w:rPr>
      </w:pPr>
      <w:r w:rsidRPr="006A21F9">
        <w:rPr>
          <w:lang w:val="ru-RU"/>
        </w:rPr>
        <w:tab/>
        <w:t>圣爱任纽：“（基督）降临是为了藉着祂自己拯救所有人——我所指的‘所有人’，是指那些藉着祂为上帝重生的：婴孩、孩童、少年、青年和老人。”</w:t>
      </w:r>
      <w:r>
        <w:rPr>
          <w:rStyle w:val="FootnoteReference"/>
        </w:rPr>
        <w:footnoteReference w:id="966"/>
      </w:r>
    </w:p>
    <w:p w14:paraId="40890365" w14:textId="77777777" w:rsidR="00BE1885" w:rsidRPr="006A21F9" w:rsidRDefault="00BE1885" w:rsidP="00BE1885">
      <w:pPr>
        <w:rPr>
          <w:lang w:val="ru-RU"/>
        </w:rPr>
      </w:pPr>
      <w:r w:rsidRPr="006A21F9">
        <w:rPr>
          <w:lang w:val="ru-RU"/>
        </w:rPr>
        <w:tab/>
        <w:t>奥利金：“教会承袭了使徒的传统，即为婴孩施洗，”</w:t>
      </w:r>
      <w:r>
        <w:rPr>
          <w:rStyle w:val="FootnoteReference"/>
        </w:rPr>
        <w:footnoteReference w:id="967"/>
      </w:r>
      <w:r w:rsidRPr="006A21F9">
        <w:rPr>
          <w:lang w:val="ru-RU"/>
        </w:rPr>
        <w:t xml:space="preserve"> “婴孩受洗是为了赦免罪过……因为通过洗礼圣事，出生时的污秽得以洁净：因此，婴孩也要受洗。”</w:t>
      </w:r>
      <w:r>
        <w:rPr>
          <w:rStyle w:val="FootnoteReference"/>
        </w:rPr>
        <w:footnoteReference w:id="968"/>
      </w:r>
    </w:p>
    <w:p w14:paraId="63540392" w14:textId="77777777" w:rsidR="00BE1885" w:rsidRPr="006A21F9" w:rsidRDefault="00BE1885" w:rsidP="00BE1885">
      <w:pPr>
        <w:rPr>
          <w:lang w:val="ru-RU"/>
        </w:rPr>
      </w:pPr>
      <w:r w:rsidRPr="006A21F9">
        <w:rPr>
          <w:lang w:val="ru-RU"/>
        </w:rPr>
        <w:tab/>
        <w:t>圣基普里安：“倘若那些曾多次得罪上帝的大罪人，在信主后也能获得罪的赦免，且无人被禁止接受洗礼与恩典； 那么，更不该拒绝这个婴儿，他刚一出生，除了因源自亚当的肉体，在出生之时便承受了（</w:t>
      </w:r>
      <w:r w:rsidRPr="001E4083">
        <w:t>contraxit</w:t>
      </w:r>
      <w:r w:rsidRPr="006A21F9">
        <w:rPr>
          <w:lang w:val="ru-RU"/>
        </w:rPr>
        <w:t>）远古死亡的玷污之外，并未犯下任何罪过；而且，他更容易接受罪的赦免，因为被赦免的并非他自身的</w:t>
      </w:r>
      <w:r w:rsidRPr="006A21F9">
        <w:rPr>
          <w:lang w:val="ru-RU"/>
        </w:rPr>
        <w:lastRenderedPageBreak/>
        <w:t>罪，而是他人的罪。 因此，亲爱的弟兄，我们在本次大公会议上通过了如下决议： 我们不应将任何人排除在洗礼和上帝的恩典之外——上帝对所有人都是仁慈、良善且宽厚的。这一点不仅应适用于所有人，我们认为尤其应适用于新生婴儿，他们理应得到我们优先的关怀和上帝的怜悯。”</w:t>
      </w:r>
      <w:r>
        <w:rPr>
          <w:rStyle w:val="FootnoteReference"/>
        </w:rPr>
        <w:footnoteReference w:id="969"/>
      </w:r>
    </w:p>
    <w:p w14:paraId="2919D5A0" w14:textId="77777777" w:rsidR="00BE1885" w:rsidRPr="006A21F9" w:rsidRDefault="00BE1885" w:rsidP="00BE1885">
      <w:pPr>
        <w:rPr>
          <w:lang w:val="ru-RU"/>
        </w:rPr>
      </w:pPr>
      <w:r w:rsidRPr="006A21F9">
        <w:rPr>
          <w:lang w:val="ru-RU"/>
        </w:rPr>
        <w:tab/>
        <w:t>圣格里高利·神学家：“你有婴儿吗？——不要给邪恶留有可乘之机；让他在婴孩时期就蒙受圣化，从幼年时起就献身于圣灵。 你因本性的软弱而惧怕这印记，如同一个怯懦且信心不足的母亲吗？但安娜在撒母耳出生前就已将他许给上帝，出生后不久便将他奉献出来，并为他穿上圣袍，她并不惧怕人的软弱，而是信靠上帝。”</w:t>
      </w:r>
      <w:r>
        <w:rPr>
          <w:rStyle w:val="FootnoteReference"/>
        </w:rPr>
        <w:footnoteReference w:id="970"/>
      </w:r>
    </w:p>
    <w:p w14:paraId="5F252FF1" w14:textId="77777777" w:rsidR="00BE1885" w:rsidRPr="006A21F9" w:rsidRDefault="00BE1885" w:rsidP="00BE1885">
      <w:pPr>
        <w:rPr>
          <w:lang w:val="ru-RU"/>
        </w:rPr>
      </w:pPr>
      <w:r w:rsidRPr="006A21F9">
        <w:rPr>
          <w:lang w:val="ru-RU"/>
        </w:rPr>
        <w:tab/>
        <w:t>迦太基大公会议的教父们（公元418年）：“凡否认婴孩——即刚从母腹出生的孩子——受洗的必要性，或声称虽然他们受洗是为了赦免罪过， 却并未从亚当的原罪中承袭任何需要通过重生之浴来洗净的东西（由此推论，为赦罪而施行的洗礼仪式对他们而言并非真正意义上的，而是虚假的），此人当受绝罚。 因为使徒所言：</w:t>
      </w:r>
      <w:r w:rsidRPr="006A21F9">
        <w:rPr>
          <w:i/>
          <w:iCs/>
          <w:lang w:val="ru-RU"/>
        </w:rPr>
        <w:t>“罪是从一人进入世界，死又是从罪来的；于是死就临到众人，因为众人都犯了罪</w:t>
      </w:r>
      <w:r w:rsidRPr="006A21F9">
        <w:rPr>
          <w:lang w:val="ru-RU"/>
        </w:rPr>
        <w:t>”（罗5:12），理应按普世教会——那遍布各地、广为传播的教会——历来所理解的方式来理解，绝无其他解释。 因为，根据这一信仰准则，即便是尚不能自行犯下任何罪过的婴孩，也是真正为了赦免罪过而受洗，好使他们通过重生，洗净从旧有生命中继承下来的罪性”（第124条）。</w:t>
      </w:r>
    </w:p>
    <w:p w14:paraId="30AD2212" w14:textId="77777777" w:rsidR="00BE1885" w:rsidRPr="006A21F9" w:rsidRDefault="00BE1885" w:rsidP="00BE1885">
      <w:pPr>
        <w:rPr>
          <w:lang w:val="ru-RU"/>
        </w:rPr>
      </w:pPr>
      <w:r w:rsidRPr="006A21F9">
        <w:rPr>
          <w:lang w:val="ru-RU"/>
        </w:rPr>
        <w:tab/>
        <w:t>圣奥古斯丁：“这（婴儿洗礼）是教会一直以来所拥有的，一直以来所坚守的；这是她从先辈的信仰中继承而来的；她将始终恪守这一传统，直至终结。”</w:t>
      </w:r>
      <w:r>
        <w:rPr>
          <w:rStyle w:val="FootnoteReference"/>
        </w:rPr>
        <w:footnoteReference w:id="971"/>
      </w:r>
    </w:p>
    <w:p w14:paraId="7D00C721" w14:textId="77777777" w:rsidR="00BE1885" w:rsidRPr="006A21F9" w:rsidRDefault="00BE1885" w:rsidP="00BE1885">
      <w:pPr>
        <w:rPr>
          <w:lang w:val="ru-RU"/>
        </w:rPr>
      </w:pPr>
      <w:r w:rsidRPr="006A21F9">
        <w:rPr>
          <w:lang w:val="ru-RU"/>
        </w:rPr>
        <w:tab/>
        <w:t>类似的见证还见于《使徒宪章》、圣狄奥尼修斯·阿雷奥帕吉塔、亚历山大的克利门特、佩鲁西奥的伊西多尔、安布罗斯、约翰·金口等人的著作中。</w:t>
      </w:r>
      <w:r>
        <w:rPr>
          <w:rStyle w:val="FootnoteReference"/>
        </w:rPr>
        <w:footnoteReference w:id="972"/>
      </w:r>
    </w:p>
    <w:p w14:paraId="21E43E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尽管洗礼圣事对所有人——无论是婴孩还是成人——都必不可少，但根据东正教会的信仰，在特殊情况下，它可以被另一种非常规的洗礼所替代，即“血洗礼”或“殉道洗礼”。</w:t>
      </w:r>
      <w:r>
        <w:rPr>
          <w:rStyle w:val="FootnoteReference"/>
        </w:rPr>
        <w:footnoteReference w:id="973"/>
      </w:r>
      <w:r w:rsidRPr="006A21F9">
        <w:rPr>
          <w:lang w:val="ru-RU"/>
        </w:rPr>
        <w:t xml:space="preserve"> 即当某人尚未来得及接受水与圣灵的洗礼，却因基督的信仰而遭受迫害，为信仰流血并面临死亡时，便以此方式接受了与基督相同的洗礼（马太福音 20:22-23）。</w:t>
      </w:r>
    </w:p>
    <w:p w14:paraId="4C4B8FB4" w14:textId="77777777" w:rsidR="00BE1885" w:rsidRPr="006A21F9" w:rsidRDefault="00BE1885" w:rsidP="00BE1885">
      <w:pPr>
        <w:ind w:firstLine="708"/>
        <w:rPr>
          <w:lang w:val="ru-RU"/>
        </w:rPr>
      </w:pPr>
      <w:r w:rsidRPr="006A21F9">
        <w:rPr>
          <w:b/>
          <w:bCs/>
          <w:lang w:val="ru-RU"/>
        </w:rPr>
        <w:t>1)</w:t>
      </w:r>
      <w:r w:rsidRPr="006A21F9">
        <w:rPr>
          <w:lang w:val="ru-RU"/>
        </w:rPr>
        <w:t xml:space="preserve"> 为了理解这种非凡洗礼方式的力量与效力，让我们回顾：</w:t>
      </w:r>
      <w:r w:rsidRPr="006A21F9">
        <w:rPr>
          <w:b/>
          <w:bCs/>
          <w:lang w:val="ru-RU"/>
        </w:rPr>
        <w:t>a)</w:t>
      </w:r>
      <w:r w:rsidRPr="006A21F9">
        <w:rPr>
          <w:lang w:val="ru-RU"/>
        </w:rPr>
        <w:t xml:space="preserve"> 救主的话：</w:t>
      </w:r>
      <w:r w:rsidRPr="006A21F9">
        <w:rPr>
          <w:i/>
          <w:iCs/>
          <w:lang w:val="ru-RU"/>
        </w:rPr>
        <w:t>凡在人面前认我的，我在我天上的父面前也必认他</w:t>
      </w:r>
      <w:r w:rsidRPr="006A21F9">
        <w:rPr>
          <w:lang w:val="ru-RU"/>
        </w:rPr>
        <w:t xml:space="preserve">（太10:32）； </w:t>
      </w:r>
      <w:r w:rsidRPr="006A21F9">
        <w:rPr>
          <w:b/>
          <w:bCs/>
          <w:lang w:val="ru-RU"/>
        </w:rPr>
        <w:t>b)</w:t>
      </w:r>
      <w:r w:rsidRPr="006A21F9">
        <w:rPr>
          <w:lang w:val="ru-RU"/>
        </w:rPr>
        <w:t xml:space="preserve"> 另一段话：</w:t>
      </w:r>
      <w:r w:rsidRPr="006A21F9">
        <w:rPr>
          <w:i/>
          <w:iCs/>
          <w:lang w:val="ru-RU"/>
        </w:rPr>
        <w:t>“凡要救自己生命的，必丧掉生命；凡为我和福音丧掉生命的，必救了生命</w:t>
      </w:r>
      <w:r w:rsidRPr="006A21F9">
        <w:rPr>
          <w:lang w:val="ru-RU"/>
        </w:rPr>
        <w:t xml:space="preserve">”[（可8:35）；参见（太10:30）；（太16:25）]； </w:t>
      </w:r>
      <w:r w:rsidRPr="006A21F9">
        <w:rPr>
          <w:i/>
          <w:iCs/>
          <w:lang w:val="ru-RU"/>
        </w:rPr>
        <w:t>为义受逼迫的人有福了，因为天国是他们的</w:t>
      </w:r>
      <w:r w:rsidRPr="006A21F9">
        <w:rPr>
          <w:lang w:val="ru-RU"/>
        </w:rPr>
        <w:t>（太5:10）；</w:t>
      </w:r>
      <w:r w:rsidRPr="006A21F9">
        <w:rPr>
          <w:b/>
          <w:bCs/>
          <w:lang w:val="ru-RU"/>
        </w:rPr>
        <w:t>c）</w:t>
      </w:r>
      <w:r w:rsidRPr="006A21F9">
        <w:rPr>
          <w:lang w:val="ru-RU"/>
        </w:rPr>
        <w:t>最后，第三类话语：</w:t>
      </w:r>
      <w:r w:rsidRPr="006A21F9">
        <w:rPr>
          <w:i/>
          <w:iCs/>
          <w:lang w:val="ru-RU"/>
        </w:rPr>
        <w:t>她</w:t>
      </w:r>
      <w:r w:rsidRPr="006A21F9">
        <w:rPr>
          <w:lang w:val="ru-RU"/>
        </w:rPr>
        <w:t>（那个罪妇）</w:t>
      </w:r>
      <w:r w:rsidRPr="006A21F9">
        <w:rPr>
          <w:i/>
          <w:iCs/>
          <w:lang w:val="ru-RU"/>
        </w:rPr>
        <w:t>因爱</w:t>
      </w:r>
      <w:r w:rsidRPr="006A21F9">
        <w:rPr>
          <w:i/>
          <w:iCs/>
          <w:lang w:val="ru-RU"/>
        </w:rPr>
        <w:lastRenderedPageBreak/>
        <w:t>得多，许多罪就赦免了</w:t>
      </w:r>
      <w:r w:rsidRPr="006A21F9">
        <w:rPr>
          <w:lang w:val="ru-RU"/>
        </w:rPr>
        <w:t xml:space="preserve">（路7:47）； </w:t>
      </w:r>
      <w:r w:rsidRPr="006A21F9">
        <w:rPr>
          <w:i/>
          <w:iCs/>
          <w:lang w:val="ru-RU"/>
        </w:rPr>
        <w:t>“爱我的，我父也必爱他</w:t>
      </w:r>
      <w:r w:rsidRPr="006A21F9">
        <w:rPr>
          <w:lang w:val="ru-RU"/>
        </w:rPr>
        <w:t>”（约14:21）；</w:t>
      </w:r>
      <w:r w:rsidRPr="006A21F9">
        <w:rPr>
          <w:i/>
          <w:iCs/>
          <w:lang w:val="ru-RU"/>
        </w:rPr>
        <w:t>“人为朋友舍命，没有比这个更大的爱了。你们若遵行我所吩咐的，就是我的朋友了”</w:t>
      </w:r>
      <w:r w:rsidRPr="006A21F9">
        <w:rPr>
          <w:lang w:val="ru-RU"/>
        </w:rPr>
        <w:t>（约15:13-14）。 而在“血的洗礼”之时，殉道者确实在世人面前为基督作见证，为了祂和福音而舍弃自己的灵魂或生命，为真理的缘故忍受迫害，并向祂彰显出最完全、最伟大的爱——一种至死不渝的爱。</w:t>
      </w:r>
    </w:p>
    <w:p w14:paraId="09D4BED1" w14:textId="77777777" w:rsidR="00BE1885" w:rsidRPr="006A21F9" w:rsidRDefault="00BE1885" w:rsidP="00BE1885">
      <w:pPr>
        <w:ind w:firstLine="708"/>
        <w:rPr>
          <w:lang w:val="ru-RU"/>
        </w:rPr>
      </w:pPr>
      <w:r w:rsidRPr="006A21F9">
        <w:rPr>
          <w:b/>
          <w:bCs/>
          <w:lang w:val="ru-RU"/>
        </w:rPr>
        <w:t>2)</w:t>
      </w:r>
      <w:r w:rsidRPr="006A21F9">
        <w:rPr>
          <w:lang w:val="ru-RU"/>
        </w:rPr>
        <w:t xml:space="preserve"> 圣父们和教会的导师们一致赋予“血洗礼”这样的力量和重要性。例如：</w:t>
      </w:r>
    </w:p>
    <w:p w14:paraId="41A903E9" w14:textId="77777777" w:rsidR="00BE1885" w:rsidRPr="006A21F9" w:rsidRDefault="00BE1885" w:rsidP="00BE1885">
      <w:pPr>
        <w:rPr>
          <w:lang w:val="ru-RU"/>
        </w:rPr>
      </w:pPr>
      <w:r w:rsidRPr="006A21F9">
        <w:rPr>
          <w:lang w:val="ru-RU"/>
        </w:rPr>
        <w:tab/>
        <w:t>圣基普里安：“须知，那些受洗候补者（若遭遇殉道）并未失去洗礼圣事：因为他们接受了最荣耀、最伟大的‘血的洗礼’，主曾说过，祂将接受另一种洗礼（玛20:22）。 至于那些以自己的血受洗、并通过受苦而得以成圣的人，他们如何达到圆满并获得神圣应许的恩典，主在福音书中亲自作证。</w:t>
      </w:r>
      <w:r>
        <w:rPr>
          <w:rStyle w:val="FootnoteReference"/>
        </w:rPr>
        <w:footnoteReference w:id="974"/>
      </w:r>
    </w:p>
    <w:p w14:paraId="0C07CD07" w14:textId="77777777" w:rsidR="00BE1885" w:rsidRPr="006A21F9" w:rsidRDefault="00BE1885" w:rsidP="00BE1885">
      <w:pPr>
        <w:rPr>
          <w:lang w:val="ru-RU"/>
        </w:rPr>
      </w:pPr>
      <w:r w:rsidRPr="006A21F9">
        <w:rPr>
          <w:lang w:val="ru-RU"/>
        </w:rPr>
        <w:tab/>
        <w:t>耶路撒冷的圣西里尔说：“凡不接受洗礼者，便无得救之望，唯独殉道者例外，他们即使没有水，也能进入天国。 因为救主用十字架赎了整个世界，当祂的肋旁被刺穿时，从那里流出了血和水，使一些人在和平时期用水受洗，另一些人在迫害时期用自己的血受洗。 况且，救主还将殉道称为洗礼， 他说：</w:t>
      </w:r>
      <w:r w:rsidRPr="006A21F9">
        <w:rPr>
          <w:i/>
          <w:iCs/>
          <w:lang w:val="ru-RU"/>
        </w:rPr>
        <w:t>‘你们能喝我所喝的杯，受我所受的洗吗？</w:t>
      </w:r>
      <w:r w:rsidRPr="006A21F9">
        <w:rPr>
          <w:lang w:val="ru-RU"/>
        </w:rPr>
        <w:t>’（可10:38）”</w:t>
      </w:r>
      <w:r>
        <w:rPr>
          <w:rStyle w:val="FootnoteReference"/>
        </w:rPr>
        <w:footnoteReference w:id="975"/>
      </w:r>
    </w:p>
    <w:p w14:paraId="22512EAE" w14:textId="77777777" w:rsidR="00BE1885" w:rsidRPr="006A21F9" w:rsidRDefault="00BE1885" w:rsidP="00BE1885">
      <w:pPr>
        <w:rPr>
          <w:lang w:val="ru-RU"/>
        </w:rPr>
      </w:pPr>
      <w:r w:rsidRPr="006A21F9">
        <w:rPr>
          <w:lang w:val="ru-RU"/>
        </w:rPr>
        <w:tab/>
        <w:t>大圣巴西尔：“有些人，在为虔诚而奋斗的事工中，是真实地、而非模仿地为基督而死，他们已无需借助象征性的水来获得救赎，因为他们已用自己的鲜血受了洗。”</w:t>
      </w:r>
      <w:r>
        <w:rPr>
          <w:rStyle w:val="FootnoteReference"/>
        </w:rPr>
        <w:footnoteReference w:id="976"/>
      </w:r>
    </w:p>
    <w:p w14:paraId="1F789856" w14:textId="77777777" w:rsidR="00BE1885" w:rsidRPr="006A21F9" w:rsidRDefault="00BE1885" w:rsidP="00BE1885">
      <w:pPr>
        <w:rPr>
          <w:lang w:val="ru-RU"/>
        </w:rPr>
      </w:pPr>
      <w:r w:rsidRPr="006A21F9">
        <w:rPr>
          <w:lang w:val="ru-RU"/>
        </w:rPr>
        <w:tab/>
        <w:t>圣格里高利·神学家：“我还知道第四种洗礼——即殉道与鲜血的洗礼，基督自己也曾以此受洗，这种洗礼远比其他洗礼更受尊崇，因为它不会被新的污秽所玷污。”</w:t>
      </w:r>
      <w:r>
        <w:rPr>
          <w:rStyle w:val="FootnoteReference"/>
        </w:rPr>
        <w:footnoteReference w:id="977"/>
      </w:r>
    </w:p>
    <w:p w14:paraId="7078EDE3" w14:textId="77777777" w:rsidR="00BE1885" w:rsidRPr="006A21F9" w:rsidRDefault="00BE1885" w:rsidP="00BE1885">
      <w:pPr>
        <w:rPr>
          <w:lang w:val="ru-RU"/>
        </w:rPr>
      </w:pPr>
      <w:r w:rsidRPr="006A21F9">
        <w:rPr>
          <w:lang w:val="ru-RU"/>
        </w:rPr>
        <w:tab/>
      </w:r>
      <w:r>
        <w:rPr>
          <w:rStyle w:val="FootnoteReference"/>
        </w:rPr>
        <w:footnoteReference w:id="978"/>
      </w:r>
      <w:r w:rsidRPr="006A21F9">
        <w:rPr>
          <w:lang w:val="ru-RU"/>
        </w:rPr>
        <w:t>此处不列举奥利金（</w:t>
      </w:r>
      <w:r>
        <w:rPr>
          <w:rStyle w:val="FootnoteReference"/>
        </w:rPr>
        <w:footnoteReference w:id="979"/>
      </w:r>
      <w:r w:rsidRPr="006A21F9">
        <w:rPr>
          <w:lang w:val="ru-RU"/>
        </w:rPr>
        <w:t xml:space="preserve"> ）、特土良（</w:t>
      </w:r>
      <w:r>
        <w:rPr>
          <w:rStyle w:val="FootnoteReference"/>
        </w:rPr>
        <w:footnoteReference w:id="980"/>
      </w:r>
      <w:r w:rsidRPr="006A21F9">
        <w:rPr>
          <w:lang w:val="ru-RU"/>
        </w:rPr>
        <w:t xml:space="preserve"> ）、凯撒利亚的优西比乌（</w:t>
      </w:r>
      <w:r>
        <w:rPr>
          <w:rStyle w:val="FootnoteReference"/>
        </w:rPr>
        <w:footnoteReference w:id="981"/>
      </w:r>
      <w:r w:rsidRPr="006A21F9">
        <w:rPr>
          <w:lang w:val="ru-RU"/>
        </w:rPr>
        <w:t xml:space="preserve"> ）、安布罗斯（</w:t>
      </w:r>
      <w:r>
        <w:rPr>
          <w:rStyle w:val="FootnoteReference"/>
        </w:rPr>
        <w:footnoteReference w:id="982"/>
      </w:r>
      <w:r w:rsidRPr="006A21F9">
        <w:rPr>
          <w:lang w:val="ru-RU"/>
        </w:rPr>
        <w:t xml:space="preserve"> ）、约翰·金口（约翰·达马斯库斯）（</w:t>
      </w:r>
      <w:r>
        <w:rPr>
          <w:rStyle w:val="FootnoteReference"/>
        </w:rPr>
        <w:footnoteReference w:id="983"/>
      </w:r>
      <w:r w:rsidRPr="006A21F9">
        <w:rPr>
          <w:lang w:val="ru-RU"/>
        </w:rPr>
        <w:t xml:space="preserve"> ）以及亚历山大的迪迪摩、奥古斯丁（ ）等人的相关论述。</w:t>
      </w:r>
      <w:r>
        <w:rPr>
          <w:rStyle w:val="FootnoteReference"/>
        </w:rPr>
        <w:footnoteReference w:id="984"/>
      </w:r>
    </w:p>
    <w:p w14:paraId="6A4B04B7" w14:textId="77777777" w:rsidR="00BE1885" w:rsidRPr="006A21F9" w:rsidRDefault="00BE1885" w:rsidP="00BE1885">
      <w:pPr>
        <w:rPr>
          <w:lang w:val="ru-RU"/>
        </w:rPr>
      </w:pPr>
      <w:r w:rsidRPr="006A21F9">
        <w:rPr>
          <w:lang w:val="ru-RU"/>
        </w:rPr>
        <w:tab/>
      </w:r>
    </w:p>
    <w:p w14:paraId="5B00C602" w14:textId="77777777" w:rsidR="00BE1885" w:rsidRPr="006A21F9" w:rsidRDefault="00BE1885" w:rsidP="00BE1885">
      <w:pPr>
        <w:pStyle w:val="Heading5"/>
        <w:rPr>
          <w:lang w:val="ru-RU"/>
        </w:rPr>
      </w:pPr>
      <w:bookmarkStart w:id="737" w:name="_Toc133142972"/>
      <w:bookmarkStart w:id="738" w:name="_Toc133166329"/>
      <w:bookmarkStart w:id="739" w:name="_Toc182221539"/>
      <w:bookmarkStart w:id="740" w:name="_Toc238453106"/>
      <w:bookmarkStart w:id="741" w:name="_Toc238453906"/>
      <w:bookmarkStart w:id="742" w:name="_Toc238576566"/>
      <w:r w:rsidRPr="006A21F9">
        <w:rPr>
          <w:bCs/>
          <w:lang w:val="ru-RU"/>
        </w:rPr>
        <w:t>§206.</w:t>
      </w:r>
      <w:r w:rsidRPr="006A21F9">
        <w:rPr>
          <w:lang w:val="ru-RU"/>
        </w:rPr>
        <w:t xml:space="preserve"> 谁可以施行洗礼？受洗者需要满足哪些条件？</w:t>
      </w:r>
      <w:bookmarkEnd w:id="737"/>
      <w:bookmarkEnd w:id="738"/>
      <w:bookmarkEnd w:id="739"/>
      <w:bookmarkEnd w:id="740"/>
      <w:bookmarkEnd w:id="741"/>
      <w:bookmarkEnd w:id="742"/>
    </w:p>
    <w:p w14:paraId="47B91949"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施行洗礼圣事的权柄，最初由救主授予圣使徒（玛28:19；谷16:16），自古以来在教会中仅由使徒的继承人——主教——以及通过他们由执事——所承袭。 这一点可从以下方面看出：</w:t>
      </w:r>
      <w:r w:rsidRPr="006A21F9">
        <w:rPr>
          <w:b/>
          <w:bCs/>
          <w:lang w:val="ru-RU"/>
        </w:rPr>
        <w:t xml:space="preserve">a) </w:t>
      </w:r>
      <w:r w:rsidRPr="006A21F9">
        <w:rPr>
          <w:lang w:val="ru-RU"/>
        </w:rPr>
        <w:t>在《使徒规条》中，凡提及施洗者之处，均仅指主教和长老，例如：“若主教或长老，对已真正受过洗</w:t>
      </w:r>
      <w:r w:rsidRPr="006A21F9">
        <w:rPr>
          <w:lang w:val="ru-RU"/>
        </w:rPr>
        <w:lastRenderedPageBreak/>
        <w:t>礼者再次施洗，当被逐出”（第47条）； 或：“若有人，无论是主教还是长老，未按主的规定施行洗礼……当被开除”（第49条），以及：“若有人，无论是主教还是长老，未施行三次浸礼……当被开除”（第50条）；</w:t>
      </w:r>
      <w:r>
        <w:rPr>
          <w:rStyle w:val="FootnoteReference"/>
        </w:rPr>
        <w:footnoteReference w:id="985"/>
      </w:r>
      <w:r w:rsidRPr="006A21F9">
        <w:rPr>
          <w:lang w:val="ru-RU"/>
        </w:rPr>
        <w:t xml:space="preserve"> </w:t>
      </w:r>
      <w:r w:rsidRPr="006A21F9">
        <w:rPr>
          <w:b/>
          <w:bCs/>
          <w:lang w:val="ru-RU"/>
        </w:rPr>
        <w:t>b)</w:t>
      </w:r>
      <w:r w:rsidRPr="006A21F9">
        <w:rPr>
          <w:lang w:val="ru-RU"/>
        </w:rPr>
        <w:t xml:space="preserve"> 来自使徒法令： “我们不授予其他神职人员施洗的权柄，例如：诵经员、唱诗班成员、守门员或侍从，而仅授予主教和长老，且须由执事协助；”</w:t>
      </w:r>
      <w:r>
        <w:rPr>
          <w:rStyle w:val="FootnoteReference"/>
        </w:rPr>
        <w:footnoteReference w:id="986"/>
      </w:r>
      <w:r w:rsidRPr="006A21F9">
        <w:rPr>
          <w:lang w:val="ru-RU"/>
        </w:rPr>
        <w:t xml:space="preserve"> </w:t>
      </w:r>
      <w:r w:rsidRPr="006A21F9">
        <w:rPr>
          <w:b/>
          <w:bCs/>
          <w:lang w:val="ru-RU"/>
        </w:rPr>
        <w:t>c)</w:t>
      </w:r>
      <w:r w:rsidRPr="006A21F9">
        <w:rPr>
          <w:lang w:val="ru-RU"/>
        </w:rPr>
        <w:t xml:space="preserve"> 最后，来自圣教父和教会导师的见证，例如：圣伊格纳提乌斯·神载者：“没有主教（即独立于主教，未获其授权）不得施洗，也不得举行爱筵；”</w:t>
      </w:r>
      <w:r>
        <w:rPr>
          <w:rStyle w:val="FootnoteReference"/>
        </w:rPr>
        <w:footnoteReference w:id="987"/>
      </w:r>
      <w:r w:rsidRPr="006A21F9">
        <w:rPr>
          <w:lang w:val="ru-RU"/>
        </w:rPr>
        <w:t xml:space="preserve"> 特土良：“大祭司，即主教，有权施行洗礼；其次是长老与执事，但为维护教会的尊严，必须获得主教的许可，”</w:t>
      </w:r>
      <w:r>
        <w:rPr>
          <w:rStyle w:val="FootnoteReference"/>
        </w:rPr>
        <w:footnoteReference w:id="988"/>
      </w:r>
      <w:r w:rsidRPr="006A21F9">
        <w:rPr>
          <w:lang w:val="ru-RU"/>
        </w:rPr>
        <w:t xml:space="preserve"> 以及其他教父。</w:t>
      </w:r>
      <w:r>
        <w:rPr>
          <w:rStyle w:val="FootnoteReference"/>
        </w:rPr>
        <w:footnoteReference w:id="989"/>
      </w:r>
    </w:p>
    <w:p w14:paraId="230BE834" w14:textId="77777777" w:rsidR="00BE1885" w:rsidRPr="006A21F9" w:rsidRDefault="00BE1885" w:rsidP="00BE1885">
      <w:pPr>
        <w:rPr>
          <w:lang w:val="ru-RU"/>
        </w:rPr>
      </w:pPr>
      <w:r w:rsidRPr="006A21F9">
        <w:rPr>
          <w:lang w:val="ru-RU"/>
        </w:rPr>
        <w:tab/>
        <w:t>执事有时被允许施洗，效法圣腓力执事的榜样（使徒行传 6:5；8:12-13, 38）；但仅限于极端紧急的情况下，即在主教和长老缺席时。</w:t>
      </w:r>
      <w:r>
        <w:rPr>
          <w:rStyle w:val="FootnoteReference"/>
        </w:rPr>
        <w:footnoteReference w:id="990"/>
      </w:r>
      <w:r w:rsidRPr="006A21F9">
        <w:rPr>
          <w:lang w:val="ru-RU"/>
        </w:rPr>
        <w:t xml:space="preserve"> 而执事本身从未拥有施洗的权利——“执事……不施行洗礼，”——使徒法令中如是说 。</w:t>
      </w:r>
      <w:r>
        <w:rPr>
          <w:rStyle w:val="FootnoteReference"/>
        </w:rPr>
        <w:footnoteReference w:id="991"/>
      </w:r>
      <w:r w:rsidRPr="006A21F9">
        <w:rPr>
          <w:lang w:val="ru-RU"/>
        </w:rPr>
        <w:t xml:space="preserve"> “根据教会等级制度，执事无权施行任何圣礼，而只能在施行圣礼时协助，”——圣埃皮法尼乌斯也如此指出。</w:t>
      </w:r>
      <w:r>
        <w:rPr>
          <w:rStyle w:val="FootnoteReference"/>
        </w:rPr>
        <w:footnoteReference w:id="992"/>
      </w:r>
    </w:p>
    <w:p w14:paraId="1AD7CED6" w14:textId="77777777" w:rsidR="00BE1885" w:rsidRPr="006A21F9" w:rsidRDefault="00BE1885" w:rsidP="00BE1885">
      <w:pPr>
        <w:rPr>
          <w:lang w:val="ru-RU"/>
        </w:rPr>
      </w:pPr>
      <w:r w:rsidRPr="006A21F9">
        <w:rPr>
          <w:lang w:val="ru-RU"/>
        </w:rPr>
        <w:tab/>
        <w:t>同样，在极端紧急的情况下，平信徒也被允许施洗，</w:t>
      </w:r>
      <w:r>
        <w:rPr>
          <w:rStyle w:val="FootnoteReference"/>
        </w:rPr>
        <w:footnoteReference w:id="993"/>
      </w:r>
      <w:r w:rsidRPr="006A21F9">
        <w:rPr>
          <w:lang w:val="ru-RU"/>
        </w:rPr>
        <w:t xml:space="preserve"> 正如如今所允许的那样（《正统信条》第1卷，对第102个问题的回答；《东方教父关于正统信仰的书信》第16条），不仅限于男性，也包括女性。</w:t>
      </w:r>
      <w:r>
        <w:rPr>
          <w:rStyle w:val="FootnoteReference"/>
        </w:rPr>
        <w:footnoteReference w:id="994"/>
      </w:r>
      <w:r w:rsidRPr="006A21F9">
        <w:rPr>
          <w:lang w:val="ru-RU"/>
        </w:rPr>
        <w:t xml:space="preserve"> 但在其他任何情况下，这都是被严格禁止的，尤其是对女性而言。</w:t>
      </w:r>
      <w:r>
        <w:rPr>
          <w:rStyle w:val="FootnoteReference"/>
        </w:rPr>
        <w:footnoteReference w:id="995"/>
      </w:r>
      <w:r w:rsidRPr="006A21F9">
        <w:rPr>
          <w:lang w:val="ru-RU"/>
        </w:rPr>
        <w:t xml:space="preserve"> 有些教会教师曾指出，如果女性可以施洗，那么耶稣基督本应从祂的圣母那里接受洗礼，而不是从施洗约翰那里。</w:t>
      </w:r>
      <w:r>
        <w:rPr>
          <w:rStyle w:val="FootnoteReference"/>
        </w:rPr>
        <w:footnoteReference w:id="996"/>
      </w:r>
      <w:r w:rsidRPr="006A21F9">
        <w:rPr>
          <w:lang w:val="ru-RU"/>
        </w:rPr>
        <w:t xml:space="preserve"> 而允许妇女施洗的习俗——即使在非紧急情况下亦然——至今仍存在于我们的一些分裂派中，这种做法被称为滥用，其源头可追溯至马吉安派异端。</w:t>
      </w:r>
      <w:r>
        <w:rPr>
          <w:rStyle w:val="FootnoteReference"/>
        </w:rPr>
        <w:footnoteReference w:id="997"/>
      </w:r>
    </w:p>
    <w:p w14:paraId="6426A734"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w:t>
      </w:r>
      <w:r w:rsidRPr="006A21F9">
        <w:rPr>
          <w:lang w:val="ru-RU"/>
        </w:rPr>
        <w:t xml:space="preserve"> 对于接受洗礼圣事的人，若是成年人，须具备以下条件：</w:t>
      </w:r>
    </w:p>
    <w:p w14:paraId="39E97053" w14:textId="77777777" w:rsidR="00BE1885" w:rsidRPr="006A21F9" w:rsidRDefault="00BE1885" w:rsidP="00BE1885">
      <w:pPr>
        <w:ind w:firstLine="708"/>
        <w:rPr>
          <w:lang w:val="ru-RU"/>
        </w:rPr>
      </w:pPr>
      <w:r w:rsidRPr="006A21F9">
        <w:rPr>
          <w:b/>
          <w:bCs/>
          <w:lang w:val="ru-RU"/>
        </w:rPr>
        <w:t>1)</w:t>
      </w:r>
      <w:r w:rsidRPr="006A21F9">
        <w:rPr>
          <w:lang w:val="ru-RU"/>
        </w:rPr>
        <w:t xml:space="preserve"> 信仰。这可从救主赐予使徒们的诫命本身看出：</w:t>
      </w:r>
      <w:r w:rsidRPr="006A21F9">
        <w:rPr>
          <w:i/>
          <w:iCs/>
          <w:lang w:val="ru-RU"/>
        </w:rPr>
        <w:t>“你们要去，使万民作我的门徒，给他们施洗……”</w:t>
      </w:r>
      <w:r w:rsidRPr="006A21F9">
        <w:rPr>
          <w:lang w:val="ru-RU"/>
        </w:rPr>
        <w:t>（马太福音28:19）；</w:t>
      </w:r>
      <w:r w:rsidRPr="006A21F9">
        <w:rPr>
          <w:i/>
          <w:iCs/>
          <w:lang w:val="ru-RU"/>
        </w:rPr>
        <w:t>“你们往普天下去，向万物传讲福音。信而受洗的，必然得救</w:t>
      </w:r>
      <w:r w:rsidRPr="006A21F9">
        <w:rPr>
          <w:lang w:val="ru-RU"/>
        </w:rPr>
        <w:t>”（马可福音16:16）。 因此，使徒们首先致力于在各地教导人们信主，然后才向那些信主的人施洗。例如，当圣灵降临在使徒们身上后，圣彼得首先向聚集的人群讲道，那些</w:t>
      </w:r>
      <w:r w:rsidRPr="006A21F9">
        <w:rPr>
          <w:i/>
          <w:iCs/>
          <w:lang w:val="ru-RU"/>
        </w:rPr>
        <w:t>乐意接受他话语</w:t>
      </w:r>
      <w:r w:rsidRPr="006A21F9">
        <w:rPr>
          <w:lang w:val="ru-RU"/>
        </w:rPr>
        <w:t>的人</w:t>
      </w:r>
      <w:r w:rsidRPr="006A21F9">
        <w:rPr>
          <w:i/>
          <w:iCs/>
          <w:lang w:val="ru-RU"/>
        </w:rPr>
        <w:t>便受了洗</w:t>
      </w:r>
      <w:r w:rsidRPr="006A21F9">
        <w:rPr>
          <w:lang w:val="ru-RU"/>
        </w:rPr>
        <w:t>（使徒行传 2:41）。 同样，在</w:t>
      </w:r>
      <w:r w:rsidRPr="006A21F9">
        <w:rPr>
          <w:i/>
          <w:iCs/>
          <w:lang w:val="ru-RU"/>
        </w:rPr>
        <w:t>撒玛利亚，当人们相信了传讲上帝国和耶稣基督之名的腓力时，无论男女都受了洗</w:t>
      </w:r>
      <w:r w:rsidRPr="006A21F9">
        <w:rPr>
          <w:lang w:val="ru-RU"/>
        </w:rPr>
        <w:t>（使徒行传 8:12）。 同样，在使太监归信时，圣腓力先开口向他传讲耶稣，随后说：“你若全心相信，就可以受洗。”当太监表明自己的信心后，腓力果然为他施洗（使徒行传 8:35-38）。 百夫长哥尼流归信时也是如此（使徒行传 10:34-48），利迪亚及其全家归信时也是如此（使徒行传 16:14-15），克里索也一样（使徒行传 18:8），以及其他许多人。 因此，自教会创立之初，牧者们就要求每位接受洗礼者首先具备信仰，</w:t>
      </w:r>
      <w:r>
        <w:rPr>
          <w:rStyle w:val="FootnoteReference"/>
        </w:rPr>
        <w:footnoteReference w:id="998"/>
      </w:r>
      <w:r w:rsidRPr="006A21F9">
        <w:rPr>
          <w:lang w:val="ru-RU"/>
        </w:rPr>
        <w:t xml:space="preserve"> ，并为此事先通过福音讲道向其传道，教导信仰真理，检验其信仰，然后才施行洗礼。</w:t>
      </w:r>
      <w:r>
        <w:rPr>
          <w:rStyle w:val="FootnoteReference"/>
        </w:rPr>
        <w:footnoteReference w:id="999"/>
      </w:r>
      <w:r w:rsidRPr="006A21F9">
        <w:rPr>
          <w:lang w:val="ru-RU"/>
        </w:rPr>
        <w:t xml:space="preserve"> 因此，时至今日，在教会中，根据古老的礼仪规定，每位接受此圣礼的人都必须大声诵念信经或信仰宣言。</w:t>
      </w:r>
    </w:p>
    <w:p w14:paraId="4B86F259" w14:textId="77777777" w:rsidR="00BE1885" w:rsidRPr="006A21F9" w:rsidRDefault="00BE1885" w:rsidP="00BE1885">
      <w:pPr>
        <w:ind w:firstLine="708"/>
        <w:rPr>
          <w:lang w:val="ru-RU"/>
        </w:rPr>
      </w:pPr>
      <w:r w:rsidRPr="006A21F9">
        <w:rPr>
          <w:b/>
          <w:bCs/>
          <w:lang w:val="ru-RU"/>
        </w:rPr>
        <w:t>2)</w:t>
      </w:r>
      <w:r w:rsidRPr="006A21F9">
        <w:rPr>
          <w:lang w:val="ru-RU"/>
        </w:rPr>
        <w:t xml:space="preserve"> 悔改。圣使徒彼得对聆听他讲道的人说：</w:t>
      </w:r>
      <w:r w:rsidRPr="006A21F9">
        <w:rPr>
          <w:i/>
          <w:iCs/>
          <w:lang w:val="ru-RU"/>
        </w:rPr>
        <w:t>“你们要悔改，你们各人要奉耶稣基督的名受洗，使你们的罪得赦免；你们就必领受圣灵的恩</w:t>
      </w:r>
      <w:r w:rsidRPr="006A21F9">
        <w:rPr>
          <w:lang w:val="ru-RU"/>
        </w:rPr>
        <w:t>赐”（使徒行传 2:38）；</w:t>
      </w:r>
      <w:r w:rsidRPr="006A21F9">
        <w:rPr>
          <w:i/>
          <w:iCs/>
          <w:lang w:val="ru-RU"/>
        </w:rPr>
        <w:t>“你们要悔改归正，使你们的罪得以涂抹</w:t>
      </w:r>
      <w:r w:rsidRPr="006A21F9">
        <w:rPr>
          <w:lang w:val="ru-RU"/>
        </w:rPr>
        <w:t>”（使徒行传 3:19）。 教会也一直通过其牧者的口，要求接受洗礼圣事的人悔改，</w:t>
      </w:r>
      <w:r>
        <w:rPr>
          <w:rStyle w:val="FootnoteReference"/>
        </w:rPr>
        <w:footnoteReference w:id="1000"/>
      </w:r>
      <w:r w:rsidRPr="006A21F9">
        <w:rPr>
          <w:lang w:val="ru-RU"/>
        </w:rPr>
        <w:t xml:space="preserve"> ，并在举行圣事前，命令他们——正如如今所命令的那样——庄严地弃绝魔鬼及其一切作为，即弃绝一切罪过，弃绝以往一切堕落的生活。</w:t>
      </w:r>
      <w:r>
        <w:rPr>
          <w:rStyle w:val="FootnoteReference"/>
        </w:rPr>
        <w:footnoteReference w:id="1001"/>
      </w:r>
    </w:p>
    <w:p w14:paraId="130C2424" w14:textId="77777777" w:rsidR="00BE1885" w:rsidRPr="006A21F9" w:rsidRDefault="00BE1885" w:rsidP="00BE1885">
      <w:pPr>
        <w:rPr>
          <w:lang w:val="ru-RU"/>
        </w:rPr>
      </w:pPr>
      <w:r w:rsidRPr="006A21F9">
        <w:rPr>
          <w:lang w:val="ru-RU"/>
        </w:rPr>
        <w:tab/>
        <w:t>至于那些在受洗前尚无法自行拥有或表明自己的信仰与悔改的婴孩： 他们是基于父母和代父母的信仰而受洗的，由父母和代父母代表他们宣认信仰，并弃绝魔鬼及其一切作为，同时在教会面前共同承诺，待受洗的孩童长大成人后，将引导他们在信仰和虔诚中成长（《正统信条》第一卷，对第103个问题的回答； 《洗礼简明教理问答》）。圣迪奥尼修斯·阿雷奥帕吉特将这一教会习俗直接溯源于使徒们： “我们的神圣导师，”他说，“曾恩准（</w:t>
      </w:r>
      <w:r w:rsidRPr="001E4083">
        <w:t>έδοζεν</w:t>
      </w:r>
      <w:r w:rsidRPr="006A21F9">
        <w:rPr>
          <w:lang w:val="ru-RU"/>
        </w:rPr>
        <w:t>）让婴孩接受洗礼，但有一个神圣的条件：即孩子的亲生父母须将其托付给某位信徒，由该信徒在神圣事理上妥善教导他，并像从上头指派的（</w:t>
      </w:r>
      <w:r w:rsidRPr="001E4083">
        <w:t>θείος</w:t>
      </w:r>
      <w:r w:rsidRPr="006A21F9">
        <w:rPr>
          <w:lang w:val="ru-RU"/>
        </w:rPr>
        <w:t xml:space="preserve">）父亲一样照顾孩子， </w:t>
      </w:r>
      <w:r w:rsidRPr="006A21F9">
        <w:rPr>
          <w:lang w:val="ru-RU"/>
        </w:rPr>
        <w:lastRenderedPageBreak/>
        <w:t>并作为其永恒救赎的守护者。当此人承诺引导孩童过虔诚的生活时，主教便要求他宣读弃绝誓言并进行神圣的忏悔。”</w:t>
      </w:r>
      <w:r>
        <w:rPr>
          <w:rStyle w:val="FootnoteReference"/>
        </w:rPr>
        <w:footnoteReference w:id="1002"/>
      </w:r>
      <w:r w:rsidRPr="006A21F9">
        <w:rPr>
          <w:lang w:val="ru-RU"/>
        </w:rPr>
        <w:t xml:space="preserve"> 此外，关于婴儿受洗时的代父，特土良、</w:t>
      </w:r>
      <w:r>
        <w:rPr>
          <w:rStyle w:val="FootnoteReference"/>
        </w:rPr>
        <w:footnoteReference w:id="1003"/>
      </w:r>
      <w:r w:rsidRPr="006A21F9">
        <w:rPr>
          <w:lang w:val="ru-RU"/>
        </w:rPr>
        <w:t xml:space="preserve"> 奥古斯丁</w:t>
      </w:r>
      <w:r>
        <w:rPr>
          <w:rStyle w:val="FootnoteReference"/>
        </w:rPr>
        <w:footnoteReference w:id="1004"/>
      </w:r>
      <w:r w:rsidRPr="006A21F9">
        <w:rPr>
          <w:lang w:val="ru-RU"/>
        </w:rPr>
        <w:t xml:space="preserve"> 等人也有提及。</w:t>
      </w:r>
      <w:r>
        <w:rPr>
          <w:rStyle w:val="FootnoteReference"/>
        </w:rPr>
        <w:footnoteReference w:id="1005"/>
      </w:r>
    </w:p>
    <w:p w14:paraId="53D32A74" w14:textId="77777777" w:rsidR="00BE1885" w:rsidRPr="006A21F9" w:rsidRDefault="00BE1885" w:rsidP="00BE1885">
      <w:pPr>
        <w:rPr>
          <w:lang w:val="ru-RU"/>
        </w:rPr>
      </w:pPr>
    </w:p>
    <w:p w14:paraId="671098E0" w14:textId="77777777" w:rsidR="00BE1885" w:rsidRPr="006A21F9" w:rsidRDefault="00BE1885" w:rsidP="00BE1885">
      <w:pPr>
        <w:pStyle w:val="Heading4"/>
        <w:rPr>
          <w:lang w:val="ru-RU"/>
        </w:rPr>
      </w:pPr>
      <w:bookmarkStart w:id="743" w:name="_Toc133142611"/>
      <w:bookmarkStart w:id="744" w:name="_Toc133142973"/>
      <w:bookmarkStart w:id="745" w:name="_Toc133166330"/>
      <w:bookmarkStart w:id="746" w:name="_Toc182221540"/>
      <w:bookmarkStart w:id="747" w:name="_Toc238453107"/>
      <w:bookmarkStart w:id="748" w:name="_Toc238453907"/>
      <w:bookmarkStart w:id="749" w:name="_Toc238454331"/>
      <w:bookmarkStart w:id="750" w:name="_Toc238466413"/>
      <w:bookmarkStart w:id="751" w:name="_Toc238576567"/>
      <w:r w:rsidRPr="006A21F9">
        <w:rPr>
          <w:bCs/>
          <w:lang w:val="ru-RU"/>
        </w:rPr>
        <w:t>2.</w:t>
      </w:r>
      <w:r w:rsidRPr="006A21F9">
        <w:rPr>
          <w:lang w:val="ru-RU"/>
        </w:rPr>
        <w:t xml:space="preserve"> 关于圣油礼</w:t>
      </w:r>
      <w:bookmarkEnd w:id="743"/>
      <w:bookmarkEnd w:id="744"/>
      <w:bookmarkEnd w:id="745"/>
      <w:bookmarkEnd w:id="746"/>
      <w:bookmarkEnd w:id="747"/>
      <w:bookmarkEnd w:id="748"/>
      <w:bookmarkEnd w:id="749"/>
      <w:bookmarkEnd w:id="750"/>
      <w:bookmarkEnd w:id="751"/>
    </w:p>
    <w:p w14:paraId="02C5C96E" w14:textId="77777777" w:rsidR="00BE1885" w:rsidRPr="006A21F9" w:rsidRDefault="00BE1885" w:rsidP="00BE1885">
      <w:pPr>
        <w:rPr>
          <w:lang w:val="ru-RU"/>
        </w:rPr>
      </w:pPr>
      <w:r w:rsidRPr="006A21F9">
        <w:rPr>
          <w:lang w:val="ru-RU"/>
        </w:rPr>
        <w:tab/>
      </w:r>
    </w:p>
    <w:p w14:paraId="78CD44B1" w14:textId="77777777" w:rsidR="00BE1885" w:rsidRPr="006A21F9" w:rsidRDefault="00BE1885" w:rsidP="00BE1885">
      <w:pPr>
        <w:pStyle w:val="Heading5"/>
        <w:rPr>
          <w:lang w:val="ru-RU"/>
        </w:rPr>
      </w:pPr>
      <w:bookmarkStart w:id="752" w:name="_Toc133142974"/>
      <w:bookmarkStart w:id="753" w:name="_Toc133166331"/>
      <w:bookmarkStart w:id="754" w:name="_Toc182221541"/>
      <w:bookmarkStart w:id="755" w:name="_Toc238453108"/>
      <w:bookmarkStart w:id="756" w:name="_Toc238453908"/>
      <w:bookmarkStart w:id="757" w:name="_Toc238576568"/>
      <w:r w:rsidRPr="006A21F9">
        <w:rPr>
          <w:bCs/>
          <w:lang w:val="ru-RU"/>
        </w:rPr>
        <w:t>§207.</w:t>
      </w:r>
      <w:r w:rsidRPr="006A21F9">
        <w:rPr>
          <w:lang w:val="ru-RU"/>
        </w:rPr>
        <w:t xml:space="preserve"> 与前文的关联、圣油礼在其他圣礼中的地位、对该圣礼的理解及其名称</w:t>
      </w:r>
      <w:bookmarkEnd w:id="752"/>
      <w:bookmarkEnd w:id="753"/>
      <w:bookmarkEnd w:id="754"/>
      <w:bookmarkEnd w:id="755"/>
      <w:bookmarkEnd w:id="756"/>
      <w:bookmarkEnd w:id="757"/>
    </w:p>
    <w:p w14:paraId="75D1424C" w14:textId="77777777" w:rsidR="00BE1885" w:rsidRPr="006A21F9" w:rsidRDefault="00BE1885" w:rsidP="00BE1885">
      <w:pPr>
        <w:ind w:firstLine="708"/>
        <w:rPr>
          <w:lang w:val="ru-RU"/>
        </w:rPr>
      </w:pPr>
      <w:r w:rsidRPr="006A21F9">
        <w:rPr>
          <w:lang w:val="ru-RU"/>
        </w:rPr>
        <w:t>通过洗礼，我们重生于属灵的生命之中，并因脱离一切罪恶、蒙称义且被圣化，从而进入基督恩典的国度。 但正如在自然生命中，人一出生便需要空气、光线及其他外部资源和力量来维持生存、逐步强健体魄并成长一样： 同样，在属灵的生命中，人从上头重生之后，也必须依靠圣灵的恩典之力，这些力量既是他属灵的空气，也是他的光；在这些力量的帮助下，他不仅能维持自己新的生命，还能在其中逐渐坚固并成长。 正是这些为生命与敬虔（彼得后书 1:3）而设的神圣力量，通过教会另一项圣礼——坚振礼，赐予每位在洗礼中重生的人。 正因如此，东正教会自古以来便遵循在洗礼后立即施行此圣礼的传统，甚至将其与洗礼紧密相连，</w:t>
      </w:r>
      <w:r>
        <w:rPr>
          <w:rStyle w:val="FootnoteReference"/>
        </w:rPr>
        <w:footnoteReference w:id="1006"/>
      </w:r>
      <w:r w:rsidRPr="006A21F9">
        <w:rPr>
          <w:lang w:val="ru-RU"/>
        </w:rPr>
        <w:t xml:space="preserve"> ，以致在教会各项圣礼的施行顺序中，圣油礼位居第二。</w:t>
      </w:r>
    </w:p>
    <w:p w14:paraId="77E94216" w14:textId="77777777" w:rsidR="00BE1885" w:rsidRPr="006A21F9" w:rsidRDefault="00BE1885" w:rsidP="00BE1885">
      <w:pPr>
        <w:rPr>
          <w:lang w:val="ru-RU"/>
        </w:rPr>
      </w:pPr>
      <w:r w:rsidRPr="006A21F9">
        <w:rPr>
          <w:lang w:val="ru-RU"/>
        </w:rPr>
        <w:tab/>
        <w:t>圣油礼是一种圣礼，通过它，受洗者领受圣灵； 或者更全面、更具体地说，是在用圣油涂抹信徒身体各部位时，伴随着“圣灵恩赐的印记”这一宣告，将信徒在属灵生命中得以坚固与成长所必需的恩典之力赐予基督徒。</w:t>
      </w:r>
    </w:p>
    <w:p w14:paraId="4A993629" w14:textId="77777777" w:rsidR="00BE1885" w:rsidRPr="006A21F9" w:rsidRDefault="00BE1885" w:rsidP="00BE1885">
      <w:pPr>
        <w:rPr>
          <w:lang w:val="ru-RU"/>
        </w:rPr>
      </w:pPr>
      <w:r w:rsidRPr="006A21F9">
        <w:rPr>
          <w:lang w:val="ru-RU"/>
        </w:rPr>
        <w:tab/>
        <w:t>鉴于其本质，圣油礼自古以来就被赋予了不同的名称，这些名称或体现其外在形式，或体现其对人的内在作用，或二者兼而有之。 就第一方面而言，它有时被称为“按手礼”：因为最初是由使徒们通过将手按在受洗者身上来施行（使徒行传 8:14-16）； 但更常见的是—— 称为“涂油”，</w:t>
      </w:r>
      <w:r>
        <w:rPr>
          <w:rStyle w:val="FootnoteReference"/>
        </w:rPr>
        <w:footnoteReference w:id="1007"/>
      </w:r>
      <w:r w:rsidRPr="006A21F9">
        <w:rPr>
          <w:lang w:val="ru-RU"/>
        </w:rPr>
        <w:t xml:space="preserve"> 称为“神圣的涂油”，</w:t>
      </w:r>
      <w:r>
        <w:rPr>
          <w:rStyle w:val="FootnoteReference"/>
        </w:rPr>
        <w:footnoteReference w:id="1008"/>
      </w:r>
      <w:r w:rsidRPr="006A21F9">
        <w:rPr>
          <w:lang w:val="ru-RU"/>
        </w:rPr>
        <w:t xml:space="preserve"> 称为“涂油圣礼”，</w:t>
      </w:r>
      <w:r>
        <w:rPr>
          <w:rStyle w:val="FootnoteReference"/>
        </w:rPr>
        <w:footnoteReference w:id="1009"/>
      </w:r>
      <w:r w:rsidRPr="006A21F9">
        <w:rPr>
          <w:lang w:val="ru-RU"/>
        </w:rPr>
        <w:t xml:space="preserve"> 称为“救恩的涂油”：</w:t>
      </w:r>
      <w:r>
        <w:rPr>
          <w:rStyle w:val="FootnoteReference"/>
        </w:rPr>
        <w:footnoteReference w:id="1010"/>
      </w:r>
      <w:r w:rsidRPr="006A21F9">
        <w:rPr>
          <w:lang w:val="ru-RU"/>
        </w:rPr>
        <w:t xml:space="preserve"> 因为自使徒时代起，该圣礼便开始通过用圣油涂抹受洗者来施行。 </w:t>
      </w:r>
      <w:r w:rsidRPr="006A21F9">
        <w:rPr>
          <w:lang w:val="ru-RU"/>
        </w:rPr>
        <w:lastRenderedPageBreak/>
        <w:t>在第二种意义上——圣灵的恩赐，</w:t>
      </w:r>
      <w:r>
        <w:rPr>
          <w:rStyle w:val="FootnoteReference"/>
        </w:rPr>
        <w:footnoteReference w:id="1011"/>
      </w:r>
      <w:r w:rsidRPr="006A21F9">
        <w:rPr>
          <w:lang w:val="ru-RU"/>
        </w:rPr>
        <w:t xml:space="preserve"> 圣灵的圣礼，</w:t>
      </w:r>
      <w:r>
        <w:rPr>
          <w:rStyle w:val="FootnoteReference"/>
        </w:rPr>
        <w:footnoteReference w:id="1012"/>
      </w:r>
      <w:r w:rsidRPr="006A21F9">
        <w:rPr>
          <w:lang w:val="ru-RU"/>
        </w:rPr>
        <w:t xml:space="preserve"> 圣灵的象征，</w:t>
      </w:r>
      <w:r>
        <w:rPr>
          <w:rStyle w:val="FootnoteReference"/>
        </w:rPr>
        <w:footnoteReference w:id="1013"/>
      </w:r>
      <w:r w:rsidRPr="006A21F9">
        <w:rPr>
          <w:lang w:val="ru-RU"/>
        </w:rPr>
        <w:t xml:space="preserve"> 坚固，</w:t>
      </w:r>
      <w:r>
        <w:rPr>
          <w:rStyle w:val="FootnoteReference"/>
        </w:rPr>
        <w:footnoteReference w:id="1014"/>
      </w:r>
      <w:r w:rsidRPr="006A21F9">
        <w:rPr>
          <w:lang w:val="ru-RU"/>
        </w:rPr>
        <w:t xml:space="preserve"> 成全：</w:t>
      </w:r>
      <w:r>
        <w:rPr>
          <w:rStyle w:val="FootnoteReference"/>
        </w:rPr>
        <w:footnoteReference w:id="1015"/>
      </w:r>
      <w:r w:rsidRPr="006A21F9">
        <w:rPr>
          <w:lang w:val="ru-RU"/>
        </w:rPr>
        <w:t xml:space="preserve"> 因为它赐予圣灵的恩赐，这些恩赐在属灵的生命中坚固并成全我们。 在最后一个圣礼中——印记，</w:t>
      </w:r>
      <w:r>
        <w:rPr>
          <w:rStyle w:val="FootnoteReference"/>
        </w:rPr>
        <w:footnoteReference w:id="1016"/>
      </w:r>
      <w:r w:rsidRPr="006A21F9">
        <w:rPr>
          <w:lang w:val="ru-RU"/>
        </w:rPr>
        <w:t xml:space="preserve"> 主的印记，</w:t>
      </w:r>
      <w:r>
        <w:rPr>
          <w:rStyle w:val="FootnoteReference"/>
        </w:rPr>
        <w:footnoteReference w:id="1017"/>
      </w:r>
      <w:r w:rsidRPr="006A21F9">
        <w:rPr>
          <w:lang w:val="ru-RU"/>
        </w:rPr>
        <w:t xml:space="preserve"> 属灵的印记，</w:t>
      </w:r>
      <w:r>
        <w:rPr>
          <w:rStyle w:val="FootnoteReference"/>
        </w:rPr>
        <w:footnoteReference w:id="1018"/>
      </w:r>
      <w:r w:rsidRPr="006A21F9">
        <w:rPr>
          <w:lang w:val="ru-RU"/>
        </w:rPr>
        <w:t xml:space="preserve"> 永生的印记：</w:t>
      </w:r>
      <w:r>
        <w:rPr>
          <w:rStyle w:val="FootnoteReference"/>
        </w:rPr>
        <w:footnoteReference w:id="1019"/>
      </w:r>
      <w:r w:rsidRPr="006A21F9">
        <w:rPr>
          <w:lang w:val="ru-RU"/>
        </w:rPr>
        <w:t xml:space="preserve"> 因为当用圣油在身体各部位盖印时，同时也用喜乐的圣油（诗篇 44:8）——即圣灵——为人的灵魂所有力量盖上印记。</w:t>
      </w:r>
    </w:p>
    <w:p w14:paraId="72BF9995" w14:textId="77777777" w:rsidR="00BE1885" w:rsidRPr="006A21F9" w:rsidRDefault="00BE1885" w:rsidP="00BE1885">
      <w:pPr>
        <w:rPr>
          <w:lang w:val="ru-RU"/>
        </w:rPr>
      </w:pPr>
    </w:p>
    <w:p w14:paraId="3B73EF67" w14:textId="77777777" w:rsidR="00BE1885" w:rsidRPr="006A21F9" w:rsidRDefault="00BE1885" w:rsidP="00BE1885">
      <w:pPr>
        <w:pStyle w:val="Heading5"/>
        <w:rPr>
          <w:lang w:val="ru-RU"/>
        </w:rPr>
      </w:pPr>
      <w:bookmarkStart w:id="758" w:name="_Toc133142975"/>
      <w:bookmarkStart w:id="759" w:name="_Toc133166332"/>
      <w:bookmarkStart w:id="760" w:name="_Toc182221542"/>
      <w:bookmarkStart w:id="761" w:name="_Toc238453109"/>
      <w:bookmarkStart w:id="762" w:name="_Toc238453909"/>
      <w:bookmarkStart w:id="763" w:name="_Toc238576569"/>
      <w:r w:rsidRPr="006A21F9">
        <w:rPr>
          <w:lang w:val="ru-RU"/>
        </w:rPr>
        <w:t>§208. 圣油礼的神圣设立、其与洗礼的区别及其独立性</w:t>
      </w:r>
      <w:bookmarkEnd w:id="758"/>
      <w:bookmarkEnd w:id="759"/>
      <w:bookmarkEnd w:id="760"/>
      <w:bookmarkEnd w:id="761"/>
      <w:bookmarkEnd w:id="762"/>
      <w:bookmarkEnd w:id="763"/>
    </w:p>
    <w:p w14:paraId="69B40913" w14:textId="77777777" w:rsidR="00BE1885" w:rsidRPr="006A21F9" w:rsidRDefault="00BE1885" w:rsidP="00BE1885">
      <w:pPr>
        <w:ind w:firstLine="708"/>
        <w:rPr>
          <w:lang w:val="ru-RU"/>
        </w:rPr>
      </w:pPr>
      <w:r w:rsidRPr="006A21F9">
        <w:rPr>
          <w:lang w:val="ru-RU"/>
        </w:rPr>
        <w:t>尽管自古以来，圣油礼在东正教会中总是与洗礼结合举行，紧随其后；但圣油礼仍是一项由上帝设立的特殊圣礼，独立于洗礼之外。这一点既可从圣经中得到印证，也可从圣传中得到印证。</w:t>
      </w:r>
    </w:p>
    <w:p w14:paraId="3ACD02C2" w14:textId="77777777" w:rsidR="00BE1885" w:rsidRPr="006A21F9" w:rsidRDefault="00BE1885" w:rsidP="00BE1885">
      <w:pPr>
        <w:ind w:firstLine="708"/>
        <w:rPr>
          <w:lang w:val="ru-RU"/>
        </w:rPr>
      </w:pPr>
      <w:r w:rsidRPr="006A21F9">
        <w:rPr>
          <w:b/>
          <w:bCs/>
          <w:lang w:val="ru-RU"/>
        </w:rPr>
        <w:t xml:space="preserve">1. </w:t>
      </w:r>
      <w:r w:rsidRPr="006A21F9">
        <w:rPr>
          <w:lang w:val="ru-RU"/>
        </w:rPr>
        <w:t>《福音书》记载，基督救主曾立意并应许将圣灵赐予信靠祂的人。正如圣约翰·神学家所言，</w:t>
      </w:r>
      <w:r w:rsidRPr="006A21F9">
        <w:rPr>
          <w:i/>
          <w:iCs/>
          <w:lang w:val="ru-RU"/>
        </w:rPr>
        <w:t>在节期的最后一个重要日子，耶稣站立着高声宣告：“人若渴了，可以到我这里来喝。” “信我的人，正如经上所说的，从他腹中要涌出活水的江河来。”祂说这话是指信祂的人将要领受的圣灵；因为那时信徒们还没有领受圣灵，因为耶稣尚未得着荣耀</w:t>
      </w:r>
      <w:r w:rsidRPr="006A21F9">
        <w:rPr>
          <w:lang w:val="ru-RU"/>
        </w:rPr>
        <w:t>（约7:37-39）。 这里显然指的是那些向所有信靠主耶稣的人所赐予的、因而对他们而言必不可少的圣灵恩赐，而不是仅赐予部分信徒以达成特殊目的的超常恩赐 （林前12:29及以下）——尽管经文并未提及，这些对所有信徒都必不可少的圣灵恩赐将通过何种可见的媒介赐予他们。</w:t>
      </w:r>
    </w:p>
    <w:p w14:paraId="65EF92AF" w14:textId="77777777" w:rsidR="00BE1885" w:rsidRPr="006A21F9" w:rsidRDefault="00BE1885" w:rsidP="00BE1885">
      <w:pPr>
        <w:ind w:firstLine="708"/>
        <w:rPr>
          <w:lang w:val="ru-RU"/>
        </w:rPr>
      </w:pPr>
      <w:r w:rsidRPr="006A21F9">
        <w:rPr>
          <w:b/>
          <w:bCs/>
          <w:lang w:val="ru-RU"/>
        </w:rPr>
        <w:t xml:space="preserve">2. </w:t>
      </w:r>
      <w:r w:rsidRPr="006A21F9">
        <w:rPr>
          <w:lang w:val="ru-RU"/>
        </w:rPr>
        <w:t>《使徒行传》记载，在耶稣基督得荣耀之后，使徒们确实将圣灵赐予了信靠祂的人，而且正是通过按手的方式赐下的。 例如，有这样一件事：</w:t>
      </w:r>
      <w:r w:rsidRPr="006A21F9">
        <w:rPr>
          <w:i/>
          <w:iCs/>
          <w:lang w:val="ru-RU"/>
        </w:rPr>
        <w:t>当时在耶路撒冷的使徒们听说撒玛利亚人接受了上帝的话语，便派彼得和约翰去见他们；二人抵达后，为他们祷告，使他们能领受圣灵。 因为圣灵尚未降临在他们任何一人身上，他们只是奉主耶稣的名受了洗。于是使徒们按手在他们身上，他们便领受了圣灵</w:t>
      </w:r>
      <w:r w:rsidRPr="006A21F9">
        <w:rPr>
          <w:lang w:val="ru-RU"/>
        </w:rPr>
        <w:t>（使徒行传8:14-17）。 由此完全清楚：</w:t>
      </w:r>
      <w:r w:rsidRPr="006A21F9">
        <w:rPr>
          <w:b/>
          <w:bCs/>
          <w:lang w:val="ru-RU"/>
        </w:rPr>
        <w:t>a)</w:t>
      </w:r>
      <w:r w:rsidRPr="006A21F9">
        <w:rPr>
          <w:lang w:val="ru-RU"/>
        </w:rPr>
        <w:t xml:space="preserve"> 使徒们将圣灵赐给信徒，并非通过洗礼（在洗礼中，信徒仅是瞬间因圣灵而重生或被更新，并未将圣灵永远领受在自己里面），而是通过按手在受洗者身上； </w:t>
      </w:r>
      <w:r w:rsidRPr="006A21F9">
        <w:rPr>
          <w:b/>
          <w:bCs/>
          <w:lang w:val="ru-RU"/>
        </w:rPr>
        <w:t>b)</w:t>
      </w:r>
      <w:r w:rsidRPr="006A21F9">
        <w:rPr>
          <w:lang w:val="ru-RU"/>
        </w:rPr>
        <w:t xml:space="preserve"> 使徒们正是通过这种按手，将所有受洗者都必需的圣灵恩赐赐予信徒，而非仅赐予某些人的特殊恩赐； </w:t>
      </w:r>
      <w:r w:rsidRPr="006A21F9">
        <w:rPr>
          <w:b/>
          <w:bCs/>
          <w:lang w:val="ru-RU"/>
        </w:rPr>
        <w:t>c)</w:t>
      </w:r>
      <w:r w:rsidRPr="006A21F9">
        <w:rPr>
          <w:lang w:val="ru-RU"/>
        </w:rPr>
        <w:t xml:space="preserve"> 这种按手礼，连同向神祈求将圣灵降临在受洗者身上的祷告，构成了一项与洗礼相区别的特殊圣礼；以及 </w:t>
      </w:r>
      <w:r w:rsidRPr="006A21F9">
        <w:rPr>
          <w:b/>
          <w:bCs/>
          <w:lang w:val="ru-RU"/>
        </w:rPr>
        <w:t>d)</w:t>
      </w:r>
      <w:r w:rsidRPr="006A21F9">
        <w:rPr>
          <w:lang w:val="ru-RU"/>
        </w:rPr>
        <w:t xml:space="preserve"> 最后，这项与洗礼相区别的圣礼具有神圣的设立： 因为使徒们在传播福音教义时，其一切言行皆受圣灵感召，圣灵引导他们进入一切真理，并使他们记起</w:t>
      </w:r>
      <w:r w:rsidRPr="006A21F9">
        <w:rPr>
          <w:lang w:val="ru-RU"/>
        </w:rPr>
        <w:lastRenderedPageBreak/>
        <w:t>主耶稣所吩咐的一切 [(约14:26)；(约16:13)]。 关于圣使徒保罗，我们也读到类似的记载：保罗（对约翰的门徒）说：</w:t>
      </w:r>
      <w:r w:rsidRPr="006A21F9">
        <w:rPr>
          <w:i/>
          <w:iCs/>
          <w:lang w:val="ru-RU"/>
        </w:rPr>
        <w:t>“你们信了，是否领受了圣灵？”他们回答说：“我们甚至没听说过有圣灵这回事。”保罗问他们：“那你们受的是什么洗？”他们回答说：“是约翰的洗礼。” 保罗说：“约翰所施的是悔改的洗礼，他告诉人们要信靠那在他之后要来的，就是基督耶稣。”他们听见这话，就奉主耶稣的名受了洗；保罗按手在他们身上时，圣灵便降临在他们身上</w:t>
      </w:r>
      <w:r w:rsidRPr="006A21F9">
        <w:rPr>
          <w:lang w:val="ru-RU"/>
        </w:rPr>
        <w:t>（使徒行传19:2-6）。</w:t>
      </w:r>
    </w:p>
    <w:p w14:paraId="32DB24FB" w14:textId="77777777" w:rsidR="00BE1885" w:rsidRPr="006A21F9" w:rsidRDefault="00BE1885" w:rsidP="00BE1885">
      <w:pPr>
        <w:ind w:firstLine="708"/>
        <w:rPr>
          <w:lang w:val="ru-RU"/>
        </w:rPr>
      </w:pPr>
      <w:r w:rsidRPr="006A21F9">
        <w:rPr>
          <w:b/>
          <w:bCs/>
          <w:lang w:val="ru-RU"/>
        </w:rPr>
        <w:t>3.</w:t>
      </w:r>
      <w:r w:rsidRPr="006A21F9">
        <w:rPr>
          <w:lang w:val="ru-RU"/>
        </w:rPr>
        <w:t xml:space="preserve"> 最后，圣使徒们自己在《使徒行传》之后撰写的书信中，提醒信徒们他们已领受了圣灵的恩赐——圣灵引导他们认识信仰的真理，并坚固他们在敬虔上的根基——并明确指出，他们正是通过受膏才领受了这些恩赐。 圣使徒约翰写道：</w:t>
      </w:r>
      <w:r w:rsidRPr="006A21F9">
        <w:rPr>
          <w:i/>
          <w:iCs/>
          <w:lang w:val="ru-RU"/>
        </w:rPr>
        <w:t>“你们从圣者领受了膏抹，并且知道一切……你们从祂所领受的膏抹常在你们心里，你们也不需要谁来教导你们； 但这膏油本身教导你们一切，而且它是真实而不虚假的，所以，它所教导你们的，你们要坚守</w:t>
      </w:r>
      <w:r w:rsidRPr="006A21F9">
        <w:rPr>
          <w:lang w:val="ru-RU"/>
        </w:rPr>
        <w:t>（《约翰一书》2:20-27）。 同样，圣保罗也说：</w:t>
      </w:r>
      <w:r w:rsidRPr="006A21F9">
        <w:rPr>
          <w:i/>
          <w:iCs/>
          <w:lang w:val="ru-RU"/>
        </w:rPr>
        <w:t>“那在基督里使我们与你们同得坚固（</w:t>
      </w:r>
      <w:r w:rsidRPr="001E4083">
        <w:rPr>
          <w:i/>
          <w:iCs/>
        </w:rPr>
        <w:t>βεβαίων</w:t>
      </w:r>
      <w:r w:rsidRPr="006A21F9">
        <w:rPr>
          <w:i/>
          <w:iCs/>
          <w:lang w:val="ru-RU"/>
        </w:rPr>
        <w:t>）并膏抹（</w:t>
      </w:r>
      <w:r w:rsidRPr="001E4083">
        <w:rPr>
          <w:i/>
          <w:iCs/>
        </w:rPr>
        <w:t>χρίσας</w:t>
      </w:r>
      <w:r w:rsidRPr="006A21F9">
        <w:rPr>
          <w:i/>
          <w:iCs/>
          <w:lang w:val="ru-RU"/>
        </w:rPr>
        <w:t>）我们的，就是神；祂又用印印了我们（</w:t>
      </w:r>
      <w:r w:rsidRPr="001E4083">
        <w:rPr>
          <w:i/>
          <w:iCs/>
        </w:rPr>
        <w:t>σφοαγισάμενος</w:t>
      </w:r>
      <w:r w:rsidRPr="006A21F9">
        <w:rPr>
          <w:i/>
          <w:iCs/>
          <w:lang w:val="ru-RU"/>
        </w:rPr>
        <w:t>），并将圣灵赐在我们心里作凭据</w:t>
      </w:r>
      <w:r w:rsidRPr="006A21F9">
        <w:rPr>
          <w:lang w:val="ru-RU"/>
        </w:rPr>
        <w:t>（2哥林多前书 1:21-22）。” 不可否认，使徒们在此主要论及的是圣礼的内在作用，圣灵正是通过这种作用被赐下的； 但另一方面，自然可以认为，为了表达这种内在作用，他们为了让基督徒能够理解，使用了从众所周知的外部行为中借用的词语，而这种外部行为正是前者的可见标志；</w:t>
      </w:r>
      <w:r>
        <w:rPr>
          <w:rStyle w:val="FootnoteReference"/>
        </w:rPr>
        <w:footnoteReference w:id="1020"/>
      </w:r>
      <w:r w:rsidRPr="006A21F9">
        <w:rPr>
          <w:lang w:val="ru-RU"/>
        </w:rPr>
        <w:t xml:space="preserve"> 而且不得不注意到，使徒们甚至直接指出了这种外部行为：“你们所领受的膏抹……膏抹我们的就是神…… 祂也印证了……——正如古代教会导师们对上述两段经文所作的解释。</w:t>
      </w:r>
      <w:r>
        <w:rPr>
          <w:rStyle w:val="FootnoteReference"/>
        </w:rPr>
        <w:footnoteReference w:id="1021"/>
      </w:r>
      <w:r w:rsidRPr="006A21F9">
        <w:rPr>
          <w:lang w:val="ru-RU"/>
        </w:rPr>
        <w:t xml:space="preserve"> 既然如此，就只能得出以下两种结论之一：要么圣使徒们在通过按手将圣灵赐予信徒的同时，也不可分割地使用了另一个可见的标志——即《使徒行传》中仅被省略提及的“涂油”； 要么，更可能的情况是，圣使徒们最初虽通过按手施行圣礼，但随后在真理之灵的指引下，很快便用另一种可见的圣礼——为受洗者涂抹圣油——取代了这一可见的标志。 但无论哪种情况，都表明在此圣礼中使用圣油具有神圣的渊源。</w:t>
      </w:r>
    </w:p>
    <w:p w14:paraId="1C26901F" w14:textId="77777777" w:rsidR="00BE1885" w:rsidRPr="006A21F9" w:rsidRDefault="00BE1885" w:rsidP="00BE1885">
      <w:pPr>
        <w:ind w:firstLine="708"/>
        <w:rPr>
          <w:lang w:val="ru-RU"/>
        </w:rPr>
      </w:pPr>
      <w:r w:rsidRPr="006A21F9">
        <w:rPr>
          <w:b/>
          <w:bCs/>
          <w:lang w:val="ru-RU"/>
        </w:rPr>
        <w:t>4.</w:t>
      </w:r>
      <w:r w:rsidRPr="006A21F9">
        <w:rPr>
          <w:lang w:val="ru-RU"/>
        </w:rPr>
        <w:t xml:space="preserve"> 圣父们和教会的导师们对我们所探讨的这一圣礼的真实性及其神圣起源，留下了毫无疑义。在头三个世纪中，有以下几位：</w:t>
      </w:r>
    </w:p>
    <w:p w14:paraId="0E73AE10" w14:textId="77777777" w:rsidR="00BE1885" w:rsidRPr="006A21F9" w:rsidRDefault="00BE1885" w:rsidP="00BE1885">
      <w:pPr>
        <w:rPr>
          <w:lang w:val="ru-RU"/>
        </w:rPr>
      </w:pPr>
      <w:r w:rsidRPr="006A21F9">
        <w:rPr>
          <w:lang w:val="ru-RU"/>
        </w:rPr>
        <w:tab/>
        <w:t>圣狄奥尼修斯·阿雷奥帕吉特。他在阐述圣体圣事的神圣仪式时，明确指出： “还有另一项与之（即圣体圣事）同等重要的圣礼，我们的导师（即使徒们）称之为‘圣油圣事’，”</w:t>
      </w:r>
      <w:r>
        <w:rPr>
          <w:rStyle w:val="FootnoteReference"/>
        </w:rPr>
        <w:footnoteReference w:id="1022"/>
      </w:r>
      <w:r w:rsidRPr="006A21F9">
        <w:rPr>
          <w:lang w:val="ru-RU"/>
        </w:rPr>
        <w:t xml:space="preserve"> 随后他详细阐述了圣油的祝圣仪式如何进行，受洗者如何接受圣油礼，以及该圣礼在受洗者身上产生何</w:t>
      </w:r>
      <w:r w:rsidRPr="006A21F9">
        <w:rPr>
          <w:lang w:val="ru-RU"/>
        </w:rPr>
        <w:lastRenderedPageBreak/>
        <w:t>种功效，并指出： “这种以圣油进行的完成性涂抹，向蒙受至圣重生圣事之人施予——即圣灵的倾注。”</w:t>
      </w:r>
      <w:r>
        <w:rPr>
          <w:rStyle w:val="FootnoteReference"/>
        </w:rPr>
        <w:footnoteReference w:id="1023"/>
      </w:r>
    </w:p>
    <w:p w14:paraId="06E94327" w14:textId="77777777" w:rsidR="00BE1885" w:rsidRPr="006A21F9" w:rsidRDefault="00BE1885" w:rsidP="00BE1885">
      <w:pPr>
        <w:rPr>
          <w:lang w:val="ru-RU"/>
        </w:rPr>
      </w:pPr>
      <w:r w:rsidRPr="006A21F9">
        <w:rPr>
          <w:lang w:val="ru-RU"/>
        </w:rPr>
        <w:tab/>
        <w:t>安提阿的圣西奥菲勒斯：“基督之名意为‘受膏者’——这是一个恰当、悦耳且绝不值得嘲笑的名字……我们之所以被称为基督徒，是因为我们被神圣的圣油所膏抹。”</w:t>
      </w:r>
      <w:r>
        <w:rPr>
          <w:rStyle w:val="FootnoteReference"/>
        </w:rPr>
        <w:footnoteReference w:id="1024"/>
      </w:r>
    </w:p>
    <w:p w14:paraId="3DC1F082" w14:textId="77777777" w:rsidR="00BE1885" w:rsidRPr="006A21F9" w:rsidRDefault="00BE1885" w:rsidP="00BE1885">
      <w:pPr>
        <w:rPr>
          <w:lang w:val="ru-RU"/>
        </w:rPr>
      </w:pPr>
      <w:r w:rsidRPr="006A21F9">
        <w:rPr>
          <w:lang w:val="ru-RU"/>
        </w:rPr>
        <w:tab/>
        <w:t>特土良：“从洗礼池中出来后，我们按照古老的礼仪，接受这蒙福的傅油，正如从前按立圣职时，通常用角中的圣油进行傅油一样…… 膏抹虽在肉体上施行，却在灵里结出果实，正如洗礼本身：浸入水中是肉体上的行为，但洗净罪孽时却结出属灵的果实。随后，按手之礼便随之而来，借着圣灵的祝福，既召唤又引导。”</w:t>
      </w:r>
      <w:r>
        <w:rPr>
          <w:rStyle w:val="FootnoteReference"/>
        </w:rPr>
        <w:footnoteReference w:id="1025"/>
      </w:r>
    </w:p>
    <w:p w14:paraId="54346DB0" w14:textId="77777777" w:rsidR="00BE1885" w:rsidRPr="006A21F9" w:rsidRDefault="00BE1885" w:rsidP="00BE1885">
      <w:pPr>
        <w:rPr>
          <w:lang w:val="ru-RU"/>
        </w:rPr>
      </w:pPr>
      <w:r w:rsidRPr="006A21F9">
        <w:rPr>
          <w:lang w:val="ru-RU"/>
        </w:rPr>
        <w:tab/>
        <w:t>亚历山大的克利门特。 在谈及异端瓦西里德的追随者及其伪教义时，他指出，在这个宿命论体系中，“既没有蒙福的洗礼，也没有蒙福的印记”，</w:t>
      </w:r>
      <w:r>
        <w:rPr>
          <w:rStyle w:val="FootnoteReference"/>
        </w:rPr>
        <w:footnoteReference w:id="1026"/>
      </w:r>
      <w:r w:rsidRPr="006A21F9">
        <w:rPr>
          <w:lang w:val="ru-RU"/>
        </w:rPr>
        <w:t xml:space="preserve"> ，从而明确将印记圣事（即圣油礼）与洗礼区分开来，并将其与洗礼并列。</w:t>
      </w:r>
    </w:p>
    <w:p w14:paraId="7A60D732" w14:textId="77777777" w:rsidR="00BE1885" w:rsidRPr="006A21F9" w:rsidRDefault="00BE1885" w:rsidP="00BE1885">
      <w:pPr>
        <w:rPr>
          <w:lang w:val="ru-RU"/>
        </w:rPr>
      </w:pPr>
      <w:r w:rsidRPr="006A21F9">
        <w:rPr>
          <w:lang w:val="ru-RU"/>
        </w:rPr>
        <w:tab/>
        <w:t>圣基普里安。他在一封书信中写道：“受洗者还必须接受涂油，以便通过领受圣油，即涂油礼，成为上帝的受膏者，并在自己内拥有基督的恩典。”</w:t>
      </w:r>
      <w:r>
        <w:rPr>
          <w:rStyle w:val="FootnoteReference"/>
        </w:rPr>
        <w:footnoteReference w:id="1027"/>
      </w:r>
      <w:r w:rsidRPr="006A21F9">
        <w:rPr>
          <w:lang w:val="ru-RU"/>
        </w:rPr>
        <w:t xml:space="preserve"> 在另一封信中，他论证仅向归入教会怀抱的异端分子按手是不够的，还必须为他们施洗，并写道：“因为只有当他们通过这两个圣事重生</w:t>
      </w:r>
      <w:r w:rsidRPr="0097554A">
        <w:rPr>
          <w:lang w:val="ru-RU"/>
        </w:rPr>
        <w:t>——</w:t>
      </w:r>
      <w:r w:rsidRPr="001E4083">
        <w:t>si</w:t>
      </w:r>
      <w:r w:rsidRPr="0097554A">
        <w:rPr>
          <w:lang w:val="ru-RU"/>
        </w:rPr>
        <w:t xml:space="preserve"> </w:t>
      </w:r>
      <w:r w:rsidRPr="001E4083">
        <w:t>utroque</w:t>
      </w:r>
      <w:r w:rsidRPr="0097554A">
        <w:rPr>
          <w:lang w:val="ru-RU"/>
        </w:rPr>
        <w:t xml:space="preserve"> </w:t>
      </w:r>
      <w:r w:rsidRPr="001E4083">
        <w:t>sacramento</w:t>
      </w:r>
      <w:r w:rsidRPr="0097554A">
        <w:rPr>
          <w:lang w:val="ru-RU"/>
        </w:rPr>
        <w:t xml:space="preserve"> </w:t>
      </w:r>
      <w:r w:rsidRPr="001E4083">
        <w:t>nascantur</w:t>
      </w:r>
      <w:r w:rsidRPr="006A21F9">
        <w:rPr>
          <w:lang w:val="ru-RU"/>
        </w:rPr>
        <w:t>——时，才能完全得到圣化，成为上帝的儿女。”</w:t>
      </w:r>
      <w:r>
        <w:rPr>
          <w:rStyle w:val="FootnoteReference"/>
        </w:rPr>
        <w:footnoteReference w:id="1028"/>
      </w:r>
      <w:r w:rsidRPr="006A21F9">
        <w:rPr>
          <w:lang w:val="ru-RU"/>
        </w:rPr>
        <w:t xml:space="preserve"> ——也就是说，他不仅将按手礼或坚振礼与洗礼区分开来，而且同样将二者都称为圣事。 在第三封书信中，他见证道：正如使徒彼得和约翰在祷告后，通过按手将圣灵降临在撒玛利亚人身上一样，从那时起，在教会中所有受洗者，在司祭的祷告下，通过他们的按手，便领受圣灵，并被神圣的印记所标记。</w:t>
      </w:r>
      <w:r>
        <w:rPr>
          <w:rStyle w:val="FootnoteReference"/>
        </w:rPr>
        <w:footnoteReference w:id="1029"/>
      </w:r>
    </w:p>
    <w:p w14:paraId="702C8655" w14:textId="77777777" w:rsidR="00BE1885" w:rsidRPr="006A21F9" w:rsidRDefault="00BE1885" w:rsidP="00BE1885">
      <w:pPr>
        <w:rPr>
          <w:lang w:val="ru-RU"/>
        </w:rPr>
      </w:pPr>
      <w:r w:rsidRPr="006A21F9">
        <w:rPr>
          <w:lang w:val="ru-RU"/>
        </w:rPr>
        <w:tab/>
        <w:t>教宗科尼利厄斯指出，异端分子诺瓦特在患病期间仅通过洒水礼受洗，并继续说道：“痊愈后，他并未接受根据教会法规本应接受的其他仪式，即他未接受主教的印记；既然未接受此仪式，他又如何能领受圣灵呢？”</w:t>
      </w:r>
      <w:r>
        <w:rPr>
          <w:rStyle w:val="FootnoteReference"/>
        </w:rPr>
        <w:footnoteReference w:id="1030"/>
      </w:r>
      <w:r w:rsidRPr="006A21F9">
        <w:rPr>
          <w:lang w:val="ru-RU"/>
        </w:rPr>
        <w:t xml:space="preserve"> 这意味着，当时“印记”或“圣油礼”被视为与洗礼相区别的仪式；根据教会法规，必须为受洗者施行圣油礼，而唯有这一圣礼才具有赐予圣灵的力量。</w:t>
      </w:r>
      <w:r>
        <w:rPr>
          <w:rStyle w:val="FootnoteReference"/>
        </w:rPr>
        <w:footnoteReference w:id="1031"/>
      </w:r>
    </w:p>
    <w:p w14:paraId="772A5DBE" w14:textId="77777777" w:rsidR="00BE1885" w:rsidRPr="006A21F9" w:rsidRDefault="00BE1885" w:rsidP="00BE1885">
      <w:pPr>
        <w:rPr>
          <w:lang w:val="ru-RU"/>
        </w:rPr>
      </w:pPr>
      <w:r w:rsidRPr="006A21F9">
        <w:rPr>
          <w:lang w:val="ru-RU"/>
        </w:rPr>
        <w:tab/>
        <w:t>除了这些关于坚振圣事的最古老见证外，还可以补充四世纪教会教父和教师们的见证，例如：</w:t>
      </w:r>
    </w:p>
    <w:p w14:paraId="2F5B2D66" w14:textId="77777777" w:rsidR="00BE1885" w:rsidRPr="006A21F9" w:rsidRDefault="00BE1885" w:rsidP="00BE1885">
      <w:pPr>
        <w:rPr>
          <w:lang w:val="ru-RU"/>
        </w:rPr>
      </w:pPr>
      <w:r w:rsidRPr="006A21F9">
        <w:rPr>
          <w:lang w:val="ru-RU"/>
        </w:rPr>
        <w:tab/>
        <w:t>耶路撒冷的圣西里尔：“随后（你们将得知），你们</w:t>
      </w:r>
      <w:r w:rsidRPr="006A21F9">
        <w:rPr>
          <w:i/>
          <w:iCs/>
          <w:lang w:val="ru-RU"/>
        </w:rPr>
        <w:t>是如何借着道，</w:t>
      </w:r>
      <w:r w:rsidRPr="006A21F9">
        <w:rPr>
          <w:lang w:val="ru-RU"/>
        </w:rPr>
        <w:t>从主</w:t>
      </w:r>
      <w:r w:rsidRPr="006A21F9">
        <w:rPr>
          <w:i/>
          <w:iCs/>
          <w:lang w:val="ru-RU"/>
        </w:rPr>
        <w:t>那里通过水洗得着了</w:t>
      </w:r>
      <w:r w:rsidRPr="006A21F9">
        <w:rPr>
          <w:lang w:val="ru-RU"/>
        </w:rPr>
        <w:t>罪的洁净</w:t>
      </w:r>
      <w:r w:rsidRPr="006A21F9">
        <w:rPr>
          <w:b/>
          <w:bCs/>
          <w:lang w:val="ru-RU"/>
        </w:rPr>
        <w:t>（</w:t>
      </w:r>
      <w:r w:rsidRPr="006A21F9">
        <w:rPr>
          <w:lang w:val="ru-RU"/>
        </w:rPr>
        <w:t>弗5:26）……以及你们是如何蒙赐圣灵恩赐的印记，还有在祭坛上所成就的新约奥秘。”</w:t>
      </w:r>
      <w:r>
        <w:rPr>
          <w:rStyle w:val="FootnoteReference"/>
        </w:rPr>
        <w:footnoteReference w:id="1032"/>
      </w:r>
      <w:r w:rsidRPr="006A21F9">
        <w:rPr>
          <w:lang w:val="ru-RU"/>
        </w:rPr>
        <w:t xml:space="preserve"> 同样在另一处经文中： </w:t>
      </w:r>
      <w:r w:rsidRPr="006A21F9">
        <w:rPr>
          <w:lang w:val="ru-RU"/>
        </w:rPr>
        <w:lastRenderedPageBreak/>
        <w:t>“当你们领受了圣灵的形像时，便成了受膏者；这一切在你们身上都是象征性的，即以形像的方式成就的，因为你们是基督的形像。 祂在约旦河中受洗，并从祂的汗水中向河水散发出神圣的馨香，随后从水中升起；当相似之物与相似之物相遇时，圣灵的实质性感动便临到了祂。 同样，当你们从圣水的洗礼池中出来时，也领受了与基督所受的膏抹相符的膏抹……”“看哪，不要把那个世界视为平凡。 因为正如圣餐中的饼，在圣灵的感召下，不再是普通的饼，而是基督的身体；同样，这圣膏油在感召之下，也不再是普通的，甚至若有人说它是寻常的，那更是错误的：它是基督和圣灵的恩赐，因祂神性的临在而生效。 ，你的额头及其他感官器官都以此圣油进行象征性的涂抹。当身体以可见的方式被涂抹时，灵魂便借着圣灵——那赐生命者——得以成圣。”</w:t>
      </w:r>
      <w:r>
        <w:rPr>
          <w:rStyle w:val="FootnoteReference"/>
        </w:rPr>
        <w:footnoteReference w:id="1033"/>
      </w:r>
    </w:p>
    <w:p w14:paraId="57E960C5" w14:textId="77777777" w:rsidR="00BE1885" w:rsidRPr="006A21F9" w:rsidRDefault="00BE1885" w:rsidP="00BE1885">
      <w:pPr>
        <w:rPr>
          <w:lang w:val="ru-RU"/>
        </w:rPr>
      </w:pPr>
      <w:r w:rsidRPr="006A21F9">
        <w:rPr>
          <w:lang w:val="ru-RU"/>
        </w:rPr>
        <w:tab/>
        <w:t>圣格里高利·神学家： “若以圣印护身，便以最美好、最切实的保障守护你的未来，借着圣油和圣灵为灵魂与身体作记号——正如古时以色列人以血与圣油在夜间守护长子（出埃及记12:13）——那么，还有什么能加害于你呢？”</w:t>
      </w:r>
      <w:r>
        <w:rPr>
          <w:rStyle w:val="FootnoteReference"/>
        </w:rPr>
        <w:footnoteReference w:id="1034"/>
      </w:r>
    </w:p>
    <w:p w14:paraId="2F3240AE" w14:textId="77777777" w:rsidR="00BE1885" w:rsidRPr="006A21F9" w:rsidRDefault="00BE1885" w:rsidP="00BE1885">
      <w:pPr>
        <w:rPr>
          <w:lang w:val="ru-RU"/>
        </w:rPr>
      </w:pPr>
      <w:r w:rsidRPr="006A21F9">
        <w:rPr>
          <w:lang w:val="ru-RU"/>
        </w:rPr>
        <w:tab/>
        <w:t>拉奥迪西亚大公会议的教父们指出：“受洗后蒙光照者，理应接受天上的圣油涂抹，并成为上帝国度的参与者”（第48条）。 此外：“对于那些从异端中回转的人，即诺瓦蒂安派、福提安派或十四派，无论是慕道者还是自认为信徒者，在他们谴责一切异端——尤其是他们曾信奉的异端——之前，不得接纳他们； 此后，经研习《信经》后，那些被他们称为‘信徒’的人，方可接受圣油的涂抹，并以此领受圣礼”（第7条）。</w:t>
      </w:r>
    </w:p>
    <w:p w14:paraId="35E82841" w14:textId="77777777" w:rsidR="00BE1885" w:rsidRPr="006A21F9" w:rsidRDefault="00BE1885" w:rsidP="00BE1885">
      <w:pPr>
        <w:rPr>
          <w:lang w:val="ru-RU"/>
        </w:rPr>
      </w:pPr>
      <w:r w:rsidRPr="006A21F9">
        <w:rPr>
          <w:lang w:val="ru-RU"/>
        </w:rPr>
        <w:tab/>
        <w:t>我们在圣埃弗拉姆·西里尔那里也发现了同样的教义，他将圣油礼称为救恩的圣事，</w:t>
      </w:r>
      <w:r>
        <w:rPr>
          <w:rStyle w:val="FootnoteReference"/>
        </w:rPr>
        <w:footnoteReference w:id="1035"/>
      </w:r>
      <w:r w:rsidRPr="006A21F9">
        <w:rPr>
          <w:lang w:val="ru-RU"/>
        </w:rPr>
        <w:t xml:space="preserve"> ；在圣安布罗斯·米兰那里，</w:t>
      </w:r>
      <w:r>
        <w:rPr>
          <w:rStyle w:val="FootnoteReference"/>
        </w:rPr>
        <w:footnoteReference w:id="1036"/>
      </w:r>
      <w:r w:rsidRPr="006A21F9">
        <w:rPr>
          <w:lang w:val="ru-RU"/>
        </w:rPr>
        <w:t xml:space="preserve"> ；在圣约翰·金口那里，</w:t>
      </w:r>
      <w:r>
        <w:rPr>
          <w:rStyle w:val="FootnoteReference"/>
        </w:rPr>
        <w:footnoteReference w:id="1037"/>
      </w:r>
      <w:r w:rsidRPr="006A21F9">
        <w:rPr>
          <w:lang w:val="ru-RU"/>
        </w:rPr>
        <w:t xml:space="preserve"> ；在圣西里尔·亚历山大那里，</w:t>
      </w:r>
      <w:r>
        <w:rPr>
          <w:rStyle w:val="FootnoteReference"/>
        </w:rPr>
        <w:footnoteReference w:id="1038"/>
      </w:r>
      <w:r w:rsidRPr="006A21F9">
        <w:rPr>
          <w:lang w:val="ru-RU"/>
        </w:rPr>
        <w:t xml:space="preserve"> ；以及在福者 奥古斯丁，他也将其称为圣事，</w:t>
      </w:r>
      <w:r>
        <w:rPr>
          <w:rStyle w:val="FootnoteReference"/>
        </w:rPr>
        <w:footnoteReference w:id="1039"/>
      </w:r>
      <w:r w:rsidRPr="006A21F9">
        <w:rPr>
          <w:lang w:val="ru-RU"/>
        </w:rPr>
        <w:t xml:space="preserve"> 福者狄奥多里特，</w:t>
      </w:r>
      <w:r>
        <w:rPr>
          <w:rStyle w:val="FootnoteReference"/>
        </w:rPr>
        <w:footnoteReference w:id="1040"/>
      </w:r>
      <w:r w:rsidRPr="006A21F9">
        <w:rPr>
          <w:lang w:val="ru-RU"/>
        </w:rPr>
        <w:t xml:space="preserve"> 塔普西亚的维吉利乌斯，</w:t>
      </w:r>
      <w:r>
        <w:rPr>
          <w:rStyle w:val="FootnoteReference"/>
        </w:rPr>
        <w:footnoteReference w:id="1041"/>
      </w:r>
      <w:r w:rsidRPr="006A21F9">
        <w:rPr>
          <w:lang w:val="ru-RU"/>
        </w:rPr>
        <w:t xml:space="preserve"> 埃夫菲米乌斯·齐加本</w:t>
      </w:r>
      <w:r>
        <w:rPr>
          <w:rStyle w:val="FootnoteReference"/>
        </w:rPr>
        <w:footnoteReference w:id="1042"/>
      </w:r>
      <w:r w:rsidRPr="006A21F9">
        <w:rPr>
          <w:lang w:val="ru-RU"/>
        </w:rPr>
        <w:t xml:space="preserve"> 以及其他人。</w:t>
      </w:r>
    </w:p>
    <w:p w14:paraId="265D25AC" w14:textId="77777777" w:rsidR="00BE1885" w:rsidRPr="006A21F9" w:rsidRDefault="00BE1885" w:rsidP="00BE1885">
      <w:pPr>
        <w:ind w:firstLine="708"/>
        <w:rPr>
          <w:lang w:val="ru-RU"/>
        </w:rPr>
      </w:pPr>
      <w:r w:rsidRPr="006A21F9">
        <w:rPr>
          <w:b/>
          <w:bCs/>
          <w:lang w:val="ru-RU"/>
        </w:rPr>
        <w:lastRenderedPageBreak/>
        <w:t>5.</w:t>
      </w:r>
      <w:r w:rsidRPr="006A21F9">
        <w:rPr>
          <w:lang w:val="ru-RU"/>
        </w:rPr>
        <w:t xml:space="preserve"> 特别值得注意的是，圣油礼不仅被东方正教会及其自九世纪起与之分离的罗马教会视为神所设立的圣礼，而且在那些早在古代就背离正统信仰的群体中也被视为神所设立的圣礼，例如： 亚美尼亚人、</w:t>
      </w:r>
      <w:r>
        <w:rPr>
          <w:rStyle w:val="FootnoteReference"/>
        </w:rPr>
        <w:footnoteReference w:id="1043"/>
      </w:r>
      <w:r w:rsidRPr="006A21F9">
        <w:rPr>
          <w:lang w:val="ru-RU"/>
        </w:rPr>
        <w:t xml:space="preserve"> 雅各派、</w:t>
      </w:r>
      <w:r>
        <w:rPr>
          <w:rStyle w:val="FootnoteReference"/>
        </w:rPr>
        <w:footnoteReference w:id="1044"/>
      </w:r>
      <w:r w:rsidRPr="006A21F9">
        <w:rPr>
          <w:lang w:val="ru-RU"/>
        </w:rPr>
        <w:t xml:space="preserve"> 聂斯托里派</w:t>
      </w:r>
      <w:r>
        <w:rPr>
          <w:rStyle w:val="FootnoteReference"/>
        </w:rPr>
        <w:footnoteReference w:id="1045"/>
      </w:r>
      <w:r w:rsidRPr="006A21F9">
        <w:rPr>
          <w:lang w:val="ru-RU"/>
        </w:rPr>
        <w:t xml:space="preserve"> 等。</w:t>
      </w:r>
      <w:r>
        <w:rPr>
          <w:rStyle w:val="FootnoteReference"/>
        </w:rPr>
        <w:footnoteReference w:id="1046"/>
      </w:r>
    </w:p>
    <w:p w14:paraId="5E7B0C14" w14:textId="77777777" w:rsidR="00BE1885" w:rsidRPr="006A21F9" w:rsidRDefault="00BE1885" w:rsidP="00BE1885">
      <w:pPr>
        <w:rPr>
          <w:lang w:val="ru-RU"/>
        </w:rPr>
      </w:pPr>
    </w:p>
    <w:p w14:paraId="318B37E1" w14:textId="77777777" w:rsidR="00BE1885" w:rsidRPr="006A21F9" w:rsidRDefault="00BE1885" w:rsidP="00BE1885">
      <w:pPr>
        <w:pStyle w:val="Heading5"/>
        <w:rPr>
          <w:lang w:val="ru-RU"/>
        </w:rPr>
      </w:pPr>
      <w:bookmarkStart w:id="764" w:name="_Toc133142976"/>
      <w:bookmarkStart w:id="765" w:name="_Toc133166333"/>
      <w:bookmarkStart w:id="766" w:name="_Toc182221543"/>
      <w:bookmarkStart w:id="767" w:name="_Toc238453110"/>
      <w:bookmarkStart w:id="768" w:name="_Toc238453910"/>
      <w:bookmarkStart w:id="769" w:name="_Toc238576570"/>
      <w:r w:rsidRPr="006A21F9">
        <w:rPr>
          <w:lang w:val="ru-RU"/>
        </w:rPr>
        <w:t>§209. 圣油礼的可见方面</w:t>
      </w:r>
      <w:bookmarkEnd w:id="764"/>
      <w:bookmarkEnd w:id="765"/>
      <w:bookmarkEnd w:id="766"/>
      <w:bookmarkEnd w:id="767"/>
      <w:bookmarkEnd w:id="768"/>
      <w:bookmarkEnd w:id="769"/>
    </w:p>
    <w:p w14:paraId="44EB79B2" w14:textId="77777777" w:rsidR="00BE1885" w:rsidRPr="006A21F9" w:rsidRDefault="00BE1885" w:rsidP="00BE1885">
      <w:pPr>
        <w:ind w:firstLine="708"/>
        <w:rPr>
          <w:lang w:val="ru-RU"/>
        </w:rPr>
      </w:pPr>
      <w:r w:rsidRPr="006A21F9">
        <w:rPr>
          <w:lang w:val="ru-RU"/>
        </w:rPr>
        <w:t>圣油礼的可见部分在于：受洗者向神祈求圣灵降临于他们之后，会用圣油以十字形涂抹身体各处，同时诵念：“这是圣灵恩赐的印记。”因此，此处具体包括：</w:t>
      </w:r>
    </w:p>
    <w:p w14:paraId="18A87C0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在圣油礼正式开始前，向上帝祈求将圣灵降临在受洗者身上的祷文。 这一祈祷至今仍在教会中诵念：</w:t>
      </w:r>
      <w:r w:rsidRPr="006A21F9">
        <w:rPr>
          <w:b/>
          <w:bCs/>
          <w:lang w:val="ru-RU"/>
        </w:rPr>
        <w:t>a)</w:t>
      </w:r>
      <w:r w:rsidRPr="006A21F9">
        <w:rPr>
          <w:lang w:val="ru-RU"/>
        </w:rPr>
        <w:t xml:space="preserve"> 效法圣使徒彼得和约翰的榜样——他们被派往撒玛利亚，为受洗者求圣灵降临，在施行圣礼之前，曾为他们祈祷，求他们领受圣灵（使徒行传8:15）； </w:t>
      </w:r>
      <w:r w:rsidRPr="006A21F9">
        <w:rPr>
          <w:b/>
          <w:bCs/>
          <w:lang w:val="ru-RU"/>
        </w:rPr>
        <w:t>b)</w:t>
      </w:r>
      <w:r w:rsidRPr="006A21F9">
        <w:rPr>
          <w:lang w:val="ru-RU"/>
        </w:rPr>
        <w:t xml:space="preserve"> 此外，也效法古代 教会的传统，正如圣基普里安和圣安布罗斯所见证的，</w:t>
      </w:r>
      <w:r>
        <w:rPr>
          <w:rStyle w:val="FootnoteReference"/>
        </w:rPr>
        <w:footnoteReference w:id="1047"/>
      </w:r>
      <w:r w:rsidRPr="006A21F9">
        <w:rPr>
          <w:lang w:val="ru-RU"/>
        </w:rPr>
        <w:t xml:space="preserve"> 以及《使徒宪章》中所述，其中甚至保留了当时在施行圣油礼前诵念的祷文范本。</w:t>
      </w:r>
      <w:r>
        <w:rPr>
          <w:rStyle w:val="FootnoteReference"/>
        </w:rPr>
        <w:footnoteReference w:id="1048"/>
      </w:r>
    </w:p>
    <w:p w14:paraId="12AAF4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用于施行此圣事的物质是：已受祝圣的圣油。关于这一点，我们需指出：</w:t>
      </w:r>
    </w:p>
    <w:p w14:paraId="4377A765" w14:textId="77777777" w:rsidR="00BE1885" w:rsidRPr="006A21F9" w:rsidRDefault="00BE1885" w:rsidP="00BE1885">
      <w:pPr>
        <w:ind w:firstLine="708"/>
        <w:rPr>
          <w:lang w:val="ru-RU"/>
        </w:rPr>
      </w:pPr>
      <w:r w:rsidRPr="006A21F9">
        <w:rPr>
          <w:b/>
          <w:bCs/>
          <w:lang w:val="ru-RU"/>
        </w:rPr>
        <w:t xml:space="preserve">1) </w:t>
      </w:r>
      <w:r w:rsidRPr="006A21F9">
        <w:rPr>
          <w:lang w:val="ru-RU"/>
        </w:rPr>
        <w:t>在施行圣油礼时使用圣油，无疑可追溯至使徒们本人。因为：</w:t>
      </w:r>
    </w:p>
    <w:p w14:paraId="605D9E8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圣经中对此有明确的暗示，我们此前已加以探讨 [(约壹 2:20)；(林后 1:21-22)]；</w:t>
      </w:r>
      <w:r w:rsidRPr="006A21F9">
        <w:rPr>
          <w:b/>
          <w:bCs/>
          <w:lang w:val="ru-RU"/>
        </w:rPr>
        <w:t>b)</w:t>
      </w:r>
      <w:r w:rsidRPr="006A21F9">
        <w:rPr>
          <w:lang w:val="ru-RU"/>
        </w:rPr>
        <w:t xml:space="preserve"> 使徒的继任者们从他们那里承接了如此严格的遗命，即要守护他们的口传与书面传统 [(提后 6:20)； (帖后 2:15)]，绝不敢擅自对施行圣礼这一重要事务进行更改，更不会以某种新的可见标志取代按手礼，以此将圣灵的恩赐赐予信徒； </w:t>
      </w:r>
      <w:r w:rsidRPr="006A21F9">
        <w:rPr>
          <w:b/>
          <w:bCs/>
          <w:lang w:val="ru-RU"/>
        </w:rPr>
        <w:t>c)</w:t>
      </w:r>
      <w:r w:rsidRPr="006A21F9">
        <w:rPr>
          <w:lang w:val="ru-RU"/>
        </w:rPr>
        <w:t xml:space="preserve"> 即使古时的牧者中有人决心做出如此重大的改变：这也绝不会不引起其他使徒传统守护者的质疑，而且无论如何都无法在普世教会中被普遍接受。 然而，自基督教最初几个世纪起，无论在东方还是西方，在所讨论的圣礼中使用圣油的做法都已遍及各地——而且古人中无人指出，这种做法是在教会中从某个特定时期才开始的，或是由某人引入的。 </w:t>
      </w:r>
      <w:r w:rsidRPr="006A21F9">
        <w:rPr>
          <w:b/>
          <w:bCs/>
          <w:lang w:val="ru-RU"/>
        </w:rPr>
        <w:t>最后——d)</w:t>
      </w:r>
      <w:r w:rsidRPr="006A21F9">
        <w:rPr>
          <w:lang w:val="ru-RU"/>
        </w:rPr>
        <w:t xml:space="preserve"> 正如我们所见，圣狄奥尼修斯·阿雷奥帕吉特指出，圣使徒们自己将这一圣礼称为“圣油圣礼”（</w:t>
      </w:r>
      <w:r>
        <w:rPr>
          <w:rStyle w:val="FootnoteReference"/>
        </w:rPr>
        <w:footnoteReference w:id="1049"/>
      </w:r>
      <w:r w:rsidRPr="006A21F9">
        <w:rPr>
          <w:lang w:val="ru-RU"/>
        </w:rPr>
        <w:t xml:space="preserve"> ），因此，正是他们自己引入了圣油的使用。 那么，使徒们——或者更准确地说，是圣灵——为何要将他们最初使用的按手礼，替换为圣油涂抹礼呢？关于这一点，由于我们对此一无所知，只能进行推测。 从《使徒行传》中可以看出，唯有使徒们才能将圣灵降临在受洗者身上（徒8:12-18）：在基督教初兴之时，受洗者尚不多，这对他们来说确实十分便利。 但不久之后，随着圣洁信仰的极度传播，当世界各地的人们纷纷皈依时，无论是使徒本人，还是他们的</w:t>
      </w:r>
      <w:r w:rsidRPr="006A21F9">
        <w:rPr>
          <w:lang w:val="ru-RU"/>
        </w:rPr>
        <w:lastRenderedPageBreak/>
        <w:t>直接继任者——主教们，都无法无处不在，无法在施洗后立即通过按手礼将圣灵降临在所有受洗者身上。 正因如此，或许居住在使徒们心中的圣灵才愿意，用一种更为便捷的圣油涂抹仪式，来替代使徒们对受洗者施行的按手礼， ——这样，圣油的祝圣便由使徒们亲自完成，随后由他们的继任者——主教们——继续进行，而用已祝圣的圣油为受洗者涂抹的仪式，则交由所有长老来执行。 正因为在旧约中，圣油的涂抹已被用作将圣灵恩赐降临于人的可见媒介[(出埃及记 28:41)； （撒上16:13）；（撒下1:39）；（撒下19:16）]。</w:t>
      </w:r>
      <w:r>
        <w:rPr>
          <w:rStyle w:val="FootnoteReference"/>
        </w:rPr>
        <w:footnoteReference w:id="1050"/>
      </w:r>
    </w:p>
    <w:p w14:paraId="0297ED9A" w14:textId="77777777" w:rsidR="00BE1885" w:rsidRPr="006A21F9" w:rsidRDefault="00BE1885" w:rsidP="00BE1885">
      <w:pPr>
        <w:ind w:firstLine="708"/>
        <w:rPr>
          <w:lang w:val="ru-RU"/>
        </w:rPr>
      </w:pPr>
      <w:r w:rsidRPr="006A21F9">
        <w:rPr>
          <w:b/>
          <w:bCs/>
          <w:lang w:val="ru-RU"/>
        </w:rPr>
        <w:t xml:space="preserve">2) </w:t>
      </w:r>
      <w:r w:rsidRPr="006A21F9">
        <w:rPr>
          <w:lang w:val="ru-RU"/>
        </w:rPr>
        <w:t>在施行圣油礼时使用圣油一直被视为本质上的必要条件，而绝非与圣油礼行为相分离的按手礼。 因为，首先，古代的大公会议和地方会议在明确提及此圣事时，仅论及圣油的涂抹，完全未提及按手礼； 第二和第六次大公会议，允许 通过为某些异端分子施行圣油礼将其接纳进教会，</w:t>
      </w:r>
      <w:r>
        <w:rPr>
          <w:rStyle w:val="FootnoteReference"/>
        </w:rPr>
        <w:footnoteReference w:id="1051"/>
      </w:r>
      <w:r w:rsidRPr="006A21F9">
        <w:rPr>
          <w:lang w:val="ru-RU"/>
        </w:rPr>
        <w:t xml:space="preserve"> ；而拉奥狄基亚地方会议则确认，应在所有信徒受洗后立即为他们施行此圣礼。</w:t>
      </w:r>
      <w:r>
        <w:rPr>
          <w:rStyle w:val="FootnoteReference"/>
        </w:rPr>
        <w:footnoteReference w:id="1052"/>
      </w:r>
      <w:r w:rsidRPr="006A21F9">
        <w:rPr>
          <w:lang w:val="ru-RU"/>
        </w:rPr>
        <w:t xml:space="preserve"> 其次，绝大多数教会神学家，尤其是东方神学家，也仅提及在此圣事中使用圣油一次，对按手礼则完全未置一词，</w:t>
      </w:r>
      <w:r>
        <w:rPr>
          <w:rStyle w:val="FootnoteReference"/>
        </w:rPr>
        <w:footnoteReference w:id="1053"/>
      </w:r>
      <w:r w:rsidRPr="006A21F9">
        <w:rPr>
          <w:lang w:val="ru-RU"/>
        </w:rPr>
        <w:t xml:space="preserve"> 例如：圣基里尔·耶路撒冷曾专门用整篇讲道向新受洗者讲解圣油礼（《教诲与启示》 3），然而却对按手礼只字未提。 第三，如果某些特定教会（主要是西方教会），正如其牧者的证言所示，</w:t>
      </w:r>
      <w:r>
        <w:rPr>
          <w:rStyle w:val="FootnoteReference"/>
        </w:rPr>
        <w:footnoteReference w:id="1054"/>
      </w:r>
      <w:r w:rsidRPr="006A21F9">
        <w:rPr>
          <w:lang w:val="ru-RU"/>
        </w:rPr>
        <w:t xml:space="preserve"> 直到不久前，圣油礼与按手礼仍被结合在一起——正如至今在罗马教会中所结合的那样，</w:t>
      </w:r>
      <w:r>
        <w:rPr>
          <w:rStyle w:val="FootnoteReference"/>
        </w:rPr>
        <w:footnoteReference w:id="1055"/>
      </w:r>
      <w:r w:rsidRPr="006A21F9">
        <w:rPr>
          <w:lang w:val="ru-RU"/>
        </w:rPr>
        <w:t xml:space="preserve"> 那么可以认为，教会牧者们在各地保留了后者， 仅仅作为受使徒榜样圣化的一种礼仪，而非圣礼的实质性组成部分。 例如，圣基普里安在某处提到施行此圣礼时既涉及圣油涂抹又涉及按手礼，但在另一处却明确指出，实际上每位受洗者都必须接受圣油或涂抹，才能在自己身上拥有基督的恩典。</w:t>
      </w:r>
      <w:r>
        <w:rPr>
          <w:rStyle w:val="FootnoteReference"/>
        </w:rPr>
        <w:footnoteReference w:id="1056"/>
      </w:r>
      <w:r w:rsidRPr="006A21F9">
        <w:rPr>
          <w:lang w:val="ru-RU"/>
        </w:rPr>
        <w:t xml:space="preserve"> 最后，西方的大主教们， 英诺森三世</w:t>
      </w:r>
      <w:r>
        <w:rPr>
          <w:rStyle w:val="FootnoteReference"/>
        </w:rPr>
        <w:footnoteReference w:id="1057"/>
      </w:r>
      <w:r w:rsidRPr="006A21F9">
        <w:rPr>
          <w:lang w:val="ru-RU"/>
        </w:rPr>
        <w:t xml:space="preserve"> 和尤金四世</w:t>
      </w:r>
      <w:r>
        <w:rPr>
          <w:rStyle w:val="FootnoteReference"/>
        </w:rPr>
        <w:footnoteReference w:id="1058"/>
      </w:r>
      <w:r w:rsidRPr="006A21F9">
        <w:rPr>
          <w:lang w:val="ru-RU"/>
        </w:rPr>
        <w:t xml:space="preserve"> ，以及1549年在美因茨召开的西方主教全体地方公会议</w:t>
      </w:r>
      <w:r>
        <w:rPr>
          <w:rStyle w:val="FootnoteReference"/>
        </w:rPr>
        <w:footnoteReference w:id="1059"/>
      </w:r>
      <w:r w:rsidRPr="006A21F9">
        <w:rPr>
          <w:lang w:val="ru-RU"/>
        </w:rPr>
        <w:t xml:space="preserve"> </w:t>
      </w:r>
      <w:r w:rsidRPr="006A21F9">
        <w:rPr>
          <w:lang w:val="ru-RU"/>
        </w:rPr>
        <w:lastRenderedPageBreak/>
        <w:t>，都公开见证：自使徒时代起，圣油涂抹就已取代了按手礼，因此圣油涂抹本身仍是该圣事中不可或缺的要素。</w:t>
      </w:r>
      <w:r>
        <w:rPr>
          <w:rStyle w:val="FootnoteReference"/>
        </w:rPr>
        <w:footnoteReference w:id="1060"/>
      </w:r>
    </w:p>
    <w:p w14:paraId="1982DBC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圣事本身的仪式——用圣油在身体的特定部位进行十字形涂抹。自古以来，这一仪式便是如此进行的：圣安布罗斯</w:t>
      </w:r>
      <w:r>
        <w:rPr>
          <w:rStyle w:val="FootnoteReference"/>
        </w:rPr>
        <w:footnoteReference w:id="1061"/>
      </w:r>
      <w:r w:rsidRPr="006A21F9">
        <w:rPr>
          <w:lang w:val="ru-RU"/>
        </w:rPr>
        <w:t xml:space="preserve"> 和福者奥古斯丁</w:t>
      </w:r>
      <w:r>
        <w:rPr>
          <w:rStyle w:val="FootnoteReference"/>
        </w:rPr>
        <w:footnoteReference w:id="1062"/>
      </w:r>
      <w:r w:rsidRPr="006A21F9">
        <w:rPr>
          <w:lang w:val="ru-RU"/>
        </w:rPr>
        <w:t xml:space="preserve"> 都明确提到了以十字形涂抹圣油的习俗。 关于用圣油涂抹额头、耳朵、鼻孔和胸部的做法，圣基里尔·耶路撒冷人对此有详细论述。</w:t>
      </w:r>
      <w:r>
        <w:rPr>
          <w:rStyle w:val="FootnoteReference"/>
        </w:rPr>
        <w:footnoteReference w:id="1063"/>
      </w:r>
      <w:r w:rsidRPr="006A21F9">
        <w:rPr>
          <w:lang w:val="ru-RU"/>
        </w:rPr>
        <w:t xml:space="preserve"> 第二和第六次大公会议均证实了涂抹额头、头部、耳朵、鼻孔和嘴唇的仪式。</w:t>
      </w:r>
      <w:r>
        <w:rPr>
          <w:rStyle w:val="FootnoteReference"/>
        </w:rPr>
        <w:footnoteReference w:id="1064"/>
      </w:r>
      <w:r w:rsidRPr="006A21F9">
        <w:rPr>
          <w:lang w:val="ru-RU"/>
        </w:rPr>
        <w:t xml:space="preserve"> 圣以弗所·西里尔则论及了感官及身体各部位的整体涂抹。</w:t>
      </w:r>
      <w:r>
        <w:rPr>
          <w:rStyle w:val="FootnoteReference"/>
        </w:rPr>
        <w:footnoteReference w:id="1065"/>
      </w:r>
      <w:r w:rsidRPr="006A21F9">
        <w:rPr>
          <w:lang w:val="ru-RU"/>
        </w:rPr>
        <w:t xml:space="preserve"> 由此，人 身体的所有主要部位——作为灵魂一切力量与能力的载体——都被圣油所印记，其身心两部分也因此共同获得了恩典之力的加固。 值得注意的是，在东方存在的非东正教古代社群中，例如雅各派、科普特人和亚美尼亚人，圣油涂抹礼并非仅在额头上进行——如当今罗马教会所为——</w:t>
      </w:r>
      <w:r>
        <w:rPr>
          <w:rStyle w:val="FootnoteReference"/>
        </w:rPr>
        <w:footnoteReference w:id="1066"/>
      </w:r>
      <w:r w:rsidRPr="006A21F9">
        <w:rPr>
          <w:lang w:val="ru-RU"/>
        </w:rPr>
        <w:t xml:space="preserve"> ，而是在人体的其他部位也进行涂抹。</w:t>
      </w:r>
      <w:r>
        <w:rPr>
          <w:rStyle w:val="FootnoteReference"/>
        </w:rPr>
        <w:footnoteReference w:id="1067"/>
      </w:r>
    </w:p>
    <w:p w14:paraId="4C3628ED"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在用圣油涂抹身体特定部位时所诵念的经文：圣灵恩赐的印记。这些经文显然源自圣使徒的一段著名箴言（哥林多后书1:21-22），自古以来就在教会举行圣油礼时使用。 关于这些话语的记载可见于圣基里尔·耶路撒冷，</w:t>
      </w:r>
      <w:r>
        <w:rPr>
          <w:rStyle w:val="FootnoteReference"/>
        </w:rPr>
        <w:footnoteReference w:id="1068"/>
      </w:r>
      <w:r w:rsidRPr="006A21F9">
        <w:rPr>
          <w:lang w:val="ru-RU"/>
        </w:rPr>
        <w:t xml:space="preserve"> ；而关于其使用的直接证据则见于生活于四世纪的阿马西亚主教阿斯特里乌斯，</w:t>
      </w:r>
      <w:r>
        <w:rPr>
          <w:rStyle w:val="FootnoteReference"/>
        </w:rPr>
        <w:footnoteReference w:id="1069"/>
      </w:r>
      <w:r w:rsidRPr="006A21F9">
        <w:rPr>
          <w:lang w:val="ru-RU"/>
        </w:rPr>
        <w:t xml:space="preserve"> ，以及当时召开的第二次大公会议的第七条规则中。 其中写道：“对于那些从异端中归信正统并得以得救的人，应按照以下礼仪规定和惯例予以接纳…… 接纳时，要施印，即用圣油涂抹：首先是额头，然后是双眼、鼻孔、嘴唇和双耳；在施印时，我们诵念：‘圣灵恩赐的印记。’” 特别值得注意的是，教父们并未说：“我们规定或命令在圣油礼中诵念‘圣灵恩赐的印记’这句祷文”，而是仅将其作为众所周知且在施行此圣礼时早已沿用的仪式规定和惯例予以引用。 第六次大公会议的教父们也重申了这一点（第95条）。</w:t>
      </w:r>
    </w:p>
    <w:p w14:paraId="54CCEF74" w14:textId="77777777" w:rsidR="00BE1885" w:rsidRPr="006A21F9" w:rsidRDefault="00BE1885" w:rsidP="00BE1885">
      <w:pPr>
        <w:rPr>
          <w:lang w:val="ru-RU"/>
        </w:rPr>
      </w:pPr>
      <w:r w:rsidRPr="006A21F9">
        <w:rPr>
          <w:lang w:val="ru-RU"/>
        </w:rPr>
        <w:lastRenderedPageBreak/>
        <w:tab/>
      </w:r>
    </w:p>
    <w:p w14:paraId="550B096F" w14:textId="77777777" w:rsidR="00BE1885" w:rsidRPr="006A21F9" w:rsidRDefault="00BE1885" w:rsidP="00BE1885">
      <w:pPr>
        <w:pStyle w:val="Heading5"/>
        <w:rPr>
          <w:lang w:val="ru-RU"/>
        </w:rPr>
      </w:pPr>
      <w:bookmarkStart w:id="770" w:name="_Toc133142977"/>
      <w:bookmarkStart w:id="771" w:name="_Toc133166334"/>
      <w:bookmarkStart w:id="772" w:name="_Toc182221544"/>
      <w:bookmarkStart w:id="773" w:name="_Toc238453111"/>
      <w:bookmarkStart w:id="774" w:name="_Toc238453911"/>
      <w:bookmarkStart w:id="775" w:name="_Toc238576571"/>
      <w:r w:rsidRPr="006A21F9">
        <w:rPr>
          <w:lang w:val="ru-RU"/>
        </w:rPr>
        <w:t>§210. 圣油礼中不可见的作用及其不可重复性</w:t>
      </w:r>
      <w:bookmarkEnd w:id="770"/>
      <w:bookmarkEnd w:id="771"/>
      <w:bookmarkEnd w:id="772"/>
      <w:bookmarkEnd w:id="773"/>
      <w:bookmarkEnd w:id="774"/>
      <w:bookmarkEnd w:id="775"/>
    </w:p>
    <w:p w14:paraId="2375CE6D"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圣油礼这一圣事最主要的、看不见的作用在于，它将圣灵赐予信徒。 在洗礼中，我们仅得以洗净罪愆，并藉着圣灵的大能重生，但尚未蒙恩将祂接纳于内心，成为祂的殿宇：通过圣油礼，圣灵连同祂一切对属灵生活必不可少的恩赐，都被赐予了我们（《教规》 《信条》第一卷，对第105个问题的回答）。这一点从圣路加的叙述中完全清楚：</w:t>
      </w:r>
      <w:r w:rsidRPr="006A21F9">
        <w:rPr>
          <w:i/>
          <w:iCs/>
          <w:lang w:val="ru-RU"/>
        </w:rPr>
        <w:t>当时在耶路撒冷的使徒们，听说撒玛利亚人接受了上帝的话语，便派彼得和约翰去见他们；二人抵达后，为他们祷告，使他们领受圣灵。 因为圣灵尚未降临在他们任何一人身上，他们只是奉主耶稣的名受了洗。于是，使徒们按手在他们身上，他们便领受了圣灵</w:t>
      </w:r>
      <w:r w:rsidRPr="00C24670">
        <w:rPr>
          <w:lang w:val="ru-RU"/>
        </w:rPr>
        <w:t>[</w:t>
      </w:r>
      <w:r w:rsidRPr="006A21F9">
        <w:rPr>
          <w:lang w:val="ru-RU"/>
        </w:rPr>
        <w:t>(使徒行传 8:14-17</w:t>
      </w:r>
      <w:r>
        <w:rPr>
          <w:lang w:val="ru-RU"/>
        </w:rPr>
        <w:t>)</w:t>
      </w:r>
      <w:r w:rsidRPr="006A21F9">
        <w:rPr>
          <w:lang w:val="ru-RU"/>
        </w:rPr>
        <w:t>；</w:t>
      </w:r>
      <w:r>
        <w:rPr>
          <w:lang w:val="ru-RU"/>
        </w:rPr>
        <w:t>(</w:t>
      </w:r>
      <w:r w:rsidRPr="006A21F9">
        <w:rPr>
          <w:lang w:val="ru-RU"/>
        </w:rPr>
        <w:t>使徒行传 19:6)</w:t>
      </w:r>
      <w:r w:rsidRPr="00C24670">
        <w:rPr>
          <w:lang w:val="ru-RU"/>
        </w:rPr>
        <w:t>]</w:t>
      </w:r>
      <w:r w:rsidRPr="006A21F9">
        <w:rPr>
          <w:lang w:val="ru-RU"/>
        </w:rPr>
        <w:t>。 正如我们所见，古代教会的教师们也一致宣讲这一点：狄奥尼修斯·阿雷奥帕吉特，</w:t>
      </w:r>
      <w:r>
        <w:rPr>
          <w:rStyle w:val="FootnoteReference"/>
        </w:rPr>
        <w:footnoteReference w:id="1070"/>
      </w:r>
      <w:r w:rsidRPr="006A21F9">
        <w:rPr>
          <w:lang w:val="ru-RU"/>
        </w:rPr>
        <w:t xml:space="preserve"> 特土良，</w:t>
      </w:r>
      <w:r>
        <w:rPr>
          <w:rStyle w:val="FootnoteReference"/>
        </w:rPr>
        <w:footnoteReference w:id="1071"/>
      </w:r>
      <w:r w:rsidRPr="006A21F9">
        <w:rPr>
          <w:lang w:val="ru-RU"/>
        </w:rPr>
        <w:t xml:space="preserve"> 基普里安；</w:t>
      </w:r>
      <w:r>
        <w:rPr>
          <w:rStyle w:val="FootnoteReference"/>
        </w:rPr>
        <w:footnoteReference w:id="1072"/>
      </w:r>
      <w:r w:rsidRPr="006A21F9">
        <w:rPr>
          <w:lang w:val="ru-RU"/>
        </w:rPr>
        <w:t xml:space="preserve"> 教宗科尼利乌斯、耶路撒冷的西里尔、安布罗斯、亚历山大的西里尔、狄奥多里特</w:t>
      </w:r>
      <w:r>
        <w:rPr>
          <w:rStyle w:val="FootnoteReference"/>
        </w:rPr>
        <w:footnoteReference w:id="1073"/>
      </w:r>
      <w:r w:rsidRPr="006A21F9">
        <w:rPr>
          <w:lang w:val="ru-RU"/>
        </w:rPr>
        <w:t xml:space="preserve"> 以及其他人。</w:t>
      </w:r>
      <w:r>
        <w:rPr>
          <w:rStyle w:val="FootnoteReference"/>
        </w:rPr>
        <w:footnoteReference w:id="1074"/>
      </w:r>
    </w:p>
    <w:p w14:paraId="797D0309" w14:textId="77777777" w:rsidR="00BE1885" w:rsidRPr="006A21F9" w:rsidRDefault="00BE1885" w:rsidP="00BE1885">
      <w:pPr>
        <w:rPr>
          <w:lang w:val="ru-RU"/>
        </w:rPr>
      </w:pPr>
      <w:r w:rsidRPr="006A21F9">
        <w:rPr>
          <w:lang w:val="ru-RU"/>
        </w:rPr>
        <w:tab/>
        <w:t>但正如先知以赛亚所预言的，圣灵通过坚振圣事</w:t>
      </w:r>
      <w:r>
        <w:rPr>
          <w:rStyle w:val="FootnoteReference"/>
        </w:rPr>
        <w:footnoteReference w:id="1075"/>
      </w:r>
      <w:r w:rsidRPr="006A21F9">
        <w:rPr>
          <w:lang w:val="ru-RU"/>
        </w:rPr>
        <w:t xml:space="preserve"> 1075赐予信徒的恩赐共有七种： 智慧与明达之灵、谋略与刚毅之灵、知识与虔敬之灵，以及最后的敬畏天主之灵（依11:2-3），其中三者主要关乎理智的启迪，而四者则关乎在善上对意志的引导与坚固 （《正教信条》</w:t>
      </w:r>
      <w:r w:rsidRPr="001E4083">
        <w:t>第一</w:t>
      </w:r>
      <w:r w:rsidRPr="006A21F9">
        <w:rPr>
          <w:lang w:val="ru-RU"/>
        </w:rPr>
        <w:t>卷，对第73-80问的回答）：其中特别提到，圣油礼：</w:t>
      </w:r>
    </w:p>
    <w:p w14:paraId="4BEA6F7F" w14:textId="77777777" w:rsidR="00BE1885" w:rsidRPr="006A21F9" w:rsidRDefault="00BE1885" w:rsidP="00BE1885">
      <w:pPr>
        <w:ind w:firstLine="708"/>
        <w:rPr>
          <w:lang w:val="ru-RU"/>
        </w:rPr>
      </w:pPr>
      <w:r w:rsidRPr="006A21F9">
        <w:rPr>
          <w:b/>
          <w:bCs/>
          <w:lang w:val="ru-RU"/>
        </w:rPr>
        <w:t xml:space="preserve">1) </w:t>
      </w:r>
      <w:r w:rsidRPr="006A21F9">
        <w:rPr>
          <w:lang w:val="ru-RU"/>
        </w:rPr>
        <w:t>将圣灵的恩典赐予我们，这恩典照亮并引导我们在信仰真理中。</w:t>
      </w:r>
      <w:r w:rsidRPr="006A21F9">
        <w:rPr>
          <w:i/>
          <w:iCs/>
          <w:lang w:val="ru-RU"/>
        </w:rPr>
        <w:t>不过</w:t>
      </w:r>
      <w:r w:rsidRPr="006A21F9">
        <w:rPr>
          <w:lang w:val="ru-RU"/>
        </w:rPr>
        <w:t>，圣使徒约翰曾写信给基督徒说：</w:t>
      </w:r>
      <w:r w:rsidRPr="006A21F9">
        <w:rPr>
          <w:i/>
          <w:iCs/>
          <w:lang w:val="ru-RU"/>
        </w:rPr>
        <w:t>“你们从圣者受了膏油，并且知道这一切</w:t>
      </w:r>
      <w:r w:rsidRPr="006A21F9">
        <w:rPr>
          <w:lang w:val="ru-RU"/>
        </w:rPr>
        <w:t>。” “</w:t>
      </w:r>
      <w:r w:rsidRPr="006A21F9">
        <w:rPr>
          <w:i/>
          <w:iCs/>
          <w:lang w:val="ru-RU"/>
        </w:rPr>
        <w:t>你们从祂所领受的膏油，常在你们心里，你们也不需要人教导你们；但这膏油本身教导你们一切，而且它是真实而不虚假的，所以，你们要持守它所教导你们的</w:t>
      </w:r>
      <w:r w:rsidRPr="006A21F9">
        <w:rPr>
          <w:lang w:val="ru-RU"/>
        </w:rPr>
        <w:t>”（《约翰一书》2:20-27）。“圣耶路撒冷的西里尔也曾如此教导教会中初受光照的儿女们： ，要保持这膏油的纯洁；因为它本身会教导你们一切（约壹2:27），只要它常在你们里面，正如你们刚才听见蒙福的约翰所说，他曾就这膏油深有见地地论述了许多。”</w:t>
      </w:r>
      <w:r>
        <w:rPr>
          <w:rStyle w:val="FootnoteReference"/>
        </w:rPr>
        <w:footnoteReference w:id="1076"/>
      </w:r>
    </w:p>
    <w:p w14:paraId="7BC44575" w14:textId="77777777" w:rsidR="00BE1885" w:rsidRPr="006A21F9" w:rsidRDefault="00BE1885" w:rsidP="00BE1885">
      <w:pPr>
        <w:ind w:firstLine="708"/>
        <w:rPr>
          <w:lang w:val="ru-RU"/>
        </w:rPr>
      </w:pPr>
      <w:r w:rsidRPr="006A21F9">
        <w:rPr>
          <w:b/>
          <w:bCs/>
          <w:lang w:val="ru-RU"/>
        </w:rPr>
        <w:t>2)</w:t>
      </w:r>
      <w:r w:rsidRPr="006A21F9">
        <w:rPr>
          <w:lang w:val="ru-RU"/>
        </w:rPr>
        <w:t xml:space="preserve"> 它向我们传达圣灵的恩典，这恩典使我们在虔敬中得以坚固并回归正道。圣使徒保罗指出了这一点，他说：</w:t>
      </w:r>
      <w:r w:rsidRPr="006A21F9">
        <w:rPr>
          <w:i/>
          <w:iCs/>
          <w:lang w:val="ru-RU"/>
        </w:rPr>
        <w:t>‘那在基督里坚固（</w:t>
      </w:r>
      <w:r w:rsidRPr="001E4083">
        <w:rPr>
          <w:i/>
          <w:iCs/>
        </w:rPr>
        <w:t>βεβαίων</w:t>
      </w:r>
      <w:r w:rsidRPr="006A21F9">
        <w:rPr>
          <w:i/>
          <w:iCs/>
          <w:lang w:val="ru-RU"/>
        </w:rPr>
        <w:t>）我们与你们，并膏抹我们的，就是神</w:t>
      </w:r>
      <w:r w:rsidRPr="006A21F9">
        <w:rPr>
          <w:lang w:val="ru-RU"/>
        </w:rPr>
        <w:t>。’（哥林多后书 1:21-22） 耶路撒冷的圣西里尔也向他的听众指出：“你们已受了胸口的膏抹，当穿上公义的盔甲，抵挡魔鬼的诡计（以弗所书 6:14-17）。 因为正如基督在受洗并受圣灵感召后，出去战胜了仇敌（马太福音4章）；你们也是如此，在圣洗礼和</w:t>
      </w:r>
      <w:r w:rsidRPr="006A21F9">
        <w:rPr>
          <w:lang w:val="ru-RU"/>
        </w:rPr>
        <w:lastRenderedPageBreak/>
        <w:t xml:space="preserve">神圣的坚振礼之后，披戴上圣灵的全副军装，抵挡仇敌的势力，并战胜了它，高呼： </w:t>
      </w:r>
      <w:r w:rsidRPr="006A21F9">
        <w:rPr>
          <w:i/>
          <w:iCs/>
          <w:lang w:val="ru-RU"/>
        </w:rPr>
        <w:t>“我靠着那加给我力量的耶稣基督，凡事都能做</w:t>
      </w:r>
      <w:r w:rsidRPr="006A21F9">
        <w:rPr>
          <w:lang w:val="ru-RU"/>
        </w:rPr>
        <w:t>（腓4:13）。”</w:t>
      </w:r>
      <w:r>
        <w:rPr>
          <w:rStyle w:val="FootnoteReference"/>
        </w:rPr>
        <w:footnoteReference w:id="1077"/>
      </w:r>
    </w:p>
    <w:p w14:paraId="33A9900B" w14:textId="77777777" w:rsidR="00BE1885" w:rsidRPr="006A21F9" w:rsidRDefault="00BE1885" w:rsidP="00BE1885">
      <w:pPr>
        <w:rPr>
          <w:lang w:val="ru-RU"/>
        </w:rPr>
      </w:pPr>
      <w:r w:rsidRPr="006A21F9">
        <w:rPr>
          <w:lang w:val="ru-RU"/>
        </w:rPr>
        <w:tab/>
        <w:t>需要补充的是，使徒们有时会通过按手——即通过圣油礼——将圣灵的非凡恩赐赐予信徒，例如：说方言和预言的恩赐（使徒</w:t>
      </w:r>
      <w:r w:rsidRPr="006A21F9">
        <w:rPr>
          <w:rFonts w:cs="Cambria Math"/>
          <w:lang w:val="ru-RU"/>
        </w:rPr>
        <w:t>行</w:t>
      </w:r>
      <w:r w:rsidRPr="006A21F9">
        <w:rPr>
          <w:lang w:val="ru-RU"/>
        </w:rPr>
        <w:t>传19:8）。 但这属于圣油礼中非同寻常的作为，是根据早期教会的需要而行的，并非与该圣礼本质相联系的常态行为：在早期教会中，这些非凡的恩赐并非赐予所有人，而是仅赐予其中一部分人（林前12:29-30）， ——与此同时，按手礼或圣油礼被视为所有受洗者必不可少的仪式，以便他们能够领受圣灵（使徒行传 8:17）。</w:t>
      </w:r>
    </w:p>
    <w:p w14:paraId="0B07B74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既然圣油礼标志着或印证了我们“圣灵恩赐的印记”</w:t>
      </w:r>
      <w:r>
        <w:rPr>
          <w:rStyle w:val="FootnoteReference"/>
        </w:rPr>
        <w:footnoteReference w:id="1078"/>
      </w:r>
      <w:r w:rsidRPr="006A21F9">
        <w:rPr>
          <w:lang w:val="ru-RU"/>
        </w:rPr>
        <w:t xml:space="preserve"> [(弗 1:13；4:30)； （林后1:</w:t>
      </w:r>
      <w:r>
        <w:rPr>
          <w:lang w:val="ru-RU"/>
        </w:rPr>
        <w:t>22</w:t>
      </w:r>
      <w:r w:rsidRPr="006A21F9">
        <w:rPr>
          <w:lang w:val="ru-RU"/>
        </w:rPr>
        <w:t xml:space="preserve">）]，而且既然在基督里坚固我们并膏抹我们的，就是神——祂既已将印记盖在我们身上，又藉此圣礼将圣灵的凭据赐在我们心里（林后1:22）， </w:t>
      </w:r>
      <w:r w:rsidRPr="006A21F9">
        <w:rPr>
          <w:i/>
          <w:iCs/>
          <w:lang w:val="ru-RU"/>
        </w:rPr>
        <w:t>祂始终信实，因为祂不能背弃自己</w:t>
      </w:r>
      <w:r w:rsidRPr="006A21F9">
        <w:rPr>
          <w:lang w:val="ru-RU"/>
        </w:rPr>
        <w:t>（提摩太后书 2:13）：因此，圣油礼，如同洗礼一样，历来被视为</w:t>
      </w:r>
      <w:r>
        <w:rPr>
          <w:rStyle w:val="FootnoteReference"/>
        </w:rPr>
        <w:footnoteReference w:id="1079"/>
      </w:r>
      <w:r w:rsidRPr="006A21F9">
        <w:rPr>
          <w:lang w:val="ru-RU"/>
        </w:rPr>
        <w:t xml:space="preserve"> ，如今仍被视为不可重复的（《东正教信条》第一卷，对第105个问题的回答）。 唯一的区别在于：洗礼若按规程施行，则对任何人都不予重复，即使该人曾背弃基督之名，随后又重新归信东正教会；而对于那些曾背弃基督之名的人，若他们归信东正教，则可再次施行圣油礼 （《东正教教理问答》第一卷，对第105个问题的回答）。</w:t>
      </w:r>
    </w:p>
    <w:p w14:paraId="420E40D5" w14:textId="77777777" w:rsidR="00BE1885" w:rsidRPr="006A21F9" w:rsidRDefault="00BE1885" w:rsidP="00BE1885">
      <w:pPr>
        <w:rPr>
          <w:lang w:val="ru-RU"/>
        </w:rPr>
      </w:pPr>
      <w:r w:rsidRPr="006A21F9">
        <w:rPr>
          <w:lang w:val="ru-RU"/>
        </w:rPr>
        <w:tab/>
        <w:t xml:space="preserve">至于圣礼，当东正教会为虔诚的君主举行加冕礼时，会用圣油为他们涂抹，这正是效法旧约时代君王在教会中遵照上帝的命令被圣油膏立的方式 </w:t>
      </w:r>
      <w:r w:rsidRPr="004F4949">
        <w:rPr>
          <w:lang w:val="ru-RU"/>
        </w:rPr>
        <w:t>[</w:t>
      </w:r>
      <w:r w:rsidRPr="006A21F9">
        <w:rPr>
          <w:lang w:val="ru-RU"/>
        </w:rPr>
        <w:t>(诗篇 88:21</w:t>
      </w:r>
      <w:r>
        <w:rPr>
          <w:lang w:val="ru-RU"/>
        </w:rPr>
        <w:t>)</w:t>
      </w:r>
      <w:r w:rsidRPr="006A21F9">
        <w:rPr>
          <w:lang w:val="ru-RU"/>
        </w:rPr>
        <w:t xml:space="preserve">； </w:t>
      </w:r>
      <w:r>
        <w:rPr>
          <w:lang w:val="ru-RU"/>
        </w:rPr>
        <w:t>（</w:t>
      </w:r>
      <w:r w:rsidRPr="006A21F9">
        <w:rPr>
          <w:lang w:val="ru-RU"/>
        </w:rPr>
        <w:t>撒上10:1</w:t>
      </w:r>
      <w:r>
        <w:rPr>
          <w:lang w:val="ru-RU"/>
        </w:rPr>
        <w:t>）</w:t>
      </w:r>
      <w:r w:rsidRPr="006A21F9">
        <w:rPr>
          <w:lang w:val="ru-RU"/>
        </w:rPr>
        <w:t>；</w:t>
      </w:r>
      <w:r>
        <w:rPr>
          <w:lang w:val="ru-RU"/>
        </w:rPr>
        <w:t>（</w:t>
      </w:r>
      <w:r w:rsidRPr="006A21F9">
        <w:rPr>
          <w:lang w:val="ru-RU"/>
        </w:rPr>
        <w:t>撒上15:3</w:t>
      </w:r>
      <w:r>
        <w:rPr>
          <w:lang w:val="ru-RU"/>
        </w:rPr>
        <w:t>）</w:t>
      </w:r>
      <w:r w:rsidRPr="004F4949">
        <w:rPr>
          <w:lang w:val="ru-RU"/>
        </w:rPr>
        <w:t>；</w:t>
      </w:r>
      <w:r>
        <w:rPr>
          <w:lang w:val="ru-RU"/>
        </w:rPr>
        <w:t>（</w:t>
      </w:r>
      <w:r w:rsidRPr="006A21F9">
        <w:rPr>
          <w:lang w:val="ru-RU"/>
        </w:rPr>
        <w:t>撒上12:13）</w:t>
      </w:r>
      <w:r w:rsidRPr="004F4949">
        <w:rPr>
          <w:lang w:val="ru-RU"/>
        </w:rPr>
        <w:t>]</w:t>
      </w:r>
      <w:r w:rsidRPr="006A21F9">
        <w:rPr>
          <w:lang w:val="ru-RU"/>
        </w:rPr>
        <w:t>——正因如此，他们才被称为“基督”或“受膏者</w:t>
      </w:r>
      <w:r w:rsidRPr="00430F02">
        <w:rPr>
          <w:lang w:val="ru-RU"/>
        </w:rPr>
        <w:t>”[</w:t>
      </w:r>
      <w:r w:rsidRPr="006A21F9">
        <w:rPr>
          <w:lang w:val="ru-RU"/>
        </w:rPr>
        <w:t>（撒上12:3-5</w:t>
      </w:r>
      <w:r w:rsidRPr="004F4949">
        <w:rPr>
          <w:lang w:val="ru-RU"/>
        </w:rPr>
        <w:t>）</w:t>
      </w:r>
      <w:r w:rsidRPr="006A21F9">
        <w:rPr>
          <w:lang w:val="ru-RU"/>
        </w:rPr>
        <w:t xml:space="preserve">； </w:t>
      </w:r>
      <w:r w:rsidRPr="004F4949">
        <w:rPr>
          <w:lang w:val="ru-RU"/>
        </w:rPr>
        <w:t>(</w:t>
      </w:r>
      <w:r w:rsidRPr="006A21F9">
        <w:rPr>
          <w:lang w:val="ru-RU"/>
        </w:rPr>
        <w:t>撒上 24:7</w:t>
      </w:r>
      <w:r w:rsidRPr="004F4949">
        <w:rPr>
          <w:lang w:val="ru-RU"/>
        </w:rPr>
        <w:t>)]</w:t>
      </w:r>
      <w:r w:rsidRPr="006A21F9">
        <w:rPr>
          <w:lang w:val="ru-RU"/>
        </w:rPr>
        <w:t xml:space="preserve">等）：这并非圣油礼的重复，因为圣油礼旨在将属灵生活中所必需的恩典之力赐予所有信徒。 而是——这仅是圣灵恩赐的另一种、更高层次的赐予，这些恩赐是履行那由上帝亲自指明的（但以理书 4:22-29）、特殊且极其重要的君王事工所必需的。 </w:t>
      </w:r>
      <w:r w:rsidRPr="006A21F9">
        <w:rPr>
          <w:i/>
          <w:iCs/>
          <w:lang w:val="ru-RU"/>
        </w:rPr>
        <w:t>撒母耳便拿起盛油的角，在他弟兄中间膏立了他；从那日起，耶和华的灵就降在大卫身上</w:t>
      </w:r>
      <w:r w:rsidRPr="006A21F9">
        <w:rPr>
          <w:lang w:val="ru-RU"/>
        </w:rPr>
        <w:t>（撒上16:13）。 众所周知，圣职圣事也不会重复；然而它有其不同的等级，按立礼一次又一次地使神职人员胜任更高的事工：同样，为君王加冕的圣油涂抹礼，也仅仅是该圣事的一种特殊、更高的等级，将加倍的圣灵降临在神的受膏者身上。</w:t>
      </w:r>
      <w:r>
        <w:rPr>
          <w:rStyle w:val="FootnoteReference"/>
        </w:rPr>
        <w:footnoteReference w:id="1080"/>
      </w:r>
      <w:r w:rsidRPr="006A21F9">
        <w:rPr>
          <w:lang w:val="ru-RU"/>
        </w:rPr>
        <w:t xml:space="preserve"> 在这项伟大的圣礼中诵读的祷文本身，就指明了东正教会为上帝拣选的君主所祈求的特殊恩赐。 “愿他藉着至圣圣油的膏抹，从天上领受——”首席执事在祷文中宣告道，“为治理与公义而获得力量与智慧，让我们向主祈祷。”随后，主持圣礼的大主教呼求道： “主啊，我们的上帝，万王之王、万主之主，祢曾藉先知撒母耳拣选祢的仆人大卫，并膏立他为祢以色列子民的君王！如今，求祢亲自垂听我们这些不配之人 的祈求……以及祢那忠信的仆人——伟大的君主…… </w:t>
      </w:r>
      <w:r w:rsidRPr="006A21F9">
        <w:rPr>
          <w:lang w:val="ru-RU"/>
        </w:rPr>
        <w:lastRenderedPageBreak/>
        <w:t>求祢以喜乐的圣油膏抹他，从高天以祢的大能加冕于他……，使他坐在公义的宝座上，以祢圣灵的全副军装护卫他，坚固他的力量……，显明他是祢普世圣教会信条的守护者……”</w:t>
      </w:r>
      <w:r>
        <w:rPr>
          <w:rStyle w:val="FootnoteReference"/>
        </w:rPr>
        <w:footnoteReference w:id="1081"/>
      </w:r>
    </w:p>
    <w:p w14:paraId="37DA0DC3" w14:textId="77777777" w:rsidR="00BE1885" w:rsidRPr="006A21F9" w:rsidRDefault="00BE1885" w:rsidP="00BE1885">
      <w:pPr>
        <w:rPr>
          <w:lang w:val="ru-RU"/>
        </w:rPr>
      </w:pPr>
    </w:p>
    <w:p w14:paraId="434EB846" w14:textId="77777777" w:rsidR="00BE1885" w:rsidRPr="006A21F9" w:rsidRDefault="00BE1885" w:rsidP="00BE1885">
      <w:pPr>
        <w:pStyle w:val="Heading5"/>
        <w:rPr>
          <w:lang w:val="ru-RU"/>
        </w:rPr>
      </w:pPr>
      <w:bookmarkStart w:id="776" w:name="_Toc133142978"/>
      <w:bookmarkStart w:id="777" w:name="_Toc133166335"/>
      <w:bookmarkStart w:id="778" w:name="_Toc182221545"/>
      <w:bookmarkStart w:id="779" w:name="_Toc238453112"/>
      <w:bookmarkStart w:id="780" w:name="_Toc238453912"/>
      <w:bookmarkStart w:id="781" w:name="_Toc238576572"/>
      <w:r w:rsidRPr="006A21F9">
        <w:rPr>
          <w:bCs/>
          <w:lang w:val="ru-RU"/>
        </w:rPr>
        <w:t>§211.</w:t>
      </w:r>
      <w:r w:rsidRPr="006A21F9">
        <w:rPr>
          <w:lang w:val="ru-RU"/>
        </w:rPr>
        <w:t xml:space="preserve"> 施行圣油礼的权利归属于谁？应向谁施行，又应在何时施行？</w:t>
      </w:r>
      <w:bookmarkEnd w:id="776"/>
      <w:bookmarkEnd w:id="777"/>
      <w:bookmarkEnd w:id="778"/>
      <w:bookmarkEnd w:id="779"/>
      <w:bookmarkEnd w:id="780"/>
      <w:bookmarkEnd w:id="781"/>
    </w:p>
    <w:p w14:paraId="3E002561"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根据东正教会的教义，施行圣油礼的权柄不仅属于主教，也属于司铎，唯一的区别在于：前者有权为圣礼祝圣圣油，而后者只能使用由主教祝圣过的圣油来施行圣油礼 （《正统教义问答》第1卷，对第105个问题的回答）。</w:t>
      </w:r>
      <w:r>
        <w:rPr>
          <w:rStyle w:val="FootnoteReference"/>
        </w:rPr>
        <w:footnoteReference w:id="1082"/>
      </w:r>
      <w:r w:rsidRPr="006A21F9">
        <w:rPr>
          <w:lang w:val="ru-RU"/>
        </w:rPr>
        <w:t xml:space="preserve"> 自古以来便是如此。</w:t>
      </w:r>
    </w:p>
    <w:p w14:paraId="26A6CCD0" w14:textId="77777777" w:rsidR="00BE1885" w:rsidRPr="006A21F9" w:rsidRDefault="00BE1885" w:rsidP="00BE1885">
      <w:pPr>
        <w:ind w:firstLine="708"/>
        <w:rPr>
          <w:lang w:val="ru-RU"/>
        </w:rPr>
      </w:pPr>
      <w:r w:rsidRPr="006A21F9">
        <w:rPr>
          <w:b/>
          <w:bCs/>
          <w:lang w:val="ru-RU"/>
        </w:rPr>
        <w:t>1)</w:t>
      </w:r>
      <w:r w:rsidRPr="006A21F9">
        <w:rPr>
          <w:lang w:val="ru-RU"/>
        </w:rPr>
        <w:t xml:space="preserve"> 自古以来，为圣礼祝圣圣油的权利仅属于主教。这可从迦太基大公会议（318年）的规条中看出，其中写道：“长老不可施行圣油礼”（第6条），也可从随后其他大公会议及教会教父们的规条中看出。</w:t>
      </w:r>
      <w:r>
        <w:rPr>
          <w:rStyle w:val="FootnoteReference"/>
        </w:rPr>
        <w:footnoteReference w:id="1083"/>
      </w:r>
    </w:p>
    <w:p w14:paraId="680C017B" w14:textId="77777777" w:rsidR="00BE1885" w:rsidRPr="006A21F9" w:rsidRDefault="00BE1885" w:rsidP="00BE1885">
      <w:pPr>
        <w:ind w:firstLine="708"/>
        <w:rPr>
          <w:lang w:val="ru-RU"/>
        </w:rPr>
      </w:pPr>
      <w:r w:rsidRPr="006A21F9">
        <w:rPr>
          <w:b/>
          <w:bCs/>
          <w:lang w:val="ru-RU"/>
        </w:rPr>
        <w:t>2)</w:t>
      </w:r>
      <w:r w:rsidRPr="006A21F9">
        <w:rPr>
          <w:lang w:val="ru-RU"/>
        </w:rPr>
        <w:t xml:space="preserve"> 同样，自古以来，施行圣油礼这一圣事本身的权柄，也归属于主教——作为使徒的继承人，他们曾直接施行此圣事</w:t>
      </w:r>
      <w:r w:rsidRPr="004F4949">
        <w:rPr>
          <w:lang w:val="ru-RU"/>
        </w:rPr>
        <w:t>[</w:t>
      </w:r>
      <w:r w:rsidRPr="006A21F9">
        <w:rPr>
          <w:lang w:val="ru-RU"/>
        </w:rPr>
        <w:t>(使徒行传 8:14-17</w:t>
      </w:r>
      <w:r w:rsidRPr="004F4949">
        <w:rPr>
          <w:lang w:val="ru-RU"/>
        </w:rPr>
        <w:t>)</w:t>
      </w:r>
      <w:r w:rsidRPr="006A21F9">
        <w:rPr>
          <w:lang w:val="ru-RU"/>
        </w:rPr>
        <w:t>;</w:t>
      </w:r>
      <w:r w:rsidRPr="006A21F9">
        <w:rPr>
          <w:rFonts w:cs="Cambria Math"/>
          <w:lang w:val="ru-RU"/>
        </w:rPr>
        <w:t xml:space="preserve"> </w:t>
      </w:r>
      <w:r w:rsidRPr="006A21F9">
        <w:rPr>
          <w:lang w:val="ru-RU"/>
        </w:rPr>
        <w:t>（使徒行传18:6）</w:t>
      </w:r>
      <w:r w:rsidRPr="004F4949">
        <w:rPr>
          <w:lang w:val="ru-RU"/>
        </w:rPr>
        <w:t>]</w:t>
      </w:r>
      <w:r w:rsidRPr="006A21F9">
        <w:rPr>
          <w:lang w:val="ru-RU"/>
        </w:rPr>
        <w:t>；长老作为通过主教按立而承接此权柄者，也拥有施行所有圣礼（除司祭圣职外）的权柄。 例如，《使徒规条》中写道：“关于洗礼，无论是主教还是长老，我们先前已论及，现在再论……——首先你要用圣油涂抹，然后用水施洗，最后用圣油印记。”</w:t>
      </w:r>
      <w:r>
        <w:rPr>
          <w:rStyle w:val="FootnoteReference"/>
        </w:rPr>
        <w:footnoteReference w:id="1084"/>
      </w:r>
      <w:r w:rsidRPr="006A21F9">
        <w:rPr>
          <w:lang w:val="ru-RU"/>
        </w:rPr>
        <w:t xml:space="preserve"> 圣安布罗斯多次见证，以圣油涂抹是由司铎执行的，而圣灵正是通过司铎的祈祷而倾注的。</w:t>
      </w:r>
      <w:r>
        <w:rPr>
          <w:rStyle w:val="FootnoteReference"/>
        </w:rPr>
        <w:footnoteReference w:id="1085"/>
      </w:r>
      <w:r w:rsidRPr="006A21F9">
        <w:rPr>
          <w:lang w:val="ru-RU"/>
        </w:rPr>
        <w:t xml:space="preserve"> 而圣约翰·金口和福者杰罗姆则一致认为，主教（就圣事而言）与执事唯一的区别仅在于按立礼，即施行圣职圣事的权柄。</w:t>
      </w:r>
      <w:r>
        <w:rPr>
          <w:rStyle w:val="FootnoteReference"/>
        </w:rPr>
        <w:footnoteReference w:id="1086"/>
      </w:r>
      <w:r w:rsidRPr="006A21F9">
        <w:rPr>
          <w:lang w:val="ru-RU"/>
        </w:rPr>
        <w:t xml:space="preserve"> 此外，众所周知，在东方自古以来存在的所有非东正教基督教团体中，圣油礼既由主教也由长老施行。</w:t>
      </w:r>
      <w:r>
        <w:rPr>
          <w:rStyle w:val="FootnoteReference"/>
        </w:rPr>
        <w:footnoteReference w:id="1087"/>
      </w:r>
    </w:p>
    <w:p w14:paraId="2FA1B52F" w14:textId="77777777" w:rsidR="00BE1885" w:rsidRPr="006A21F9" w:rsidRDefault="00BE1885" w:rsidP="00BE1885">
      <w:pPr>
        <w:rPr>
          <w:lang w:val="ru-RU"/>
        </w:rPr>
      </w:pPr>
      <w:r w:rsidRPr="006A21F9">
        <w:rPr>
          <w:lang w:val="ru-RU"/>
        </w:rPr>
        <w:tab/>
        <w:t>因此，罗马教会关于“施行圣油礼的权利仅属于主教，而不属于长老”的教义是不公正的。</w:t>
      </w:r>
      <w:r>
        <w:rPr>
          <w:rStyle w:val="FootnoteReference"/>
        </w:rPr>
        <w:footnoteReference w:id="1088"/>
      </w:r>
      <w:r w:rsidRPr="006A21F9">
        <w:rPr>
          <w:lang w:val="ru-RU"/>
        </w:rPr>
        <w:t xml:space="preserve"> 为证实这一教义，他们援引了以下依据：</w:t>
      </w:r>
      <w:r>
        <w:rPr>
          <w:rStyle w:val="FootnoteReference"/>
        </w:rPr>
        <w:footnoteReference w:id="1089"/>
      </w:r>
    </w:p>
    <w:p w14:paraId="69B09C52"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圣经中记载的一则事例：尽管圣腓力为撒玛利亚人施洗，但为了通过按手将圣灵赐予他们，圣使徒彼得和约翰特意亲自前往（使徒行传 8:14-16）。 但须记住，圣菲利普并非长老，而是执事；因此，即使他未对受洗者施行按手圣礼，这并不意味着长老</w:t>
      </w:r>
      <w:r w:rsidRPr="006A21F9">
        <w:rPr>
          <w:lang w:val="ru-RU"/>
        </w:rPr>
        <w:lastRenderedPageBreak/>
        <w:t>们既未施行该圣礼，也没有施行该圣礼的权利；</w:t>
      </w:r>
      <w:r>
        <w:rPr>
          <w:rStyle w:val="FootnoteReference"/>
        </w:rPr>
        <w:footnoteReference w:id="1090"/>
      </w:r>
      <w:r w:rsidRPr="006A21F9">
        <w:rPr>
          <w:lang w:val="ru-RU"/>
        </w:rPr>
        <w:t xml:space="preserve"> 同样，从圣经 （使徒行传8:14-16；</w:t>
      </w:r>
      <w:r w:rsidRPr="006A21F9">
        <w:rPr>
          <w:rFonts w:cs="Cambria Math"/>
          <w:lang w:val="ru-RU"/>
        </w:rPr>
        <w:t xml:space="preserve"> </w:t>
      </w:r>
      <w:r w:rsidRPr="006A21F9">
        <w:rPr>
          <w:lang w:val="ru-RU"/>
        </w:rPr>
        <w:t>19:4-7），亲自直接施行圣油礼，也不意味着只有他们才能施行，更不意味着当时在其他地方，无论是主教还是长老，都没有施行或无法施行该圣礼。</w:t>
      </w:r>
    </w:p>
    <w:p w14:paraId="3769E43C"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根据圣基普里安和圣金口若望的说法，在他们那个时代，效法使徒的榜样，圣油礼的施行仅限于教会的领袖，</w:t>
      </w:r>
      <w:r w:rsidRPr="001E4083">
        <w:t>即praepositis</w:t>
      </w:r>
      <w:r w:rsidRPr="006A21F9">
        <w:rPr>
          <w:lang w:val="ru-RU"/>
        </w:rPr>
        <w:t>、</w:t>
      </w:r>
      <w:r w:rsidRPr="001E4083">
        <w:t>κορυφαίοις</w:t>
      </w:r>
      <w:r w:rsidRPr="006A21F9">
        <w:rPr>
          <w:lang w:val="ru-RU"/>
        </w:rPr>
        <w:t>。</w:t>
      </w:r>
      <w:r>
        <w:rPr>
          <w:rStyle w:val="FootnoteReference"/>
        </w:rPr>
        <w:footnoteReference w:id="1091"/>
      </w:r>
      <w:r w:rsidRPr="006A21F9">
        <w:rPr>
          <w:lang w:val="ru-RU"/>
        </w:rPr>
        <w:t xml:space="preserve"> 但所谓“领袖”，既可能指主教，也可能指长老，其中每个人在其所属的特定教会或堂区中确实都是领袖——更何况，两位圣父在上述段落中将“领袖”与执事相对立，而执事在他们那个时代，如同执事腓力一样，无法施行圣油礼。 为阐明圣金口若望的观点，有必要回顾他另一段论述：主教与长老相比，唯一的优越之处仅在于按立礼，即施行圣职圣事的权柄。</w:t>
      </w:r>
      <w:r>
        <w:rPr>
          <w:rStyle w:val="FootnoteReference"/>
        </w:rPr>
        <w:footnoteReference w:id="1092"/>
      </w:r>
    </w:p>
    <w:p w14:paraId="7465A198"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根据圣杰罗姆的见证，他指出主教们通常会巡访教区内的中小城镇，向那些由长老和执事施洗的人传授圣灵的恩赐。 但这位导师紧接着指出，这样做更多是为了维护圣职的尊严，而非出于法律的必要性；并且，如果圣灵仅因主教的祈祷而降临，那么那些在枷锁中、 堡垒或偏远地区受长老和执事施洗，却在主教探访前便已离世的人，我们理应为他们哀悼。</w:t>
      </w:r>
      <w:r>
        <w:rPr>
          <w:rStyle w:val="FootnoteReference"/>
        </w:rPr>
        <w:footnoteReference w:id="1093"/>
      </w:r>
      <w:r w:rsidRPr="006A21F9">
        <w:rPr>
          <w:lang w:val="ru-RU"/>
        </w:rPr>
        <w:t xml:space="preserve"> 圣杰罗姆也曾提出过一个著名的问题：“除了按立礼之外，主教所行的，有什么是长老不能行的呢？”</w:t>
      </w:r>
      <w:r>
        <w:rPr>
          <w:rStyle w:val="FootnoteReference"/>
        </w:rPr>
        <w:footnoteReference w:id="1094"/>
      </w:r>
    </w:p>
    <w:p w14:paraId="79F52F37" w14:textId="77777777" w:rsidR="00BE1885" w:rsidRPr="006A21F9" w:rsidRDefault="00BE1885" w:rsidP="00BE1885">
      <w:pPr>
        <w:rPr>
          <w:lang w:val="ru-RU"/>
        </w:rPr>
      </w:pPr>
      <w:r w:rsidRPr="006A21F9">
        <w:rPr>
          <w:lang w:val="ru-RU"/>
        </w:rPr>
        <w:tab/>
        <w:t>此外还应补充以下几点：</w:t>
      </w:r>
    </w:p>
    <w:p w14:paraId="4E213981" w14:textId="77777777" w:rsidR="00BE1885" w:rsidRPr="006A21F9" w:rsidRDefault="00BE1885" w:rsidP="00BE1885">
      <w:pPr>
        <w:rPr>
          <w:lang w:val="ru-RU"/>
        </w:rPr>
      </w:pPr>
      <w:r w:rsidRPr="006A21F9">
        <w:rPr>
          <w:lang w:val="ru-RU"/>
        </w:rPr>
        <w:tab/>
      </w:r>
      <w:r w:rsidRPr="006A21F9">
        <w:rPr>
          <w:b/>
          <w:bCs/>
          <w:lang w:val="ru-RU"/>
        </w:rPr>
        <w:t xml:space="preserve">g) </w:t>
      </w:r>
      <w:r w:rsidRPr="006A21F9">
        <w:rPr>
          <w:lang w:val="ru-RU"/>
        </w:rPr>
        <w:t>在基督教早期，某些地方主要由主教主持圣油礼，这并不令人惊讶：当时，其他圣礼——即洗礼甚至圣体圣事——在某些地方也主要由主教主持，而执事只有在获得主教许可的情况下才能主持。</w:t>
      </w:r>
      <w:r>
        <w:rPr>
          <w:rStyle w:val="FootnoteReference"/>
        </w:rPr>
        <w:footnoteReference w:id="1095"/>
      </w:r>
      <w:r w:rsidRPr="006A21F9">
        <w:rPr>
          <w:lang w:val="ru-RU"/>
        </w:rPr>
        <w:t xml:space="preserve"> 在当时的情况下，这一切都是非常自然且合宜的，因为构成教区的教会成员数量并不多，而且教区的范围往往仅限于一座城市或一个村庄。 然而，连天主教徒自己也不由此推断出：在早期几个世纪里，执事完全无权施行洗礼和圣餐圣事；既然如此，他们又为何推断出，执事不仅没有、也不应当有权施行坚振圣事呢？</w:t>
      </w:r>
    </w:p>
    <w:p w14:paraId="6BA7F2B0"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罗马教会本身，虽然将坚振礼的权柄归于主教，却曾多次认为有必要允许普通司铎也施行这一圣事。</w:t>
      </w:r>
      <w:r>
        <w:rPr>
          <w:rStyle w:val="FootnoteReference"/>
        </w:rPr>
        <w:footnoteReference w:id="1096"/>
      </w:r>
      <w:r w:rsidRPr="006A21F9">
        <w:rPr>
          <w:lang w:val="ru-RU"/>
        </w:rPr>
        <w:t xml:space="preserve"> </w:t>
      </w:r>
      <w:r w:rsidRPr="006A21F9">
        <w:rPr>
          <w:lang w:val="ru-RU"/>
        </w:rPr>
        <w:lastRenderedPageBreak/>
        <w:t>而如今所有分歧的症结在于：东正教会将施行圣油礼（以及除圣职外其他圣事）的权利，在所有长老接受圣职按立之时，一次性且永久地授予他们；</w:t>
      </w:r>
      <w:r>
        <w:rPr>
          <w:rStyle w:val="FootnoteReference"/>
        </w:rPr>
        <w:footnoteReference w:id="1097"/>
      </w:r>
      <w:r w:rsidRPr="006A21F9">
        <w:rPr>
          <w:lang w:val="ru-RU"/>
        </w:rPr>
        <w:t xml:space="preserve"> 而罗马天主教会则仅允许部分长老施行圣油礼，且并非在按立之时，而是在日后根据具体情况需要时才施行，并将主教称为该圣事的常任施行者（</w:t>
      </w:r>
      <w:r w:rsidRPr="001E4083">
        <w:t>ministri</w:t>
      </w:r>
      <w:r w:rsidRPr="0097554A">
        <w:rPr>
          <w:lang w:val="ru-RU"/>
        </w:rPr>
        <w:t xml:space="preserve"> </w:t>
      </w:r>
      <w:r w:rsidRPr="001E4083">
        <w:t>ordinarii</w:t>
      </w:r>
      <w:r w:rsidRPr="006A21F9">
        <w:rPr>
          <w:lang w:val="ru-RU"/>
        </w:rPr>
        <w:t>），而长老则称为非常任施行者（</w:t>
      </w:r>
      <w:r w:rsidRPr="001E4083">
        <w:t>extraordinarii</w:t>
      </w:r>
      <w:r w:rsidRPr="006A21F9">
        <w:rPr>
          <w:lang w:val="ru-RU"/>
        </w:rPr>
        <w:t>）。</w:t>
      </w:r>
      <w:r>
        <w:rPr>
          <w:rStyle w:val="FootnoteReference"/>
        </w:rPr>
        <w:footnoteReference w:id="1098"/>
      </w:r>
    </w:p>
    <w:p w14:paraId="25162833" w14:textId="77777777" w:rsidR="00BE1885" w:rsidRPr="006A21F9" w:rsidRDefault="00BE1885" w:rsidP="00BE1885">
      <w:pPr>
        <w:rPr>
          <w:lang w:val="ru-RU"/>
        </w:rPr>
      </w:pPr>
      <w:r w:rsidRPr="006A21F9">
        <w:rPr>
          <w:lang w:val="ru-RU"/>
        </w:rPr>
        <w:tab/>
      </w:r>
      <w:r w:rsidRPr="006A21F9">
        <w:rPr>
          <w:b/>
          <w:bCs/>
          <w:lang w:val="ru-RU"/>
        </w:rPr>
        <w:t>e)</w:t>
      </w:r>
      <w:r w:rsidRPr="006A21F9">
        <w:rPr>
          <w:lang w:val="ru-RU"/>
        </w:rPr>
        <w:t xml:space="preserve"> 就连罗马神学家们自己也对此意见不一：主教们拥有施行圣油礼的权柄，究竟是基于神圣法，还是仅基于教会法？其中最杰出的神学家 都持后一种观点。</w:t>
      </w:r>
      <w:r>
        <w:rPr>
          <w:rStyle w:val="FootnoteReference"/>
        </w:rPr>
        <w:footnoteReference w:id="1099"/>
      </w:r>
      <w:r w:rsidRPr="006A21F9">
        <w:rPr>
          <w:lang w:val="ru-RU"/>
        </w:rPr>
        <w:t xml:space="preserve"> 如此一来，他们实际上就暴露了其教会制度的脆弱性——该制度将上述权柄专属于某些主教。</w:t>
      </w:r>
    </w:p>
    <w:p w14:paraId="5E10F37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东正教会为所有以至圣三位一体之名受洗的人施行圣油礼，且是在他们受洗后立即进行（《正统信条》第1卷，对第105个问题的回答）。这完全符合：</w:t>
      </w:r>
    </w:p>
    <w:p w14:paraId="4B59B669" w14:textId="77777777" w:rsidR="00BE1885" w:rsidRPr="006A21F9" w:rsidRDefault="00BE1885" w:rsidP="00BE1885">
      <w:pPr>
        <w:ind w:firstLine="708"/>
        <w:rPr>
          <w:lang w:val="ru-RU"/>
        </w:rPr>
      </w:pPr>
      <w:r w:rsidRPr="006A21F9">
        <w:rPr>
          <w:b/>
          <w:bCs/>
          <w:lang w:val="ru-RU"/>
        </w:rPr>
        <w:t>1)</w:t>
      </w:r>
      <w:r w:rsidRPr="006A21F9">
        <w:rPr>
          <w:lang w:val="ru-RU"/>
        </w:rPr>
        <w:t xml:space="preserve"> 圣使徒们的榜样。例如，圣保罗在以弗所为一些人施洗后，随即通过按手圣礼将圣灵赐予他们（使徒行传19:5-6）， 并在致以弗所人的书信中嘱咐他们，不可亵渎圣灵——他们正是借着圣灵在赎罪之日，即受洗当天，被印记的（以弗所书4:30）。 同样，其他使徒一听说圣执事腓力给撒玛利亚人施洗——由于其职分所限，他无法通过按手将圣灵赐予他们——便立即派彼得和约翰前往撒玛利亚，为受洗者施行这一圣礼（使徒行传 8:14-17）。</w:t>
      </w:r>
    </w:p>
    <w:p w14:paraId="4BB7B63B" w14:textId="77777777" w:rsidR="00BE1885" w:rsidRPr="006A21F9" w:rsidRDefault="00BE1885" w:rsidP="00BE1885">
      <w:pPr>
        <w:ind w:firstLine="708"/>
        <w:rPr>
          <w:lang w:val="ru-RU"/>
        </w:rPr>
      </w:pPr>
      <w:r w:rsidRPr="006A21F9">
        <w:rPr>
          <w:b/>
          <w:bCs/>
          <w:lang w:val="ru-RU"/>
        </w:rPr>
        <w:t>2)</w:t>
      </w:r>
      <w:r w:rsidRPr="006A21F9">
        <w:rPr>
          <w:lang w:val="ru-RU"/>
        </w:rPr>
        <w:t xml:space="preserve"> 参照整个古代教会的范例。以下文献对此作证：</w:t>
      </w:r>
      <w:r w:rsidRPr="006A21F9">
        <w:rPr>
          <w:b/>
          <w:bCs/>
          <w:lang w:val="ru-RU"/>
        </w:rPr>
        <w:t>a)</w:t>
      </w:r>
      <w:r w:rsidRPr="006A21F9">
        <w:rPr>
          <w:lang w:val="ru-RU"/>
        </w:rPr>
        <w:t xml:space="preserve"> 特土良：“从洗礼池出来后，我们接受蒙福的傅油；”</w:t>
      </w:r>
      <w:r>
        <w:rPr>
          <w:rStyle w:val="FootnoteReference"/>
        </w:rPr>
        <w:footnoteReference w:id="1100"/>
      </w:r>
      <w:r w:rsidRPr="006A21F9">
        <w:rPr>
          <w:lang w:val="ru-RU"/>
        </w:rPr>
        <w:t xml:space="preserve"> </w:t>
      </w:r>
      <w:r w:rsidRPr="006A21F9">
        <w:rPr>
          <w:b/>
          <w:bCs/>
          <w:lang w:val="ru-RU"/>
        </w:rPr>
        <w:t xml:space="preserve">b) </w:t>
      </w:r>
      <w:r w:rsidRPr="006A21F9">
        <w:rPr>
          <w:lang w:val="ru-RU"/>
        </w:rPr>
        <w:t xml:space="preserve">拉奥狄凯亚大公会议：“受洗后蒙光照者，理应接受天上的圣油涂抹，并成为上帝国度的参与者”（第48条）； </w:t>
      </w:r>
      <w:r w:rsidRPr="006A21F9">
        <w:rPr>
          <w:b/>
          <w:bCs/>
          <w:lang w:val="ru-RU"/>
        </w:rPr>
        <w:t>c)</w:t>
      </w:r>
      <w:r w:rsidRPr="006A21F9">
        <w:rPr>
          <w:lang w:val="ru-RU"/>
        </w:rPr>
        <w:t xml:space="preserve"> 圣基里尔·耶路撒冷：“当你们从圣水洗礼池中出来时，便领受了与基督所受的圣油涂抹相符的圣油涂抹，”</w:t>
      </w:r>
      <w:r>
        <w:rPr>
          <w:rStyle w:val="FootnoteReference"/>
        </w:rPr>
        <w:footnoteReference w:id="1101"/>
      </w:r>
      <w:r w:rsidRPr="006A21F9">
        <w:rPr>
          <w:lang w:val="ru-RU"/>
        </w:rPr>
        <w:t xml:space="preserve"> 以及许多其他教会导师。</w:t>
      </w:r>
      <w:r>
        <w:rPr>
          <w:rStyle w:val="FootnoteReference"/>
        </w:rPr>
        <w:footnoteReference w:id="1102"/>
      </w:r>
      <w:r w:rsidRPr="006A21F9">
        <w:rPr>
          <w:lang w:val="ru-RU"/>
        </w:rPr>
        <w:t xml:space="preserve"> 就连罗马作家们也承认，在长达十二个世纪的时间里，即使在罗马教会中——而不仅仅是在整个东方——圣油礼也是在受洗后立即施予受洗者的。</w:t>
      </w:r>
      <w:r>
        <w:rPr>
          <w:rStyle w:val="FootnoteReference"/>
        </w:rPr>
        <w:footnoteReference w:id="1103"/>
      </w:r>
    </w:p>
    <w:p w14:paraId="61D6D856" w14:textId="77777777" w:rsidR="00BE1885" w:rsidRPr="006A21F9" w:rsidRDefault="00BE1885" w:rsidP="00BE1885">
      <w:pPr>
        <w:rPr>
          <w:lang w:val="ru-RU"/>
        </w:rPr>
      </w:pPr>
      <w:r w:rsidRPr="006A21F9">
        <w:rPr>
          <w:lang w:val="ru-RU"/>
        </w:rPr>
        <w:tab/>
        <w:t>因此，当该教会从13世纪开始将圣油礼与洗礼分离时，便偏离了真理， 如今，该教会在其《教理问答》中教导，受洗的婴孩在达到少年年龄之前——即7至12岁之间——不应接受圣油礼，以便他们能够以完全的自觉和对信仰基本真理的充分了解来领受这一圣事。</w:t>
      </w:r>
      <w:r>
        <w:rPr>
          <w:rStyle w:val="FootnoteReference"/>
        </w:rPr>
        <w:footnoteReference w:id="1104"/>
      </w:r>
      <w:r w:rsidRPr="006A21F9">
        <w:rPr>
          <w:lang w:val="ru-RU"/>
        </w:rPr>
        <w:t xml:space="preserve"> 但如果遵循这种推理，那么婴儿的洗礼也应当推迟到同样的有意识年龄。 然而，罗马教会本身正是基于代父母和父母的信仰与誓言，为婴孩施洗的：既然如此，它为何要剥夺婴孩在数年间获得圣灵恩赐的权利，而这些恩赐正是巩固其灵性生活所必需的呢？</w:t>
      </w:r>
    </w:p>
    <w:p w14:paraId="0A365275" w14:textId="77777777" w:rsidR="00BE1885" w:rsidRPr="006A21F9" w:rsidRDefault="00BE1885" w:rsidP="00BE1885">
      <w:pPr>
        <w:rPr>
          <w:lang w:val="ru-RU"/>
        </w:rPr>
      </w:pPr>
    </w:p>
    <w:p w14:paraId="6106059A" w14:textId="77777777" w:rsidR="00BE1885" w:rsidRPr="006A21F9" w:rsidRDefault="00BE1885" w:rsidP="00BE1885">
      <w:pPr>
        <w:pStyle w:val="Heading4"/>
        <w:rPr>
          <w:lang w:val="ru-RU"/>
        </w:rPr>
      </w:pPr>
      <w:bookmarkStart w:id="782" w:name="_Toc133142612"/>
      <w:bookmarkStart w:id="783" w:name="_Toc133142979"/>
      <w:bookmarkStart w:id="784" w:name="_Toc133166336"/>
      <w:bookmarkStart w:id="785" w:name="_Toc182221546"/>
      <w:bookmarkStart w:id="786" w:name="_Toc238453113"/>
      <w:bookmarkStart w:id="787" w:name="_Toc238453913"/>
      <w:bookmarkStart w:id="788" w:name="_Toc238454332"/>
      <w:bookmarkStart w:id="789" w:name="_Toc238466414"/>
      <w:bookmarkStart w:id="790" w:name="_Toc238576573"/>
      <w:r w:rsidRPr="006A21F9">
        <w:rPr>
          <w:bCs/>
          <w:lang w:val="ru-RU"/>
        </w:rPr>
        <w:lastRenderedPageBreak/>
        <w:t>3.</w:t>
      </w:r>
      <w:r w:rsidRPr="006A21F9">
        <w:rPr>
          <w:lang w:val="ru-RU"/>
        </w:rPr>
        <w:t xml:space="preserve"> 关于圣体圣事或领圣体</w:t>
      </w:r>
      <w:bookmarkEnd w:id="782"/>
      <w:bookmarkEnd w:id="783"/>
      <w:bookmarkEnd w:id="784"/>
      <w:bookmarkEnd w:id="785"/>
      <w:bookmarkEnd w:id="786"/>
      <w:bookmarkEnd w:id="787"/>
      <w:bookmarkEnd w:id="788"/>
      <w:bookmarkEnd w:id="789"/>
      <w:bookmarkEnd w:id="790"/>
    </w:p>
    <w:p w14:paraId="3F11E081" w14:textId="77777777" w:rsidR="00BE1885" w:rsidRPr="006A21F9" w:rsidRDefault="00BE1885" w:rsidP="00BE1885">
      <w:pPr>
        <w:rPr>
          <w:lang w:val="ru-RU"/>
        </w:rPr>
      </w:pPr>
    </w:p>
    <w:p w14:paraId="2BDE7C7F" w14:textId="77777777" w:rsidR="00BE1885" w:rsidRPr="006A21F9" w:rsidRDefault="00BE1885" w:rsidP="00BE1885">
      <w:pPr>
        <w:pStyle w:val="Heading5"/>
        <w:rPr>
          <w:lang w:val="ru-RU"/>
        </w:rPr>
      </w:pPr>
      <w:bookmarkStart w:id="791" w:name="_Toc133142980"/>
      <w:bookmarkStart w:id="792" w:name="_Toc133166337"/>
      <w:bookmarkStart w:id="793" w:name="_Toc182221547"/>
      <w:bookmarkStart w:id="794" w:name="_Toc238453114"/>
      <w:bookmarkStart w:id="795" w:name="_Toc238453914"/>
      <w:bookmarkStart w:id="796" w:name="_Toc238576574"/>
      <w:r w:rsidRPr="006A21F9">
        <w:rPr>
          <w:bCs/>
          <w:lang w:val="ru-RU"/>
        </w:rPr>
        <w:t>§212.</w:t>
      </w:r>
      <w:r w:rsidRPr="006A21F9">
        <w:rPr>
          <w:lang w:val="ru-RU"/>
        </w:rPr>
        <w:t xml:space="preserve"> 与前文的关联、圣体圣事的概念、其卓越性及其不同名称</w:t>
      </w:r>
      <w:bookmarkEnd w:id="791"/>
      <w:bookmarkEnd w:id="792"/>
      <w:bookmarkEnd w:id="793"/>
      <w:bookmarkEnd w:id="794"/>
      <w:bookmarkEnd w:id="795"/>
      <w:bookmarkEnd w:id="796"/>
    </w:p>
    <w:p w14:paraId="115AE07E" w14:textId="77777777" w:rsidR="00BE1885" w:rsidRPr="006A21F9" w:rsidRDefault="00BE1885" w:rsidP="00BE1885">
      <w:pPr>
        <w:ind w:firstLine="708"/>
        <w:rPr>
          <w:lang w:val="ru-RU"/>
        </w:rPr>
      </w:pPr>
      <w:r w:rsidRPr="006A21F9">
        <w:rPr>
          <w:lang w:val="ru-RU"/>
        </w:rPr>
        <w:t>通过洗礼圣事，我们以纯洁、蒙恩赦、为属灵生命重生的身份，进入基督的恩典之国。在坚振圣事中，我们领受了在属灵生命中得以坚固与成长所必需的恩典力量。 最后，在圣体圣事中，为了同样崇高的目的，我们有幸领受救赎的食与饮——我们主耶稣至纯的圣体与圣血，并真诚地与生命之源本身结合（诗篇35:10）。 因此，东正教会自古以来便有这样的传统：在洗礼和坚振礼之后，向新皈依的信徒传授圣体圣事，</w:t>
      </w:r>
      <w:r>
        <w:rPr>
          <w:rStyle w:val="FootnoteReference"/>
        </w:rPr>
        <w:footnoteReference w:id="1105"/>
      </w:r>
      <w:r w:rsidRPr="006A21F9">
        <w:rPr>
          <w:lang w:val="ru-RU"/>
        </w:rPr>
        <w:t xml:space="preserve"> 以便在他们 刚进入恩典之国之时，便将新生活所需的一切恩典之礼的丰盛赐予他们，同时也不断 在随后的所有时间里，不断呼吁信徒参与这一救赎圣事。</w:t>
      </w:r>
    </w:p>
    <w:p w14:paraId="6662F8C5" w14:textId="77777777" w:rsidR="00BE1885" w:rsidRPr="006A21F9" w:rsidRDefault="00BE1885" w:rsidP="00BE1885">
      <w:pPr>
        <w:rPr>
          <w:lang w:val="ru-RU"/>
        </w:rPr>
      </w:pPr>
      <w:r w:rsidRPr="006A21F9">
        <w:rPr>
          <w:lang w:val="ru-RU"/>
        </w:rPr>
        <w:tab/>
        <w:t>圣体圣事是一种圣礼，在其中，基督徒以饼和酒的外形，领受其救主的真实圣体和真实圣血。正如东正教《信经》（第一部分，对第106个问题的回答）所言，此圣礼超越一切其他圣礼。其超越之处在于：</w:t>
      </w:r>
    </w:p>
    <w:p w14:paraId="7DEE83D7" w14:textId="77777777" w:rsidR="00BE1885" w:rsidRPr="006A21F9" w:rsidRDefault="00BE1885" w:rsidP="00BE1885">
      <w:pPr>
        <w:ind w:firstLine="708"/>
        <w:rPr>
          <w:lang w:val="ru-RU"/>
        </w:rPr>
      </w:pPr>
      <w:r w:rsidRPr="006A21F9">
        <w:rPr>
          <w:b/>
          <w:bCs/>
          <w:lang w:val="ru-RU"/>
        </w:rPr>
        <w:t>1)</w:t>
      </w:r>
      <w:r w:rsidRPr="006A21F9">
        <w:rPr>
          <w:lang w:val="ru-RU"/>
        </w:rPr>
        <w:t xml:space="preserve"> 因其充满神秘与不可测度。在其他圣事中，不可测度之处在于：上帝的恩典在某种已知的可见形式下，以不可见的方式作用于人，而圣事本身的物质——例如洗礼中的水、坚振礼中的圣油——则保持不变。 与此相反，在此圣礼中，圣礼的实体本身发生了变化：饼和酒在保持原有形态的同时，奇迹般地转化为主的真实圣体和圣血，随后被信徒领受，便在他们身上隐秘地发挥其恩典的作用。</w:t>
      </w:r>
    </w:p>
    <w:p w14:paraId="4244CCFC" w14:textId="77777777" w:rsidR="00BE1885" w:rsidRPr="006A21F9" w:rsidRDefault="00BE1885" w:rsidP="00BE1885">
      <w:pPr>
        <w:ind w:firstLine="708"/>
        <w:rPr>
          <w:lang w:val="ru-RU"/>
        </w:rPr>
      </w:pPr>
      <w:r w:rsidRPr="006A21F9">
        <w:rPr>
          <w:b/>
          <w:bCs/>
          <w:lang w:val="ru-RU"/>
        </w:rPr>
        <w:t>2)</w:t>
      </w:r>
      <w:r w:rsidRPr="006A21F9">
        <w:rPr>
          <w:lang w:val="ru-RU"/>
        </w:rPr>
        <w:t xml:space="preserve"> 源于主对我们的爱之丰盛，以及此圣事中所赐予的恩赐之非凡伟大。在其他圣事中，主耶稣根据每项圣事的本质，将救赎恩典中的某些特定恩赐赐予信靠祂的人——这些恩赐是祂通过在十字架上的受难为人类赢得的。 而在这里，祂将祂自己——祂自己的身体和宝血——作为食物赐予信徒；信徒们在此直接与他们的主和救主结合，从而与救赎恩典的源头本身结合在一起。</w:t>
      </w:r>
    </w:p>
    <w:p w14:paraId="6478BF61" w14:textId="77777777" w:rsidR="00BE1885" w:rsidRPr="006A21F9" w:rsidRDefault="00BE1885" w:rsidP="00BE1885">
      <w:pPr>
        <w:ind w:firstLine="708"/>
        <w:rPr>
          <w:lang w:val="ru-RU"/>
        </w:rPr>
      </w:pPr>
      <w:r w:rsidRPr="006A21F9">
        <w:rPr>
          <w:b/>
          <w:bCs/>
          <w:lang w:val="ru-RU"/>
        </w:rPr>
        <w:t>3)</w:t>
      </w:r>
      <w:r w:rsidRPr="006A21F9">
        <w:rPr>
          <w:lang w:val="ru-RU"/>
        </w:rPr>
        <w:t xml:space="preserve"> 最后——因为所有其他圣事仅仅是对人产生救赎功效的圣事；而圣体圣事不仅是所有圣事中最不可思议、最具救赎功效的，同时也是献给上帝的牺牲——这一牺牲是为所有活着和已逝的人向祂献上的，并以此平息祂的忿怒 （《正统信经》</w:t>
      </w:r>
      <w:r w:rsidRPr="001E4083">
        <w:t>第一卷</w:t>
      </w:r>
      <w:r w:rsidRPr="006A21F9">
        <w:rPr>
          <w:lang w:val="ru-RU"/>
        </w:rPr>
        <w:t>，对第107个问题的回答；《东方教父关于正统信仰的信函》第17条）。</w:t>
      </w:r>
    </w:p>
    <w:p w14:paraId="0752D24B" w14:textId="77777777" w:rsidR="00BE1885" w:rsidRPr="006A21F9" w:rsidRDefault="00BE1885" w:rsidP="00BE1885">
      <w:pPr>
        <w:rPr>
          <w:lang w:val="ru-RU"/>
        </w:rPr>
      </w:pPr>
      <w:r w:rsidRPr="006A21F9">
        <w:rPr>
          <w:lang w:val="ru-RU"/>
        </w:rPr>
        <w:tab/>
        <w:t>圣体圣事自古以来就被赋予了不同的名称，包括：</w:t>
      </w:r>
      <w:r w:rsidRPr="006A21F9">
        <w:rPr>
          <w:b/>
          <w:bCs/>
          <w:lang w:val="ru-RU"/>
        </w:rPr>
        <w:t>a)</w:t>
      </w:r>
      <w:r w:rsidRPr="006A21F9">
        <w:rPr>
          <w:lang w:val="ru-RU"/>
        </w:rPr>
        <w:t xml:space="preserve"> 圣体（</w:t>
      </w:r>
      <w:r w:rsidRPr="001E4083">
        <w:t>εύχαριστία</w:t>
      </w:r>
      <w:r w:rsidRPr="006A21F9">
        <w:rPr>
          <w:lang w:val="ru-RU"/>
        </w:rPr>
        <w:t>），即感恩：因为在设立这一圣事时，主</w:t>
      </w:r>
      <w:r w:rsidRPr="006A21F9">
        <w:rPr>
          <w:i/>
          <w:iCs/>
          <w:lang w:val="ru-RU"/>
        </w:rPr>
        <w:t>拿起饼，献上感谢</w:t>
      </w:r>
      <w:r w:rsidRPr="006A21F9">
        <w:rPr>
          <w:lang w:val="ru-RU"/>
        </w:rPr>
        <w:t>（</w:t>
      </w:r>
      <w:r w:rsidRPr="001E4083">
        <w:t>εύχαριςτήσας</w:t>
      </w:r>
      <w:r w:rsidRPr="006A21F9">
        <w:rPr>
          <w:lang w:val="ru-RU"/>
        </w:rPr>
        <w:t>）</w:t>
      </w:r>
      <w:r w:rsidRPr="006A21F9">
        <w:rPr>
          <w:i/>
          <w:iCs/>
          <w:lang w:val="ru-RU"/>
        </w:rPr>
        <w:t>后，将其掰开</w:t>
      </w:r>
      <w:r w:rsidRPr="006A21F9">
        <w:rPr>
          <w:lang w:val="ru-RU"/>
        </w:rPr>
        <w:t xml:space="preserve"> （林前11:24），随后拿起杯，同样献上感谢或赞美（</w:t>
      </w:r>
      <w:r w:rsidRPr="001E4083">
        <w:t>εύχαριστήσας</w:t>
      </w:r>
      <w:r w:rsidRPr="006A21F9">
        <w:rPr>
          <w:lang w:val="ru-RU"/>
        </w:rPr>
        <w:t xml:space="preserve">），递给门徒（太26:27）； </w:t>
      </w:r>
      <w:r w:rsidRPr="006A21F9">
        <w:rPr>
          <w:b/>
          <w:bCs/>
          <w:lang w:val="ru-RU"/>
        </w:rPr>
        <w:t>b)</w:t>
      </w:r>
      <w:r w:rsidRPr="006A21F9">
        <w:rPr>
          <w:lang w:val="ru-RU"/>
        </w:rPr>
        <w:t xml:space="preserve"> 主的晚餐（林前 10:17-21），是奥秘的、神圣的：</w:t>
      </w:r>
      <w:r>
        <w:rPr>
          <w:rStyle w:val="FootnoteReference"/>
        </w:rPr>
        <w:footnoteReference w:id="1106"/>
      </w:r>
      <w:r w:rsidRPr="006A21F9">
        <w:rPr>
          <w:lang w:val="ru-RU"/>
        </w:rPr>
        <w:t xml:space="preserve"> 因为它是主与门徒共进奥秘晚餐时所设立的； </w:t>
      </w:r>
      <w:r w:rsidRPr="006A21F9">
        <w:rPr>
          <w:b/>
          <w:bCs/>
          <w:lang w:val="ru-RU"/>
        </w:rPr>
        <w:t>c)</w:t>
      </w:r>
      <w:r w:rsidRPr="006A21F9">
        <w:rPr>
          <w:lang w:val="ru-RU"/>
        </w:rPr>
        <w:t xml:space="preserve"> 主的筵席（林前11:20），即基督的、神圣的、奥秘的：</w:t>
      </w:r>
      <w:r>
        <w:rPr>
          <w:rStyle w:val="FootnoteReference"/>
        </w:rPr>
        <w:footnoteReference w:id="1107"/>
      </w:r>
      <w:r w:rsidRPr="006A21F9">
        <w:rPr>
          <w:lang w:val="ru-RU"/>
        </w:rPr>
        <w:t xml:space="preserve"> </w:t>
      </w:r>
      <w:r w:rsidRPr="006A21F9">
        <w:rPr>
          <w:lang w:val="ru-RU"/>
        </w:rPr>
        <w:lastRenderedPageBreak/>
        <w:t>因为其中将主耶稣的身体和宝血作为救赎之粮呈献；</w:t>
      </w:r>
      <w:r w:rsidRPr="006A21F9">
        <w:rPr>
          <w:b/>
          <w:bCs/>
          <w:lang w:val="ru-RU"/>
        </w:rPr>
        <w:t>d)</w:t>
      </w:r>
      <w:r w:rsidRPr="006A21F9">
        <w:rPr>
          <w:lang w:val="ru-RU"/>
        </w:rPr>
        <w:t xml:space="preserve"> 祭坛的奥秘：</w:t>
      </w:r>
      <w:r>
        <w:rPr>
          <w:rStyle w:val="FootnoteReference"/>
        </w:rPr>
        <w:footnoteReference w:id="1108"/>
      </w:r>
      <w:r w:rsidRPr="006A21F9">
        <w:rPr>
          <w:lang w:val="ru-RU"/>
        </w:rPr>
        <w:t xml:space="preserve"> 因为是在祭坛上的圣座上举行的； </w:t>
      </w:r>
      <w:r w:rsidRPr="006A21F9">
        <w:rPr>
          <w:b/>
          <w:bCs/>
          <w:lang w:val="ru-RU"/>
        </w:rPr>
        <w:t>戊）</w:t>
      </w:r>
      <w:r w:rsidRPr="006A21F9">
        <w:rPr>
          <w:lang w:val="ru-RU"/>
        </w:rPr>
        <w:t>主的、神的、天上的、日用的饼，</w:t>
      </w:r>
      <w:r>
        <w:rPr>
          <w:rStyle w:val="FootnoteReference"/>
        </w:rPr>
        <w:footnoteReference w:id="1109"/>
      </w:r>
      <w:r w:rsidRPr="006A21F9">
        <w:rPr>
          <w:lang w:val="ru-RU"/>
        </w:rPr>
        <w:t xml:space="preserve"> 也是可畏的圣杯、圣杯的奥秘：</w:t>
      </w:r>
      <w:r>
        <w:rPr>
          <w:rStyle w:val="FootnoteReference"/>
        </w:rPr>
        <w:footnoteReference w:id="1110"/>
      </w:r>
      <w:r w:rsidRPr="006A21F9">
        <w:rPr>
          <w:lang w:val="ru-RU"/>
        </w:rPr>
        <w:t xml:space="preserve"> 根据此圣礼中所使用的物质；</w:t>
      </w:r>
      <w:r w:rsidRPr="006A21F9">
        <w:rPr>
          <w:b/>
          <w:bCs/>
          <w:lang w:val="ru-RU"/>
        </w:rPr>
        <w:t xml:space="preserve"> 己）</w:t>
      </w:r>
      <w:r w:rsidRPr="006A21F9">
        <w:rPr>
          <w:lang w:val="ru-RU"/>
        </w:rPr>
        <w:t>祝福的圣杯（林前10:16）：根据圣礼中圣礼物的祝圣方式；</w:t>
      </w:r>
      <w:r>
        <w:rPr>
          <w:rStyle w:val="FootnoteReference"/>
        </w:rPr>
        <w:footnoteReference w:id="1111"/>
      </w:r>
      <w:r w:rsidRPr="006A21F9">
        <w:rPr>
          <w:lang w:val="ru-RU"/>
        </w:rPr>
        <w:t xml:space="preserve"> </w:t>
      </w:r>
      <w:r w:rsidRPr="006A21F9">
        <w:rPr>
          <w:b/>
          <w:bCs/>
          <w:lang w:val="ru-RU"/>
        </w:rPr>
        <w:t>g)</w:t>
      </w:r>
      <w:r w:rsidRPr="006A21F9">
        <w:rPr>
          <w:lang w:val="ru-RU"/>
        </w:rPr>
        <w:t xml:space="preserve"> 基督的身体，主的、救赎的、圣洁的，</w:t>
      </w:r>
      <w:r>
        <w:rPr>
          <w:rStyle w:val="FootnoteReference"/>
        </w:rPr>
        <w:footnoteReference w:id="1112"/>
      </w:r>
      <w:r w:rsidRPr="006A21F9">
        <w:rPr>
          <w:lang w:val="ru-RU"/>
        </w:rPr>
        <w:t xml:space="preserve"> 以及基督的宝血，尊贵的：</w:t>
      </w:r>
      <w:r>
        <w:rPr>
          <w:rStyle w:val="FootnoteReference"/>
        </w:rPr>
        <w:footnoteReference w:id="1113"/>
      </w:r>
      <w:r w:rsidRPr="006A21F9">
        <w:rPr>
          <w:lang w:val="ru-RU"/>
        </w:rPr>
        <w:t xml:space="preserve"> 因为它以饼和酒的外形，赐予我们基督真实的身体和宝血；</w:t>
      </w:r>
      <w:r w:rsidRPr="006A21F9">
        <w:rPr>
          <w:b/>
          <w:bCs/>
          <w:lang w:val="ru-RU"/>
        </w:rPr>
        <w:t>h)</w:t>
      </w:r>
      <w:r w:rsidRPr="006A21F9">
        <w:rPr>
          <w:lang w:val="ru-RU"/>
        </w:rPr>
        <w:t xml:space="preserve"> 圣餐，团契：</w:t>
      </w:r>
      <w:r>
        <w:rPr>
          <w:rStyle w:val="FootnoteReference"/>
        </w:rPr>
        <w:footnoteReference w:id="1114"/>
      </w:r>
      <w:r w:rsidRPr="006A21F9">
        <w:rPr>
          <w:lang w:val="ru-RU"/>
        </w:rPr>
        <w:t xml:space="preserve"> 因为参与这一圣礼时，我们所有人便与主耶稣以及彼此合而为一； </w:t>
      </w:r>
      <w:r w:rsidRPr="006A21F9">
        <w:rPr>
          <w:b/>
          <w:bCs/>
          <w:lang w:val="ru-RU"/>
        </w:rPr>
        <w:t>i)</w:t>
      </w:r>
      <w:r w:rsidRPr="006A21F9">
        <w:rPr>
          <w:lang w:val="ru-RU"/>
        </w:rPr>
        <w:t xml:space="preserve"> 生命之杯、救恩之杯</w:t>
      </w:r>
      <w:r>
        <w:rPr>
          <w:rStyle w:val="FootnoteReference"/>
        </w:rPr>
        <w:footnoteReference w:id="1115"/>
      </w:r>
      <w:r w:rsidRPr="006A21F9">
        <w:rPr>
          <w:lang w:val="ru-RU"/>
        </w:rPr>
        <w:t xml:space="preserve"> 因其在我们内施行的恩典之功；</w:t>
      </w:r>
      <w:r w:rsidRPr="006A21F9">
        <w:rPr>
          <w:b/>
          <w:bCs/>
          <w:lang w:val="ru-RU"/>
        </w:rPr>
        <w:t>k)</w:t>
      </w:r>
      <w:r w:rsidRPr="006A21F9">
        <w:rPr>
          <w:lang w:val="ru-RU"/>
        </w:rPr>
        <w:t xml:space="preserve"> 奥秘，即神圣、庄严、超乎天界的奥秘：</w:t>
      </w:r>
      <w:r>
        <w:rPr>
          <w:rStyle w:val="FootnoteReference"/>
        </w:rPr>
        <w:footnoteReference w:id="1116"/>
      </w:r>
      <w:r w:rsidRPr="006A21F9">
        <w:rPr>
          <w:lang w:val="ru-RU"/>
        </w:rPr>
        <w:t xml:space="preserve"> 因其本质，以及 其对我们而言难以测度的丰盛；</w:t>
      </w:r>
      <w:r w:rsidRPr="006A21F9">
        <w:rPr>
          <w:b/>
          <w:bCs/>
          <w:lang w:val="ru-RU"/>
        </w:rPr>
        <w:t>l)</w:t>
      </w:r>
      <w:r w:rsidRPr="006A21F9">
        <w:rPr>
          <w:lang w:val="ru-RU"/>
        </w:rPr>
        <w:t xml:space="preserve"> 神圣而奥秘的牺牲：</w:t>
      </w:r>
      <w:r>
        <w:rPr>
          <w:rStyle w:val="FootnoteReference"/>
        </w:rPr>
        <w:footnoteReference w:id="1117"/>
      </w:r>
      <w:r w:rsidRPr="006A21F9">
        <w:rPr>
          <w:lang w:val="ru-RU"/>
        </w:rPr>
        <w:t xml:space="preserve"> 因为它确实作为赎罪祭献给上帝，等等。</w:t>
      </w:r>
    </w:p>
    <w:p w14:paraId="0F5A49DC" w14:textId="77777777" w:rsidR="00BE1885" w:rsidRPr="006A21F9" w:rsidRDefault="00BE1885" w:rsidP="00BE1885">
      <w:pPr>
        <w:rPr>
          <w:lang w:val="ru-RU"/>
        </w:rPr>
      </w:pPr>
    </w:p>
    <w:p w14:paraId="15D042C2" w14:textId="77777777" w:rsidR="00BE1885" w:rsidRPr="006A21F9" w:rsidRDefault="00BE1885" w:rsidP="00BE1885">
      <w:pPr>
        <w:pStyle w:val="Heading5"/>
        <w:rPr>
          <w:lang w:val="ru-RU"/>
        </w:rPr>
      </w:pPr>
      <w:bookmarkStart w:id="797" w:name="_Toc133142981"/>
      <w:bookmarkStart w:id="798" w:name="_Toc133166338"/>
      <w:bookmarkStart w:id="799" w:name="_Toc182221548"/>
      <w:bookmarkStart w:id="800" w:name="_Toc238453115"/>
      <w:bookmarkStart w:id="801" w:name="_Toc238453915"/>
      <w:bookmarkStart w:id="802" w:name="_Toc238576575"/>
      <w:r w:rsidRPr="006A21F9">
        <w:rPr>
          <w:bCs/>
          <w:lang w:val="ru-RU"/>
        </w:rPr>
        <w:t>§213.</w:t>
      </w:r>
      <w:r w:rsidRPr="006A21F9">
        <w:rPr>
          <w:lang w:val="ru-RU"/>
        </w:rPr>
        <w:t xml:space="preserve"> 关于圣体圣事的神圣应许及其设立</w:t>
      </w:r>
      <w:bookmarkEnd w:id="797"/>
      <w:bookmarkEnd w:id="798"/>
      <w:bookmarkEnd w:id="799"/>
      <w:bookmarkEnd w:id="800"/>
      <w:bookmarkEnd w:id="801"/>
      <w:bookmarkEnd w:id="802"/>
    </w:p>
    <w:p w14:paraId="719DCB0A" w14:textId="77777777" w:rsidR="00BE1885" w:rsidRPr="006A21F9" w:rsidRDefault="00BE1885" w:rsidP="00BE1885">
      <w:pPr>
        <w:ind w:firstLine="708"/>
        <w:rPr>
          <w:lang w:val="ru-RU"/>
        </w:rPr>
      </w:pPr>
      <w:r w:rsidRPr="006A21F9">
        <w:rPr>
          <w:lang w:val="ru-RU"/>
        </w:rPr>
        <w:t>为了使人们做好准备，以领受圣体圣事这一如此伟大而庄严的圣事，救主基督早在设立该圣事之前很久，就恩准庄严地许下关于它的应许，揭示其本质、力量和必要性；随后，当时机成熟时，才真正设立了这一救赎性的圣事。 关于这一圣事的许诺，圣约翰·神学家对此作了详细叙述；而关于圣事设立本身的历史，则由其余三位福音书作者和圣使徒保罗予以记载。</w:t>
      </w:r>
    </w:p>
    <w:p w14:paraId="4D83322C" w14:textId="77777777" w:rsidR="00BE1885" w:rsidRPr="006A21F9" w:rsidRDefault="00BE1885" w:rsidP="00BE1885">
      <w:pPr>
        <w:ind w:firstLine="708"/>
        <w:rPr>
          <w:lang w:val="ru-RU"/>
        </w:rPr>
      </w:pPr>
      <w:r w:rsidRPr="006A21F9">
        <w:rPr>
          <w:b/>
          <w:bCs/>
          <w:lang w:val="ru-RU"/>
        </w:rPr>
        <w:t>1)</w:t>
      </w:r>
      <w:r w:rsidRPr="006A21F9">
        <w:rPr>
          <w:lang w:val="ru-RU"/>
        </w:rPr>
        <w:t xml:space="preserve"> 圣约翰首先讲述了主恩准对圣体圣血奥迹作出许诺的那一件事。有一次，在提比利亚湖畔，祂行了一件大神迹：用五个饼和两条鱼喂饱了约五千人（约6:1-13）。 目睹这一神迹的人深受震撼，不由自主地高呼：</w:t>
      </w:r>
      <w:r w:rsidRPr="006A21F9">
        <w:rPr>
          <w:i/>
          <w:iCs/>
          <w:lang w:val="ru-RU"/>
        </w:rPr>
        <w:t>“这真是那位要降临世上的先知</w:t>
      </w:r>
      <w:r w:rsidRPr="006A21F9">
        <w:rPr>
          <w:lang w:val="ru-RU"/>
        </w:rPr>
        <w:t>”（约6:14），并因沉迷于自己对弥赛亚地上国度的错误观念，</w:t>
      </w:r>
      <w:r w:rsidRPr="006A21F9">
        <w:rPr>
          <w:i/>
          <w:iCs/>
          <w:lang w:val="ru-RU"/>
        </w:rPr>
        <w:t>竟想前去将祂秘密带走，立祂为王</w:t>
      </w:r>
      <w:r w:rsidRPr="006A21F9">
        <w:rPr>
          <w:lang w:val="ru-RU"/>
        </w:rPr>
        <w:t>（约6:15）。 这位降临人间的神</w:t>
      </w:r>
      <w:r w:rsidRPr="006A21F9">
        <w:rPr>
          <w:i/>
          <w:iCs/>
          <w:lang w:val="ru-RU"/>
        </w:rPr>
        <w:t>人，并非为了受人侍奉，而是为了侍奉</w:t>
      </w:r>
      <w:r w:rsidRPr="006A21F9">
        <w:rPr>
          <w:lang w:val="ru-RU"/>
        </w:rPr>
        <w:t xml:space="preserve"> （太20:28），随即独自上山静思，随后在夜间与乘船前往迦百农的门徒会合，奇迹般地与他们一同渡过提比哩亚湖到了对岸（约6:16-23）。 然而，那些被耶稣神迹般喂饱的百姓，却紧追不舍地寻找这位行神迹者，也乘船跟随祂到了迦百农（约6:23-25）。 那时，主明白犹太人跟随祂，并非因为他们看见了神迹，而是因为他们吃了饼，饱了肚子；祂便向犹太人明确指出这一点（约翰福音6:26）， </w:t>
      </w:r>
      <w:r w:rsidRPr="006A21F9">
        <w:rPr>
          <w:lang w:val="ru-RU"/>
        </w:rPr>
        <w:lastRenderedPageBreak/>
        <w:t>便想要引导他们的注意力，从这会朽坏的食物转向另一种更高尚、不朽的食物，并宣告了关于圣体圣事的神圣应许。</w:t>
      </w:r>
      <w:r>
        <w:rPr>
          <w:rStyle w:val="FootnoteReference"/>
        </w:rPr>
        <w:footnoteReference w:id="1118"/>
      </w:r>
    </w:p>
    <w:p w14:paraId="3D289F6C" w14:textId="77777777" w:rsidR="00BE1885" w:rsidRPr="006A21F9" w:rsidRDefault="00BE1885" w:rsidP="00BE1885">
      <w:pPr>
        <w:rPr>
          <w:lang w:val="ru-RU"/>
        </w:rPr>
      </w:pPr>
      <w:r w:rsidRPr="006A21F9">
        <w:rPr>
          <w:lang w:val="ru-RU"/>
        </w:rPr>
        <w:tab/>
      </w:r>
      <w:r w:rsidRPr="006A21F9">
        <w:rPr>
          <w:i/>
          <w:iCs/>
          <w:lang w:val="ru-RU"/>
        </w:rPr>
        <w:t>“你们不要为那会朽坏的食物劳苦，而要为那存到永生的食物劳苦，就是人子要赐给你们的；因为父神已将祂的印记印在祂身上了</w:t>
      </w:r>
      <w:r w:rsidRPr="006A21F9">
        <w:rPr>
          <w:lang w:val="ru-RU"/>
        </w:rPr>
        <w:t>（约6:27）”——基督就是这样在众多犹太人面前开始这应许的。</w:t>
      </w:r>
    </w:p>
    <w:p w14:paraId="5A78B91E" w14:textId="77777777" w:rsidR="00BE1885" w:rsidRPr="006A21F9" w:rsidRDefault="00BE1885" w:rsidP="00BE1885">
      <w:pPr>
        <w:rPr>
          <w:lang w:val="ru-RU"/>
        </w:rPr>
      </w:pPr>
      <w:r w:rsidRPr="006A21F9">
        <w:rPr>
          <w:lang w:val="ru-RU"/>
        </w:rPr>
        <w:tab/>
        <w:t>当他们说：</w:t>
      </w:r>
      <w:r w:rsidRPr="006A21F9">
        <w:rPr>
          <w:i/>
          <w:iCs/>
          <w:lang w:val="ru-RU"/>
        </w:rPr>
        <w:t>“你将显什么神迹</w:t>
      </w:r>
      <w:r w:rsidRPr="006A21F9">
        <w:rPr>
          <w:lang w:val="ru-RU"/>
        </w:rPr>
        <w:t>给我们看</w:t>
      </w:r>
      <w:r w:rsidRPr="006A21F9">
        <w:rPr>
          <w:i/>
          <w:iCs/>
          <w:lang w:val="ru-RU"/>
        </w:rPr>
        <w:t>，好叫我们看见就信你</w:t>
      </w:r>
      <w:r w:rsidRPr="006A21F9">
        <w:rPr>
          <w:lang w:val="ru-RU"/>
        </w:rPr>
        <w:t>”，并提及摩西曾在旷野中赐下天上的饼——即吗哪——作为其神圣使命的明证（约6:30-31）时：</w:t>
      </w:r>
      <w:r>
        <w:rPr>
          <w:rStyle w:val="FootnoteReference"/>
        </w:rPr>
        <w:footnoteReference w:id="1119"/>
      </w:r>
      <w:r w:rsidRPr="006A21F9">
        <w:rPr>
          <w:lang w:val="ru-RU"/>
        </w:rPr>
        <w:t xml:space="preserve"> 那时，耶稣回答说：</w:t>
      </w:r>
      <w:r w:rsidRPr="006A21F9">
        <w:rPr>
          <w:i/>
          <w:iCs/>
          <w:lang w:val="ru-RU"/>
        </w:rPr>
        <w:t>“我实实在在地告诉你们：不是摩西把天上的饼赐给你们</w:t>
      </w:r>
      <w:r w:rsidRPr="006A21F9">
        <w:rPr>
          <w:lang w:val="ru-RU"/>
        </w:rPr>
        <w:t>，</w:t>
      </w:r>
      <w:r w:rsidRPr="006A21F9">
        <w:rPr>
          <w:i/>
          <w:iCs/>
          <w:lang w:val="ru-RU"/>
        </w:rPr>
        <w:t>而是我的父把真正的天上的饼赐给你们</w:t>
      </w:r>
      <w:r w:rsidRPr="006A21F9">
        <w:rPr>
          <w:lang w:val="ru-RU"/>
        </w:rPr>
        <w:t>（约6:32）”，当他们呼求：</w:t>
      </w:r>
      <w:r w:rsidRPr="006A21F9">
        <w:rPr>
          <w:i/>
          <w:iCs/>
          <w:lang w:val="ru-RU"/>
        </w:rPr>
        <w:t>“主啊！ 求你常将这样的饼赐给我们</w:t>
      </w:r>
      <w:r w:rsidRPr="006A21F9">
        <w:rPr>
          <w:lang w:val="ru-RU"/>
        </w:rPr>
        <w:t>（约6:34）”，耶稣更清晰地阐明了关于圣餐的应许，说：</w:t>
      </w:r>
      <w:r w:rsidRPr="006A21F9">
        <w:rPr>
          <w:i/>
          <w:iCs/>
          <w:lang w:val="ru-RU"/>
        </w:rPr>
        <w:t>“我就是生命的粮；到我这里来的，必不饿；信我的，永远不渴</w:t>
      </w:r>
      <w:r w:rsidRPr="006A21F9">
        <w:rPr>
          <w:lang w:val="ru-RU"/>
        </w:rPr>
        <w:t>（约6:35）。”</w:t>
      </w:r>
    </w:p>
    <w:p w14:paraId="6462874B" w14:textId="77777777" w:rsidR="00BE1885" w:rsidRPr="006A21F9" w:rsidRDefault="00BE1885" w:rsidP="00BE1885">
      <w:pPr>
        <w:rPr>
          <w:lang w:val="ru-RU"/>
        </w:rPr>
      </w:pPr>
      <w:r w:rsidRPr="006A21F9">
        <w:rPr>
          <w:lang w:val="ru-RU"/>
        </w:rPr>
        <w:tab/>
        <w:t>最后，当犹太人因这些话而震惊</w:t>
      </w:r>
      <w:r w:rsidRPr="006A21F9">
        <w:rPr>
          <w:i/>
          <w:iCs/>
          <w:lang w:val="ru-RU"/>
        </w:rPr>
        <w:t>，并</w:t>
      </w:r>
      <w:r w:rsidRPr="006A21F9">
        <w:rPr>
          <w:lang w:val="ru-RU"/>
        </w:rPr>
        <w:t>开始</w:t>
      </w:r>
      <w:r w:rsidRPr="006A21F9">
        <w:rPr>
          <w:i/>
          <w:iCs/>
          <w:lang w:val="ru-RU"/>
        </w:rPr>
        <w:t>因祂说“我是从天上降下来的那饼”而</w:t>
      </w:r>
      <w:r w:rsidRPr="006A21F9">
        <w:rPr>
          <w:lang w:val="ru-RU"/>
        </w:rPr>
        <w:t>发怨言</w:t>
      </w:r>
      <w:r w:rsidRPr="006A21F9">
        <w:rPr>
          <w:i/>
          <w:iCs/>
          <w:lang w:val="ru-RU"/>
        </w:rPr>
        <w:t>时，他们说：“这不是约瑟的儿子耶稣吗？我们岂不认识祂的父母吗？祂怎么说‘我是从天上降下来的’呢？”</w:t>
      </w:r>
      <w:r w:rsidRPr="006A21F9">
        <w:rPr>
          <w:lang w:val="ru-RU"/>
        </w:rPr>
        <w:t xml:space="preserve"> （约6:41-42）——耶稣早已明确地作证说：</w:t>
      </w:r>
      <w:r w:rsidRPr="006A21F9">
        <w:rPr>
          <w:i/>
          <w:iCs/>
          <w:lang w:val="ru-RU"/>
        </w:rPr>
        <w:t>“我实实在在地告诉你们：信我的人就有永生。我就是生命的粮。你们的祖先在旷野吃过吗哪，却都死了； 但那从天上降下来的粮，吃的人就不死。我是从天上降下来的活粮；人若吃这粮，就必永远活着；我所要赐的粮，就是我的肉，为世人的生命而舍的</w:t>
      </w:r>
      <w:r w:rsidRPr="006A21F9">
        <w:rPr>
          <w:lang w:val="ru-RU"/>
        </w:rPr>
        <w:t>（约6:47-51）。 犹太人又彼此争论，说：</w:t>
      </w:r>
      <w:r w:rsidRPr="006A21F9">
        <w:rPr>
          <w:i/>
          <w:iCs/>
          <w:lang w:val="ru-RU"/>
        </w:rPr>
        <w:t>“他怎么 能把自己的肉给我们吃</w:t>
      </w:r>
      <w:r w:rsidRPr="006A21F9">
        <w:rPr>
          <w:lang w:val="ru-RU"/>
        </w:rPr>
        <w:t>呢？”（约6:52）——耶稣再次向他们极其清楚地重申：</w:t>
      </w:r>
      <w:r w:rsidRPr="006A21F9">
        <w:rPr>
          <w:i/>
          <w:iCs/>
          <w:lang w:val="ru-RU"/>
        </w:rPr>
        <w:t>“我实实在在地告诉你们：你们若不吃人子的肉，不喝他的血，就没有生命在你们里面。  吃我肉、喝我血的人就有永生，我将在末日使他复活。因为我的肉真是可吃的，我的血真是可喝的。吃我肉、喝我血的人常在我里面，我也常在他里面。 正如那活着的父差遣了我，我因父而活；照样，吃我的人也要因我而活。这就是从天上降下来的粮。不像你们的祖先吃过吗哪还是死了；吃这粮的人必永远活着</w:t>
      </w:r>
      <w:r w:rsidRPr="006A21F9">
        <w:rPr>
          <w:lang w:val="ru-RU"/>
        </w:rPr>
        <w:t>（约6:53-58）。</w:t>
      </w:r>
    </w:p>
    <w:p w14:paraId="32ED2875" w14:textId="77777777" w:rsidR="00BE1885" w:rsidRPr="006A21F9" w:rsidRDefault="00BE1885" w:rsidP="00BE1885">
      <w:pPr>
        <w:rPr>
          <w:lang w:val="ru-RU"/>
        </w:rPr>
      </w:pPr>
      <w:r w:rsidRPr="006A21F9">
        <w:rPr>
          <w:lang w:val="ru-RU"/>
        </w:rPr>
        <w:tab/>
        <w:t>许多跟随耶稣的门徒，听见这关于可怕奥秘的奇妙应许，便说：</w:t>
      </w:r>
      <w:r w:rsidRPr="006A21F9">
        <w:rPr>
          <w:i/>
          <w:iCs/>
          <w:lang w:val="ru-RU"/>
        </w:rPr>
        <w:t>“这话多么难懂！谁能听得进去呢</w:t>
      </w:r>
      <w:r w:rsidRPr="006A21F9">
        <w:rPr>
          <w:lang w:val="ru-RU"/>
        </w:rPr>
        <w:t>？”（约6:60）——于是他们就永远离开了他（约6:66）。 但祂真正的门徒——那十二个人——却凭着信心接受了这话，并通过彼得之口承认道：</w:t>
      </w:r>
      <w:r w:rsidRPr="006A21F9">
        <w:rPr>
          <w:i/>
          <w:iCs/>
          <w:lang w:val="ru-RU"/>
        </w:rPr>
        <w:t>“主啊！我们还能跟谁去呢？你有永生的话语；我们已经信了，也知道你是基督，是永生神的儿子</w:t>
      </w:r>
      <w:r w:rsidRPr="006A21F9">
        <w:rPr>
          <w:lang w:val="ru-RU"/>
        </w:rPr>
        <w:t>”（约翰福音6:68-69）。 事实证明，后来当主设立圣餐礼时，他们当中无人表示困惑，也无人向耶稣提出疑问——这表明他们确实已经为领受如此伟大的圣礼做好了准备。</w:t>
      </w:r>
    </w:p>
    <w:p w14:paraId="4F35CCAC" w14:textId="77777777" w:rsidR="00BE1885" w:rsidRPr="006A21F9" w:rsidRDefault="00BE1885" w:rsidP="00BE1885">
      <w:pPr>
        <w:ind w:firstLine="708"/>
        <w:rPr>
          <w:lang w:val="ru-RU"/>
        </w:rPr>
      </w:pPr>
      <w:r w:rsidRPr="006A21F9">
        <w:rPr>
          <w:b/>
          <w:bCs/>
          <w:lang w:val="ru-RU"/>
        </w:rPr>
        <w:t>2)</w:t>
      </w:r>
      <w:r w:rsidRPr="006A21F9">
        <w:rPr>
          <w:lang w:val="ru-RU"/>
        </w:rPr>
        <w:t xml:space="preserve"> 主选择在最为重大的情境中设立圣餐礼。犹太人的逾越节即将到来——这是旧约中最伟大的节期，预表了那在创世之初就按神预定被杀的赎罪羔羊（启13:8）。 与此同时，那时刻终于临近了</w:t>
      </w:r>
      <w:r w:rsidRPr="006A21F9">
        <w:rPr>
          <w:i/>
          <w:iCs/>
          <w:lang w:val="ru-RU"/>
        </w:rPr>
        <w:t>——</w:t>
      </w:r>
      <w:r w:rsidRPr="006A21F9">
        <w:rPr>
          <w:i/>
          <w:iCs/>
          <w:lang w:val="ru-RU"/>
        </w:rPr>
        <w:lastRenderedPageBreak/>
        <w:t>作为“上帝的羔羊，担当世人的罪”</w:t>
      </w:r>
      <w:r w:rsidRPr="006A21F9">
        <w:rPr>
          <w:lang w:val="ru-RU"/>
        </w:rPr>
        <w:t>（约1:29）的祂，理应被真正地献在十字架的祭坛上。 就在此时，就在犹太人准备庆祝逾越节的前一天，主差遣他的两个门徒前往耶路撒冷，为庆祝逾越节预备场所和一切所需之物。 就在祂被出卖的那一夜（林前11:23），祂与十二门徒一同来到耶路撒冷那间按祂旨意预备好的楼房。在那里，祂与门徒们坐下后，首先举行了旧约的逾越节（路22:15）； 随后为门徒洗脚，教导他们谦卑与彼此相爱（约翰福音 13:3-15），再次预言自己即将面临的苦难，指明出卖者 [(马太福音 26:21-25); （路加福音 22:16-27）]，最后设立了圣餐礼。</w:t>
      </w:r>
    </w:p>
    <w:p w14:paraId="5DF9B6DA" w14:textId="77777777" w:rsidR="00BE1885" w:rsidRPr="006A21F9" w:rsidRDefault="00BE1885" w:rsidP="00BE1885">
      <w:pPr>
        <w:rPr>
          <w:lang w:val="ru-RU"/>
        </w:rPr>
      </w:pPr>
      <w:r w:rsidRPr="006A21F9">
        <w:rPr>
          <w:lang w:val="ru-RU"/>
        </w:rPr>
        <w:tab/>
        <w:t>圣马太福音记载，</w:t>
      </w:r>
      <w:r w:rsidRPr="006A21F9">
        <w:rPr>
          <w:i/>
          <w:iCs/>
          <w:lang w:val="ru-RU"/>
        </w:rPr>
        <w:t xml:space="preserve">当他们吃的时候，耶稣拿起饼，祝谢了，掰开，分给门徒，说：“你们领受，吃吧，这是我的身体。” 又拿起杯来，祝谢了，递给他们，说：“你们都喝这个，因为这是我立新约的血，为多人流出来，使罪得赦 </w:t>
      </w:r>
      <w:r w:rsidRPr="006A21F9">
        <w:rPr>
          <w:lang w:val="ru-RU"/>
        </w:rPr>
        <w:t xml:space="preserve">[(太 26:26-28)；引自 （可14:22-24）]。又如圣使徒保罗在致哥林多前书中写道： </w:t>
      </w:r>
      <w:r w:rsidRPr="006A21F9">
        <w:rPr>
          <w:i/>
          <w:iCs/>
          <w:lang w:val="ru-RU"/>
        </w:rPr>
        <w:t>因为我从主那里领受的，也传给你们：主耶稣被出卖的那一夜，拿起饼来，祝谢了，掰开，说：‘你们领受，吃吧，这是我的身体，为你们而掰开的；你们要如此行，为的是纪念我。’ 晚餐之后，他也拿起杯，说：“这杯是用我的血所立的新约；你们每逢喝的时候，要如此行，为的是纪念我</w:t>
      </w:r>
      <w:r w:rsidRPr="006A21F9">
        <w:rPr>
          <w:lang w:val="ru-RU"/>
        </w:rPr>
        <w:t>。”[(林前 11:23-25)；参见 (路 22:19-20)]。</w:t>
      </w:r>
    </w:p>
    <w:p w14:paraId="4FE8B744" w14:textId="77777777" w:rsidR="00BE1885" w:rsidRPr="006A21F9" w:rsidRDefault="00BE1885" w:rsidP="00BE1885">
      <w:pPr>
        <w:rPr>
          <w:lang w:val="ru-RU"/>
        </w:rPr>
      </w:pPr>
      <w:r w:rsidRPr="006A21F9">
        <w:rPr>
          <w:lang w:val="ru-RU"/>
        </w:rPr>
        <w:tab/>
        <w:t>因此，主在同一时刻既完成了旧约中预表性的逾越节，又设立了新约中无血的献祭——真正的逾越节，这献祭应当一直举行，直到世界的末了，以纪念祂。而这一切，祂都是在被出卖、遭受十字架的苦难并死去的那一夜完成的！</w:t>
      </w:r>
    </w:p>
    <w:p w14:paraId="2DCB7F06" w14:textId="77777777" w:rsidR="00BE1885" w:rsidRPr="006A21F9" w:rsidRDefault="00BE1885" w:rsidP="00BE1885">
      <w:pPr>
        <w:rPr>
          <w:lang w:val="ru-RU"/>
        </w:rPr>
      </w:pPr>
      <w:r w:rsidRPr="006A21F9">
        <w:rPr>
          <w:lang w:val="ru-RU"/>
        </w:rPr>
        <w:tab/>
      </w:r>
    </w:p>
    <w:p w14:paraId="72D4E26B" w14:textId="77777777" w:rsidR="00BE1885" w:rsidRPr="006A21F9" w:rsidRDefault="00BE1885" w:rsidP="00BE1885">
      <w:pPr>
        <w:pStyle w:val="Heading5"/>
        <w:rPr>
          <w:lang w:val="ru-RU"/>
        </w:rPr>
      </w:pPr>
      <w:bookmarkStart w:id="803" w:name="_Toc133142982"/>
      <w:bookmarkStart w:id="804" w:name="_Toc133166339"/>
      <w:bookmarkStart w:id="805" w:name="_Toc182221549"/>
      <w:bookmarkStart w:id="806" w:name="_Toc238453116"/>
      <w:bookmarkStart w:id="807" w:name="_Toc238453916"/>
      <w:bookmarkStart w:id="808" w:name="_Toc238576576"/>
      <w:r w:rsidRPr="006A21F9">
        <w:rPr>
          <w:bCs/>
          <w:lang w:val="ru-RU"/>
        </w:rPr>
        <w:t>§214.</w:t>
      </w:r>
      <w:r w:rsidRPr="006A21F9">
        <w:rPr>
          <w:lang w:val="ru-RU"/>
        </w:rPr>
        <w:t xml:space="preserve"> 圣体圣事的外在层面</w:t>
      </w:r>
      <w:bookmarkEnd w:id="803"/>
      <w:bookmarkEnd w:id="804"/>
      <w:bookmarkEnd w:id="805"/>
      <w:bookmarkEnd w:id="806"/>
      <w:bookmarkEnd w:id="807"/>
      <w:bookmarkEnd w:id="808"/>
    </w:p>
    <w:p w14:paraId="6BFF0985" w14:textId="77777777" w:rsidR="00BE1885" w:rsidRPr="006A21F9" w:rsidRDefault="00BE1885" w:rsidP="00BE1885">
      <w:pPr>
        <w:ind w:firstLine="708"/>
        <w:rPr>
          <w:lang w:val="ru-RU"/>
        </w:rPr>
      </w:pPr>
      <w:r w:rsidRPr="006A21F9">
        <w:rPr>
          <w:lang w:val="ru-RU"/>
        </w:rPr>
        <w:t>关注圣体圣事中可见或可感知的方面时，我们可以区分：</w:t>
      </w:r>
      <w:r w:rsidRPr="006A21F9">
        <w:rPr>
          <w:b/>
          <w:bCs/>
          <w:lang w:val="ru-RU"/>
        </w:rPr>
        <w:t>1)</w:t>
      </w:r>
      <w:r w:rsidRPr="006A21F9">
        <w:rPr>
          <w:lang w:val="ru-RU"/>
        </w:rPr>
        <w:t xml:space="preserve"> 用于圣事的物质：饼和酒； </w:t>
      </w:r>
      <w:r w:rsidRPr="006A21F9">
        <w:rPr>
          <w:b/>
          <w:bCs/>
          <w:lang w:val="ru-RU"/>
        </w:rPr>
        <w:t>2)</w:t>
      </w:r>
      <w:r w:rsidRPr="006A21F9">
        <w:rPr>
          <w:lang w:val="ru-RU"/>
        </w:rPr>
        <w:t xml:space="preserve"> 举行圣事期间的礼仪仪式；以及</w:t>
      </w:r>
      <w:r w:rsidRPr="006A21F9">
        <w:rPr>
          <w:b/>
          <w:bCs/>
          <w:lang w:val="ru-RU"/>
        </w:rPr>
        <w:t xml:space="preserve"> 3)</w:t>
      </w:r>
      <w:r w:rsidRPr="006A21F9">
        <w:rPr>
          <w:lang w:val="ru-RU"/>
        </w:rPr>
        <w:t xml:space="preserve"> 特别是礼仪中最关键的部分——那些使饼和酒真正变为基督圣体圣血的祝词。</w:t>
      </w:r>
    </w:p>
    <w:p w14:paraId="321D2DD3" w14:textId="77777777" w:rsidR="00BE1885" w:rsidRPr="006A21F9" w:rsidRDefault="00BE1885" w:rsidP="00BE1885">
      <w:pPr>
        <w:rPr>
          <w:lang w:val="ru-RU"/>
        </w:rPr>
      </w:pPr>
      <w:r w:rsidRPr="006A21F9">
        <w:rPr>
          <w:lang w:val="ru-RU"/>
        </w:rPr>
        <w:tab/>
      </w:r>
      <w:r w:rsidRPr="001E4083">
        <w:rPr>
          <w:b/>
          <w:bCs/>
        </w:rPr>
        <w:t>一</w:t>
      </w:r>
      <w:r w:rsidRPr="006A21F9">
        <w:rPr>
          <w:b/>
          <w:bCs/>
          <w:lang w:val="ru-RU"/>
        </w:rPr>
        <w:t>、</w:t>
      </w:r>
      <w:r w:rsidRPr="006A21F9">
        <w:rPr>
          <w:lang w:val="ru-RU"/>
        </w:rPr>
        <w:t>圣体圣事所用的物质是面包和葡萄酒。面包必须是小麦制成的、纯净的、发酵过的；葡萄酒则必须是葡萄酿造的、纯净的，并在奉献时用清水稀释（《信理问答》第一卷，对第107个问题的回答）。</w:t>
      </w:r>
    </w:p>
    <w:p w14:paraId="2473D0E5" w14:textId="77777777" w:rsidR="00BE1885" w:rsidRPr="006A21F9" w:rsidRDefault="00BE1885" w:rsidP="00BE1885">
      <w:pPr>
        <w:ind w:firstLine="708"/>
        <w:rPr>
          <w:lang w:val="ru-RU"/>
        </w:rPr>
      </w:pPr>
      <w:r w:rsidRPr="006A21F9">
        <w:rPr>
          <w:b/>
          <w:bCs/>
          <w:lang w:val="ru-RU"/>
        </w:rPr>
        <w:t>1)</w:t>
      </w:r>
      <w:r w:rsidRPr="006A21F9">
        <w:rPr>
          <w:lang w:val="ru-RU"/>
        </w:rPr>
        <w:t xml:space="preserve"> 面包必须是小麦面包，即耶稣基督设立圣体圣事时犹太人通常所食用的那种，也是教会历来用于此圣事的面包。</w:t>
      </w:r>
      <w:r>
        <w:rPr>
          <w:rStyle w:val="FootnoteReference"/>
        </w:rPr>
        <w:footnoteReference w:id="1120"/>
      </w:r>
      <w:r w:rsidRPr="006A21F9">
        <w:rPr>
          <w:lang w:val="ru-RU"/>
        </w:rPr>
        <w:t xml:space="preserve"> 无论是制作原料还是制作方法，都必须纯净：这是圣事本身的崇高与神圣所要求的。最后，面包必须是发酵的，而不是无酵的——后者通常被拉丁礼信徒用于圣体圣事。</w:t>
      </w:r>
      <w:r>
        <w:rPr>
          <w:rStyle w:val="FootnoteReference"/>
        </w:rPr>
        <w:footnoteReference w:id="1121"/>
      </w:r>
      <w:r w:rsidRPr="006A21F9">
        <w:rPr>
          <w:lang w:val="ru-RU"/>
        </w:rPr>
        <w:t xml:space="preserve"> 因为：</w:t>
      </w:r>
    </w:p>
    <w:p w14:paraId="0A21A17C"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救主基督最初正是用发酵面包，而非无酵饼，来举行圣体圣事。</w:t>
      </w:r>
      <w:r>
        <w:rPr>
          <w:rStyle w:val="FootnoteReference"/>
        </w:rPr>
        <w:footnoteReference w:id="1122"/>
      </w:r>
      <w:r w:rsidRPr="006A21F9">
        <w:rPr>
          <w:lang w:val="ru-RU"/>
        </w:rPr>
        <w:t xml:space="preserve"> 无可争辩的是，祂是在犹太逾越节之前设立了这一圣事（约13:1）： 因为次日祂便受审（约18:28）、被定死罪（约19:14），甚至被从十字架上取下（约19:31），而当时犹</w:t>
      </w:r>
      <w:r w:rsidRPr="006A21F9">
        <w:rPr>
          <w:lang w:val="ru-RU"/>
        </w:rPr>
        <w:lastRenderedPageBreak/>
        <w:t>太人正准备庆祝逾越节。 因此，祂设立圣餐礼之时，犹太人家中仍食用的是发酵面包，而非无酵饼。 正是基督在尼散月13日傍晚设立了圣餐礼——这一点连最杰出的罗马作家们也表示认同，</w:t>
      </w:r>
      <w:r>
        <w:rPr>
          <w:rStyle w:val="FootnoteReference"/>
        </w:rPr>
        <w:footnoteReference w:id="1123"/>
      </w:r>
      <w:r w:rsidRPr="006A21F9">
        <w:rPr>
          <w:lang w:val="ru-RU"/>
        </w:rPr>
        <w:t xml:space="preserve"> 而律法规定犹太人必须从尼散月14日傍晚才开始庆祝逾越节并食用无酵饼，</w:t>
      </w:r>
      <w:r>
        <w:rPr>
          <w:rStyle w:val="FootnoteReference"/>
        </w:rPr>
        <w:footnoteReference w:id="1124"/>
      </w:r>
      <w:r w:rsidRPr="006A21F9">
        <w:rPr>
          <w:lang w:val="ru-RU"/>
        </w:rPr>
        <w:t xml:space="preserve"> 因此，从逾越节开始的“无酵节”七日中的第一日，</w:t>
      </w:r>
      <w:r>
        <w:rPr>
          <w:rStyle w:val="FootnoteReference"/>
        </w:rPr>
        <w:footnoteReference w:id="1125"/>
      </w:r>
      <w:r w:rsidRPr="006A21F9">
        <w:rPr>
          <w:lang w:val="ru-RU"/>
        </w:rPr>
        <w:t xml:space="preserve"> ——犹太人必须从这一日起将家中一切酵母清除并仅食用无酵饼——实际上已是尼桑月15日。</w:t>
      </w:r>
      <w:r>
        <w:rPr>
          <w:rStyle w:val="FootnoteReference"/>
        </w:rPr>
        <w:footnoteReference w:id="1126"/>
      </w:r>
      <w:r w:rsidRPr="006A21F9">
        <w:rPr>
          <w:lang w:val="ru-RU"/>
        </w:rPr>
        <w:t xml:space="preserve"> 从基督在设立圣餐之前——尽管比犹太人更早——却与门徒们一同守了逾越节这一事实来看 [(太 26:17-20)；(可 14:12-16)； (路加福音 22:7-8)]，但这并不严格意味着祂当时也吃了无酵饼。因为首先，根据律法，先要吃逾越节的羔羊，之后才吃无酵饼，这一过程持续七天 [(出埃及记 12:8); （利未记 23:5-6）]——因此，救主很可能只是与门徒们一同吃了旧约的逾越节羔羊，这羔羊本身正是祂赎罪牺牲的预表，进而也是圣餐礼的预表；随后，祂便直接设立了新约中关于祂身体和宝血的圣礼。 其次，既然基督作为安息日及所有旧约节期的主，在比犹太人规定举行逾越节的时间早一天——</w:t>
      </w:r>
      <w:r>
        <w:rPr>
          <w:rStyle w:val="FootnoteReference"/>
        </w:rPr>
        <w:footnoteReference w:id="1127"/>
      </w:r>
      <w:r w:rsidRPr="006A21F9">
        <w:rPr>
          <w:lang w:val="ru-RU"/>
        </w:rPr>
        <w:t xml:space="preserve"> ——且在他们开始食用无酵饼之时——举行了逾越节，那么祂完全可能不以 无酵饼，而是以有酵饼来举行这一仪式。 不过，即使假设基督在享用逾越节羔羊时也吃了无酵饼：由此推断祂是在无酵饼上举行圣餐的，而当时各家仍在食用发酵面包，这种推论也是不合理的； 相反，自然可以认为，主在以无酵饼举行了即将结束的旧约逾越节之后，随即以新的物质——即含酵的面饼——确立了新约的圣礼（可14:</w:t>
      </w:r>
      <w:r w:rsidRPr="004F4949">
        <w:rPr>
          <w:lang w:val="ru-RU"/>
        </w:rPr>
        <w:t>24）</w:t>
      </w:r>
      <w:r w:rsidRPr="006A21F9">
        <w:rPr>
          <w:lang w:val="ru-RU"/>
        </w:rPr>
        <w:t>。</w:t>
      </w:r>
      <w:r>
        <w:rPr>
          <w:rStyle w:val="FootnoteReference"/>
        </w:rPr>
        <w:footnoteReference w:id="1128"/>
      </w:r>
      <w:r w:rsidRPr="006A21F9">
        <w:rPr>
          <w:lang w:val="ru-RU"/>
        </w:rPr>
        <w:t xml:space="preserve"> </w:t>
      </w:r>
      <w:r w:rsidRPr="006A21F9">
        <w:rPr>
          <w:lang w:val="ru-RU"/>
        </w:rPr>
        <w:lastRenderedPageBreak/>
        <w:t>福音书作者们通过以下见证使我们确信这一点：</w:t>
      </w:r>
      <w:r w:rsidRPr="006A21F9">
        <w:rPr>
          <w:i/>
          <w:iCs/>
          <w:lang w:val="ru-RU"/>
        </w:rPr>
        <w:t>基督</w:t>
      </w:r>
      <w:r w:rsidRPr="006A21F9">
        <w:rPr>
          <w:lang w:val="ru-RU"/>
        </w:rPr>
        <w:t>正是</w:t>
      </w:r>
      <w:r w:rsidRPr="006A21F9">
        <w:rPr>
          <w:i/>
          <w:iCs/>
          <w:lang w:val="ru-RU"/>
        </w:rPr>
        <w:t>拿起面包</w:t>
      </w:r>
      <w:r w:rsidRPr="006A21F9">
        <w:rPr>
          <w:lang w:val="ru-RU"/>
        </w:rPr>
        <w:t>——</w:t>
      </w:r>
      <w:r w:rsidRPr="001E4083">
        <w:t>άρτος</w:t>
      </w:r>
      <w:r w:rsidRPr="006A21F9">
        <w:rPr>
          <w:i/>
          <w:iCs/>
          <w:lang w:val="ru-RU"/>
        </w:rPr>
        <w:t>，祝福后掰开，分给门徒时说：“你们领受，吃吧，这是我的身体</w:t>
      </w:r>
      <w:r w:rsidRPr="006A21F9">
        <w:rPr>
          <w:lang w:val="ru-RU"/>
        </w:rPr>
        <w:t>”[（</w:t>
      </w:r>
      <w:r>
        <w:rPr>
          <w:lang w:val="ru-RU"/>
        </w:rPr>
        <w:t>太</w:t>
      </w:r>
      <w:r w:rsidRPr="006A21F9">
        <w:rPr>
          <w:lang w:val="ru-RU"/>
        </w:rPr>
        <w:t xml:space="preserve"> 26:26）；（可 14:22）；（路 22:19)]，即发酵过的面包（άρτος源自 </w:t>
      </w:r>
      <w:r w:rsidRPr="001E4083">
        <w:t>αίρω</w:t>
      </w:r>
      <w:r w:rsidRPr="006A21F9">
        <w:rPr>
          <w:lang w:val="ru-RU"/>
        </w:rPr>
        <w:t>，意为“发酵”），正如使徒们和救主本人所理解的那样，</w:t>
      </w:r>
      <w:r>
        <w:rPr>
          <w:rStyle w:val="FootnoteReference"/>
        </w:rPr>
        <w:footnoteReference w:id="1129"/>
      </w:r>
      <w:r w:rsidRPr="006A21F9">
        <w:rPr>
          <w:lang w:val="ru-RU"/>
        </w:rPr>
        <w:t xml:space="preserve"> ，根据该词的普遍用法，</w:t>
      </w:r>
      <w:r>
        <w:rPr>
          <w:rStyle w:val="FootnoteReference"/>
        </w:rPr>
        <w:footnoteReference w:id="1130"/>
      </w:r>
      <w:r w:rsidRPr="006A21F9">
        <w:rPr>
          <w:lang w:val="ru-RU"/>
        </w:rPr>
        <w:t xml:space="preserve"> ，而非无酵饼——这种面包与发酵面包不同，通常仅被称为“无酵饼</w:t>
      </w:r>
      <w:r w:rsidRPr="0097554A">
        <w:rPr>
          <w:lang w:val="ru-RU"/>
        </w:rPr>
        <w:t>”，</w:t>
      </w:r>
      <w:r w:rsidRPr="001E4083">
        <w:t>άζυμον</w:t>
      </w:r>
      <w:r w:rsidRPr="006A21F9">
        <w:rPr>
          <w:lang w:val="ru-RU"/>
        </w:rPr>
        <w:t xml:space="preserve"> ——或者，即使有时被称为“面包”（</w:t>
      </w:r>
      <w:r w:rsidRPr="001E4083">
        <w:t>άρτος</w:t>
      </w:r>
      <w:r w:rsidRPr="006A21F9">
        <w:rPr>
          <w:lang w:val="ru-RU"/>
        </w:rPr>
        <w:t>），也必定是指“无酵饼”（</w:t>
      </w:r>
      <w:r w:rsidRPr="001E4083">
        <w:t>άζυμος</w:t>
      </w:r>
      <w:r w:rsidRPr="006A21F9">
        <w:rPr>
          <w:lang w:val="ru-RU"/>
        </w:rPr>
        <w:t>）[（民数记 6:19）；（士师记 6:20）]。</w:t>
      </w:r>
      <w:r>
        <w:rPr>
          <w:rStyle w:val="FootnoteReference"/>
        </w:rPr>
        <w:footnoteReference w:id="1131"/>
      </w:r>
    </w:p>
    <w:p w14:paraId="473CBFAE"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在使徒时代，圣餐礼是在发酵面包上举行的。因为——</w:t>
      </w:r>
      <w:r w:rsidRPr="006A21F9">
        <w:rPr>
          <w:b/>
          <w:bCs/>
          <w:lang w:val="ru-RU"/>
        </w:rPr>
        <w:t>aa)</w:t>
      </w:r>
      <w:r w:rsidRPr="006A21F9">
        <w:rPr>
          <w:lang w:val="ru-RU"/>
        </w:rPr>
        <w:t xml:space="preserve"> 这种面包始终被称为“άρτος”，而非“无酵饼” [(使徒行传 2:42-46</w:t>
      </w:r>
      <w:r>
        <w:rPr>
          <w:lang w:val="ru-RU"/>
        </w:rPr>
        <w:t>)</w:t>
      </w:r>
      <w:r w:rsidRPr="006A21F9">
        <w:rPr>
          <w:lang w:val="ru-RU"/>
        </w:rPr>
        <w:t>；(使徒行传 20:7)； (林前 10:16；(林前 11:20)]；</w:t>
      </w:r>
      <w:r w:rsidRPr="006A21F9">
        <w:rPr>
          <w:b/>
          <w:bCs/>
          <w:lang w:val="ru-RU"/>
        </w:rPr>
        <w:t>bb)</w:t>
      </w:r>
      <w:r w:rsidRPr="006A21F9">
        <w:rPr>
          <w:lang w:val="ru-RU"/>
        </w:rPr>
        <w:t xml:space="preserve"> 当时所有新归信基督的犹太人都参与了圣餐礼（徒 2:41-46）， ——而那些按律法规定每年仅在七天内食用无酵饼、其余时间绝不食用的犹太人，原本不会同意每天都以无酵饼领受圣餐（使徒行传 2:42-46），直到使徒们决定基督徒应如何看待摩西的礼仪律法（使徒行传 第15章）； </w:t>
      </w:r>
      <w:r w:rsidRPr="006A21F9">
        <w:rPr>
          <w:b/>
          <w:bCs/>
          <w:lang w:val="ru-RU"/>
        </w:rPr>
        <w:t>vv)</w:t>
      </w:r>
      <w:r w:rsidRPr="006A21F9">
        <w:rPr>
          <w:lang w:val="ru-RU"/>
        </w:rPr>
        <w:t xml:space="preserve"> 吃无酵饼是上帝在摩西律法中规定的；但使徒们在耶路撒冷会议上确定了该律法中哪些条款应继续对基督徒具有约束力、哪些应失效后，便没有命令基督徒吃无酵饼（使徒行传15:23-30）； 因此，食用无酵饼的习俗并未被基督的教会采纳，理应如同律法的影子一般逐渐消逝。</w:t>
      </w:r>
    </w:p>
    <w:p w14:paraId="0092417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在基督的教会中，圣餐礼一直以发酵面包为形式举行，此后也始终如此。 </w:t>
      </w:r>
      <w:r w:rsidRPr="006A21F9">
        <w:rPr>
          <w:b/>
          <w:bCs/>
          <w:lang w:val="ru-RU"/>
        </w:rPr>
        <w:t>因为——a)</w:t>
      </w:r>
      <w:r w:rsidRPr="006A21F9">
        <w:rPr>
          <w:lang w:val="ru-RU"/>
        </w:rPr>
        <w:t xml:space="preserve"> 众所周知，圣礼所用的材料通常取自信徒的奉献；而信徒无疑会从家中将普通发酵面包带到教堂，因为这种面包既用于爱筵，也用于扶助穷人 （林前11:21-22）；</w:t>
      </w:r>
      <w:r w:rsidRPr="006A21F9">
        <w:rPr>
          <w:b/>
          <w:bCs/>
          <w:lang w:val="ru-RU"/>
        </w:rPr>
        <w:t>bb）</w:t>
      </w:r>
      <w:r w:rsidRPr="006A21F9">
        <w:rPr>
          <w:lang w:val="ru-RU"/>
        </w:rPr>
        <w:t>古人中无人直接将用于举行圣餐礼的面包称为无酵饼；相反，作家们称其为通常食用的面包，</w:t>
      </w:r>
      <w:r>
        <w:rPr>
          <w:rStyle w:val="FootnoteReference"/>
        </w:rPr>
        <w:footnoteReference w:id="1132"/>
      </w:r>
      <w:r w:rsidRPr="006A21F9">
        <w:rPr>
          <w:lang w:val="ru-RU"/>
        </w:rPr>
        <w:t xml:space="preserve"> ，或有时直接称为发酵面包；</w:t>
      </w:r>
      <w:r>
        <w:rPr>
          <w:rStyle w:val="FootnoteReference"/>
        </w:rPr>
        <w:footnoteReference w:id="1133"/>
      </w:r>
      <w:r w:rsidRPr="006A21F9">
        <w:rPr>
          <w:lang w:val="ru-RU"/>
        </w:rPr>
        <w:t xml:space="preserve"> </w:t>
      </w:r>
      <w:r w:rsidRPr="006A21F9">
        <w:rPr>
          <w:b/>
          <w:bCs/>
          <w:lang w:val="ru-RU"/>
        </w:rPr>
        <w:t>вв)</w:t>
      </w:r>
      <w:r w:rsidRPr="006A21F9">
        <w:rPr>
          <w:lang w:val="ru-RU"/>
        </w:rPr>
        <w:t xml:space="preserve"> </w:t>
      </w:r>
      <w:r w:rsidRPr="006A21F9">
        <w:rPr>
          <w:lang w:val="ru-RU"/>
        </w:rPr>
        <w:lastRenderedPageBreak/>
        <w:t>圣埃皮法尼乌斯甚至提到，作为坚持摩西律法的埃维奥尼派异端分子的一项特征， 他们用无酵饼和清水举行圣餐礼，</w:t>
      </w:r>
      <w:r>
        <w:rPr>
          <w:rStyle w:val="FootnoteReference"/>
        </w:rPr>
        <w:footnoteReference w:id="1134"/>
      </w:r>
      <w:r w:rsidRPr="006A21F9">
        <w:rPr>
          <w:lang w:val="ru-RU"/>
        </w:rPr>
        <w:t xml:space="preserve"> 由此清楚地表明，教会的做法与此不同； </w:t>
      </w:r>
      <w:r w:rsidRPr="006A21F9">
        <w:rPr>
          <w:b/>
          <w:bCs/>
          <w:lang w:val="ru-RU"/>
        </w:rPr>
        <w:t>gg)</w:t>
      </w:r>
      <w:r w:rsidRPr="006A21F9">
        <w:rPr>
          <w:lang w:val="ru-RU"/>
        </w:rPr>
        <w:t xml:space="preserve"> 一些西方公正的作家——无论是罗马天主教还是新教的——都乐于承认并证明，直到十世纪甚至十一世纪之前，教会中根本没有使用无酵饼的传统，</w:t>
      </w:r>
      <w:r>
        <w:rPr>
          <w:rStyle w:val="FootnoteReference"/>
        </w:rPr>
        <w:footnoteReference w:id="1135"/>
      </w:r>
      <w:r w:rsidRPr="006A21F9">
        <w:rPr>
          <w:lang w:val="ru-RU"/>
        </w:rPr>
        <w:t xml:space="preserve"> 尽管其他人竭力证明相反的观点。</w:t>
      </w:r>
      <w:r>
        <w:rPr>
          <w:rStyle w:val="FootnoteReference"/>
        </w:rPr>
        <w:footnoteReference w:id="1136"/>
      </w:r>
    </w:p>
    <w:p w14:paraId="05E54D9E" w14:textId="77777777" w:rsidR="00BE1885" w:rsidRPr="006A21F9" w:rsidRDefault="00BE1885" w:rsidP="00BE1885">
      <w:pPr>
        <w:ind w:firstLine="708"/>
        <w:rPr>
          <w:lang w:val="ru-RU"/>
        </w:rPr>
      </w:pPr>
      <w:r w:rsidRPr="006A21F9">
        <w:rPr>
          <w:b/>
          <w:bCs/>
          <w:lang w:val="ru-RU"/>
        </w:rPr>
        <w:t>2)</w:t>
      </w:r>
      <w:r w:rsidRPr="006A21F9">
        <w:rPr>
          <w:lang w:val="ru-RU"/>
        </w:rPr>
        <w:t xml:space="preserve"> 圣体圣事所需的另一种物质，除了小麦面饼和发酵面饼外，必须是葡萄酒，这与某些假教师的观点相反，</w:t>
      </w:r>
      <w:r>
        <w:rPr>
          <w:rStyle w:val="FootnoteReference"/>
        </w:rPr>
        <w:footnoteReference w:id="1137"/>
      </w:r>
      <w:r w:rsidRPr="006A21F9">
        <w:rPr>
          <w:lang w:val="ru-RU"/>
        </w:rPr>
        <w:t xml:space="preserve"> 且必须是葡萄酿制的葡萄酒。因为，救主基督本人正是用葡萄酒举行了圣体圣事。 祂将圣杯递给门徒，对他们说：</w:t>
      </w:r>
      <w:r w:rsidRPr="006A21F9">
        <w:rPr>
          <w:i/>
          <w:iCs/>
          <w:lang w:val="ru-RU"/>
        </w:rPr>
        <w:t>“你们都喝这个，因为这是我立新约的血</w:t>
      </w:r>
      <w:r w:rsidRPr="006A21F9">
        <w:rPr>
          <w:lang w:val="ru-RU"/>
        </w:rPr>
        <w:t xml:space="preserve">”，随即补充道： </w:t>
      </w:r>
      <w:r w:rsidRPr="006A21F9">
        <w:rPr>
          <w:i/>
          <w:iCs/>
          <w:lang w:val="ru-RU"/>
        </w:rPr>
        <w:t>“我告诉你们，从今以后，我不再喝这葡萄汁，直到我在我父的国里同你们喝那新的酒的那一天</w:t>
      </w:r>
      <w:r w:rsidRPr="006A21F9">
        <w:rPr>
          <w:lang w:val="ru-RU"/>
        </w:rPr>
        <w:t>”（玛26:27-29）。 圣教会一直效法救主的榜样，用葡萄酒举行这一圣礼——这一点可从爱任纽的见证</w:t>
      </w:r>
      <w:r>
        <w:rPr>
          <w:rStyle w:val="FootnoteReference"/>
        </w:rPr>
        <w:footnoteReference w:id="1138"/>
      </w:r>
      <w:r w:rsidRPr="006A21F9">
        <w:rPr>
          <w:lang w:val="ru-RU"/>
        </w:rPr>
        <w:t xml:space="preserve"> 、基普里安的见证</w:t>
      </w:r>
      <w:r>
        <w:rPr>
          <w:rStyle w:val="FootnoteReference"/>
        </w:rPr>
        <w:footnoteReference w:id="1139"/>
      </w:r>
      <w:r w:rsidRPr="006A21F9">
        <w:rPr>
          <w:lang w:val="ru-RU"/>
        </w:rPr>
        <w:t xml:space="preserve"> 、金口若望的见证</w:t>
      </w:r>
      <w:r>
        <w:rPr>
          <w:rStyle w:val="FootnoteReference"/>
        </w:rPr>
        <w:footnoteReference w:id="1140"/>
      </w:r>
      <w:r w:rsidRPr="006A21F9">
        <w:rPr>
          <w:lang w:val="ru-RU"/>
        </w:rPr>
        <w:t xml:space="preserve"> 、迦太基大公会议的见证以及其他文献中看出。</w:t>
      </w:r>
      <w:r>
        <w:rPr>
          <w:rStyle w:val="FootnoteReference"/>
        </w:rPr>
        <w:footnoteReference w:id="1141"/>
      </w:r>
      <w:r w:rsidRPr="006A21F9">
        <w:rPr>
          <w:lang w:val="ru-RU"/>
        </w:rPr>
        <w:t xml:space="preserve"> 由于巴勒斯坦地区通常饮用红葡萄酒</w:t>
      </w:r>
      <w:r w:rsidRPr="003E1CEE">
        <w:rPr>
          <w:lang w:val="ru-RU"/>
        </w:rPr>
        <w:t>[</w:t>
      </w:r>
      <w:r w:rsidRPr="006A21F9">
        <w:rPr>
          <w:lang w:val="ru-RU"/>
        </w:rPr>
        <w:t>(创世记 49:11</w:t>
      </w:r>
      <w:r>
        <w:rPr>
          <w:lang w:val="ru-RU"/>
        </w:rPr>
        <w:t>)</w:t>
      </w:r>
      <w:r w:rsidRPr="006A21F9">
        <w:rPr>
          <w:lang w:val="ru-RU"/>
        </w:rPr>
        <w:t xml:space="preserve">; </w:t>
      </w:r>
      <w:r>
        <w:rPr>
          <w:lang w:val="ru-RU"/>
        </w:rPr>
        <w:t>（</w:t>
      </w:r>
      <w:r w:rsidRPr="006A21F9">
        <w:rPr>
          <w:lang w:val="ru-RU"/>
        </w:rPr>
        <w:t>申命记 32:14）</w:t>
      </w:r>
      <w:r w:rsidRPr="003E1CEE">
        <w:rPr>
          <w:lang w:val="ru-RU"/>
        </w:rPr>
        <w:t>]</w:t>
      </w:r>
      <w:r w:rsidRPr="006A21F9">
        <w:rPr>
          <w:lang w:val="ru-RU"/>
        </w:rPr>
        <w:t>，而主耶稣当然也是用这种葡萄酒举行圣礼的：因此，教会自古以来就使用红葡萄酒进行圣餐礼，更何况它仅凭其外观，就能在感官的眼中象征基督的宝血。</w:t>
      </w:r>
    </w:p>
    <w:p w14:paraId="48DF5767" w14:textId="77777777" w:rsidR="00BE1885" w:rsidRPr="006A21F9" w:rsidRDefault="00BE1885" w:rsidP="00BE1885">
      <w:pPr>
        <w:rPr>
          <w:lang w:val="ru-RU"/>
        </w:rPr>
      </w:pPr>
      <w:r w:rsidRPr="006A21F9">
        <w:rPr>
          <w:lang w:val="ru-RU"/>
        </w:rPr>
        <w:tab/>
        <w:t>这种用于圣餐的葡萄酒，与饼一样，必须尽可能纯净：这是圣礼的庄严与圣洁所要求的。 它必须能用水稀释：因为</w:t>
      </w:r>
      <w:r w:rsidRPr="006A21F9">
        <w:rPr>
          <w:b/>
          <w:bCs/>
          <w:lang w:val="ru-RU"/>
        </w:rPr>
        <w:t>——a)</w:t>
      </w:r>
      <w:r w:rsidRPr="006A21F9">
        <w:rPr>
          <w:lang w:val="ru-RU"/>
        </w:rPr>
        <w:t xml:space="preserve"> 据传统记载，基督在设立圣体圣事时，</w:t>
      </w:r>
      <w:r>
        <w:rPr>
          <w:rStyle w:val="FootnoteReference"/>
        </w:rPr>
        <w:footnoteReference w:id="1142"/>
      </w:r>
      <w:r w:rsidRPr="006A21F9">
        <w:rPr>
          <w:lang w:val="ru-RU"/>
        </w:rPr>
        <w:t xml:space="preserve"> 使用了用水稀释的葡萄酒，这在犹太地区是惯常的做法；</w:t>
      </w:r>
      <w:r>
        <w:rPr>
          <w:rStyle w:val="FootnoteReference"/>
        </w:rPr>
        <w:footnoteReference w:id="1143"/>
      </w:r>
      <w:r w:rsidRPr="006A21F9">
        <w:rPr>
          <w:lang w:val="ru-RU"/>
        </w:rPr>
        <w:t xml:space="preserve"> </w:t>
      </w:r>
      <w:r w:rsidRPr="006A21F9">
        <w:rPr>
          <w:b/>
          <w:bCs/>
          <w:lang w:val="ru-RU"/>
        </w:rPr>
        <w:t>b)</w:t>
      </w:r>
      <w:r w:rsidRPr="006A21F9">
        <w:rPr>
          <w:lang w:val="ru-RU"/>
        </w:rPr>
        <w:t xml:space="preserve"> 圣教会效法救主的榜样，一直使用同样的酒，以此共同纪念：在主受难时，从祂被刺穿的肋旁流出了血</w:t>
      </w:r>
      <w:r w:rsidRPr="006A21F9">
        <w:rPr>
          <w:lang w:val="ru-RU"/>
        </w:rPr>
        <w:lastRenderedPageBreak/>
        <w:t>和水（约19:34）。 古代教会的导师——尤斯丁、</w:t>
      </w:r>
      <w:r>
        <w:rPr>
          <w:rStyle w:val="FootnoteReference"/>
        </w:rPr>
        <w:footnoteReference w:id="1144"/>
      </w:r>
      <w:r w:rsidRPr="006A21F9">
        <w:rPr>
          <w:lang w:val="ru-RU"/>
        </w:rPr>
        <w:t xml:space="preserve"> 伊雷奈、</w:t>
      </w:r>
      <w:r>
        <w:rPr>
          <w:rStyle w:val="FootnoteReference"/>
        </w:rPr>
        <w:footnoteReference w:id="1145"/>
      </w:r>
      <w:r w:rsidRPr="006A21F9">
        <w:rPr>
          <w:lang w:val="ru-RU"/>
        </w:rPr>
        <w:t xml:space="preserve"> 基普里安、</w:t>
      </w:r>
      <w:r>
        <w:rPr>
          <w:rStyle w:val="FootnoteReference"/>
        </w:rPr>
        <w:footnoteReference w:id="1146"/>
      </w:r>
      <w:r w:rsidRPr="006A21F9">
        <w:rPr>
          <w:lang w:val="ru-RU"/>
        </w:rPr>
        <w:t xml:space="preserve"> 尼西亚的格里高利、安布罗斯等人，</w:t>
      </w:r>
      <w:r>
        <w:rPr>
          <w:rStyle w:val="FootnoteReference"/>
        </w:rPr>
        <w:footnoteReference w:id="1147"/>
      </w:r>
      <w:r w:rsidRPr="006A21F9">
        <w:rPr>
          <w:lang w:val="ru-RU"/>
        </w:rPr>
        <w:t xml:space="preserve"> 古代大公会议——迦太基会议、</w:t>
      </w:r>
      <w:r>
        <w:rPr>
          <w:rStyle w:val="FootnoteReference"/>
        </w:rPr>
        <w:footnoteReference w:id="1148"/>
      </w:r>
      <w:r w:rsidRPr="006A21F9">
        <w:rPr>
          <w:lang w:val="ru-RU"/>
        </w:rPr>
        <w:t xml:space="preserve"> 特鲁尔会议，以及古代的礼拜仪式</w:t>
      </w:r>
      <w:r>
        <w:rPr>
          <w:rStyle w:val="FootnoteReference"/>
        </w:rPr>
        <w:footnoteReference w:id="1149"/>
      </w:r>
      <w:r w:rsidRPr="006A21F9">
        <w:rPr>
          <w:lang w:val="ru-RU"/>
        </w:rPr>
        <w:t xml:space="preserve"> 都对此一致作证。</w:t>
      </w:r>
    </w:p>
    <w:p w14:paraId="3B28E7D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圣礼仪式，即举行圣体圣事的过程，若无此仪式则圣体圣事无法举行，即为圣体礼。该仪式分为三部分：第一部分为“供饼礼”或“奉献礼”，此时为圣事准备圣物，其名称源于古代基督徒将面包和葡萄酒带入教堂用于圣体圣事的习俗； 第二部分是慕道者礼仪，在此期间，基督徒为领受圣事做准备，甚至允许慕道者参与；第三部分是信徒礼仪，在此期间举行圣事，且仅限信徒参与。圣礼在所有环节中的举行地点和形式，均在教会的规章和礼仪程序中作了详细规定。</w:t>
      </w:r>
    </w:p>
    <w:p w14:paraId="2B51E5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圣礼最后部分最重要的环节包括：</w:t>
      </w:r>
      <w:r w:rsidRPr="006A21F9">
        <w:rPr>
          <w:b/>
          <w:bCs/>
          <w:lang w:val="ru-RU"/>
        </w:rPr>
        <w:t>a)</w:t>
      </w:r>
      <w:r w:rsidRPr="006A21F9">
        <w:rPr>
          <w:lang w:val="ru-RU"/>
        </w:rPr>
        <w:t xml:space="preserve"> 诵念救主在设立圣礼时所说的话：</w:t>
      </w:r>
      <w:r w:rsidRPr="006A21F9">
        <w:rPr>
          <w:i/>
          <w:iCs/>
          <w:lang w:val="ru-RU"/>
        </w:rPr>
        <w:t>“你们领受，吃吧：这是我的身体</w:t>
      </w:r>
      <w:r w:rsidRPr="006A21F9">
        <w:rPr>
          <w:lang w:val="ru-RU"/>
        </w:rPr>
        <w:t>……</w:t>
      </w:r>
      <w:r w:rsidRPr="006A21F9">
        <w:rPr>
          <w:i/>
          <w:iCs/>
          <w:lang w:val="ru-RU"/>
        </w:rPr>
        <w:t>你们都喝吧，因为这是我新约的血</w:t>
      </w:r>
      <w:r w:rsidRPr="006A21F9">
        <w:rPr>
          <w:lang w:val="ru-RU"/>
        </w:rPr>
        <w:t>……” （马太福音26:26-28），</w:t>
      </w:r>
      <w:r w:rsidRPr="006A21F9">
        <w:rPr>
          <w:b/>
          <w:bCs/>
          <w:lang w:val="ru-RU"/>
        </w:rPr>
        <w:t>随后是——b）</w:t>
      </w:r>
      <w:r w:rsidRPr="006A21F9">
        <w:rPr>
          <w:lang w:val="ru-RU"/>
        </w:rPr>
        <w:t>呼求圣灵，即向天父祈求将圣灵降临于圣礼之物，并为之祝福（参见《基督教教理问答》关于圣体圣事的章节）。 根据圣约翰·金口礼仪规程，这一环节的流程如下：</w:t>
      </w:r>
    </w:p>
    <w:p w14:paraId="7FDFA3D7" w14:textId="77777777" w:rsidR="00BE1885" w:rsidRPr="006A21F9" w:rsidRDefault="00BE1885" w:rsidP="00BE1885">
      <w:pPr>
        <w:rPr>
          <w:lang w:val="ru-RU"/>
        </w:rPr>
      </w:pPr>
      <w:r w:rsidRPr="006A21F9">
        <w:rPr>
          <w:lang w:val="ru-RU"/>
        </w:rPr>
        <w:tab/>
        <w:t>当唱诗班开始吟唱《炽天使之歌》时，主礼者进行祈祷；</w:t>
      </w:r>
    </w:p>
    <w:p w14:paraId="419D5E99" w14:textId="77777777" w:rsidR="00BE1885" w:rsidRPr="006A21F9" w:rsidRDefault="00BE1885" w:rsidP="00BE1885">
      <w:pPr>
        <w:rPr>
          <w:lang w:val="ru-RU"/>
        </w:rPr>
      </w:pPr>
      <w:r w:rsidRPr="006A21F9">
        <w:rPr>
          <w:lang w:val="ru-RU"/>
        </w:rPr>
        <w:tab/>
        <w:t>（默祷）“我们与这些蒙福的大能者一同，仁爱的主啊，呼求并宣告：祢是圣洁的，至圣的，祢和祢的独生子，以及祢的圣灵。 祢是圣洁的，是至圣的，祢的荣耀何等辉煌；祢如此深爱这世界，甚至赐下祢的独生子，使凡信祂的人不至灭亡，反得永生。 祂降临世间，为我们成就了一切，在那个夜晚将自己交出，更甚者，祂为世人的生命将自己交出， 祂用自己圣洁、至纯、无瑕的手接过饼，献上感谢并赐福，祝圣、掰开后，赐给祂的圣徒门徒和使徒，说道：”</w:t>
      </w:r>
    </w:p>
    <w:p w14:paraId="4D42F836" w14:textId="77777777" w:rsidR="00BE1885" w:rsidRPr="006A21F9" w:rsidRDefault="00BE1885" w:rsidP="00BE1885">
      <w:pPr>
        <w:rPr>
          <w:lang w:val="ru-RU"/>
        </w:rPr>
      </w:pPr>
      <w:r w:rsidRPr="006A21F9">
        <w:rPr>
          <w:lang w:val="ru-RU"/>
        </w:rPr>
        <w:tab/>
        <w:t>（高声宣告并用右手指向圣饼盘）“你们领受，吃吧，这是我的身体，为你们而破碎，以赦免罪过。”</w:t>
      </w:r>
    </w:p>
    <w:p w14:paraId="1D390749" w14:textId="77777777" w:rsidR="00BE1885" w:rsidRPr="006A21F9" w:rsidRDefault="00BE1885" w:rsidP="00BE1885">
      <w:pPr>
        <w:rPr>
          <w:lang w:val="ru-RU"/>
        </w:rPr>
      </w:pPr>
      <w:r w:rsidRPr="006A21F9">
        <w:rPr>
          <w:lang w:val="ru-RU"/>
        </w:rPr>
        <w:tab/>
        <w:t>（当唱诗班唱“阿们”时，祂暗中说道）“晚餐后，祂同样拿起杯，说：”</w:t>
      </w:r>
    </w:p>
    <w:p w14:paraId="2FD942ED" w14:textId="77777777" w:rsidR="00BE1885" w:rsidRPr="006A21F9" w:rsidRDefault="00BE1885" w:rsidP="00BE1885">
      <w:pPr>
        <w:rPr>
          <w:lang w:val="ru-RU"/>
        </w:rPr>
      </w:pPr>
      <w:r w:rsidRPr="006A21F9">
        <w:rPr>
          <w:lang w:val="ru-RU"/>
        </w:rPr>
        <w:lastRenderedPageBreak/>
        <w:tab/>
        <w:t>（高声宣告并用右手指向圣爵）“你们众人都要从这杯里喝，这是我新约的血，为你们和许多人倾流，以赦免罪过。”</w:t>
      </w:r>
    </w:p>
    <w:p w14:paraId="3CE95BE9" w14:textId="77777777" w:rsidR="00BE1885" w:rsidRPr="006A21F9" w:rsidRDefault="00BE1885" w:rsidP="00BE1885">
      <w:pPr>
        <w:rPr>
          <w:lang w:val="ru-RU"/>
        </w:rPr>
      </w:pPr>
      <w:r w:rsidRPr="006A21F9">
        <w:rPr>
          <w:lang w:val="ru-RU"/>
        </w:rPr>
        <w:tab/>
        <w:t>（当会众唱“阿门”时，暗中）“因我们追念这救赎的诫命，以及一切为我们所成就的： 十字架、坟墓、第三日复活、升天、坐在右边、第二次荣耀的再来，”</w:t>
      </w:r>
    </w:p>
    <w:p w14:paraId="5F77BD01" w14:textId="77777777" w:rsidR="00BE1885" w:rsidRPr="006A21F9" w:rsidRDefault="00BE1885" w:rsidP="00BE1885">
      <w:pPr>
        <w:rPr>
          <w:lang w:val="ru-RU"/>
        </w:rPr>
      </w:pPr>
      <w:r w:rsidRPr="006A21F9">
        <w:rPr>
          <w:lang w:val="ru-RU"/>
        </w:rPr>
        <w:tab/>
        <w:t>（高声宣告）“这从祢而来、由祢的子民献给祢的祭品，是为众人、为万物。”</w:t>
      </w:r>
    </w:p>
    <w:p w14:paraId="0F9AB485" w14:textId="77777777" w:rsidR="00BE1885" w:rsidRPr="006A21F9" w:rsidRDefault="00BE1885" w:rsidP="00BE1885">
      <w:pPr>
        <w:rPr>
          <w:lang w:val="ru-RU"/>
        </w:rPr>
      </w:pPr>
      <w:r w:rsidRPr="006A21F9">
        <w:rPr>
          <w:lang w:val="ru-RU"/>
        </w:rPr>
        <w:tab/>
        <w:t>（当唱诗班唱“我们向祢歌唱”时，低声）“我们又向祢献上这言语的、无血的礼拜，并恳求、祈祷、恳求祢，求祢将祢的圣灵降临在我们身上，并降临在这些摆在面前的圣礼上。”</w:t>
      </w:r>
    </w:p>
    <w:p w14:paraId="3D0C0E09" w14:textId="77777777" w:rsidR="00BE1885" w:rsidRPr="006A21F9" w:rsidRDefault="00BE1885" w:rsidP="00BE1885">
      <w:pPr>
        <w:rPr>
          <w:lang w:val="ru-RU"/>
        </w:rPr>
      </w:pPr>
      <w:r w:rsidRPr="006A21F9">
        <w:rPr>
          <w:lang w:val="ru-RU"/>
        </w:rPr>
        <w:tab/>
        <w:t>（提高声音，诵念三次）：“主啊，祢曾在第三时辰将祢至圣的圣灵降临于祢的使徒，仁慈的主，求祢不要将祂从我们这里收回，而是更新我们这些向祢祈求的人” （此时，执事诵读经文：上帝啊，求祢在我心中建立纯洁的心，在我腹中更新正直的灵。求祢不要将我从祢的面前赶出去，也不要将祢的圣灵从我身上收回。）</w:t>
      </w:r>
    </w:p>
    <w:p w14:paraId="12834032" w14:textId="77777777" w:rsidR="00BE1885" w:rsidRPr="006A21F9" w:rsidRDefault="00BE1885" w:rsidP="00BE1885">
      <w:pPr>
        <w:rPr>
          <w:lang w:val="ru-RU"/>
        </w:rPr>
      </w:pPr>
      <w:r w:rsidRPr="006A21F9">
        <w:rPr>
          <w:lang w:val="ru-RU"/>
        </w:rPr>
        <w:tab/>
        <w:t>（继续以同一声调，当执事指向圣饼并说：“主教，请祝福这圣饼”时）：“求祢使这饼成为祢基督的尊贵圣体。” （当执事说“阿们”后，诵念：“主教大人，请祝福这圣杯”时）：“愿这圣杯中盛满祢基督的宝血。” （最后，当执事说“阿们”后，指着这两件圣物诵念：“主教大人，请祝福这两件圣物”时）：“藉着祢的圣灵将其转化”（执事：“阿们，阿们，阿们”）。</w:t>
      </w:r>
    </w:p>
    <w:p w14:paraId="5042783C" w14:textId="77777777" w:rsidR="00BE1885" w:rsidRPr="006A21F9" w:rsidRDefault="00BE1885" w:rsidP="00BE1885">
      <w:pPr>
        <w:rPr>
          <w:lang w:val="ru-RU"/>
        </w:rPr>
      </w:pPr>
      <w:r w:rsidRPr="006A21F9">
        <w:rPr>
          <w:lang w:val="ru-RU"/>
        </w:rPr>
        <w:tab/>
        <w:t>由此可见</w:t>
      </w:r>
      <w:r w:rsidRPr="006A21F9">
        <w:rPr>
          <w:b/>
          <w:bCs/>
          <w:lang w:val="ru-RU"/>
        </w:rPr>
        <w:t>——a)</w:t>
      </w:r>
      <w:r w:rsidRPr="006A21F9">
        <w:rPr>
          <w:lang w:val="ru-RU"/>
        </w:rPr>
        <w:t xml:space="preserve"> 救主所说的“你们领受，吃……，你们都喝……”，由主礼者指着圣礼物诵出，随后呼求圣灵降临于圣礼物，以及对圣礼物的祝福，共同构成一个连续且不可分割的行动； </w:t>
      </w:r>
      <w:r w:rsidRPr="006A21F9">
        <w:rPr>
          <w:b/>
          <w:bCs/>
          <w:lang w:val="ru-RU"/>
        </w:rPr>
        <w:t>b)</w:t>
      </w:r>
      <w:r w:rsidRPr="006A21F9">
        <w:rPr>
          <w:lang w:val="ru-RU"/>
        </w:rPr>
        <w:t xml:space="preserve"> 基督的这些话语，实际上是在向天主祈祷时被追念的，并作为救主对祂门徒的诫命 被追念（格前11:23-25）， 以及</w:t>
      </w:r>
      <w:r w:rsidRPr="006A21F9">
        <w:rPr>
          <w:b/>
          <w:bCs/>
          <w:lang w:val="ru-RU"/>
        </w:rPr>
        <w:t>——c)</w:t>
      </w:r>
      <w:r w:rsidRPr="006A21F9">
        <w:rPr>
          <w:lang w:val="ru-RU"/>
        </w:rPr>
        <w:t xml:space="preserve"> 正基于这一诫命（因纪念这救赎的诫命），司祭才敢代表全体信徒，向天父祈祷，求祂将圣灵的恩赐降临于圣礼之物，并由祂将饼和酒化为基督的圣体与圣血。 因此，既将主在设立圣体圣事时所说的话视为至关重要的救赎诫命——正因有此诫命，祭台侍者才敢进行圣事；若无此诫命，他们绝不敢触碰如此伟大而庄严的圣事—— 东正教-天主教会同时“相信并深知</w:t>
      </w:r>
      <w:r>
        <w:rPr>
          <w:rStyle w:val="FootnoteReference"/>
        </w:rPr>
        <w:footnoteReference w:id="1150"/>
      </w:r>
      <w:r w:rsidRPr="006A21F9">
        <w:rPr>
          <w:lang w:val="ru-RU"/>
        </w:rPr>
        <w:t xml:space="preserve"> ，在神圣的圣体圣事中，基督的圣体与圣血因圣灵的启示与作用而实现变体，这是通过主教或司铎在向天父祈祷的言语中呼求而成就的： ‘求祢藉祢的圣灵，将这饼化为祢基督的圣体，并将这圣杯中的酒化为祢基督的圣血。’</w:t>
      </w:r>
      <w:r>
        <w:rPr>
          <w:rStyle w:val="FootnoteReference"/>
        </w:rPr>
        <w:footnoteReference w:id="1151"/>
      </w:r>
      <w:r w:rsidRPr="006A21F9">
        <w:rPr>
          <w:lang w:val="ru-RU"/>
        </w:rPr>
        <w:t xml:space="preserve"> 基督的教会一直如此信奉，这源于圣使徒们自己的传承。这一点可见于：</w:t>
      </w:r>
    </w:p>
    <w:p w14:paraId="210B66DF" w14:textId="77777777" w:rsidR="00BE1885" w:rsidRPr="006A21F9" w:rsidRDefault="00BE1885" w:rsidP="00BE1885">
      <w:pPr>
        <w:ind w:firstLine="708"/>
        <w:rPr>
          <w:lang w:val="ru-RU"/>
        </w:rPr>
      </w:pPr>
      <w:r w:rsidRPr="006A21F9">
        <w:rPr>
          <w:b/>
          <w:bCs/>
          <w:lang w:val="ru-RU"/>
        </w:rPr>
        <w:t>1)</w:t>
      </w:r>
      <w:r w:rsidRPr="0097554A">
        <w:rPr>
          <w:lang w:val="ru-RU"/>
        </w:rPr>
        <w:t xml:space="preserve"> </w:t>
      </w:r>
      <w:r w:rsidRPr="001E4083">
        <w:t>其</w:t>
      </w:r>
      <w:r w:rsidRPr="006A21F9">
        <w:rPr>
          <w:lang w:val="ru-RU"/>
        </w:rPr>
        <w:t>古老的礼拜仪式，例如：主之弟、圣使徒雅各的礼拜仪式；载于《使徒规条》中的礼拜仪式，以及大圣巴西尔的礼拜仪式。 在所有这些礼仪中，正如在“金口”圣约翰的礼仪中一样，救主在设立圣体圣事时所说的话，都会在向天主祈祷时被追念，并且明确地附上了基督的诫命： “你们要这样行，为的是纪念我”（路加福音22:19），紧接着便是呼求圣灵降临在摆在面前的圣物上，以使它们得以圣化并转化。在圣使徒雅各的圣礼中，这一点表述如下： “因此（即遵照基督的诫命：‘你们要这样行，为的是纪念我’），我们这些罪人，纪念祂（救主）赐予</w:t>
      </w:r>
      <w:r w:rsidRPr="006A21F9">
        <w:rPr>
          <w:lang w:val="ru-RU"/>
        </w:rPr>
        <w:lastRenderedPageBreak/>
        <w:t>生命的受难、救赎的十字架……将这庄严而无血的祭献给你，主啊，并祈求…… 上帝啊，求祢凭祢的大慈爱怜悯我们，并将祢的圣灵——那位赐生命的主，与祢天父同坐宝座、与祢独生子同掌王权、同质、同永恒的……—— ——主啊，求祢将这至圣的圣灵降临在我们和这些摆在面前的供物上，使祂降临后，以祂圣洁、良善、荣耀的感动，圣化这饼，使其成为祢基督的圣体；并使这杯——成为基督全人的宝血。”</w:t>
      </w:r>
      <w:r>
        <w:rPr>
          <w:rStyle w:val="FootnoteReference"/>
        </w:rPr>
        <w:footnoteReference w:id="1152"/>
      </w:r>
      <w:r w:rsidRPr="006A21F9">
        <w:rPr>
          <w:lang w:val="ru-RU"/>
        </w:rPr>
        <w:t xml:space="preserve"> 在《使徒规条》中写道：“因此（即按照救主同样的诫命），我们追念祂的受难、死亡和从死里复活……遵照祂的诫命（</w:t>
      </w:r>
      <w:r w:rsidRPr="001E4083">
        <w:t>κατά</w:t>
      </w:r>
      <w:r w:rsidRPr="0097554A">
        <w:rPr>
          <w:lang w:val="ru-RU"/>
        </w:rPr>
        <w:t xml:space="preserve"> </w:t>
      </w:r>
      <w:r w:rsidRPr="001E4083">
        <w:t>τήν</w:t>
      </w:r>
      <w:r w:rsidRPr="0097554A">
        <w:rPr>
          <w:lang w:val="ru-RU"/>
        </w:rPr>
        <w:t xml:space="preserve"> </w:t>
      </w:r>
      <w:r w:rsidRPr="001E4083">
        <w:t>αύτού</w:t>
      </w:r>
      <w:r w:rsidRPr="0097554A">
        <w:rPr>
          <w:lang w:val="ru-RU"/>
        </w:rPr>
        <w:t xml:space="preserve"> </w:t>
      </w:r>
      <w:r w:rsidRPr="001E4083">
        <w:t>διάταξιν</w:t>
      </w:r>
      <w:r w:rsidRPr="006A21F9">
        <w:rPr>
          <w:lang w:val="ru-RU"/>
        </w:rPr>
        <w:t>），将 这饼与这杯，借着祂感谢祢，因祢使我们有幸站在祢面前侍奉祢；我们恳求祢， 全能的上帝，求祢慈眼垂顾摆在祢面前的这些供物，为祢的基督之名悦纳它们，并求祢将祢的圣灵——主耶稣受难的见证者——降临在这祭物上，使这饼成为祢基督的身体，使这杯成为祢基督的宝血……”</w:t>
      </w:r>
      <w:r>
        <w:rPr>
          <w:rStyle w:val="FootnoteReference"/>
        </w:rPr>
        <w:footnoteReference w:id="1153"/>
      </w:r>
      <w:r w:rsidRPr="006A21F9">
        <w:rPr>
          <w:lang w:val="ru-RU"/>
        </w:rPr>
        <w:t xml:space="preserve"> 而在圣巴西尔大主教的礼拜仪式中，即使在向饼和酒诵念了救主的话语：“你们领受，吃……”之后， 以及“你们都从这杯里喝……”之后，仍被明确称为基督圣体与圣血的象征（</w:t>
      </w:r>
      <w:r w:rsidRPr="001E4083">
        <w:t>αντίτυπα</w:t>
      </w:r>
      <w:r w:rsidRPr="006A21F9">
        <w:rPr>
          <w:lang w:val="ru-RU"/>
        </w:rPr>
        <w:t>），即仅代表其形象，尚未转变为主的圣体与圣血：“在呈献了祢基督圣体与圣血的象征之后， 我们向祢祈祷，并呼求祢——圣中之圣，求祢凭祢仁慈的恩意，使祢的圣灵降临于我们及这些摆在面前的圣礼，并赐福于它们，使它们成圣，并显明它们。”</w:t>
      </w:r>
      <w:r>
        <w:rPr>
          <w:rStyle w:val="FootnoteReference"/>
        </w:rPr>
        <w:footnoteReference w:id="1154"/>
      </w:r>
      <w:r w:rsidRPr="006A21F9">
        <w:rPr>
          <w:lang w:val="ru-RU"/>
        </w:rPr>
        <w:t xml:space="preserve"> 随后是祷文：“主啊，祢那至圣的圣灵……”以及诵念既定经文对圣礼物的祝福。</w:t>
      </w:r>
    </w:p>
    <w:p w14:paraId="4D764104" w14:textId="77777777" w:rsidR="00BE1885" w:rsidRPr="006A21F9" w:rsidRDefault="00BE1885" w:rsidP="00BE1885">
      <w:pPr>
        <w:ind w:firstLine="708"/>
        <w:rPr>
          <w:lang w:val="ru-RU"/>
        </w:rPr>
      </w:pPr>
      <w:r w:rsidRPr="006A21F9">
        <w:rPr>
          <w:b/>
          <w:bCs/>
          <w:lang w:val="ru-RU"/>
        </w:rPr>
        <w:t>2)</w:t>
      </w:r>
      <w:r w:rsidRPr="006A21F9">
        <w:rPr>
          <w:lang w:val="ru-RU"/>
        </w:rPr>
        <w:t xml:space="preserve"> 来自东西方古代教父们的见证。例如：</w:t>
      </w:r>
    </w:p>
    <w:p w14:paraId="4CA925A5" w14:textId="77777777" w:rsidR="00BE1885" w:rsidRPr="006A21F9" w:rsidRDefault="00BE1885" w:rsidP="00BE1885">
      <w:pPr>
        <w:rPr>
          <w:lang w:val="ru-RU"/>
        </w:rPr>
      </w:pPr>
      <w:r w:rsidRPr="006A21F9">
        <w:rPr>
          <w:lang w:val="ru-RU"/>
        </w:rPr>
        <w:tab/>
        <w:t>圣爱任纽：“正如世上的面包，因呼求上帝而不再是寻常的面包，而是由尘世与天国所构成的圣体；同样，我们的身体，在领受圣体时，也不再是会朽坏的，而是怀有复活的希望。”</w:t>
      </w:r>
      <w:r>
        <w:rPr>
          <w:rStyle w:val="FootnoteReference"/>
        </w:rPr>
        <w:footnoteReference w:id="1155"/>
      </w:r>
    </w:p>
    <w:p w14:paraId="10161A10" w14:textId="77777777" w:rsidR="00BE1885" w:rsidRPr="006A21F9" w:rsidRDefault="00BE1885" w:rsidP="00BE1885">
      <w:pPr>
        <w:rPr>
          <w:lang w:val="ru-RU"/>
        </w:rPr>
      </w:pPr>
      <w:r w:rsidRPr="006A21F9">
        <w:rPr>
          <w:lang w:val="ru-RU"/>
        </w:rPr>
        <w:tab/>
        <w:t>奥利金：“为了取悦万物的造物主，我们怀着对所受恩惠的感恩之情，并怀着祈祷之心，领受这些经由祈祷而成为圣体、并使那些怀着善意领受之人得以成圣的饼。”</w:t>
      </w:r>
      <w:r>
        <w:rPr>
          <w:rStyle w:val="FootnoteReference"/>
        </w:rPr>
        <w:footnoteReference w:id="1156"/>
      </w:r>
    </w:p>
    <w:p w14:paraId="3AF2999A" w14:textId="77777777" w:rsidR="00BE1885" w:rsidRPr="006A21F9" w:rsidRDefault="00BE1885" w:rsidP="00BE1885">
      <w:pPr>
        <w:rPr>
          <w:lang w:val="ru-RU"/>
        </w:rPr>
      </w:pPr>
      <w:r w:rsidRPr="006A21F9">
        <w:rPr>
          <w:lang w:val="ru-RU"/>
        </w:rPr>
        <w:tab/>
        <w:t>圣基里尔·耶路撒冷：“圣体圣事中的饼和酒，在敬拜圣三的圣召之前，只是普通的饼和酒；但当圣召完成后，饼便成为基督的圣体，酒则成为基督的圣血。”</w:t>
      </w:r>
      <w:r>
        <w:rPr>
          <w:rStyle w:val="FootnoteReference"/>
        </w:rPr>
        <w:footnoteReference w:id="1157"/>
      </w:r>
      <w:r w:rsidRPr="006A21F9">
        <w:rPr>
          <w:lang w:val="ru-RU"/>
        </w:rPr>
        <w:t xml:space="preserve"> “在圣体圣事中，经圣灵的召唤，饼不再是普通的饼，而是基督的圣体。”</w:t>
      </w:r>
      <w:r>
        <w:rPr>
          <w:rStyle w:val="FootnoteReference"/>
        </w:rPr>
        <w:footnoteReference w:id="1158"/>
      </w:r>
      <w:r w:rsidRPr="006A21F9">
        <w:rPr>
          <w:lang w:val="ru-RU"/>
        </w:rPr>
        <w:t xml:space="preserve"> “此后（即《炽天使之歌》之后），我们藉着这些属灵的诗歌洁净自己，祈求仁爱世人的上帝，将圣灵降临在眼前的圣物上，使饼成为基督的身体，酒成为基督的宝血。 因为毫无疑问，凡圣灵所触及的，必被圣化并转化。”</w:t>
      </w:r>
      <w:r>
        <w:rPr>
          <w:rStyle w:val="FootnoteReference"/>
        </w:rPr>
        <w:footnoteReference w:id="1159"/>
      </w:r>
    </w:p>
    <w:p w14:paraId="07FB6EDB" w14:textId="77777777" w:rsidR="00BE1885" w:rsidRPr="006A21F9" w:rsidRDefault="00BE1885" w:rsidP="00BE1885">
      <w:pPr>
        <w:rPr>
          <w:lang w:val="ru-RU"/>
        </w:rPr>
      </w:pPr>
      <w:r w:rsidRPr="006A21F9">
        <w:rPr>
          <w:lang w:val="ru-RU"/>
        </w:rPr>
        <w:tab/>
        <w:t xml:space="preserve">大圣巴西尔：“在将圣体饼和祝福之杯转化时所诵念的召唤之词，究竟是哪位圣人以文字形式留传给我们的呢？ </w:t>
      </w:r>
      <w:r w:rsidRPr="006A21F9">
        <w:rPr>
          <w:lang w:val="ru-RU"/>
        </w:rPr>
        <w:lastRenderedPageBreak/>
        <w:t>因为我们不仅满足于使徒或福音书中所提及的那些话语，而且在这些话语之前和之后，还会诵念其他话语，这些话语在圣礼中具有巨大的力量，是我们从未成文的教导中领受的。”</w:t>
      </w:r>
      <w:r>
        <w:rPr>
          <w:rStyle w:val="FootnoteReference"/>
        </w:rPr>
        <w:footnoteReference w:id="1160"/>
      </w:r>
    </w:p>
    <w:p w14:paraId="53D88D17" w14:textId="77777777" w:rsidR="00BE1885" w:rsidRPr="006A21F9" w:rsidRDefault="00BE1885" w:rsidP="00BE1885">
      <w:pPr>
        <w:rPr>
          <w:lang w:val="ru-RU"/>
        </w:rPr>
      </w:pPr>
      <w:r w:rsidRPr="006A21F9">
        <w:rPr>
          <w:lang w:val="ru-RU"/>
        </w:rPr>
        <w:tab/>
        <w:t>圣奥古斯丁：“我们所称的‘基督的圣体圣血’，正是指那些取自大地果实、经由神秘祈祷所圣化，并为纪念主为我们所受的苦难而虔诚领受、以拯救灵魂之物；它虽在外在形态上属于人的手所造之物， 唯有藉着圣灵不可见的大能，方能被祝圣为这伟大的圣事。”</w:t>
      </w:r>
      <w:r>
        <w:rPr>
          <w:rStyle w:val="FootnoteReference"/>
        </w:rPr>
        <w:footnoteReference w:id="1161"/>
      </w:r>
      <w:r w:rsidRPr="006A21F9">
        <w:rPr>
          <w:lang w:val="ru-RU"/>
        </w:rPr>
        <w:t xml:space="preserve"> “关于这段经文（提摩太前书 2:1），我倾向于将其理解为：整个教会，或几乎整个教会，都在重复这一点：我们在举行圣礼时，会在主桌上的食物开始被祝福之前，先献上祈求（</w:t>
      </w:r>
      <w:r w:rsidRPr="001E4083">
        <w:t>precationes</w:t>
      </w:r>
      <w:r w:rsidRPr="006A21F9">
        <w:rPr>
          <w:lang w:val="ru-RU"/>
        </w:rPr>
        <w:t>）； 而祈祷（</w:t>
      </w:r>
      <w:r w:rsidRPr="001E4083">
        <w:t>orationes</w:t>
      </w:r>
      <w:r w:rsidRPr="006A21F9">
        <w:rPr>
          <w:lang w:val="ru-RU"/>
        </w:rPr>
        <w:t>）则是在圣餐被祝福、圣化并分发之前。”</w:t>
      </w:r>
      <w:r>
        <w:rPr>
          <w:rStyle w:val="FootnoteReference"/>
        </w:rPr>
        <w:footnoteReference w:id="1162"/>
      </w:r>
    </w:p>
    <w:p w14:paraId="35A99AC6" w14:textId="77777777" w:rsidR="00BE1885" w:rsidRPr="006A21F9" w:rsidRDefault="00BE1885" w:rsidP="00BE1885">
      <w:pPr>
        <w:rPr>
          <w:lang w:val="ru-RU"/>
        </w:rPr>
      </w:pPr>
      <w:r w:rsidRPr="006A21F9">
        <w:rPr>
          <w:lang w:val="ru-RU"/>
        </w:rPr>
        <w:tab/>
        <w:t>君士坦丁堡的圣普罗克尔： “在我们的救主升天之后，使徒们在分散到世界各地之前，曾齐心协力地聚集在一起，日日祈祷，并在主圣体的奥秘圣事中获得慰藉，以绵长的圣咏举行圣体礼…… 他们正是通过这样的祈祷，恳求圣灵降临，以便借着祂的神圣显现，将圣礼中呈献的、与水混合的饼和酒，显明并彰显为我们救主耶稣基督的圣体和圣血；这种仪式至今仍以同样的方式举行，并将一直举行到世世代代的终结。”</w:t>
      </w:r>
      <w:r>
        <w:rPr>
          <w:rStyle w:val="FootnoteReference"/>
        </w:rPr>
        <w:footnoteReference w:id="1163"/>
      </w:r>
    </w:p>
    <w:p w14:paraId="46A37B97" w14:textId="77777777" w:rsidR="00BE1885" w:rsidRPr="006A21F9" w:rsidRDefault="00BE1885" w:rsidP="00BE1885">
      <w:pPr>
        <w:rPr>
          <w:lang w:val="ru-RU"/>
        </w:rPr>
      </w:pPr>
      <w:r w:rsidRPr="006A21F9">
        <w:rPr>
          <w:lang w:val="ru-RU"/>
        </w:rPr>
        <w:tab/>
        <w:t>圣约翰·达马斯库斯说：“正如面包通过食用，葡萄酒和水通过饮用，会自然地转变（</w:t>
      </w:r>
      <w:r w:rsidRPr="001E4083">
        <w:t>μεταβάλλονταί</w:t>
      </w:r>
      <w:r w:rsidRPr="006A21F9">
        <w:rPr>
          <w:lang w:val="ru-RU"/>
        </w:rPr>
        <w:t>）为进食者和饮用者的身体和血液，且并非变成与他原有身体不同的另一种身体： 同样，通过圣灵的呼求与感召，供奉的饼、酒和水也会以超自然的方式（</w:t>
      </w:r>
      <w:r w:rsidRPr="001E4083">
        <w:t>ϋπερφυώς</w:t>
      </w:r>
      <w:r w:rsidRPr="0097554A">
        <w:rPr>
          <w:lang w:val="ru-RU"/>
        </w:rPr>
        <w:t xml:space="preserve"> </w:t>
      </w:r>
      <w:r w:rsidRPr="001E4083">
        <w:t>μεταποιούνται</w:t>
      </w:r>
      <w:r w:rsidRPr="006A21F9">
        <w:rPr>
          <w:lang w:val="ru-RU"/>
        </w:rPr>
        <w:t>）转化为基督的圣体和圣血，并非构成两个身体，而是同一个身体。”</w:t>
      </w:r>
      <w:r>
        <w:rPr>
          <w:rStyle w:val="FootnoteReference"/>
        </w:rPr>
        <w:footnoteReference w:id="1164"/>
      </w:r>
      <w:r w:rsidRPr="006A21F9">
        <w:rPr>
          <w:lang w:val="ru-RU"/>
        </w:rPr>
        <w:t xml:space="preserve"> 我们同样可以在以下圣人的著作中找到这一教义：圣格里高利·尼撒（</w:t>
      </w:r>
      <w:r>
        <w:rPr>
          <w:rStyle w:val="FootnoteReference"/>
        </w:rPr>
        <w:footnoteReference w:id="1165"/>
      </w:r>
      <w:r w:rsidRPr="006A21F9">
        <w:rPr>
          <w:lang w:val="ru-RU"/>
        </w:rPr>
        <w:t xml:space="preserve"> ）、圣杰罗姆（</w:t>
      </w:r>
      <w:r>
        <w:rPr>
          <w:rStyle w:val="FootnoteReference"/>
        </w:rPr>
        <w:footnoteReference w:id="1166"/>
      </w:r>
      <w:r w:rsidRPr="006A21F9">
        <w:rPr>
          <w:lang w:val="ru-RU"/>
        </w:rPr>
        <w:t xml:space="preserve"> ）、圣安布罗斯（ ）、圣狄奥多尔·赫拉克利安、圣狄奥菲拉克特·保加利亚（</w:t>
      </w:r>
      <w:r>
        <w:rPr>
          <w:rStyle w:val="FootnoteReference"/>
        </w:rPr>
        <w:footnoteReference w:id="1167"/>
      </w:r>
      <w:r w:rsidRPr="006A21F9">
        <w:rPr>
          <w:lang w:val="ru-RU"/>
        </w:rPr>
        <w:t xml:space="preserve"> ），以及所有后来的东方正教作家。</w:t>
      </w:r>
      <w:r>
        <w:rPr>
          <w:rStyle w:val="FootnoteReference"/>
        </w:rPr>
        <w:footnoteReference w:id="1168"/>
      </w:r>
    </w:p>
    <w:p w14:paraId="08C92BA5" w14:textId="77777777" w:rsidR="00BE1885" w:rsidRPr="006A21F9" w:rsidRDefault="00BE1885" w:rsidP="00BE1885">
      <w:pPr>
        <w:rPr>
          <w:lang w:val="ru-RU"/>
        </w:rPr>
      </w:pPr>
    </w:p>
    <w:p w14:paraId="289C1FFA" w14:textId="77777777" w:rsidR="00BE1885" w:rsidRPr="006A21F9" w:rsidRDefault="00BE1885" w:rsidP="00BE1885">
      <w:pPr>
        <w:pStyle w:val="Heading5"/>
        <w:rPr>
          <w:lang w:val="ru-RU"/>
        </w:rPr>
      </w:pPr>
      <w:bookmarkStart w:id="809" w:name="_Toc133142983"/>
      <w:bookmarkStart w:id="810" w:name="_Toc133166340"/>
      <w:bookmarkStart w:id="811" w:name="_Toc182221550"/>
      <w:bookmarkStart w:id="812" w:name="_Toc238453117"/>
      <w:bookmarkStart w:id="813" w:name="_Toc238453917"/>
      <w:bookmarkStart w:id="814" w:name="_Toc238576577"/>
      <w:r w:rsidRPr="006A21F9">
        <w:rPr>
          <w:bCs/>
          <w:lang w:val="ru-RU"/>
        </w:rPr>
        <w:t>§215.</w:t>
      </w:r>
      <w:r w:rsidRPr="006A21F9">
        <w:rPr>
          <w:lang w:val="ru-RU"/>
        </w:rPr>
        <w:t xml:space="preserve"> 圣体圣事中不可见的存在：</w:t>
      </w:r>
      <w:r w:rsidRPr="006A21F9">
        <w:rPr>
          <w:bCs/>
          <w:lang w:val="ru-RU"/>
        </w:rPr>
        <w:t>a)</w:t>
      </w:r>
      <w:r w:rsidRPr="006A21F9">
        <w:rPr>
          <w:lang w:val="ru-RU"/>
        </w:rPr>
        <w:t xml:space="preserve"> 耶稣基督在此圣事中的真实临在</w:t>
      </w:r>
      <w:bookmarkEnd w:id="809"/>
      <w:bookmarkEnd w:id="810"/>
      <w:bookmarkEnd w:id="811"/>
      <w:bookmarkEnd w:id="812"/>
      <w:bookmarkEnd w:id="813"/>
      <w:bookmarkEnd w:id="814"/>
    </w:p>
    <w:p w14:paraId="088374CB" w14:textId="77777777" w:rsidR="00BE1885" w:rsidRPr="006A21F9" w:rsidRDefault="00BE1885" w:rsidP="00BE1885">
      <w:pPr>
        <w:ind w:firstLine="708"/>
        <w:rPr>
          <w:lang w:val="ru-RU"/>
        </w:rPr>
      </w:pPr>
      <w:r w:rsidRPr="006A21F9">
        <w:rPr>
          <w:lang w:val="ru-RU"/>
        </w:rPr>
        <w:t>我们相信，当司祭遵照救主之诫命举行圣体圣事时，在呼求圣灵降临于所呈献的圣物之上，并向天父祈祷祝福它们之际： “求祢藉祢的圣灵，将这饼化为祢基督的圣体，并将这杯中的化为祢基督的圣血， 面饼与葡萄酒确实在圣灵的感召下化为基督的圣体与圣血——因此，尽管此后我们在圣餐桌上仍看见面饼与葡萄酒，但在其本质上，虽肉眼不可见，这实为主耶稣基督的真体与真血，仅以面饼与葡萄酒的外形显现。”东方教父们说：我们相信，我们的主耶稣基督真实地临在于这一圣礼中，并非象征性地、非比喻地（</w:t>
      </w:r>
      <w:r w:rsidRPr="001E4083">
        <w:t>τυπικώς</w:t>
      </w:r>
      <w:r w:rsidRPr="006A21F9">
        <w:rPr>
          <w:lang w:val="ru-RU"/>
        </w:rPr>
        <w:t xml:space="preserve">, </w:t>
      </w:r>
      <w:r w:rsidRPr="001E4083">
        <w:lastRenderedPageBreak/>
        <w:t>είκονικώς</w:t>
      </w:r>
      <w:r w:rsidRPr="006A21F9">
        <w:rPr>
          <w:lang w:val="ru-RU"/>
        </w:rPr>
        <w:t>），也非像其他圣事那样因恩典的丰盛而临在，更非如某些教父所言关于洗礼的那种单纯的感召，亦非通过面包的渗透 （</w:t>
      </w:r>
      <w:r w:rsidRPr="001E4083">
        <w:t>κατ</w:t>
      </w:r>
      <w:r w:rsidRPr="0097554A">
        <w:rPr>
          <w:lang w:val="ru-RU"/>
        </w:rPr>
        <w:t xml:space="preserve"> </w:t>
      </w:r>
      <w:r w:rsidRPr="001E4083">
        <w:t>έναρτισμόν</w:t>
      </w:r>
      <w:r w:rsidRPr="006A21F9">
        <w:rPr>
          <w:lang w:val="ru-RU"/>
        </w:rPr>
        <w:t xml:space="preserve">, </w:t>
      </w:r>
      <w:r w:rsidRPr="001E4083">
        <w:t>per</w:t>
      </w:r>
      <w:r w:rsidRPr="0097554A">
        <w:rPr>
          <w:lang w:val="ru-RU"/>
        </w:rPr>
        <w:t xml:space="preserve"> </w:t>
      </w:r>
      <w:r w:rsidRPr="001E4083">
        <w:t>impanationem</w:t>
      </w:r>
      <w:r w:rsidRPr="006A21F9">
        <w:rPr>
          <w:lang w:val="ru-RU"/>
        </w:rPr>
        <w:t>），以致道成肉身的神性实质性地（</w:t>
      </w:r>
      <w:r w:rsidRPr="001E4083">
        <w:t>ύποστατικώς</w:t>
      </w:r>
      <w:r w:rsidRPr="006A21F9">
        <w:rPr>
          <w:lang w:val="ru-RU"/>
        </w:rPr>
        <w:t>）进入为圣餐所献的饼中——正如路德的追随者们所作的那种相当拙劣且不配的解释——而是真实且切实地，以致在饼与酒被祝圣之后， 圣饼便被转化、实质化、变体、转变为主那至真实的身体——祂在伯利恒由永贞童女所生，在约旦河受洗，受难、被埋葬、复活、升天，如今坐在天父的右边，并将要驾着天上的云彩降临； 而酒则被转化并实质化为主最真实的宝血，这宝血在他受难于十字架之时，为世人的生命倾流而出。我们还相信，在圣化饼和酒之后，剩下的已不再是饼和酒本身，而是主最真实的圣体和圣血，仅以饼和酒的外形和样式显现” （《信条》第17条）。通过这些话语，东正教会明确信奉：</w:t>
      </w:r>
      <w:r w:rsidRPr="006A21F9">
        <w:rPr>
          <w:b/>
          <w:bCs/>
          <w:lang w:val="ru-RU"/>
        </w:rPr>
        <w:t>a）</w:t>
      </w:r>
      <w:r w:rsidRPr="006A21F9">
        <w:rPr>
          <w:lang w:val="ru-RU"/>
        </w:rPr>
        <w:t>耶稣基督在圣体圣事中的真实临在，以及</w:t>
      </w:r>
      <w:r w:rsidRPr="006A21F9">
        <w:rPr>
          <w:b/>
          <w:bCs/>
          <w:lang w:val="ru-RU"/>
        </w:rPr>
        <w:t>——b）</w:t>
      </w:r>
      <w:r w:rsidRPr="006A21F9">
        <w:rPr>
          <w:lang w:val="ru-RU"/>
        </w:rPr>
        <w:t>这种临在的具体形式。 这种临在的真实性——这与自由思想者的谬误截然相反，无论是古代的</w:t>
      </w:r>
      <w:r>
        <w:rPr>
          <w:rStyle w:val="FootnoteReference"/>
        </w:rPr>
        <w:footnoteReference w:id="1169"/>
      </w:r>
      <w:r w:rsidRPr="006A21F9">
        <w:rPr>
          <w:lang w:val="ru-RU"/>
        </w:rPr>
        <w:t xml:space="preserve"> 还是现代的</w:t>
      </w:r>
      <w:r>
        <w:rPr>
          <w:rStyle w:val="FootnoteReference"/>
        </w:rPr>
        <w:footnoteReference w:id="1170"/>
      </w:r>
      <w:r w:rsidRPr="006A21F9">
        <w:rPr>
          <w:lang w:val="ru-RU"/>
        </w:rPr>
        <w:t xml:space="preserve"> ，尤其是那些主张基督根本不临在于圣体圣事中的改革派，他们宣称，即使在祝圣之后，饼和酒仍然只是普通的饼和酒， 而仅作为基督圣体圣血的象征、形象或标记；因为当我们领受这些饼和酒时，我们是在内心以属灵的方式，通过信仰与基督的圣体圣血结合，将其作为属灵的食物。</w:t>
      </w:r>
      <w:r>
        <w:rPr>
          <w:rStyle w:val="FootnoteReference"/>
        </w:rPr>
        <w:footnoteReference w:id="1171"/>
      </w:r>
      <w:r w:rsidRPr="006A21F9">
        <w:rPr>
          <w:lang w:val="ru-RU"/>
        </w:rPr>
        <w:t xml:space="preserve"> 临在的模式，即通过将饼和酒转化或实质化为主的身体和宝血：——这与路德派的种种争论相悖，他们声称基督虽然确实临在于圣餐礼中，但仅是通过渗透饼和酒（reg </w:t>
      </w:r>
      <w:r w:rsidRPr="001E4083">
        <w:t>impanationem</w:t>
      </w:r>
      <w:r w:rsidRPr="006A21F9">
        <w:rPr>
          <w:lang w:val="ru-RU"/>
        </w:rPr>
        <w:t xml:space="preserve">）， 并保持其完全不变的本质，以及祂的身体和宝血与之不可见地共存（reg </w:t>
      </w:r>
      <w:r w:rsidRPr="001E4083">
        <w:t>consubstantiationem</w:t>
      </w:r>
      <w:r w:rsidRPr="006A21F9">
        <w:rPr>
          <w:lang w:val="ru-RU"/>
        </w:rPr>
        <w:t>），</w:t>
      </w:r>
      <w:r>
        <w:rPr>
          <w:rStyle w:val="FootnoteReference"/>
        </w:rPr>
        <w:footnoteReference w:id="1172"/>
      </w:r>
      <w:r w:rsidRPr="006A21F9">
        <w:rPr>
          <w:lang w:val="ru-RU"/>
        </w:rPr>
        <w:t xml:space="preserve"> ，而非通过将饼和酒转化（преложение）为祂的身体和宝血。</w:t>
      </w:r>
    </w:p>
    <w:p w14:paraId="36244159" w14:textId="77777777" w:rsidR="00BE1885" w:rsidRPr="006A21F9" w:rsidRDefault="00BE1885" w:rsidP="00BE1885">
      <w:pPr>
        <w:rPr>
          <w:lang w:val="ru-RU"/>
        </w:rPr>
      </w:pPr>
      <w:r w:rsidRPr="006A21F9">
        <w:rPr>
          <w:lang w:val="ru-RU"/>
        </w:rPr>
        <w:tab/>
        <w:t>东正教会关于耶稣基督在圣体圣事中真实临在的教义，无论在圣经还是在圣传中，都有不可动摇的依据。——其中包括：</w:t>
      </w:r>
    </w:p>
    <w:p w14:paraId="27EBD69D"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基督关于圣体圣事所作的应许之言（约6:27-68），这些话语必须按字面意思理解，而非任何比喻意义。</w:t>
      </w:r>
      <w:r>
        <w:rPr>
          <w:rStyle w:val="FootnoteReference"/>
        </w:rPr>
        <w:footnoteReference w:id="1173"/>
      </w:r>
      <w:r w:rsidRPr="006A21F9">
        <w:rPr>
          <w:lang w:val="ru-RU"/>
        </w:rPr>
        <w:t xml:space="preserve"> 因为：</w:t>
      </w:r>
    </w:p>
    <w:p w14:paraId="1D95125D" w14:textId="77777777" w:rsidR="00BE1885" w:rsidRPr="006A21F9" w:rsidRDefault="00BE1885" w:rsidP="00BE1885">
      <w:pPr>
        <w:ind w:firstLine="708"/>
        <w:rPr>
          <w:lang w:val="ru-RU"/>
        </w:rPr>
      </w:pPr>
      <w:r w:rsidRPr="006A21F9">
        <w:rPr>
          <w:b/>
          <w:bCs/>
          <w:lang w:val="ru-RU"/>
        </w:rPr>
        <w:t>1)</w:t>
      </w:r>
      <w:r w:rsidRPr="006A21F9">
        <w:rPr>
          <w:lang w:val="ru-RU"/>
        </w:rPr>
        <w:t xml:space="preserve"> 救主所针对的犹太人自己，便是按字面意思理解了这些话。当他们从祂口中听到：</w:t>
      </w:r>
      <w:r w:rsidRPr="003E1CEE">
        <w:rPr>
          <w:i/>
          <w:iCs/>
          <w:lang w:val="ru-RU"/>
        </w:rPr>
        <w:t>“我是从天上降下来的活粮；吃这粮的人必永远活着； “我将要赐给人的那饼，就是我的肉，我将要为世人的生命</w:t>
      </w:r>
      <w:r w:rsidRPr="006A21F9">
        <w:rPr>
          <w:lang w:val="ru-RU"/>
        </w:rPr>
        <w:t>舍去”（约6:51），他们便彼此争论，对这种奇迹的可能性感到困惑：</w:t>
      </w:r>
      <w:r w:rsidRPr="003E1CEE">
        <w:rPr>
          <w:i/>
          <w:iCs/>
          <w:lang w:val="ru-RU"/>
        </w:rPr>
        <w:t>“那时，犹太人彼此争论，说：‘他怎能把自己的肉给我们吃</w:t>
      </w:r>
      <w:r w:rsidRPr="006A21F9">
        <w:rPr>
          <w:lang w:val="ru-RU"/>
        </w:rPr>
        <w:t>呢？’”（约6:52）。 倘若犹太人没有字面地理解救主的话，他们这场争论又该作何解释呢？</w:t>
      </w:r>
    </w:p>
    <w:p w14:paraId="7AEE3EA4" w14:textId="77777777" w:rsidR="00BE1885" w:rsidRPr="006A21F9" w:rsidRDefault="00BE1885" w:rsidP="00BE1885">
      <w:pPr>
        <w:ind w:firstLine="708"/>
        <w:rPr>
          <w:lang w:val="ru-RU"/>
        </w:rPr>
      </w:pPr>
      <w:r w:rsidRPr="006A21F9">
        <w:rPr>
          <w:b/>
          <w:bCs/>
          <w:lang w:val="ru-RU"/>
        </w:rPr>
        <w:t>2)</w:t>
      </w:r>
      <w:r w:rsidRPr="006A21F9">
        <w:rPr>
          <w:lang w:val="ru-RU"/>
        </w:rPr>
        <w:t xml:space="preserve"> 救主基督不仅没有以任何方式向犹太人表明他们对祂的话语理解有误——就像祂在其他场合所做的那样 [(约 3:3-5)；(约 4:32</w:t>
      </w:r>
      <w:r w:rsidRPr="008E4436">
        <w:rPr>
          <w:lang w:val="ru-RU"/>
        </w:rPr>
        <w:t>)</w:t>
      </w:r>
      <w:r w:rsidRPr="006A21F9">
        <w:rPr>
          <w:lang w:val="ru-RU"/>
        </w:rPr>
        <w:t>；</w:t>
      </w:r>
      <w:r w:rsidRPr="006A21F9">
        <w:rPr>
          <w:rFonts w:cs="Cambria Math"/>
          <w:lang w:val="ru-RU"/>
        </w:rPr>
        <w:t xml:space="preserve"> </w:t>
      </w:r>
      <w:r w:rsidRPr="006A21F9">
        <w:rPr>
          <w:lang w:val="ru-RU"/>
        </w:rPr>
        <w:lastRenderedPageBreak/>
        <w:t>（约5:13</w:t>
      </w:r>
      <w:r w:rsidRPr="008E4436">
        <w:rPr>
          <w:lang w:val="ru-RU"/>
        </w:rPr>
        <w:t>）</w:t>
      </w:r>
      <w:r w:rsidRPr="006A21F9">
        <w:rPr>
          <w:lang w:val="ru-RU"/>
        </w:rPr>
        <w:t>；（约8:21</w:t>
      </w:r>
      <w:r w:rsidRPr="008E4436">
        <w:rPr>
          <w:lang w:val="ru-RU"/>
        </w:rPr>
        <w:t>）；</w:t>
      </w:r>
      <w:r w:rsidRPr="006A21F9">
        <w:rPr>
          <w:lang w:val="ru-RU"/>
        </w:rPr>
        <w:t>（约32:40</w:t>
      </w:r>
      <w:r w:rsidRPr="008E4436">
        <w:rPr>
          <w:lang w:val="ru-RU"/>
        </w:rPr>
        <w:t>）</w:t>
      </w:r>
      <w:r w:rsidRPr="006A21F9">
        <w:rPr>
          <w:lang w:val="ru-RU"/>
        </w:rPr>
        <w:t>；（约11:11</w:t>
      </w:r>
      <w:r w:rsidRPr="008E4436">
        <w:rPr>
          <w:lang w:val="ru-RU"/>
        </w:rPr>
        <w:t>）</w:t>
      </w:r>
      <w:r w:rsidRPr="006A21F9">
        <w:rPr>
          <w:lang w:val="ru-RU"/>
        </w:rPr>
        <w:t>；（约16:18-22）；（太16:6</w:t>
      </w:r>
      <w:r w:rsidRPr="009C4F4A">
        <w:rPr>
          <w:lang w:val="ru-RU"/>
        </w:rPr>
        <w:t>）</w:t>
      </w:r>
      <w:r w:rsidRPr="006A21F9">
        <w:rPr>
          <w:lang w:val="ru-RU"/>
        </w:rPr>
        <w:t>；</w:t>
      </w:r>
      <w:r w:rsidRPr="006A21F9">
        <w:rPr>
          <w:rFonts w:cs="Cambria Math"/>
          <w:lang w:val="ru-RU"/>
        </w:rPr>
        <w:t xml:space="preserve"> </w:t>
      </w:r>
      <w:r w:rsidRPr="006A21F9">
        <w:rPr>
          <w:lang w:val="ru-RU"/>
        </w:rPr>
        <w:t>（太19:24）]；相反，祂反而以更大的力量和更明确的措辞，继续沿着同样的思路讲道：</w:t>
      </w:r>
      <w:r w:rsidRPr="006A21F9">
        <w:rPr>
          <w:i/>
          <w:iCs/>
          <w:lang w:val="ru-RU"/>
        </w:rPr>
        <w:t>我实实在在地告诉你们：你们若不吃人子的肉，不喝祂的血，就没有生命在你们里面。 吃我肉、喝我血的人就有永生，我将在末日使他复活</w:t>
      </w:r>
      <w:r w:rsidRPr="006A21F9">
        <w:rPr>
          <w:lang w:val="ru-RU"/>
        </w:rPr>
        <w:t>。</w:t>
      </w:r>
      <w:r w:rsidRPr="006A21F9">
        <w:rPr>
          <w:i/>
          <w:iCs/>
          <w:lang w:val="ru-RU"/>
        </w:rPr>
        <w:t>因为我的肉真是可吃的，我的血真是可喝的</w:t>
      </w:r>
      <w:r w:rsidRPr="006A21F9">
        <w:rPr>
          <w:lang w:val="ru-RU"/>
        </w:rPr>
        <w:t>（约6:53-55）。</w:t>
      </w:r>
      <w:r>
        <w:rPr>
          <w:rStyle w:val="FootnoteReference"/>
        </w:rPr>
        <w:footnoteReference w:id="1174"/>
      </w:r>
      <w:r w:rsidRPr="006A21F9">
        <w:rPr>
          <w:lang w:val="ru-RU"/>
        </w:rPr>
        <w:t xml:space="preserve"> 这里特别值得注意的是：</w:t>
      </w:r>
      <w:r w:rsidRPr="006A21F9">
        <w:rPr>
          <w:b/>
          <w:bCs/>
          <w:lang w:val="ru-RU"/>
        </w:rPr>
        <w:t>a)</w:t>
      </w:r>
      <w:r w:rsidRPr="006A21F9">
        <w:rPr>
          <w:lang w:val="ru-RU"/>
        </w:rPr>
        <w:t xml:space="preserve"> 主对犹太人的回答是以“阿们”开头的， 阿们，祂通常用这句话来表明对真理最强烈、最坚定且无可辩驳的确信；</w:t>
      </w:r>
      <w:r w:rsidRPr="006A21F9">
        <w:rPr>
          <w:b/>
          <w:bCs/>
          <w:lang w:val="ru-RU"/>
        </w:rPr>
        <w:t>b)</w:t>
      </w:r>
      <w:r w:rsidRPr="006A21F9">
        <w:rPr>
          <w:lang w:val="ru-RU"/>
        </w:rPr>
        <w:t xml:space="preserve"> 祂将吃祂的肉、喝祂的血作为一条积极的诫命向人们提出，这是他们获得永生所不可或缺的：</w:t>
      </w:r>
      <w:r w:rsidRPr="006A21F9">
        <w:rPr>
          <w:i/>
          <w:iCs/>
          <w:lang w:val="ru-RU"/>
        </w:rPr>
        <w:t>若不吃人子的肉，不喝祂的血，你们里面就没有生命。 吃我肉、喝我血的人就有永生</w:t>
      </w:r>
      <w:r w:rsidRPr="006A21F9">
        <w:rPr>
          <w:lang w:val="ru-RU"/>
        </w:rPr>
        <w:t xml:space="preserve">（约6:53-54）；但这一伟大而至关重要的诫命，其性质要求它必须以简单易懂的方式表达，使所有人都能理解，因此必须按字面意思来理解； </w:t>
      </w:r>
      <w:r w:rsidRPr="006A21F9">
        <w:rPr>
          <w:b/>
          <w:bCs/>
          <w:lang w:val="ru-RU"/>
        </w:rPr>
        <w:t>c)</w:t>
      </w:r>
      <w:r w:rsidRPr="006A21F9">
        <w:rPr>
          <w:lang w:val="ru-RU"/>
        </w:rPr>
        <w:t xml:space="preserve"> 最后，这句话：</w:t>
      </w:r>
      <w:r w:rsidRPr="006A21F9">
        <w:rPr>
          <w:i/>
          <w:iCs/>
          <w:lang w:val="ru-RU"/>
        </w:rPr>
        <w:t>“我的肉真是可吃的，我的血真是可喝的</w:t>
      </w:r>
      <w:r w:rsidRPr="006A21F9">
        <w:rPr>
          <w:lang w:val="ru-RU"/>
        </w:rPr>
        <w:t>”（约6:55）。 “确实”（</w:t>
      </w:r>
      <w:r w:rsidRPr="001E4083">
        <w:t>αληθώς</w:t>
      </w:r>
      <w:r w:rsidRPr="006A21F9">
        <w:rPr>
          <w:lang w:val="ru-RU"/>
        </w:rPr>
        <w:t>）一词的添加，一方面证明了此处所谈论的对象之间存在完全的同一性，另一方面则清楚地表明，那些被救主应许“赐给他们吃自己的肉”所诱惑的犹太人，对祂的话并没有理解错误，而且祂确实应许了他们要吃祂的肉、喝祂的血。</w:t>
      </w:r>
    </w:p>
    <w:p w14:paraId="20E61703" w14:textId="77777777" w:rsidR="00BE1885" w:rsidRPr="006A21F9" w:rsidRDefault="00BE1885" w:rsidP="00BE1885">
      <w:pPr>
        <w:ind w:firstLine="708"/>
        <w:rPr>
          <w:lang w:val="ru-RU"/>
        </w:rPr>
      </w:pPr>
      <w:r w:rsidRPr="006A21F9">
        <w:rPr>
          <w:b/>
          <w:bCs/>
          <w:lang w:val="ru-RU"/>
        </w:rPr>
        <w:t>3）</w:t>
      </w:r>
      <w:r w:rsidRPr="006A21F9">
        <w:rPr>
          <w:lang w:val="ru-RU"/>
        </w:rPr>
        <w:t>当时身处犹太人中间的耶稣门徒也是这样理解这些话的，因此他们中的许多人，因“吃自己老师的肉和血”这一想法而感到震惊，便抱怨道：</w:t>
      </w:r>
      <w:r w:rsidRPr="006A21F9">
        <w:rPr>
          <w:i/>
          <w:iCs/>
          <w:lang w:val="ru-RU"/>
        </w:rPr>
        <w:t>“这话多么奇怪！谁能听得进去</w:t>
      </w:r>
      <w:r w:rsidRPr="006A21F9">
        <w:rPr>
          <w:lang w:val="ru-RU"/>
        </w:rPr>
        <w:t>呢？”（约翰福音6:60）。 主为了使他们确信这种奇妙的“吃”是可能的，便指出了另一个神迹——祂将来的升天；祂只在极少数情况下提及此事，以此作为祂在教导中神圣权能以及祂所传讲之道真实性的最有力证明[(约1:50-51)； （太26:13-64）]。</w:t>
      </w:r>
      <w:r w:rsidRPr="006A21F9">
        <w:rPr>
          <w:i/>
          <w:iCs/>
          <w:lang w:val="ru-RU"/>
        </w:rPr>
        <w:t>耶稣深知门徒对此心怀不满，便对他们说：“这使你们绊倒了吗？那么，若你们看见人子升到祂原先所在之处，又当如何呢</w:t>
      </w:r>
      <w:r w:rsidRPr="006A21F9">
        <w:rPr>
          <w:lang w:val="ru-RU"/>
        </w:rPr>
        <w:t>（约6:61-62）？”</w:t>
      </w:r>
    </w:p>
    <w:p w14:paraId="360D8444" w14:textId="77777777" w:rsidR="00BE1885" w:rsidRPr="006A21F9" w:rsidRDefault="00BE1885" w:rsidP="00BE1885">
      <w:pPr>
        <w:ind w:firstLine="708"/>
        <w:rPr>
          <w:lang w:val="ru-RU"/>
        </w:rPr>
      </w:pPr>
      <w:r w:rsidRPr="006A21F9">
        <w:rPr>
          <w:b/>
          <w:bCs/>
          <w:lang w:val="ru-RU"/>
        </w:rPr>
        <w:t>4)</w:t>
      </w:r>
      <w:r w:rsidRPr="006A21F9">
        <w:rPr>
          <w:lang w:val="ru-RU"/>
        </w:rPr>
        <w:t xml:space="preserve"> 所有古代教会教师——亚历山大的克利门特、特土良、基普里安、凯撒利亚的优西比乌、</w:t>
      </w:r>
      <w:r>
        <w:rPr>
          <w:rStyle w:val="FootnoteReference"/>
        </w:rPr>
        <w:footnoteReference w:id="1175"/>
      </w:r>
      <w:r w:rsidRPr="006A21F9">
        <w:rPr>
          <w:lang w:val="ru-RU"/>
        </w:rPr>
        <w:t xml:space="preserve"> ——也都从字面意义上理解了基督关于圣体圣事之奥秘的应许之言 尼西亚的格里高利、大瓦西里、金口若望、埃皮法尼乌斯、马卡里乌斯、</w:t>
      </w:r>
      <w:r>
        <w:rPr>
          <w:rStyle w:val="FootnoteReference"/>
        </w:rPr>
        <w:footnoteReference w:id="1176"/>
      </w:r>
      <w:r w:rsidRPr="006A21F9">
        <w:rPr>
          <w:lang w:val="ru-RU"/>
        </w:rPr>
        <w:t xml:space="preserve"> 安布罗斯、亚历山大的西里尔、奥古斯丁、狄奥多里特、耶路撒冷的莱昂提乌斯、大马士革的若望等人，</w:t>
      </w:r>
      <w:r>
        <w:rPr>
          <w:rStyle w:val="FootnoteReference"/>
        </w:rPr>
        <w:footnoteReference w:id="1177"/>
      </w:r>
      <w:r w:rsidRPr="006A21F9">
        <w:rPr>
          <w:lang w:val="ru-RU"/>
        </w:rPr>
        <w:t xml:space="preserve"> 以及整个普世大公会议：以弗所大公会议和</w:t>
      </w:r>
      <w:r w:rsidRPr="001E4083">
        <w:t>第二次</w:t>
      </w:r>
      <w:r w:rsidRPr="006A21F9">
        <w:rPr>
          <w:lang w:val="ru-RU"/>
        </w:rPr>
        <w:t>君士坦丁堡大公会议。</w:t>
      </w:r>
      <w:r>
        <w:rPr>
          <w:rStyle w:val="FootnoteReference"/>
        </w:rPr>
        <w:footnoteReference w:id="1178"/>
      </w:r>
    </w:p>
    <w:p w14:paraId="3F97E4B1" w14:textId="77777777" w:rsidR="00BE1885" w:rsidRPr="006A21F9" w:rsidRDefault="00BE1885" w:rsidP="00BE1885">
      <w:pPr>
        <w:ind w:firstLine="708"/>
        <w:rPr>
          <w:lang w:val="ru-RU"/>
        </w:rPr>
      </w:pPr>
      <w:r w:rsidRPr="006A21F9">
        <w:rPr>
          <w:b/>
          <w:bCs/>
          <w:lang w:val="ru-RU"/>
        </w:rPr>
        <w:lastRenderedPageBreak/>
        <w:t>5)</w:t>
      </w:r>
      <w:r w:rsidRPr="006A21F9">
        <w:rPr>
          <w:lang w:val="ru-RU"/>
        </w:rPr>
        <w:t xml:space="preserve"> 短语“吃肉”，当其以比喻意义使用时，在圣经语言中始终且无一例外地表示：“给他人造成巨大的伤害，施加残酷的侮辱，尤其是 诽谤和中伤” [(诗篇 26:2)；(约伯记 19:22)； (弥迦书 3:3)；(加拉太书 5:15)]，除此之外别无其他含义。因此，如果将基督关于圣体圣事应许的话语理解为比喻意义，那么它们将意味着：吃我肉的，即给我造成最大伤害的人，必得永生！ 反之：若不吃人子之肉，即若不对他施加残酷的侮辱、诽谤并贬低他，你们便没有生命在自己里面！……谁能不对此类思想组合感到厌恶呢？</w:t>
      </w:r>
    </w:p>
    <w:p w14:paraId="412D38C9" w14:textId="77777777" w:rsidR="00BE1885" w:rsidRPr="006A21F9" w:rsidRDefault="00BE1885" w:rsidP="00BE1885">
      <w:pPr>
        <w:ind w:firstLine="708"/>
        <w:rPr>
          <w:lang w:val="ru-RU"/>
        </w:rPr>
      </w:pPr>
      <w:r w:rsidRPr="006A21F9">
        <w:rPr>
          <w:b/>
          <w:bCs/>
          <w:lang w:val="ru-RU"/>
        </w:rPr>
        <w:t>6)</w:t>
      </w:r>
      <w:r w:rsidRPr="006A21F9">
        <w:rPr>
          <w:lang w:val="ru-RU"/>
        </w:rPr>
        <w:t xml:space="preserve"> 若将基督的这些话理解为比喻，并像新教徒那样断言，当时主与犹太人交谈的其实是“关于祂的属灵滋养以及通过信仰与祂联合” 最终也是不公正的，因为基督在此向听众讲述的是一种他们从未品尝过的全新食物，并应许将来会赐予他们：</w:t>
      </w:r>
      <w:r w:rsidRPr="006A21F9">
        <w:rPr>
          <w:i/>
          <w:iCs/>
          <w:lang w:val="ru-RU"/>
        </w:rPr>
        <w:t>‘我所要赐的粮，就是我的肉，我将这肉赐给世人，为要使世人得生命</w:t>
      </w:r>
      <w:r w:rsidRPr="006A21F9">
        <w:rPr>
          <w:lang w:val="ru-RU"/>
        </w:rPr>
        <w:t>。’（约6:51） 而当时在主听众之中，不仅有十二门徒，还有许多其他人（约6:60-67），他们因此已经信了祂，并借着信心已经与祂在灵里合而为一。</w:t>
      </w:r>
    </w:p>
    <w:p w14:paraId="7EE852BA" w14:textId="77777777" w:rsidR="00BE1885" w:rsidRPr="006A21F9" w:rsidRDefault="00BE1885" w:rsidP="00BE1885">
      <w:pPr>
        <w:rPr>
          <w:lang w:val="ru-RU"/>
        </w:rPr>
      </w:pPr>
      <w:r w:rsidRPr="006A21F9">
        <w:rPr>
          <w:lang w:val="ru-RU"/>
        </w:rPr>
        <w:tab/>
      </w:r>
      <w:r w:rsidRPr="001E4083">
        <w:rPr>
          <w:b/>
          <w:bCs/>
        </w:rPr>
        <w:t>一</w:t>
      </w:r>
      <w:r w:rsidRPr="006A21F9">
        <w:rPr>
          <w:lang w:val="ru-RU"/>
        </w:rPr>
        <w:t xml:space="preserve">、马太、马可和路加三位福音书作者关于设立圣餐礼的记载。他们都见证说，主耶稣在最后的晚餐上，拿起饼，祝谢了，掰开，分给门徒，说： </w:t>
      </w:r>
      <w:r w:rsidRPr="006A21F9">
        <w:rPr>
          <w:i/>
          <w:iCs/>
          <w:lang w:val="ru-RU"/>
        </w:rPr>
        <w:t>“你们领受，吃吧：这是我的身体，为你们而舍的；你们要如此行</w:t>
      </w:r>
      <w:r w:rsidRPr="006A21F9">
        <w:rPr>
          <w:lang w:val="ru-RU"/>
        </w:rPr>
        <w:t>，</w:t>
      </w:r>
      <w:r w:rsidRPr="006A21F9">
        <w:rPr>
          <w:i/>
          <w:iCs/>
          <w:lang w:val="ru-RU"/>
        </w:rPr>
        <w:t>为的是纪念我</w:t>
      </w:r>
      <w:r w:rsidRPr="006A21F9">
        <w:rPr>
          <w:lang w:val="ru-RU"/>
        </w:rPr>
        <w:t>。”他又拿起盛着酒的杯，向神献上感谢，递给门徒，说</w:t>
      </w:r>
      <w:r w:rsidRPr="006A21F9">
        <w:rPr>
          <w:i/>
          <w:iCs/>
          <w:lang w:val="ru-RU"/>
        </w:rPr>
        <w:t>：“你们都要喝这个，因为这是我立新约的血，为许多人流出来，使罪得赦免</w:t>
      </w:r>
      <w:r w:rsidRPr="006A21F9">
        <w:rPr>
          <w:lang w:val="ru-RU"/>
        </w:rPr>
        <w:t>[（太26:26）；（可14:22）；（路22:19）]。 在此偏离救主话语的字面含义——祂在其中如此清晰地见证：在圣餐礼中，以饼和酒的外形所赐下的正是祂真实的身体和真实的宝血——是毫无根据的；相反，一切都要求我们按字面意思来理解。而且——</w:t>
      </w:r>
    </w:p>
    <w:p w14:paraId="31BAB65D" w14:textId="77777777" w:rsidR="00BE1885" w:rsidRPr="006A21F9" w:rsidRDefault="00BE1885" w:rsidP="00BE1885">
      <w:pPr>
        <w:ind w:firstLine="708"/>
        <w:rPr>
          <w:lang w:val="ru-RU"/>
        </w:rPr>
      </w:pPr>
      <w:r w:rsidRPr="006A21F9">
        <w:rPr>
          <w:b/>
          <w:bCs/>
          <w:lang w:val="ru-RU"/>
        </w:rPr>
        <w:t>1)</w:t>
      </w:r>
      <w:r w:rsidRPr="006A21F9">
        <w:rPr>
          <w:lang w:val="ru-RU"/>
        </w:rPr>
        <w:t xml:space="preserve"> 救主本人的尊严。若认同自由思想家们的观点，认为主对门徒说：“这是我的身体……，这是我的血……”时，其实想表达的是：“这是我身体的象征或标志，这是我血液的象征”， 这岂不是同时承认，祂因表达不准确而误导了使徒们，并借由他们误导了整个教会？正如我们将看到的，教会始终将上述话语理解为直接、字面上的含义，因此始终在圣体圣事中看见主真实的身体和真实的宝血，而绝非祂身体和宝血的象征？</w:t>
      </w:r>
    </w:p>
    <w:p w14:paraId="62F2CCF3" w14:textId="77777777" w:rsidR="00BE1885" w:rsidRPr="006A21F9" w:rsidRDefault="00BE1885" w:rsidP="00BE1885">
      <w:pPr>
        <w:ind w:firstLine="708"/>
        <w:rPr>
          <w:lang w:val="ru-RU"/>
        </w:rPr>
      </w:pPr>
      <w:r w:rsidRPr="006A21F9">
        <w:rPr>
          <w:b/>
          <w:bCs/>
          <w:lang w:val="ru-RU"/>
        </w:rPr>
        <w:t>2）</w:t>
      </w:r>
      <w:r w:rsidRPr="006A21F9">
        <w:rPr>
          <w:lang w:val="ru-RU"/>
        </w:rPr>
        <w:t>基督说出这些话时的背景。祂是在一些被拣选的门徒面前说的，这些门徒有幸从祂那里听到：</w:t>
      </w:r>
      <w:r w:rsidRPr="006A21F9">
        <w:rPr>
          <w:i/>
          <w:iCs/>
          <w:lang w:val="ru-RU"/>
        </w:rPr>
        <w:t>“你们是我的朋友</w:t>
      </w:r>
      <w:r w:rsidRPr="006A21F9">
        <w:rPr>
          <w:lang w:val="ru-RU"/>
        </w:rPr>
        <w:t>”（约15:14-15）； 当时，据门徒们自己的回忆，祂已不再用比喻与他们交谈，而是直言不讳（约翰福音16:29）；这些话是在祂受难与死亡前的最后时刻说的。 然而，若说向朋友敞开心扉、在他们面前直言不讳本是人之常情，那么在临终之际更是如此。</w:t>
      </w:r>
    </w:p>
    <w:p w14:paraId="17AD64D7" w14:textId="77777777" w:rsidR="00BE1885" w:rsidRPr="006A21F9" w:rsidRDefault="00BE1885" w:rsidP="00BE1885">
      <w:pPr>
        <w:ind w:firstLine="708"/>
        <w:rPr>
          <w:lang w:val="ru-RU"/>
        </w:rPr>
      </w:pPr>
      <w:r w:rsidRPr="006A21F9">
        <w:rPr>
          <w:b/>
          <w:bCs/>
          <w:lang w:val="ru-RU"/>
        </w:rPr>
        <w:t>3)</w:t>
      </w:r>
      <w:r w:rsidRPr="006A21F9">
        <w:rPr>
          <w:lang w:val="ru-RU"/>
        </w:rPr>
        <w:t xml:space="preserve"> 圣餐的意义。主设立圣餐时，确立了新约中最伟大的圣礼，并吩咐世世代代都要如此行（路加福音 22:19-20）。 然而，无论是这一对我们的得救至关重要的圣礼的重要性，还是盟约或遗嘱的性质，抑或是诫命的性质，都同样要求在此必须使用最清晰、最明确的言辞，以免在这如此重大的事务中引发任何误解或欺骗。</w:t>
      </w:r>
    </w:p>
    <w:p w14:paraId="7202486C" w14:textId="77777777" w:rsidR="00BE1885" w:rsidRPr="006A21F9" w:rsidRDefault="00BE1885" w:rsidP="00BE1885">
      <w:pPr>
        <w:ind w:firstLine="708"/>
        <w:rPr>
          <w:lang w:val="ru-RU"/>
        </w:rPr>
      </w:pPr>
      <w:r w:rsidRPr="006A21F9">
        <w:rPr>
          <w:b/>
          <w:bCs/>
          <w:lang w:val="ru-RU"/>
        </w:rPr>
        <w:t>4)</w:t>
      </w:r>
      <w:r w:rsidRPr="006A21F9">
        <w:rPr>
          <w:lang w:val="ru-RU"/>
        </w:rPr>
        <w:t xml:space="preserve"> 救主这些话语与摩西在确立旧约时所说的话之间的关系。主耶稣设立这一伟大的圣礼，作为神与新以色列之间新约的记号和凭据，在将杯递给门徒时说：“这是我立新约的血， ——正如摩西在确立上帝与以色列民之间旧约时，取了血洒在百姓身上，并说：</w:t>
      </w:r>
      <w:r w:rsidRPr="006A21F9">
        <w:rPr>
          <w:i/>
          <w:iCs/>
          <w:lang w:val="ru-RU"/>
        </w:rPr>
        <w:t>“这是上帝吩咐你们的约之血</w:t>
      </w:r>
      <w:r w:rsidRPr="006A21F9">
        <w:rPr>
          <w:lang w:val="ru-RU"/>
        </w:rPr>
        <w:t xml:space="preserve">”[(来 9:20)；(出 24:8)]。 但摩西当时无疑是倾洒了真正的公牛之血（出埃及记 </w:t>
      </w:r>
      <w:r w:rsidRPr="006A21F9">
        <w:rPr>
          <w:lang w:val="ru-RU"/>
        </w:rPr>
        <w:lastRenderedPageBreak/>
        <w:t>24:5），这预表了羔羊的赎罪之血——羔羊为世人的罪被杀在十字架的祭坛上。因此，耶稣基督也通过这约的杯，将祂真实、有效的宝血赐给了门徒。</w:t>
      </w:r>
    </w:p>
    <w:p w14:paraId="5CA139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圣使徒保罗关于圣餐的教导，他主要在《哥林多前书》的两处经文中阐述了这一教导。</w:t>
      </w:r>
    </w:p>
    <w:p w14:paraId="302948F6" w14:textId="77777777" w:rsidR="00BE1885" w:rsidRPr="006A21F9" w:rsidRDefault="00BE1885" w:rsidP="00BE1885">
      <w:pPr>
        <w:rPr>
          <w:i/>
          <w:iCs/>
          <w:lang w:val="ru-RU"/>
        </w:rPr>
      </w:pPr>
      <w:r w:rsidRPr="006A21F9">
        <w:rPr>
          <w:lang w:val="ru-RU"/>
        </w:rPr>
        <w:tab/>
        <w:t>在第一处，他告诫哥林多信徒不要与外邦人一同参加他们的偶像祭宴，他说：</w:t>
      </w:r>
      <w:r w:rsidRPr="006A21F9">
        <w:rPr>
          <w:i/>
          <w:iCs/>
          <w:lang w:val="ru-RU"/>
        </w:rPr>
        <w:t>“所以，我亲爱的弟兄们，要逃避拜偶像的事。我这样对你们说，是凭着你们的判断力；你们自己要判断我所说的话。” 我们所祝福的杯，岂不是领受基督的血吗？我们所掰开的饼，岂不是领受基督的身体吗？这一个饼，我们虽多，却是一个身体；因为我们都从这一个饼领受……外邦人所献的祭，是献给鬼魔，不是献给神。 但我不愿你们与邪灵有份。</w:t>
      </w:r>
    </w:p>
    <w:p w14:paraId="3AE0D970" w14:textId="77777777" w:rsidR="00BE1885" w:rsidRPr="006A21F9" w:rsidRDefault="00BE1885" w:rsidP="00BE1885">
      <w:pPr>
        <w:rPr>
          <w:lang w:val="ru-RU"/>
        </w:rPr>
      </w:pPr>
      <w:r w:rsidRPr="006A21F9">
        <w:rPr>
          <w:i/>
          <w:iCs/>
          <w:lang w:val="ru-RU"/>
        </w:rPr>
        <w:t xml:space="preserve">你们不能既喝主的杯，又喝鬼魔的杯；不能既参与主的筵席，又参与鬼魔的筵席 </w:t>
      </w:r>
      <w:r w:rsidRPr="009C4F4A">
        <w:rPr>
          <w:lang w:val="ru-RU"/>
        </w:rPr>
        <w:t>[</w:t>
      </w:r>
      <w:r w:rsidRPr="006A21F9">
        <w:rPr>
          <w:lang w:val="ru-RU"/>
        </w:rPr>
        <w:t>(林前 10:14-17</w:t>
      </w:r>
      <w:r w:rsidRPr="009C4F4A">
        <w:rPr>
          <w:lang w:val="ru-RU"/>
        </w:rPr>
        <w:t>)</w:t>
      </w:r>
      <w:r w:rsidRPr="00430F02">
        <w:rPr>
          <w:lang w:val="ru-RU"/>
        </w:rPr>
        <w:t>；</w:t>
      </w:r>
      <w:r w:rsidRPr="009C4F4A">
        <w:rPr>
          <w:rFonts w:cs="Cambria Math"/>
          <w:lang w:val="ru-RU"/>
        </w:rPr>
        <w:t>(</w:t>
      </w:r>
      <w:r w:rsidRPr="006A21F9">
        <w:rPr>
          <w:lang w:val="ru-RU"/>
        </w:rPr>
        <w:t>林前 20-21)</w:t>
      </w:r>
      <w:r w:rsidRPr="009C4F4A">
        <w:rPr>
          <w:lang w:val="ru-RU"/>
        </w:rPr>
        <w:t>]</w:t>
      </w:r>
      <w:r w:rsidRPr="006A21F9">
        <w:rPr>
          <w:lang w:val="ru-RU"/>
        </w:rPr>
        <w:t xml:space="preserve">。 显然，使徒在此向基督徒阐明了一个毋庸置疑且众所周知的事实：当他们领受主的杯时，就是领受基督的血；当他们领受主的饼或参与主的筵席时，就是领受基督的身体；同时，他呼吁他们自己作见证： </w:t>
      </w:r>
      <w:r w:rsidRPr="006A21F9">
        <w:rPr>
          <w:i/>
          <w:iCs/>
          <w:lang w:val="ru-RU"/>
        </w:rPr>
        <w:t>“我对你们这些有判断力的人说，你们自己判断我所说的话</w:t>
      </w:r>
      <w:r w:rsidRPr="006A21F9">
        <w:rPr>
          <w:lang w:val="ru-RU"/>
        </w:rPr>
        <w:t>”（《哥林多前书》10:15）。</w:t>
      </w:r>
    </w:p>
    <w:p w14:paraId="5F026FE2" w14:textId="77777777" w:rsidR="00BE1885" w:rsidRPr="006A21F9" w:rsidRDefault="00BE1885" w:rsidP="00BE1885">
      <w:pPr>
        <w:rPr>
          <w:lang w:val="ru-RU"/>
        </w:rPr>
      </w:pPr>
      <w:r w:rsidRPr="006A21F9">
        <w:rPr>
          <w:lang w:val="ru-RU"/>
        </w:rPr>
        <w:tab/>
        <w:t xml:space="preserve">其次，使徒首先转述了关于设立圣餐礼的记载，并使用了与福音书作者完全相同的措辞，因此其字面含义也与福音书作者的记载完全一致。 </w:t>
      </w:r>
      <w:r w:rsidRPr="006A21F9">
        <w:rPr>
          <w:i/>
          <w:iCs/>
          <w:lang w:val="ru-RU"/>
        </w:rPr>
        <w:t>因为我从主那里领受的，也传给你们：主耶稣在被出卖的那一夜，拿起饼来，祝谢了，掰开，说：“你们领受，吃，这是我的身体，为你们所掰开的；你们要如此行，为的是纪念我。” 晚餐之后，祂又拿起杯，说：“这杯是用我的血所立的新约；你们每逢喝的时候，要如此行，为的是纪念我。</w:t>
      </w:r>
      <w:r w:rsidRPr="006A21F9">
        <w:rPr>
          <w:lang w:val="ru-RU"/>
        </w:rPr>
        <w:t>”（林前11:23-26）。 随后又补充道：</w:t>
      </w:r>
      <w:r w:rsidRPr="006A21F9">
        <w:rPr>
          <w:i/>
          <w:iCs/>
          <w:lang w:val="ru-RU"/>
        </w:rPr>
        <w:t>因此，凡不配吃这饼、喝这杯的人，就是干犯主的身体和宝血。人应当自己省察，然后才吃这饼、喝这杯。 因为人若不按理吃喝，就是吃喝自己的定罪，因为他不分辨主的身体</w:t>
      </w:r>
      <w:r w:rsidRPr="006A21F9">
        <w:rPr>
          <w:lang w:val="ru-RU"/>
        </w:rPr>
        <w:t>（林前11:27-29）。还有比这更直白、更清晰地说明，基督徒在圣餐中通过饼和酒的形体领受主的身体和宝血的吗？</w:t>
      </w:r>
    </w:p>
    <w:p w14:paraId="7B8B14E7"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自使徒时代以来，圣父们和教会导师们关于圣体圣事的神学教导。例如：</w:t>
      </w:r>
    </w:p>
    <w:p w14:paraId="21ADE006" w14:textId="77777777" w:rsidR="00BE1885" w:rsidRPr="006A21F9" w:rsidRDefault="00BE1885" w:rsidP="00BE1885">
      <w:pPr>
        <w:rPr>
          <w:lang w:val="ru-RU"/>
        </w:rPr>
      </w:pPr>
      <w:r w:rsidRPr="006A21F9">
        <w:rPr>
          <w:lang w:val="ru-RU"/>
        </w:rPr>
        <w:tab/>
        <w:t>圣伊格纳提乌斯·神载者：“他们（多基特派）远离圣体圣事和祈祷，不承认圣体圣事就是我们救主耶稣基督的肉身——这肉身曾为我们的罪受苦，并因天父的仁慈而复活。”</w:t>
      </w:r>
      <w:r>
        <w:rPr>
          <w:rStyle w:val="FootnoteReference"/>
        </w:rPr>
        <w:footnoteReference w:id="1179"/>
      </w:r>
    </w:p>
    <w:p w14:paraId="267814A2" w14:textId="77777777" w:rsidR="00BE1885" w:rsidRPr="006A21F9" w:rsidRDefault="00BE1885" w:rsidP="00BE1885">
      <w:pPr>
        <w:rPr>
          <w:lang w:val="ru-RU"/>
        </w:rPr>
      </w:pPr>
      <w:r w:rsidRPr="006A21F9">
        <w:rPr>
          <w:lang w:val="ru-RU"/>
        </w:rPr>
        <w:tab/>
        <w:t>圣殉道者尤斯丁：“我们领受这圣体，并非作为普通的饼，也非作为普通的饮料：正如我们的救主耶稣基督借着上帝的道道成肉身，为了我们的救赎而拥有了血肉之躯，同样地， 我们被教导：这经祂的圣言以感恩祷文祝圣的食物，在转化后滋养我们的血肉，正是那位道成肉身的耶稣基督的血肉。”</w:t>
      </w:r>
      <w:r>
        <w:rPr>
          <w:rStyle w:val="FootnoteReference"/>
        </w:rPr>
        <w:footnoteReference w:id="1180"/>
      </w:r>
    </w:p>
    <w:p w14:paraId="67BC4525" w14:textId="77777777" w:rsidR="00BE1885" w:rsidRPr="006A21F9" w:rsidRDefault="00BE1885" w:rsidP="00BE1885">
      <w:pPr>
        <w:rPr>
          <w:lang w:val="ru-RU"/>
        </w:rPr>
      </w:pPr>
      <w:r w:rsidRPr="006A21F9">
        <w:rPr>
          <w:lang w:val="ru-RU"/>
        </w:rPr>
        <w:tab/>
        <w:t>圣爱任纽：“他们（异端分子）若不承认祂是世界造物主的儿子，又怎能承认那经由感恩祈祷所祝圣的面饼是主的身体，这圣杯是祂的宝血呢？”</w:t>
      </w:r>
      <w:r>
        <w:rPr>
          <w:rStyle w:val="FootnoteReference"/>
        </w:rPr>
        <w:footnoteReference w:id="1181"/>
      </w:r>
      <w:r w:rsidRPr="006A21F9">
        <w:rPr>
          <w:lang w:val="ru-RU"/>
        </w:rPr>
        <w:t xml:space="preserve"> “倘若那掺入酒的圣杯和预备好的圣饼都领受了上帝的道，并成为基督身体与宝血的圣体圣血，借此滋养并维系我们肉身的存有；那么，他们又怎能说，那以主的身体和宝血为食、并作为祂肢体的肉体，却不能分享上帝所赐的永生呢？”</w:t>
      </w:r>
      <w:r>
        <w:rPr>
          <w:rStyle w:val="FootnoteReference"/>
        </w:rPr>
        <w:footnoteReference w:id="1182"/>
      </w:r>
    </w:p>
    <w:p w14:paraId="3CB5826B" w14:textId="77777777" w:rsidR="00BE1885" w:rsidRPr="006A21F9" w:rsidRDefault="00BE1885" w:rsidP="00BE1885">
      <w:pPr>
        <w:rPr>
          <w:lang w:val="ru-RU"/>
        </w:rPr>
      </w:pPr>
      <w:r w:rsidRPr="006A21F9">
        <w:rPr>
          <w:lang w:val="ru-RU"/>
        </w:rPr>
        <w:lastRenderedPageBreak/>
        <w:tab/>
        <w:t>马卡里亚·马格尼斯，耶路撒冷长老（†266）：“（在圣体圣事中）并非如某些被蒙蔽者所宣称的那样，只是身体和血液的象征，而是确实是基督的身体和血液。”</w:t>
      </w:r>
      <w:r>
        <w:rPr>
          <w:rStyle w:val="FootnoteReference"/>
        </w:rPr>
        <w:footnoteReference w:id="1183"/>
      </w:r>
    </w:p>
    <w:p w14:paraId="1A5924E1" w14:textId="77777777" w:rsidR="00BE1885" w:rsidRPr="006A21F9" w:rsidRDefault="00BE1885" w:rsidP="00BE1885">
      <w:pPr>
        <w:rPr>
          <w:lang w:val="ru-RU"/>
        </w:rPr>
      </w:pPr>
      <w:r w:rsidRPr="006A21F9">
        <w:rPr>
          <w:lang w:val="ru-RU"/>
        </w:rPr>
        <w:tab/>
        <w:t>圣基里尔·耶路撒冷：“当基督亲自宣告并论及那饼时说：‘这是我的身体’；此后，还有谁敢不信呢？ 当祂亲自保证并指着杯说：‘这是我的血’时，谁 ，竟敢怀疑并说这不是祂的血呢？祂曾在加利利的迦拿将水变为酒（约2:1-10），那酒与血相似；既然祂能将酒变为血，难道不值得我们相信吗？ 既然祂受邀参加世俗的婚宴时，尚且行了这极美的神迹；那么，作为“新郎之子”（马太福音 9:15），将自己的身体和宝血赐予我们享用，岂不更值得我们信靠并予以承认吗？因此，我们应当满怀确信地领受这圣餐，将其视为基督的身体和宝血。 因为以饼的形像赐予你的是基督的身体，以酒的形像赐予你的是基督的宝血，使你藉着领受基督的身体和宝血，与祂在身体和宝血上合而为一。因为当祂的身体和宝血传入我们的肢体时，我们便成了基督的承载者。 正如蒙福的彼得所言，我们便成了</w:t>
      </w:r>
      <w:r w:rsidRPr="006A21F9">
        <w:rPr>
          <w:i/>
          <w:iCs/>
          <w:lang w:val="ru-RU"/>
        </w:rPr>
        <w:t>神性的参与者</w:t>
      </w:r>
      <w:r w:rsidRPr="006A21F9">
        <w:rPr>
          <w:lang w:val="ru-RU"/>
        </w:rPr>
        <w:t>（彼得后书 1:4）……因此，（在圣餐中）不要将饼和酒视为普通之物：因为根据主的话语，它们就是基督的身体和宝血。虽然你的感官向你呈现的是这些，但愿你的信心能坚固你。 不要凭口味来论断此事，而要凭着毫无疑问的信心确知，你已蒙恩领受了基督的圣体和圣血。”</w:t>
      </w:r>
      <w:r>
        <w:rPr>
          <w:rStyle w:val="FootnoteReference"/>
        </w:rPr>
        <w:footnoteReference w:id="1184"/>
      </w:r>
    </w:p>
    <w:p w14:paraId="68E895B1" w14:textId="77777777" w:rsidR="00BE1885" w:rsidRPr="006A21F9" w:rsidRDefault="00BE1885" w:rsidP="00BE1885">
      <w:pPr>
        <w:rPr>
          <w:lang w:val="ru-RU"/>
        </w:rPr>
      </w:pPr>
      <w:r w:rsidRPr="006A21F9">
        <w:rPr>
          <w:lang w:val="ru-RU"/>
        </w:rPr>
        <w:tab/>
        <w:t>圣约翰·金口： “如今有多少人说：‘我多么希望能看见基督的面容、形象、衣裳和鞋履！’看哪，你（在圣体圣事中）看见了祂，触摸了祂，品尝了祂。 你渴望看见祂的衣裳；而祂不仅让你看见祂自己，更让你触摸祂、品尝祂，并将祂领入体内。因此，无人应心不在焉地领受，无人应心志软弱地领受，而所有人都应怀着炽热的爱，以热忱的虔诚和振奋的精神去领受。 为何必须时刻警醒？因为那些不配领受圣体的人，将面临不小的惩罚。想想看，你对那背叛者以及那些钉死基督的人是多么愤慨。因此，要小心，免得你也成为得罪基督圣体圣血的罪人。 他们曾将至圣的身体处死；而你在蒙受如此多恩惠之后，却以不洁的灵魂领受它。因为祂不仅降世为人、受鞭打、被处死，这还不够；祂更将自己赐予我们，不仅借着信心，更借着实际行动使我们成为祂的身体。 享用这圣餐的人，该是何等纯洁！那捣碎这圣肉的手、那被圣灵之火充满的嘴唇、那被神圣之血染红的舌头，该比所有的阳光还要纯洁！想想看，你蒙受了何等大的荣耀？你享用的是何等圣餐？ 天使们因这从这里发出的光芒而战战兢兢地凝视，甚至不敢毫无畏惧地注视，而我们却以此为食，与之相通，并与基督合而为一，成为同一个身体、同一副血肉。谁能述说主的作为，谁能使祂的一切赞美被传扬（诗篇105:2）？ 有哪位牧人会用自己的肢体来哺育羊群？不，我何必说“牧人”呢？常有这样的母亲，将初生的婴孩交给别的乳母哺育。但基督却不允许这样。祂用自己的宝血哺育我们，并借此将我们与祂联合在一起。”</w:t>
      </w:r>
      <w:r>
        <w:rPr>
          <w:rStyle w:val="FootnoteReference"/>
        </w:rPr>
        <w:footnoteReference w:id="1185"/>
      </w:r>
    </w:p>
    <w:p w14:paraId="3DC38BDB" w14:textId="77777777" w:rsidR="00BE1885" w:rsidRPr="006A21F9" w:rsidRDefault="00BE1885" w:rsidP="00BE1885">
      <w:pPr>
        <w:rPr>
          <w:lang w:val="ru-RU"/>
        </w:rPr>
      </w:pPr>
      <w:r w:rsidRPr="006A21F9">
        <w:rPr>
          <w:lang w:val="ru-RU"/>
        </w:rPr>
        <w:lastRenderedPageBreak/>
        <w:tab/>
        <w:t>圣安布罗斯：“我们所领受的这圣体，正是源自童贞女：既然主自己超乎自然地由童贞女所生，你为何还要在此询问基督圣体中自然的秩序？被钉十字架、被埋葬的，确是基督真实的肉身；因此，这确实就是那肉身的奥秘。”</w:t>
      </w:r>
      <w:r>
        <w:rPr>
          <w:rStyle w:val="FootnoteReference"/>
        </w:rPr>
        <w:footnoteReference w:id="1186"/>
      </w:r>
    </w:p>
    <w:p w14:paraId="11D92142" w14:textId="77777777" w:rsidR="00BE1885" w:rsidRPr="006A21F9" w:rsidRDefault="00BE1885" w:rsidP="00BE1885">
      <w:pPr>
        <w:rPr>
          <w:lang w:val="ru-RU"/>
        </w:rPr>
      </w:pPr>
      <w:r w:rsidRPr="006A21F9">
        <w:rPr>
          <w:lang w:val="ru-RU"/>
        </w:rPr>
        <w:tab/>
        <w:t>耶路撒冷的圣索弗罗尼乌斯：“因此，切勿有人以为这圣体圣血只是基督身体与宝血的象征（</w:t>
      </w:r>
      <w:r w:rsidRPr="001E4083">
        <w:t>αντίτυπα</w:t>
      </w:r>
      <w:r w:rsidRPr="006A21F9">
        <w:rPr>
          <w:lang w:val="ru-RU"/>
        </w:rPr>
        <w:t>），而应当坚信，所呈献的饼与酒已真实地变为基督的身体与宝血。”</w:t>
      </w:r>
      <w:r>
        <w:rPr>
          <w:rStyle w:val="FootnoteReference"/>
        </w:rPr>
        <w:footnoteReference w:id="1187"/>
      </w:r>
    </w:p>
    <w:p w14:paraId="51DDAC81" w14:textId="77777777" w:rsidR="00BE1885" w:rsidRPr="006A21F9" w:rsidRDefault="00BE1885" w:rsidP="00BE1885">
      <w:pPr>
        <w:rPr>
          <w:lang w:val="ru-RU"/>
        </w:rPr>
      </w:pPr>
      <w:r w:rsidRPr="006A21F9">
        <w:rPr>
          <w:lang w:val="ru-RU"/>
        </w:rPr>
        <w:tab/>
        <w:t>圣约翰·达马斯库斯：“难道祂（道成肉身的上帝）不能使饼成为祂的身体，使酒和水成为祂的宝血吗？ 祂在起初曾说：‘地要长出青草来’（创世记 1:11），大地在神的命令下被唤醒并得以坚固，至今仍因雨水滋润而结出果实。 同样，在这里，上帝也说：“这是我的身体；这是我的宝血；你们要如此行，为的是纪念我。”——凭着祂全能的命令，事情便是如此，并将一直持续到祂再来之时；因为经上如此记载：</w:t>
      </w:r>
      <w:r w:rsidRPr="006A21F9">
        <w:rPr>
          <w:i/>
          <w:iCs/>
          <w:lang w:val="ru-RU"/>
        </w:rPr>
        <w:t>“直到祂来</w:t>
      </w:r>
      <w:r w:rsidRPr="006A21F9">
        <w:rPr>
          <w:lang w:val="ru-RU"/>
        </w:rPr>
        <w:t>”（林前11</w:t>
      </w:r>
      <w:r w:rsidRPr="00430F02">
        <w:rPr>
          <w:lang w:val="ru-RU"/>
        </w:rPr>
        <w:t>:</w:t>
      </w:r>
      <w:r w:rsidRPr="006A21F9">
        <w:rPr>
          <w:lang w:val="ru-RU"/>
        </w:rPr>
        <w:t xml:space="preserve">26）。 而为了这一新的作为，借着呼召，圣灵那如甘霖般降临的大能便得以彰显。因为正如上帝所创造的一切，都是藉着圣灵的大能创造的；如今，那超越自然、唯有凭着信心才能领悟之事，也是藉着圣灵的大能成就的。 </w:t>
      </w:r>
      <w:r w:rsidRPr="006A21F9">
        <w:rPr>
          <w:i/>
          <w:iCs/>
          <w:lang w:val="ru-RU"/>
        </w:rPr>
        <w:t xml:space="preserve">“ </w:t>
      </w:r>
      <w:r w:rsidRPr="006A21F9">
        <w:rPr>
          <w:lang w:val="ru-RU"/>
        </w:rPr>
        <w:t>，圣母问道</w:t>
      </w:r>
      <w:r w:rsidRPr="006A21F9">
        <w:rPr>
          <w:i/>
          <w:iCs/>
          <w:lang w:val="ru-RU"/>
        </w:rPr>
        <w:t>：‘我既未曾嫁人，这事怎能成就？</w:t>
      </w:r>
      <w:r w:rsidRPr="006A21F9">
        <w:rPr>
          <w:lang w:val="ru-RU"/>
        </w:rPr>
        <w:t>’大天使加百列回答她说：</w:t>
      </w:r>
      <w:r w:rsidRPr="006A21F9">
        <w:rPr>
          <w:i/>
          <w:iCs/>
          <w:lang w:val="ru-RU"/>
        </w:rPr>
        <w:t>‘圣灵要临到你，至高者的能力必荫庇你</w:t>
      </w:r>
      <w:r w:rsidRPr="006A21F9">
        <w:rPr>
          <w:lang w:val="ru-RU"/>
        </w:rPr>
        <w:t>。’（路加福音1:34-35） 如今，如果你问：面饼是如何成为基督的身体，水和酒又是如何成为基督的宝血的？我也回答你：圣灵降临，成就了那超越言语和理解之事。 至于使用饼和酒，是因为上帝深知人的软弱——当某种事物未被日常习俗所确立时，人往往会因不习惯而对其心生抗拒。因此，上帝秉持祂一贯的宽容，通过自然界中寻常的事物，成就了超自然之事…… 既然人们通常以面包为食，以水和葡萄酒为饮，上帝便将祂的神性与这些物质结合，使它们成为祂的圣体和圣血，以便我们通过平凡而自然的事物，得以参与超自然之事。” 接着说：“面包和葡萄酒并非基督身体与宝血的象征——绝非如此！——而是主那已被神化（</w:t>
      </w:r>
      <w:r w:rsidRPr="001E4083">
        <w:t>τεθεωμένον</w:t>
      </w:r>
      <w:r w:rsidRPr="006A21F9">
        <w:rPr>
          <w:lang w:val="ru-RU"/>
        </w:rPr>
        <w:t>）的身体本身。因为主亲自说过：‘这是我的身体’，而非身体的象征；‘这是我的宝血’，而非宝血的象征…… 倘若有人将饼和酒称为主身体与宝血的‘象征’（</w:t>
      </w:r>
      <w:r w:rsidRPr="001E4083">
        <w:t>形象</w:t>
      </w:r>
      <w:r w:rsidRPr="0097554A">
        <w:rPr>
          <w:lang w:val="ru-RU"/>
        </w:rPr>
        <w:t>——</w:t>
      </w:r>
      <w:r w:rsidRPr="001E4083">
        <w:t>άντίτυπο</w:t>
      </w:r>
      <w:r w:rsidRPr="006A21F9">
        <w:rPr>
          <w:lang w:val="ru-RU"/>
        </w:rPr>
        <w:t>），例如‘神载者’巴西尔在圣礼中所述：他们如此称呼这供物（</w:t>
      </w:r>
      <w:r w:rsidRPr="001E4083">
        <w:t>προσφοράν</w:t>
      </w:r>
      <w:r w:rsidRPr="006A21F9">
        <w:rPr>
          <w:lang w:val="ru-RU"/>
        </w:rPr>
        <w:t>），并非在祝圣之后，而是在祝圣之前。”</w:t>
      </w:r>
      <w:r>
        <w:rPr>
          <w:rStyle w:val="FootnoteReference"/>
        </w:rPr>
        <w:footnoteReference w:id="1188"/>
      </w:r>
    </w:p>
    <w:p w14:paraId="402FAE4D" w14:textId="77777777" w:rsidR="00BE1885" w:rsidRPr="006A21F9" w:rsidRDefault="00BE1885" w:rsidP="00BE1885">
      <w:pPr>
        <w:rPr>
          <w:lang w:val="ru-RU"/>
        </w:rPr>
      </w:pPr>
      <w:r w:rsidRPr="006A21F9">
        <w:rPr>
          <w:lang w:val="ru-RU"/>
        </w:rPr>
        <w:tab/>
        <w:t>同样持此教导的还有：圣希波吕托、亚历山大的克利门特、 特土良、基普里安、亚历山大的狄奥尼修斯、伊拉里乌斯、尼西亚的格里高利、</w:t>
      </w:r>
      <w:r>
        <w:rPr>
          <w:rStyle w:val="FootnoteReference"/>
        </w:rPr>
        <w:footnoteReference w:id="1189"/>
      </w:r>
      <w:r w:rsidRPr="006A21F9">
        <w:rPr>
          <w:lang w:val="ru-RU"/>
        </w:rPr>
        <w:t xml:space="preserve"> </w:t>
      </w:r>
      <w:r w:rsidRPr="006A21F9">
        <w:rPr>
          <w:lang w:val="ru-RU"/>
        </w:rPr>
        <w:lastRenderedPageBreak/>
        <w:t>大瓦西里、埃皮法尼乌斯、佩鲁西奥的伊西多尔、杰罗姆、奥古斯丁、</w:t>
      </w:r>
      <w:r>
        <w:rPr>
          <w:rStyle w:val="FootnoteReference"/>
        </w:rPr>
        <w:footnoteReference w:id="1190"/>
      </w:r>
      <w:r w:rsidRPr="006A21F9">
        <w:rPr>
          <w:lang w:val="ru-RU"/>
        </w:rPr>
        <w:t xml:space="preserve"> 费奥多里特、亚历山大的西里尔、大利奥、</w:t>
      </w:r>
      <w:r>
        <w:rPr>
          <w:rStyle w:val="FootnoteReference"/>
        </w:rPr>
        <w:footnoteReference w:id="1191"/>
      </w:r>
      <w:r w:rsidRPr="006A21F9">
        <w:rPr>
          <w:lang w:val="ru-RU"/>
        </w:rPr>
        <w:t xml:space="preserve"> 费奥菲拉克特</w:t>
      </w:r>
      <w:r>
        <w:rPr>
          <w:rStyle w:val="FootnoteReference"/>
        </w:rPr>
        <w:footnoteReference w:id="1192"/>
      </w:r>
      <w:r w:rsidRPr="006A21F9">
        <w:rPr>
          <w:lang w:val="ru-RU"/>
        </w:rPr>
        <w:t xml:space="preserve"> 等人。</w:t>
      </w:r>
      <w:r>
        <w:rPr>
          <w:rStyle w:val="FootnoteReference"/>
        </w:rPr>
        <w:footnoteReference w:id="1193"/>
      </w:r>
    </w:p>
    <w:p w14:paraId="003E86DC" w14:textId="77777777" w:rsidR="00BE1885" w:rsidRPr="006A21F9" w:rsidRDefault="00BE1885" w:rsidP="00BE1885">
      <w:pPr>
        <w:rPr>
          <w:lang w:val="ru-RU"/>
        </w:rPr>
      </w:pPr>
      <w:r w:rsidRPr="006A21F9">
        <w:rPr>
          <w:lang w:val="ru-RU"/>
        </w:rPr>
        <w:tab/>
      </w:r>
      <w:r w:rsidRPr="001E4083">
        <w:rPr>
          <w:b/>
          <w:bCs/>
        </w:rPr>
        <w:t>V</w:t>
      </w:r>
      <w:r w:rsidRPr="006A21F9">
        <w:rPr>
          <w:b/>
          <w:bCs/>
          <w:lang w:val="ru-RU"/>
        </w:rPr>
        <w:t>.</w:t>
      </w:r>
      <w:r w:rsidRPr="006A21F9">
        <w:rPr>
          <w:lang w:val="ru-RU"/>
        </w:rPr>
        <w:t xml:space="preserve"> 历次大公会议关于圣体圣事的神学教义。如下：</w:t>
      </w:r>
    </w:p>
    <w:p w14:paraId="79C852F3" w14:textId="77777777" w:rsidR="00BE1885" w:rsidRPr="006A21F9" w:rsidRDefault="00BE1885" w:rsidP="00BE1885">
      <w:pPr>
        <w:rPr>
          <w:lang w:val="ru-RU"/>
        </w:rPr>
      </w:pPr>
      <w:r w:rsidRPr="006A21F9">
        <w:rPr>
          <w:lang w:val="ru-RU"/>
        </w:rPr>
        <w:tab/>
        <w:t>在第一次大公会议上，与会的神父们宣认：“在神圣的圣餐桌上，我们不应仅仅看到摆在眼前的饼和杯，而应提升心灵，凭着信心领悟：在这神圣的圣餐桌上躺着</w:t>
      </w:r>
      <w:r w:rsidRPr="006A21F9">
        <w:rPr>
          <w:i/>
          <w:iCs/>
          <w:lang w:val="ru-RU"/>
        </w:rPr>
        <w:t>上帝的羔羊，祂承担了世人的罪</w:t>
      </w:r>
      <w:r w:rsidRPr="006A21F9">
        <w:rPr>
          <w:lang w:val="ru-RU"/>
        </w:rPr>
        <w:t xml:space="preserve"> （约1:29），由司祭献为祭品；我们应当真实地领受祂神圣的圣体与圣血，并坚信这是我们复活的预兆。”</w:t>
      </w:r>
      <w:r>
        <w:rPr>
          <w:rStyle w:val="FootnoteReference"/>
        </w:rPr>
        <w:footnoteReference w:id="1194"/>
      </w:r>
    </w:p>
    <w:p w14:paraId="15233ADA" w14:textId="77777777" w:rsidR="00BE1885" w:rsidRPr="006A21F9" w:rsidRDefault="00BE1885" w:rsidP="00BE1885">
      <w:pPr>
        <w:rPr>
          <w:lang w:val="ru-RU"/>
        </w:rPr>
      </w:pPr>
      <w:r w:rsidRPr="006A21F9">
        <w:rPr>
          <w:lang w:val="ru-RU"/>
        </w:rPr>
        <w:tab/>
        <w:t>在第三次大公会议上，圣亚历山大的西里尔致涅斯托里乌斯的书信获得了一致通过和批准，该书信由整个亚历山大地方教会会议起草，其中除其他内容外还提到：“宣告上帝独生子，即 耶稣基督——的肉身之死，并宣认祂的复活与升天，我们在教堂中举行无血的献祭，从而参与蒙福的圣礼并得以成圣，领受我们所有人的救主 ——基督的圣体和宝血，并非将其视为普通的肉身——绝非如此——也非视为因尊荣的合一而被圣化并与道联合的人的肉身，而是视为道本身真正赋予生命且独有的圣体。 因为祂（耶稣基督）作为神，本性是生命；当祂与自己的肉身合而为一时，便使这肉身成为赐生命的。因此，虽然祂对我们说：“阿们， “我实在告诉你们：你们若不吃人子的肉，不喝祂的血”，然而我们不应将其视为人的肉体——那在一切方面 与我们相似的肉体（人的肉体按其本性如何能具有赐生命的能力呢？）——而应视为那位为了我们而成为并被称为“人子”之者的真正自身肉体。”</w:t>
      </w:r>
      <w:r>
        <w:rPr>
          <w:rStyle w:val="FootnoteReference"/>
        </w:rPr>
        <w:footnoteReference w:id="1195"/>
      </w:r>
    </w:p>
    <w:p w14:paraId="039587C1" w14:textId="77777777" w:rsidR="00BE1885" w:rsidRPr="006A21F9" w:rsidRDefault="00BE1885" w:rsidP="00BE1885">
      <w:pPr>
        <w:rPr>
          <w:lang w:val="ru-RU"/>
        </w:rPr>
      </w:pPr>
      <w:r w:rsidRPr="006A21F9">
        <w:rPr>
          <w:lang w:val="ru-RU"/>
        </w:rPr>
        <w:tab/>
        <w:t>第七次大公会议的教父们在谴责异端时作证道：“圣灵的号角——即圣使徒和我们尊贵的教父们——无一人将我们为纪念我们上帝的受难及其全部救赎工程而献上的无血祭，称为祂身体的形象（</w:t>
      </w:r>
      <w:r w:rsidRPr="001E4083">
        <w:t>είκονα</w:t>
      </w:r>
      <w:r w:rsidRPr="006A21F9">
        <w:rPr>
          <w:lang w:val="ru-RU"/>
        </w:rPr>
        <w:t>）。 因为他们并未从主那里领受如此说话和宣讲的教导，而是听见祂传讲福音说：‘你们若不吃人子的肉，不喝祂的血，就没有生命在你们里面’；又说：‘吃我肉、喝我血的人，就住在我里面，我也住在他里面’；还有： “你们领受，吃吧，这是我的身体……”，而没有说：“你们领受，吃吧，这是我身体的形象……”。因此很明显，无论是主、使徒，还是教父们，都从未将祭司所献的无血祭称为“形象”，而是称为“身体本身”和“宝血本身”（</w:t>
      </w:r>
      <w:r w:rsidRPr="001E4083">
        <w:t>άλλά</w:t>
      </w:r>
      <w:r w:rsidRPr="0097554A">
        <w:rPr>
          <w:lang w:val="ru-RU"/>
        </w:rPr>
        <w:t xml:space="preserve"> </w:t>
      </w:r>
      <w:r w:rsidRPr="001E4083">
        <w:t>αΰτό</w:t>
      </w:r>
      <w:r w:rsidRPr="0097554A">
        <w:rPr>
          <w:lang w:val="ru-RU"/>
        </w:rPr>
        <w:t xml:space="preserve"> </w:t>
      </w:r>
      <w:r w:rsidRPr="001E4083">
        <w:t>σώμα</w:t>
      </w:r>
      <w:r w:rsidRPr="0097554A">
        <w:rPr>
          <w:lang w:val="ru-RU"/>
        </w:rPr>
        <w:t xml:space="preserve"> </w:t>
      </w:r>
      <w:r w:rsidRPr="001E4083">
        <w:t>και</w:t>
      </w:r>
      <w:r w:rsidRPr="0097554A">
        <w:rPr>
          <w:lang w:val="ru-RU"/>
        </w:rPr>
        <w:t xml:space="preserve"> </w:t>
      </w:r>
      <w:r w:rsidRPr="001E4083">
        <w:t>αΰτό</w:t>
      </w:r>
      <w:r w:rsidRPr="0097554A">
        <w:rPr>
          <w:lang w:val="ru-RU"/>
        </w:rPr>
        <w:t xml:space="preserve"> </w:t>
      </w:r>
      <w:r w:rsidRPr="001E4083">
        <w:t>αίμα</w:t>
      </w:r>
      <w:r w:rsidRPr="006A21F9">
        <w:rPr>
          <w:lang w:val="ru-RU"/>
        </w:rPr>
        <w:t xml:space="preserve">）。 </w:t>
      </w:r>
      <w:r w:rsidRPr="006A21F9">
        <w:rPr>
          <w:lang w:val="ru-RU"/>
        </w:rPr>
        <w:lastRenderedPageBreak/>
        <w:t>虽然在祝圣仪式完成之前，某些圣父们认为将这些称为“象征”（</w:t>
      </w:r>
      <w:r w:rsidRPr="001E4083">
        <w:t>άντίτυπα</w:t>
      </w:r>
      <w:r w:rsidRPr="006A21F9">
        <w:rPr>
          <w:lang w:val="ru-RU"/>
        </w:rPr>
        <w:t>）是虔诚的；但在祝圣之后，它们就是基督的圣体和圣血，人们也是这样信奉的。”</w:t>
      </w:r>
      <w:r>
        <w:rPr>
          <w:rStyle w:val="FootnoteReference"/>
        </w:rPr>
        <w:footnoteReference w:id="1196"/>
      </w:r>
    </w:p>
    <w:p w14:paraId="1A85A054" w14:textId="77777777" w:rsidR="00BE1885" w:rsidRPr="006A21F9" w:rsidRDefault="00BE1885" w:rsidP="00BE1885">
      <w:pPr>
        <w:rPr>
          <w:lang w:val="ru-RU"/>
        </w:rPr>
      </w:pPr>
      <w:r w:rsidRPr="006A21F9">
        <w:rPr>
          <w:lang w:val="ru-RU"/>
        </w:rPr>
        <w:tab/>
      </w:r>
    </w:p>
    <w:p w14:paraId="1364663F" w14:textId="77777777" w:rsidR="00BE1885" w:rsidRPr="006A21F9" w:rsidRDefault="00BE1885" w:rsidP="00BE1885">
      <w:pPr>
        <w:pStyle w:val="Heading5"/>
        <w:rPr>
          <w:lang w:val="ru-RU"/>
        </w:rPr>
      </w:pPr>
      <w:bookmarkStart w:id="815" w:name="_Toc133142984"/>
      <w:bookmarkStart w:id="816" w:name="_Toc133166341"/>
      <w:bookmarkStart w:id="817" w:name="_Toc182221551"/>
      <w:bookmarkStart w:id="818" w:name="_Toc238453118"/>
      <w:bookmarkStart w:id="819" w:name="_Toc238453918"/>
      <w:bookmarkStart w:id="820" w:name="_Toc238576578"/>
      <w:r w:rsidRPr="006A21F9">
        <w:rPr>
          <w:bCs/>
          <w:lang w:val="ru-RU"/>
        </w:rPr>
        <w:t>§216. b)</w:t>
      </w:r>
      <w:r w:rsidRPr="006A21F9">
        <w:rPr>
          <w:lang w:val="ru-RU"/>
        </w:rPr>
        <w:t xml:space="preserve"> 耶稣基督在圣体圣事中的临在形式及其后果</w:t>
      </w:r>
      <w:bookmarkEnd w:id="815"/>
      <w:bookmarkEnd w:id="816"/>
      <w:bookmarkEnd w:id="817"/>
      <w:bookmarkEnd w:id="818"/>
      <w:bookmarkEnd w:id="819"/>
      <w:bookmarkEnd w:id="820"/>
    </w:p>
    <w:p w14:paraId="0DB34D6A" w14:textId="77777777" w:rsidR="00BE1885" w:rsidRPr="006A21F9" w:rsidRDefault="00BE1885" w:rsidP="00BE1885">
      <w:pPr>
        <w:ind w:firstLine="708"/>
        <w:rPr>
          <w:lang w:val="ru-RU"/>
        </w:rPr>
      </w:pPr>
      <w:r w:rsidRPr="006A21F9">
        <w:rPr>
          <w:lang w:val="ru-RU"/>
        </w:rPr>
        <w:t>基于迄今阐述的关于耶稣基督在圣体圣事中真实临在的教义，可以确定祂临在的具体形式及其后果。即：</w:t>
      </w:r>
    </w:p>
    <w:p w14:paraId="32AD9CC6" w14:textId="77777777" w:rsidR="00BE1885" w:rsidRPr="006A21F9" w:rsidRDefault="00BE1885" w:rsidP="00BE1885">
      <w:pPr>
        <w:rPr>
          <w:lang w:val="ru-RU"/>
        </w:rPr>
      </w:pPr>
      <w:r w:rsidRPr="006A21F9">
        <w:rPr>
          <w:lang w:val="ru-RU"/>
        </w:rPr>
        <w:tab/>
      </w:r>
      <w:r w:rsidRPr="006F72D5">
        <w:rPr>
          <w:b/>
          <w:bCs/>
        </w:rPr>
        <w:t>I</w:t>
      </w:r>
      <w:r w:rsidRPr="006F72D5">
        <w:rPr>
          <w:b/>
          <w:bCs/>
          <w:lang w:val="ru-RU"/>
        </w:rPr>
        <w:t>)</w:t>
      </w:r>
      <w:r w:rsidRPr="006A21F9">
        <w:rPr>
          <w:lang w:val="ru-RU"/>
        </w:rPr>
        <w:t xml:space="preserve"> 如我们所见，这种临在的本质在于：圣体圣事中的圣礼经祝圣后，呈献给信徒的已不再是饼和酒，而是主的真实圣体和真实圣血；这意味着， 祂在此圣事中的临在，并非像（路德派所宣扬的谬论那样）仅仅渗透于仍保持完整形态的面饼和葡萄酒之中，也并非仅仅与它们同在、在其中、在它们之下（</w:t>
      </w:r>
      <w:r w:rsidRPr="001E4083">
        <w:t>in</w:t>
      </w:r>
      <w:r w:rsidRPr="006A21F9">
        <w:rPr>
          <w:lang w:val="ru-RU"/>
        </w:rPr>
        <w:t xml:space="preserve">, </w:t>
      </w:r>
      <w:r w:rsidRPr="001E4083">
        <w:t>cum</w:t>
      </w:r>
      <w:r w:rsidRPr="006A21F9">
        <w:rPr>
          <w:lang w:val="ru-RU"/>
        </w:rPr>
        <w:t xml:space="preserve">, </w:t>
      </w:r>
      <w:r w:rsidRPr="001E4083">
        <w:t>sub</w:t>
      </w:r>
      <w:r w:rsidRPr="0097554A">
        <w:rPr>
          <w:lang w:val="ru-RU"/>
        </w:rPr>
        <w:t xml:space="preserve"> </w:t>
      </w:r>
      <w:r w:rsidRPr="001E4083">
        <w:t>pane</w:t>
      </w:r>
      <w:r w:rsidRPr="006A21F9">
        <w:rPr>
          <w:lang w:val="ru-RU"/>
        </w:rPr>
        <w:t>）与信徒同在，而是使饼和酒被转化、被实质化、被变为祂的真身体和真宝血（《正统教义》第1卷，对第56问的回答；《东方教父论正统信仰书信》第17条）。 因为若非如此，饼和酒便无法成为基督真正的身体和真正的宝血，唯有通过饼和酒本质的转化或改变，使其本质转变为基督身体和宝血的本质，即通过变质。</w:t>
      </w:r>
    </w:p>
    <w:p w14:paraId="4964136C" w14:textId="77777777" w:rsidR="00BE1885" w:rsidRPr="006A21F9" w:rsidRDefault="00BE1885" w:rsidP="00BE1885">
      <w:pPr>
        <w:ind w:firstLine="708"/>
        <w:rPr>
          <w:lang w:val="ru-RU"/>
        </w:rPr>
      </w:pPr>
      <w:r w:rsidRPr="006A21F9">
        <w:rPr>
          <w:b/>
          <w:bCs/>
          <w:lang w:val="ru-RU"/>
        </w:rPr>
        <w:t>1.</w:t>
      </w:r>
      <w:r w:rsidRPr="006A21F9">
        <w:rPr>
          <w:lang w:val="ru-RU"/>
        </w:rPr>
        <w:t xml:space="preserve"> 刚才我们所探讨的那些圣经经文，正是对这一真理的佐证。 主在论及圣体圣事时曾应许道：</w:t>
      </w:r>
      <w:r w:rsidRPr="006A21F9">
        <w:rPr>
          <w:i/>
          <w:iCs/>
          <w:lang w:val="ru-RU"/>
        </w:rPr>
        <w:t>“我是从天上降下来的活粮；人若吃这粮，就必永远活着；我所要赐的粮，就是我的肉，为世人的生命而舍的</w:t>
      </w:r>
      <w:r w:rsidRPr="006A21F9">
        <w:rPr>
          <w:lang w:val="ru-RU"/>
        </w:rPr>
        <w:t>”（约6:51）。 在设立圣体圣事时，主拿起饼说：“这是我的身体”；拿起盛有葡萄酒的杯说：“这是我的血。”圣保罗在致哥林多信徒的书信中写道：</w:t>
      </w:r>
      <w:r w:rsidRPr="006A21F9">
        <w:rPr>
          <w:i/>
          <w:iCs/>
          <w:lang w:val="ru-RU"/>
        </w:rPr>
        <w:t>“我们所祝福的这杯，岂不是领受基督的血吗？” 我们所掰开的饼，岂不是领受基督的身体吗</w:t>
      </w:r>
      <w:r w:rsidRPr="006A21F9">
        <w:rPr>
          <w:lang w:val="ru-RU"/>
        </w:rPr>
        <w:t>？（林前10:16）</w:t>
      </w:r>
      <w:r w:rsidRPr="006A21F9">
        <w:rPr>
          <w:i/>
          <w:iCs/>
          <w:lang w:val="ru-RU"/>
        </w:rPr>
        <w:t>因此，凡不配吃这饼、喝这杯的，就是干犯主的身体和宝血</w:t>
      </w:r>
      <w:r w:rsidRPr="006A21F9">
        <w:rPr>
          <w:lang w:val="ru-RU"/>
        </w:rPr>
        <w:t>。（林前11:27）</w:t>
      </w:r>
    </w:p>
    <w:p w14:paraId="1F49F89E" w14:textId="77777777" w:rsidR="00BE1885" w:rsidRPr="006A21F9" w:rsidRDefault="00BE1885" w:rsidP="00BE1885">
      <w:pPr>
        <w:rPr>
          <w:lang w:val="ru-RU"/>
        </w:rPr>
      </w:pPr>
      <w:r w:rsidRPr="006A21F9">
        <w:rPr>
          <w:lang w:val="ru-RU"/>
        </w:rPr>
        <w:tab/>
        <w:t>在所有这些经文中，都明确而直接地将饼本身称为基督的身体，将酒本身称为基督的宝血，丝毫没有表达出主的身躯是与饼一同存在、在饼之中，或是以饼为媒介而同在的意思。 不，基督说：“我将要赐给你们的饼，就是我的肉”，他说的是：“我将要赐给你们的饼，就是我的肉”；他没有说：“在这饼里，或与这饼同在，或在这饼之下，有我的身体；在这饼里有我的血”，而是说：“这就是我的身体，这就是我的血”。 但我们重申，饼和酒唯有通过转化、改变、本质转变，才能成为主的身体和宝血。</w:t>
      </w:r>
    </w:p>
    <w:p w14:paraId="73D38BD4" w14:textId="77777777" w:rsidR="00BE1885" w:rsidRPr="006A21F9" w:rsidRDefault="00BE1885" w:rsidP="00BE1885">
      <w:pPr>
        <w:ind w:firstLine="708"/>
        <w:rPr>
          <w:lang w:val="ru-RU"/>
        </w:rPr>
      </w:pPr>
      <w:r w:rsidRPr="006A21F9">
        <w:rPr>
          <w:b/>
          <w:bCs/>
          <w:lang w:val="ru-RU"/>
        </w:rPr>
        <w:t xml:space="preserve">2. </w:t>
      </w:r>
      <w:r w:rsidRPr="006A21F9">
        <w:rPr>
          <w:lang w:val="ru-RU"/>
        </w:rPr>
        <w:t>在所有古老的礼拜仪式中，从圣使徒雅各的礼拜仪式开始，不仅在东正教会中，而且在非东正教团体中，例如： 聂斯托里派、尤提基派、亚美尼亚派、叙利亚雅各派以及罗马教会，都在圣礼中包含了一段在祝圣圣礼前向天父的祈祷，祈求祂藉着圣灵将饼转化、改变、化为耶稣基督的圣体，将酒化为 祂的圣血。</w:t>
      </w:r>
      <w:r>
        <w:rPr>
          <w:rStyle w:val="FootnoteReference"/>
        </w:rPr>
        <w:footnoteReference w:id="1197"/>
      </w:r>
      <w:r w:rsidRPr="006A21F9">
        <w:rPr>
          <w:lang w:val="ru-RU"/>
        </w:rPr>
        <w:t xml:space="preserve"> 所有古代礼仪在圣体圣事这一如此重要的教义问题上所表现出的完全一致，无可辩驳地证明：这正是关于该主题的使徒传承，也是圣公会教会对此一贯持有的信仰。</w:t>
      </w:r>
    </w:p>
    <w:p w14:paraId="15A83A55" w14:textId="77777777" w:rsidR="00BE1885" w:rsidRPr="006A21F9" w:rsidRDefault="00BE1885" w:rsidP="00BE1885">
      <w:pPr>
        <w:ind w:firstLine="708"/>
        <w:rPr>
          <w:lang w:val="ru-RU"/>
        </w:rPr>
      </w:pPr>
      <w:r w:rsidRPr="006A21F9">
        <w:rPr>
          <w:b/>
          <w:bCs/>
          <w:lang w:val="ru-RU"/>
        </w:rPr>
        <w:lastRenderedPageBreak/>
        <w:t>3.</w:t>
      </w:r>
      <w:r w:rsidRPr="006A21F9">
        <w:rPr>
          <w:lang w:val="ru-RU"/>
        </w:rPr>
        <w:t xml:space="preserve"> 圣父们和教会的导师们也曾阐明，在圣体圣事中，饼和酒被转化、改变、转变、化为基督的圣体和圣血，</w:t>
      </w:r>
      <w:r>
        <w:rPr>
          <w:rStyle w:val="FootnoteReference"/>
        </w:rPr>
        <w:footnoteReference w:id="1198"/>
      </w:r>
      <w:r w:rsidRPr="006A21F9">
        <w:rPr>
          <w:lang w:val="ru-RU"/>
        </w:rPr>
        <w:t xml:space="preserve"> ，即与基督结合，成为基督的圣体和圣血。以下引文可为佐证：</w:t>
      </w:r>
    </w:p>
    <w:p w14:paraId="71D27B29" w14:textId="77777777" w:rsidR="00BE1885" w:rsidRPr="006A21F9" w:rsidRDefault="00BE1885" w:rsidP="00BE1885">
      <w:pPr>
        <w:rPr>
          <w:lang w:val="ru-RU"/>
        </w:rPr>
      </w:pPr>
      <w:r w:rsidRPr="006A21F9">
        <w:rPr>
          <w:lang w:val="ru-RU"/>
        </w:rPr>
        <w:tab/>
        <w:t>耶路撒冷的圣西里尔：“祂（基督）曾在加利利的迦拿将水化为酒（约2:1-10），这酒与血相似：那么，当酒转变（</w:t>
      </w:r>
      <w:r w:rsidRPr="001E4083">
        <w:t>μεταβαλός</w:t>
      </w:r>
      <w:r w:rsidRPr="006A21F9">
        <w:rPr>
          <w:lang w:val="ru-RU"/>
        </w:rPr>
        <w:t>）为血时，难道不值得信服吗？”</w:t>
      </w:r>
      <w:r>
        <w:rPr>
          <w:rStyle w:val="FootnoteReference"/>
        </w:rPr>
        <w:footnoteReference w:id="1199"/>
      </w:r>
      <w:r w:rsidRPr="006A21F9">
        <w:rPr>
          <w:lang w:val="ru-RU"/>
        </w:rPr>
        <w:t xml:space="preserve"> “在祝圣仪式完成后，饼便成为（</w:t>
      </w:r>
      <w:r w:rsidRPr="001E4083">
        <w:t>γίνεται</w:t>
      </w:r>
      <w:r w:rsidRPr="006A21F9">
        <w:rPr>
          <w:lang w:val="ru-RU"/>
        </w:rPr>
        <w:t>）基督的身体，酒便成为基督的宝血。”</w:t>
      </w:r>
      <w:r>
        <w:rPr>
          <w:rStyle w:val="FootnoteReference"/>
        </w:rPr>
        <w:footnoteReference w:id="1200"/>
      </w:r>
    </w:p>
    <w:p w14:paraId="32CBBB26" w14:textId="77777777" w:rsidR="00BE1885" w:rsidRPr="006A21F9" w:rsidRDefault="00BE1885" w:rsidP="00BE1885">
      <w:pPr>
        <w:rPr>
          <w:lang w:val="ru-RU"/>
        </w:rPr>
      </w:pPr>
      <w:r w:rsidRPr="006A21F9">
        <w:rPr>
          <w:lang w:val="ru-RU"/>
        </w:rPr>
        <w:tab/>
        <w:t>圣格里高利·尼撒：“我确信并坚信，如今经上帝之道所圣化的饼，也会被转化（</w:t>
      </w:r>
      <w:r w:rsidRPr="001E4083">
        <w:t>μεταποιείσθαι</w:t>
      </w:r>
      <w:r w:rsidRPr="006A21F9">
        <w:rPr>
          <w:lang w:val="ru-RU"/>
        </w:rPr>
        <w:t>）为道成肉身的上帝之体。”</w:t>
      </w:r>
      <w:r>
        <w:rPr>
          <w:rStyle w:val="FootnoteReference"/>
        </w:rPr>
        <w:footnoteReference w:id="1201"/>
      </w:r>
    </w:p>
    <w:p w14:paraId="4CD75FF8" w14:textId="77777777" w:rsidR="00BE1885" w:rsidRPr="006A21F9" w:rsidRDefault="00BE1885" w:rsidP="00BE1885">
      <w:pPr>
        <w:rPr>
          <w:lang w:val="ru-RU"/>
        </w:rPr>
      </w:pPr>
      <w:r w:rsidRPr="006A21F9">
        <w:rPr>
          <w:lang w:val="ru-RU"/>
        </w:rPr>
        <w:tab/>
        <w:t>圣安布罗斯：“每当我们领受圣礼时——这些圣礼通过神圣祈祷的奥迹被转化（</w:t>
      </w:r>
      <w:r w:rsidRPr="001E4083">
        <w:t>transfigurantur</w:t>
      </w:r>
      <w:r w:rsidRPr="006A21F9">
        <w:rPr>
          <w:lang w:val="ru-RU"/>
        </w:rPr>
        <w:t>）为肉身与宝血——我们便宣告主的受难。”</w:t>
      </w:r>
      <w:r>
        <w:rPr>
          <w:rStyle w:val="FootnoteReference"/>
        </w:rPr>
        <w:footnoteReference w:id="1202"/>
      </w:r>
      <w:r w:rsidRPr="006A21F9">
        <w:rPr>
          <w:lang w:val="ru-RU"/>
        </w:rPr>
        <w:t xml:space="preserve"> “让我们证明，这并非自然所造，而是蒙祝福所圣化，且祝福之力胜过自然之力：因为连自然本身也会因祝福而改变（</w:t>
      </w:r>
      <w:r w:rsidRPr="001E4083">
        <w:t>mutatur</w:t>
      </w:r>
      <w:r w:rsidRPr="006A21F9">
        <w:rPr>
          <w:lang w:val="ru-RU"/>
        </w:rPr>
        <w:t>）。”</w:t>
      </w:r>
      <w:r>
        <w:rPr>
          <w:rStyle w:val="FootnoteReference"/>
        </w:rPr>
        <w:footnoteReference w:id="1203"/>
      </w:r>
    </w:p>
    <w:p w14:paraId="7D898BA6" w14:textId="77777777" w:rsidR="00BE1885" w:rsidRPr="006A21F9" w:rsidRDefault="00BE1885" w:rsidP="00BE1885">
      <w:pPr>
        <w:rPr>
          <w:lang w:val="ru-RU"/>
        </w:rPr>
      </w:pPr>
      <w:r w:rsidRPr="006A21F9">
        <w:rPr>
          <w:lang w:val="ru-RU"/>
        </w:rPr>
        <w:tab/>
        <w:t>赫拉克利乌斯的狄奥多尔。“基督说：‘这是我的身体，这是我的血’，以免你以为它们仅仅是象征，而是要让你明白，饼就是主自己的身体，酒就是主的血，它们通过圣灵不可言喻的作为，被转化（</w:t>
      </w:r>
      <w:r w:rsidRPr="001E4083">
        <w:t>μεταποιούμενοι</w:t>
      </w:r>
      <w:r w:rsidRPr="006A21F9">
        <w:rPr>
          <w:lang w:val="ru-RU"/>
        </w:rPr>
        <w:t>）为我们主的血肉。”</w:t>
      </w:r>
      <w:r>
        <w:rPr>
          <w:rStyle w:val="FootnoteReference"/>
        </w:rPr>
        <w:footnoteReference w:id="1204"/>
      </w:r>
    </w:p>
    <w:p w14:paraId="20BF685A" w14:textId="77777777" w:rsidR="00BE1885" w:rsidRPr="006A21F9" w:rsidRDefault="00BE1885" w:rsidP="00BE1885">
      <w:pPr>
        <w:rPr>
          <w:lang w:val="ru-RU"/>
        </w:rPr>
      </w:pPr>
      <w:r w:rsidRPr="006A21F9">
        <w:rPr>
          <w:lang w:val="ru-RU"/>
        </w:rPr>
        <w:tab/>
        <w:t>圣约翰·达马斯库斯说：“面饼和葡萄酒本身就化作了上帝的圣体和圣血。如果你问这是如何发生的，那么你只需知道，这是由圣灵成就的，正如主曾藉着圣灵，从圣母玛利亚那里为自己、在自己内形成了肉身一样。 除此之外，我们一无所知：我们只知道上帝的话语是真实的、有效的、全能的，但（转化）的方式却是不可测度的。 此外还可以这样说：正如面包通过食用，葡萄酒和水通过饮用，会以自然的方式转变（</w:t>
      </w:r>
      <w:r w:rsidRPr="001E4083">
        <w:t>μεταβάλλονται</w:t>
      </w:r>
      <w:r w:rsidRPr="006A21F9">
        <w:rPr>
          <w:lang w:val="ru-RU"/>
        </w:rPr>
        <w:t>）为进食者和饮用者的身体和血液，且并非变成与他原有身体不同的另一种身体； 同样，圣餐中的饼、酒和水，通过圣灵的呼召与感召，以超自然的方式（</w:t>
      </w:r>
      <w:r w:rsidRPr="001E4083">
        <w:t>ύπερφυώς</w:t>
      </w:r>
      <w:r w:rsidRPr="0097554A">
        <w:rPr>
          <w:lang w:val="ru-RU"/>
        </w:rPr>
        <w:t xml:space="preserve"> </w:t>
      </w:r>
      <w:r w:rsidRPr="001E4083">
        <w:t>μεταποιούνται</w:t>
      </w:r>
      <w:r w:rsidRPr="006A21F9">
        <w:rPr>
          <w:lang w:val="ru-RU"/>
        </w:rPr>
        <w:t>）转化为基督的身体和宝血，并非构成两个身体，而是同一个身体。”</w:t>
      </w:r>
      <w:r>
        <w:rPr>
          <w:rStyle w:val="FootnoteReference"/>
        </w:rPr>
        <w:footnoteReference w:id="1205"/>
      </w:r>
    </w:p>
    <w:p w14:paraId="6A1300B6" w14:textId="77777777" w:rsidR="00BE1885" w:rsidRPr="006A21F9" w:rsidRDefault="00BE1885" w:rsidP="00BE1885">
      <w:pPr>
        <w:rPr>
          <w:lang w:val="ru-RU"/>
        </w:rPr>
      </w:pPr>
      <w:r w:rsidRPr="006A21F9">
        <w:rPr>
          <w:lang w:val="ru-RU"/>
        </w:rPr>
        <w:tab/>
        <w:t>福者狄奥菲拉克特：“当记住，我们在圣礼中领受的饼，并非主身体的象征（</w:t>
      </w:r>
      <w:r w:rsidRPr="001E4083">
        <w:t>αντίτυπον</w:t>
      </w:r>
      <w:r w:rsidRPr="006A21F9">
        <w:rPr>
          <w:lang w:val="ru-RU"/>
        </w:rPr>
        <w:t>），而是主自己的肉身…… 因为这饼，借着圣言、圣礼的祝福以及圣灵的感召，被转化（</w:t>
      </w:r>
      <w:r w:rsidRPr="001E4083">
        <w:t>μεταποιείται</w:t>
      </w:r>
      <w:r w:rsidRPr="006A21F9">
        <w:rPr>
          <w:lang w:val="ru-RU"/>
        </w:rPr>
        <w:t>）为主的肉身。”</w:t>
      </w:r>
      <w:r>
        <w:rPr>
          <w:rStyle w:val="FootnoteReference"/>
        </w:rPr>
        <w:footnoteReference w:id="1206"/>
      </w:r>
      <w:r w:rsidRPr="006A21F9">
        <w:rPr>
          <w:lang w:val="ru-RU"/>
        </w:rPr>
        <w:t xml:space="preserve"> “这饼并非主身体的象征，而是被改变（</w:t>
      </w:r>
      <w:r w:rsidRPr="001E4083">
        <w:t>μεταβάλλεται</w:t>
      </w:r>
      <w:r w:rsidRPr="006A21F9">
        <w:rPr>
          <w:lang w:val="ru-RU"/>
        </w:rPr>
        <w:t>）为基督的身体本身。”</w:t>
      </w:r>
      <w:r>
        <w:rPr>
          <w:rStyle w:val="FootnoteReference"/>
        </w:rPr>
        <w:footnoteReference w:id="1207"/>
      </w:r>
    </w:p>
    <w:p w14:paraId="760F32E9" w14:textId="77777777" w:rsidR="00BE1885" w:rsidRPr="006A21F9" w:rsidRDefault="00BE1885" w:rsidP="00BE1885">
      <w:pPr>
        <w:rPr>
          <w:lang w:val="ru-RU"/>
        </w:rPr>
      </w:pPr>
      <w:r w:rsidRPr="006A21F9">
        <w:rPr>
          <w:lang w:val="ru-RU"/>
        </w:rPr>
        <w:tab/>
        <w:t>尤菲米娅·齐加贝纳：“主并未说：‘这是我身体和宝血的象征（</w:t>
      </w:r>
      <w:r w:rsidRPr="001E4083">
        <w:t>σύμβολα</w:t>
      </w:r>
      <w:r w:rsidRPr="006A21F9">
        <w:rPr>
          <w:lang w:val="ru-RU"/>
        </w:rPr>
        <w:t xml:space="preserve">）’，而是说——‘这就是我的身体和宝血’…… 因为正如祂以超自然的方式使所取的肉身复活一样，祂也 </w:t>
      </w:r>
      <w:r w:rsidRPr="006A21F9">
        <w:rPr>
          <w:lang w:val="ru-RU"/>
        </w:rPr>
        <w:lastRenderedPageBreak/>
        <w:t>以不可言喻的方式将这些（饼和酒）转化（</w:t>
      </w:r>
      <w:r w:rsidRPr="001E4083">
        <w:t>μεταποει</w:t>
      </w:r>
      <w:r w:rsidRPr="006A21F9">
        <w:rPr>
          <w:lang w:val="ru-RU"/>
        </w:rPr>
        <w:t>）为祂那赋予生命的身躯，以及祂那至圣的宝血。”</w:t>
      </w:r>
      <w:r>
        <w:rPr>
          <w:rStyle w:val="FootnoteReference"/>
        </w:rPr>
        <w:footnoteReference w:id="1208"/>
      </w:r>
    </w:p>
    <w:p w14:paraId="40210AF5" w14:textId="77777777" w:rsidR="00BE1885" w:rsidRPr="006A21F9" w:rsidRDefault="00BE1885" w:rsidP="00BE1885">
      <w:pPr>
        <w:rPr>
          <w:lang w:val="ru-RU"/>
        </w:rPr>
      </w:pPr>
      <w:r w:rsidRPr="006A21F9">
        <w:rPr>
          <w:lang w:val="ru-RU"/>
        </w:rPr>
        <w:tab/>
        <w:t>为了证明并阐明面包和葡萄酒能借着上帝的大能转化为基督的身体和宝血这一可能性，古代牧者们指出了造物主</w:t>
      </w:r>
      <w:r>
        <w:rPr>
          <w:rStyle w:val="FootnoteReference"/>
        </w:rPr>
        <w:footnoteReference w:id="1209"/>
      </w:r>
      <w:r w:rsidRPr="006A21F9">
        <w:rPr>
          <w:lang w:val="ru-RU"/>
        </w:rPr>
        <w:t xml:space="preserve"> 的全能，以及祂全能所彰显的特殊作为： 从无到有地创造世界，</w:t>
      </w:r>
      <w:r>
        <w:rPr>
          <w:rStyle w:val="FootnoteReference"/>
        </w:rPr>
        <w:footnoteReference w:id="1210"/>
      </w:r>
      <w:r w:rsidRPr="006A21F9">
        <w:rPr>
          <w:lang w:val="ru-RU"/>
        </w:rPr>
        <w:t xml:space="preserve"> ；道成肉身的奥秘，</w:t>
      </w:r>
      <w:r>
        <w:rPr>
          <w:rStyle w:val="FootnoteReference"/>
        </w:rPr>
        <w:footnoteReference w:id="1211"/>
      </w:r>
      <w:r w:rsidRPr="006A21F9">
        <w:rPr>
          <w:lang w:val="ru-RU"/>
        </w:rPr>
        <w:t xml:space="preserve"> ；圣经中记载的神迹，特别是将水变为酒的神迹，</w:t>
      </w:r>
      <w:r>
        <w:rPr>
          <w:rStyle w:val="FootnoteReference"/>
        </w:rPr>
        <w:footnoteReference w:id="1212"/>
      </w:r>
      <w:r w:rsidRPr="006A21F9">
        <w:rPr>
          <w:lang w:val="ru-RU"/>
        </w:rPr>
        <w:t xml:space="preserve"> ；以及我们自己所食用的饼、酒或水，在我们不知不觉中如何被转化成我们的身体和血液。</w:t>
      </w:r>
      <w:r>
        <w:rPr>
          <w:rStyle w:val="FootnoteReference"/>
        </w:rPr>
        <w:footnoteReference w:id="1213"/>
      </w:r>
    </w:p>
    <w:p w14:paraId="4EAE2BA6" w14:textId="77777777" w:rsidR="00BE1885" w:rsidRPr="006A21F9" w:rsidRDefault="00BE1885" w:rsidP="00BE1885">
      <w:pPr>
        <w:rPr>
          <w:lang w:val="ru-RU"/>
        </w:rPr>
      </w:pPr>
      <w:r w:rsidRPr="006A21F9">
        <w:rPr>
          <w:lang w:val="ru-RU"/>
        </w:rPr>
        <w:tab/>
        <w:t>不过，必须记住，“化体”一词并不能解释面饼和葡萄酒如何转变为主的圣体和圣血：因为除了上帝本人之外，无人能领悟此事，而那些试图领悟此事的人，其努力只能是疯狂和不敬虔的结果； 但仅表明：面饼和葡萄酒在祝圣之后，并非以比喻的方式、象征的方式、恩典的丰盛、独生子唯一神性的共融或启示， 也并非面包和葡萄酒的某种偶然属性，通过某种变化或混合，转化为基督身体与宝血的偶然属性，而是如上所述，真实、切实且本质地，面包成为主最真实的身体，葡萄酒成为主的宝血” （《东方教父论正统信仰书》第17条）。</w:t>
      </w:r>
    </w:p>
    <w:p w14:paraId="0ACD668F" w14:textId="77777777" w:rsidR="00BE1885" w:rsidRPr="006A21F9" w:rsidRDefault="00BE1885" w:rsidP="00BE1885">
      <w:pPr>
        <w:rPr>
          <w:i/>
          <w:iCs/>
          <w:lang w:val="ru-RU"/>
        </w:rPr>
      </w:pPr>
      <w:r w:rsidRPr="006A21F9">
        <w:rPr>
          <w:lang w:val="ru-RU"/>
        </w:rPr>
        <w:tab/>
      </w:r>
      <w:r w:rsidRPr="006F72D5">
        <w:rPr>
          <w:b/>
          <w:bCs/>
        </w:rPr>
        <w:t>II</w:t>
      </w:r>
      <w:r w:rsidRPr="006F72D5">
        <w:rPr>
          <w:b/>
          <w:bCs/>
          <w:lang w:val="ru-RU"/>
        </w:rPr>
        <w:t>）</w:t>
      </w:r>
      <w:r w:rsidRPr="006A21F9">
        <w:rPr>
          <w:lang w:val="ru-RU"/>
        </w:rPr>
        <w:t xml:space="preserve">尽管在圣体圣事中，饼和酒确实转变为主的圣体和圣血； 但祂在这圣礼中的临在，不仅限于祂的身体和宝血，而是祂的整个本体，即与祂的身体不可分割地结合在一起的灵魂，以及祂的神性本身——这神性在位格上与祂的人性不可分割地结合在一起：正因如此，救主才说： </w:t>
      </w:r>
      <w:r w:rsidRPr="006A21F9">
        <w:rPr>
          <w:i/>
          <w:iCs/>
          <w:lang w:val="ru-RU"/>
        </w:rPr>
        <w:t>“吃我肉、喝我血的人，就住在我里面，我也住在他里面。活着的父怎样差遣了我，我又因父而活；照样，吃我肉的人也要因我而活</w:t>
      </w:r>
      <w:r w:rsidRPr="006A21F9">
        <w:rPr>
          <w:lang w:val="ru-RU"/>
        </w:rPr>
        <w:t>”（约6:56-57）。 同样，圣父们也教导说：“我们全然领受羔羊本身”，</w:t>
      </w:r>
      <w:r>
        <w:rPr>
          <w:rStyle w:val="FootnoteReference"/>
        </w:rPr>
        <w:footnoteReference w:id="1214"/>
      </w:r>
      <w:r w:rsidRPr="006A21F9">
        <w:rPr>
          <w:lang w:val="ru-RU"/>
        </w:rPr>
        <w:t xml:space="preserve"> “祂凭着自己的仁慈，全然住在我们所有人里面”，</w:t>
      </w:r>
      <w:r>
        <w:rPr>
          <w:rStyle w:val="FootnoteReference"/>
        </w:rPr>
        <w:footnoteReference w:id="1215"/>
      </w:r>
      <w:r w:rsidRPr="006A21F9">
        <w:rPr>
          <w:lang w:val="ru-RU"/>
        </w:rPr>
        <w:t xml:space="preserve"> 并指出：“这个圣礼被称为圣餐，因为通过它，我们成为耶稣神性的参与者。 它也被称为‘交通’，确实是一种交通，因为通过它，我们与基督相通，成为祂肉身和神性的参与者。”</w:t>
      </w:r>
      <w:r>
        <w:rPr>
          <w:rStyle w:val="FootnoteReference"/>
        </w:rPr>
        <w:footnoteReference w:id="1216"/>
      </w:r>
    </w:p>
    <w:p w14:paraId="04E43AF8" w14:textId="77777777" w:rsidR="00BE1885" w:rsidRPr="006A21F9" w:rsidRDefault="00BE1885" w:rsidP="00BE1885">
      <w:pPr>
        <w:rPr>
          <w:lang w:val="ru-RU"/>
        </w:rPr>
      </w:pPr>
      <w:r w:rsidRPr="006A21F9">
        <w:rPr>
          <w:lang w:val="ru-RU"/>
        </w:rPr>
        <w:tab/>
      </w:r>
      <w:r w:rsidRPr="006F72D5">
        <w:rPr>
          <w:b/>
          <w:bCs/>
        </w:rPr>
        <w:t>III</w:t>
      </w:r>
      <w:r w:rsidRPr="006F72D5">
        <w:rPr>
          <w:b/>
          <w:bCs/>
          <w:lang w:val="ru-RU"/>
        </w:rPr>
        <w:t>）</w:t>
      </w:r>
      <w:r w:rsidRPr="006A21F9">
        <w:rPr>
          <w:lang w:val="ru-RU"/>
        </w:rPr>
        <w:t>虽然在圣餐圣礼中，主的身体和宝血看似被分裂并分开；但实际上，这仅发生在饼和酒的外形上——基督的身体和宝血正是在其中得以被看见和触摸，而它们本身却完全是完整且不可分割的。 因为基督永远是唯一且不可分割的：神性与人性在他里面不可分割地结合在一起；人的灵魂与身体在他里面不可分割地结合在一起； 祂的身体连同宝血也始终保持不可分割且完整无缺，作为从死里复活、从此不再死亡（罗6:9）的活体</w:t>
      </w:r>
      <w:r w:rsidRPr="006A21F9">
        <w:rPr>
          <w:lang w:val="ru-RU"/>
        </w:rPr>
        <w:lastRenderedPageBreak/>
        <w:t>，是得荣耀的身体（林前15:43），是属灵的（林前15:44），是永生的。 因此，我们相信，在所呈献的饼和酒的每一部分——直至最微小的粒子——之中，并非仅仅存在主身体和宝血的某个独立部分，而是基督的身体始终是完整的，在所有部分中都是一体的， 并且在每一部分——直至最微小的颗粒——中，整个基督都以其本质临在，即连同灵魂与神性，亦即完全的神与完全的人（《东方教父关于正统信仰的信》第17条）。 普世教会自古以来就在礼拜仪式中表达并继续表达这一信仰，当诵念：“神的羔羊被擘开并被分施， 被擘开却不可分割，常被领受却永不耗尽，但愿领受者得以成圣。”</w:t>
      </w:r>
    </w:p>
    <w:p w14:paraId="42B6E65A" w14:textId="77777777" w:rsidR="00BE1885" w:rsidRPr="006A21F9" w:rsidRDefault="00BE1885" w:rsidP="00BE1885">
      <w:pPr>
        <w:rPr>
          <w:lang w:val="ru-RU"/>
        </w:rPr>
      </w:pPr>
      <w:r w:rsidRPr="006A21F9">
        <w:rPr>
          <w:lang w:val="ru-RU"/>
        </w:rPr>
        <w:tab/>
      </w:r>
      <w:r w:rsidRPr="001E4083">
        <w:t>IV</w:t>
      </w:r>
      <w:r w:rsidRPr="006A21F9">
        <w:rPr>
          <w:lang w:val="ru-RU"/>
        </w:rPr>
        <w:t>) 同样，尽管圣体圣事曾在宇宙无数地方举行，如今仍在各地举行；但基督的圣体在任何时候、任何地方都只有一个，基督的圣血在任何时候、任何地方也只有一份，在这圣事中，同一位基督——完全的神、完全的人——始终完全临在于各地。 东正教的诸位圣父们用以下话语明确地宣认了这一真理：“尽管在同一时间，宇宙中会举行许多圣礼，但基督的身体并非多个，而是同一位基督真实且切实地临在，祂的唯一身体和唯一宝血临在于所有信徒的各处教堂中。 这并非因为在天上的主之身体降临到祭坛上，而是因为在各教会中分别预备的奉献之饼，经祝圣后，被转化并实质化，从而与在天上的身体合而为一。 因为主只有一个身体，而不是在许多地方有多个身体：正因如此，这一圣礼，按普遍共识，是最奇妙的，只能凭信仰领悟，而非靠人类智慧的推论”（《论正统信仰书信》第17条）。</w:t>
      </w:r>
    </w:p>
    <w:p w14:paraId="7DAFF59D" w14:textId="77777777" w:rsidR="00BE1885" w:rsidRPr="006A21F9" w:rsidRDefault="00BE1885" w:rsidP="00BE1885">
      <w:pPr>
        <w:rPr>
          <w:lang w:val="ru-RU"/>
        </w:rPr>
      </w:pPr>
      <w:r w:rsidRPr="006A21F9">
        <w:rPr>
          <w:lang w:val="ru-RU"/>
        </w:rPr>
        <w:tab/>
      </w:r>
      <w:r w:rsidRPr="001E4083">
        <w:t>V</w:t>
      </w:r>
      <w:r w:rsidRPr="006A21F9">
        <w:rPr>
          <w:lang w:val="ru-RU"/>
        </w:rPr>
        <w:t>) 如果面饼和葡萄酒通过神秘的祝圣转化为救主基督的真实圣体和圣血：那么，这意味着从圣礼之物被祝圣之时起，祂就始终临在于这一圣礼之中，即祂不仅在信徒实际领受圣礼之时临在——正如路德派所主张的那样——而且在领受之前和之后也始终临在： 因为面饼和葡萄酒一旦变为基督的圣体和圣血，便不再恢复其原有的本质，而是永远作为主的圣体和圣血而存在，无论信徒是否领受（《东方教父关于正统信仰的信》第17条）。 正因如此，救主本人在设立圣体圣事时，将圣饼递给门徒，说道：“这是我的身体”——这话是在门徒品尝之前说的；又将圣杯递给门徒，说道：“这是我的宝血”——这话是在门徒饮用之前说的。 正因如此，另一方面，东正</w:t>
      </w:r>
      <w:r w:rsidRPr="006A21F9">
        <w:rPr>
          <w:b/>
          <w:bCs/>
          <w:lang w:val="ru-RU"/>
        </w:rPr>
        <w:t>教会——a)</w:t>
      </w:r>
      <w:r w:rsidRPr="006A21F9">
        <w:rPr>
          <w:lang w:val="ru-RU"/>
        </w:rPr>
        <w:t xml:space="preserve"> 自古以来便有在特定日子以预先祝圣的圣物举行圣体礼仪的惯例，并坚信这些圣物，以及与之一同在先前圣体礼仪中祝圣的圣物，在被使用后仍保持着基督真实的圣体与圣血；</w:t>
      </w:r>
      <w:r>
        <w:rPr>
          <w:rStyle w:val="FootnoteReference"/>
        </w:rPr>
        <w:footnoteReference w:id="1217"/>
      </w:r>
      <w:r w:rsidRPr="006A21F9">
        <w:rPr>
          <w:lang w:val="ru-RU"/>
        </w:rPr>
        <w:t xml:space="preserve"> </w:t>
      </w:r>
      <w:r w:rsidRPr="006A21F9">
        <w:rPr>
          <w:b/>
          <w:bCs/>
          <w:lang w:val="ru-RU"/>
        </w:rPr>
        <w:t>b)</w:t>
      </w:r>
      <w:r w:rsidRPr="006A21F9">
        <w:rPr>
          <w:lang w:val="ru-RU"/>
        </w:rPr>
        <w:t xml:space="preserve"> 自古以来，教会亦有惯例，将已祝圣的圣体圣血保存在圣器中，以便作为基督真正的圣体和圣血，赐予临终者作为临终圣体。</w:t>
      </w:r>
      <w:r>
        <w:rPr>
          <w:rStyle w:val="FootnoteReference"/>
        </w:rPr>
        <w:footnoteReference w:id="1218"/>
      </w:r>
      <w:r w:rsidRPr="006A21F9">
        <w:rPr>
          <w:lang w:val="ru-RU"/>
        </w:rPr>
        <w:t xml:space="preserve"> 此外，众所周知，在古代教会中还存在一种习俗，即通过执事将圣化后的圣体送给那些在圣体圣事祝圣和领受时未在教堂内的基督徒，</w:t>
      </w:r>
      <w:r>
        <w:rPr>
          <w:rStyle w:val="FootnoteReference"/>
        </w:rPr>
        <w:footnoteReference w:id="1219"/>
      </w:r>
      <w:r w:rsidRPr="006A21F9">
        <w:rPr>
          <w:lang w:val="ru-RU"/>
        </w:rPr>
        <w:t xml:space="preserve"> 以及被囚禁在牢狱中的殉道者，</w:t>
      </w:r>
      <w:r>
        <w:rPr>
          <w:rStyle w:val="FootnoteReference"/>
        </w:rPr>
        <w:footnoteReference w:id="1220"/>
      </w:r>
      <w:r w:rsidRPr="006A21F9">
        <w:rPr>
          <w:lang w:val="ru-RU"/>
        </w:rPr>
        <w:t xml:space="preserve"> 和悔罪者，</w:t>
      </w:r>
      <w:r>
        <w:rPr>
          <w:rStyle w:val="FootnoteReference"/>
        </w:rPr>
        <w:footnoteReference w:id="1221"/>
      </w:r>
      <w:r w:rsidRPr="006A21F9">
        <w:rPr>
          <w:lang w:val="ru-RU"/>
        </w:rPr>
        <w:t xml:space="preserve"> ——</w:t>
      </w:r>
      <w:r w:rsidRPr="006A21F9">
        <w:rPr>
          <w:lang w:val="ru-RU"/>
        </w:rPr>
        <w:lastRenderedPageBreak/>
        <w:t>信徒们常将圣体从教堂带回自家，或随身携带出行，</w:t>
      </w:r>
      <w:r>
        <w:rPr>
          <w:rStyle w:val="FootnoteReference"/>
        </w:rPr>
        <w:footnoteReference w:id="1222"/>
      </w:r>
      <w:r w:rsidRPr="006A21F9">
        <w:rPr>
          <w:lang w:val="ru-RU"/>
        </w:rPr>
        <w:t xml:space="preserve"> 而苦修者则将这些圣体带入旷野，以便在需要时领受主的圣体和圣血。</w:t>
      </w:r>
      <w:r>
        <w:rPr>
          <w:rStyle w:val="FootnoteReference"/>
        </w:rPr>
        <w:footnoteReference w:id="1223"/>
      </w:r>
    </w:p>
    <w:p w14:paraId="626E8FF4" w14:textId="77777777" w:rsidR="00BE1885" w:rsidRPr="006A21F9" w:rsidRDefault="00BE1885" w:rsidP="00BE1885">
      <w:pPr>
        <w:rPr>
          <w:lang w:val="ru-RU"/>
        </w:rPr>
      </w:pPr>
      <w:r w:rsidRPr="006A21F9">
        <w:rPr>
          <w:lang w:val="ru-RU"/>
        </w:rPr>
        <w:tab/>
      </w:r>
      <w:r w:rsidRPr="006F72D5">
        <w:rPr>
          <w:b/>
          <w:bCs/>
        </w:rPr>
        <w:t>VI</w:t>
      </w:r>
      <w:r w:rsidRPr="006F72D5">
        <w:rPr>
          <w:b/>
          <w:bCs/>
          <w:lang w:val="ru-RU"/>
        </w:rPr>
        <w:t>）</w:t>
      </w:r>
      <w:r w:rsidRPr="006A21F9">
        <w:rPr>
          <w:lang w:val="ru-RU"/>
        </w:rPr>
        <w:t>如果圣体圣事中的饼和酒是主耶稣真实的圣体和圣血，那么我们应当向这些圣事献上与我们应当向主耶稣本人所献的同样的尊荣和神圣的敬拜（《正统教义》第1卷，对第56个问题的回答。</w:t>
      </w:r>
      <w:r w:rsidRPr="006A21F9">
        <w:rPr>
          <w:b/>
          <w:bCs/>
          <w:lang w:val="ru-RU"/>
        </w:rPr>
        <w:t xml:space="preserve"> </w:t>
      </w:r>
      <w:r w:rsidRPr="006A21F9">
        <w:rPr>
          <w:lang w:val="ru-RU"/>
        </w:rPr>
        <w:t>107）。因为人的本性已被祂全然接纳于祂神性位格的合一之中，与祂的神性不可分割地结合在一起，并且是道成肉身之神的独特人性——因此，在神人二性中，祂的两种本性，即人性与神性，都应得同一的、不可分割的神圣敬拜。 这一真理直接源于关于耶稣基督内两性位格联合的教义，圣教会始终秉持并宣认这一真理，</w:t>
      </w:r>
      <w:r w:rsidRPr="001E4083">
        <w:t>正如</w:t>
      </w:r>
      <w:r w:rsidRPr="006A21F9">
        <w:rPr>
          <w:lang w:val="ru-RU"/>
        </w:rPr>
        <w:t>其教父们的见证所示。例如：</w:t>
      </w:r>
    </w:p>
    <w:p w14:paraId="469570A9" w14:textId="77777777" w:rsidR="00BE1885" w:rsidRPr="006A21F9" w:rsidRDefault="00BE1885" w:rsidP="00BE1885">
      <w:pPr>
        <w:rPr>
          <w:lang w:val="ru-RU"/>
        </w:rPr>
      </w:pPr>
      <w:r w:rsidRPr="006A21F9">
        <w:rPr>
          <w:lang w:val="ru-RU"/>
        </w:rPr>
        <w:tab/>
        <w:t>圣约翰·金口：“当这身体还躺在马槽里时，贤士们就向它致敬；这些不虔敬的外邦人，离开故土和家园，踏上漫长的旅程，抵达后怀着极大的敬畏和战兢向祂下拜。 因此，我们——天上的公民——尽管要效法这些异邦人！他们是在马槽和洞穴中看见（基督）的，所见之物远不如你如今所见，却仍怀着极大的敬畏走近——而你所见的祂，并非在马槽中，而是在祭坛上…… 你不仅像他们那样看见了这同一具身体，而且还知道祂的大能以及救赎的全部计划，知道一切借着祂成就的事，因为你已被仔细教导了所有的奥秘。”</w:t>
      </w:r>
      <w:r>
        <w:rPr>
          <w:rStyle w:val="FootnoteReference"/>
        </w:rPr>
        <w:footnoteReference w:id="1224"/>
      </w:r>
    </w:p>
    <w:p w14:paraId="6E0FE83F" w14:textId="77777777" w:rsidR="00BE1885" w:rsidRPr="006A21F9" w:rsidRDefault="00BE1885" w:rsidP="00BE1885">
      <w:pPr>
        <w:rPr>
          <w:lang w:val="ru-RU"/>
        </w:rPr>
      </w:pPr>
      <w:r w:rsidRPr="006A21F9">
        <w:rPr>
          <w:lang w:val="ru-RU"/>
        </w:rPr>
        <w:tab/>
        <w:t>圣安布罗斯在阐释诗篇作者的话语</w:t>
      </w:r>
      <w:r w:rsidRPr="006A21F9">
        <w:rPr>
          <w:i/>
          <w:iCs/>
          <w:lang w:val="ru-RU"/>
        </w:rPr>
        <w:t>“当敬拜祂的脚凳，因祂是圣洁的</w:t>
      </w:r>
      <w:r w:rsidRPr="006A21F9">
        <w:rPr>
          <w:lang w:val="ru-RU"/>
        </w:rPr>
        <w:t>”（诗篇98:5）时指出： “所谓‘脚凳’，指的就是大地；所谓‘大地’，指的就是基督的肉身——如今我们在圣礼中以敬拜上帝的方式（</w:t>
      </w:r>
      <w:r w:rsidRPr="001E4083">
        <w:t>adoramus</w:t>
      </w:r>
      <w:r w:rsidRPr="006A21F9">
        <w:rPr>
          <w:lang w:val="ru-RU"/>
        </w:rPr>
        <w:t>）敬拜这肉身，而使徒们在主耶稣里也曾敬拜过这肉身。”</w:t>
      </w:r>
      <w:r>
        <w:rPr>
          <w:rStyle w:val="FootnoteReference"/>
        </w:rPr>
        <w:footnoteReference w:id="1225"/>
      </w:r>
    </w:p>
    <w:p w14:paraId="734DA574" w14:textId="77777777" w:rsidR="00BE1885" w:rsidRPr="006A21F9" w:rsidRDefault="00BE1885" w:rsidP="00BE1885">
      <w:pPr>
        <w:rPr>
          <w:lang w:val="ru-RU"/>
        </w:rPr>
      </w:pPr>
      <w:r w:rsidRPr="006A21F9">
        <w:rPr>
          <w:lang w:val="ru-RU"/>
        </w:rPr>
        <w:tab/>
        <w:t>圣奥古斯丁说：“若不先向这（基督的）肉身献上神圣的敬拜，无人能领受这肉身。”</w:t>
      </w:r>
      <w:r>
        <w:rPr>
          <w:rStyle w:val="FootnoteReference"/>
        </w:rPr>
        <w:footnoteReference w:id="1226"/>
      </w:r>
    </w:p>
    <w:p w14:paraId="04D15AFD" w14:textId="77777777" w:rsidR="00BE1885" w:rsidRPr="006A21F9" w:rsidRDefault="00BE1885" w:rsidP="00BE1885">
      <w:pPr>
        <w:rPr>
          <w:lang w:val="ru-RU"/>
        </w:rPr>
      </w:pPr>
      <w:r w:rsidRPr="006A21F9">
        <w:rPr>
          <w:lang w:val="ru-RU"/>
        </w:rPr>
        <w:tab/>
        <w:t>圣约翰·达马斯库斯： “我们并不拒绝敬拜肉身，因为对它的敬拜是在道的一位格中献上的，这位格为肉身成了位格；但我们并不侍奉受造之物——因为我们敬拜肉身，并非将其视为单纯的肉身，而是视为与神性结合的肉身；因为两种本性结合成了圣言上帝的一个位格和一位格。 我不敢触碰燃烧的炭火，因为火焰与木头结合在一起。我一同敬拜基督的两种本性；因为神性与肉身结合在了一起。”</w:t>
      </w:r>
      <w:r>
        <w:rPr>
          <w:rStyle w:val="FootnoteReference"/>
        </w:rPr>
        <w:footnoteReference w:id="1227"/>
      </w:r>
    </w:p>
    <w:p w14:paraId="6E9C5B86" w14:textId="77777777" w:rsidR="00BE1885" w:rsidRPr="006A21F9" w:rsidRDefault="00BE1885" w:rsidP="00BE1885">
      <w:pPr>
        <w:rPr>
          <w:lang w:val="ru-RU"/>
        </w:rPr>
      </w:pPr>
      <w:r w:rsidRPr="006A21F9">
        <w:rPr>
          <w:lang w:val="ru-RU"/>
        </w:rPr>
        <w:tab/>
      </w:r>
    </w:p>
    <w:p w14:paraId="7F7005AF" w14:textId="77777777" w:rsidR="00BE1885" w:rsidRPr="006A21F9" w:rsidRDefault="00BE1885" w:rsidP="00BE1885">
      <w:pPr>
        <w:pStyle w:val="Heading5"/>
        <w:rPr>
          <w:lang w:val="ru-RU"/>
        </w:rPr>
      </w:pPr>
      <w:bookmarkStart w:id="821" w:name="_Toc133142985"/>
      <w:bookmarkStart w:id="822" w:name="_Toc133166342"/>
      <w:bookmarkStart w:id="823" w:name="_Toc182221552"/>
      <w:bookmarkStart w:id="824" w:name="_Toc238453119"/>
      <w:bookmarkStart w:id="825" w:name="_Toc238453919"/>
      <w:bookmarkStart w:id="826" w:name="_Toc238576579"/>
      <w:r w:rsidRPr="006A21F9">
        <w:rPr>
          <w:bCs/>
          <w:lang w:val="ru-RU"/>
        </w:rPr>
        <w:t>§217.</w:t>
      </w:r>
      <w:r w:rsidRPr="006A21F9">
        <w:rPr>
          <w:lang w:val="ru-RU"/>
        </w:rPr>
        <w:t xml:space="preserve"> 谁可以主持圣体圣事；谁可以领受此圣事；以及为此应作何准备？</w:t>
      </w:r>
      <w:bookmarkEnd w:id="821"/>
      <w:bookmarkEnd w:id="822"/>
      <w:bookmarkEnd w:id="823"/>
      <w:bookmarkEnd w:id="824"/>
      <w:bookmarkEnd w:id="825"/>
      <w:bookmarkEnd w:id="826"/>
    </w:p>
    <w:p w14:paraId="0796FAE5" w14:textId="77777777" w:rsidR="00BE1885" w:rsidRPr="006A21F9" w:rsidRDefault="00BE1885" w:rsidP="00BE1885">
      <w:pPr>
        <w:ind w:firstLine="708"/>
        <w:rPr>
          <w:lang w:val="ru-RU"/>
        </w:rPr>
      </w:pPr>
      <w:r w:rsidRPr="006A21F9">
        <w:rPr>
          <w:b/>
          <w:bCs/>
          <w:lang w:val="ru-RU"/>
        </w:rPr>
        <w:t>1.</w:t>
      </w:r>
      <w:r w:rsidRPr="006A21F9">
        <w:rPr>
          <w:lang w:val="ru-RU"/>
        </w:rPr>
        <w:t xml:space="preserve"> 根据东正教会的教义，主持圣体圣事之权仅属于作为使徒继承人的主教，并通过主教授予长老（《正统教义》第1卷，对第107问的回答；《东方教父关于正统信仰的书信》 信仰第17条）。因为</w:t>
      </w:r>
      <w:r w:rsidRPr="006A21F9">
        <w:rPr>
          <w:b/>
          <w:bCs/>
          <w:lang w:val="ru-RU"/>
        </w:rPr>
        <w:t>——a)</w:t>
      </w:r>
      <w:r w:rsidRPr="006A21F9">
        <w:rPr>
          <w:lang w:val="ru-RU"/>
        </w:rPr>
        <w:t xml:space="preserve"> 基督在设立至圣圣事时，仅将此权柄授予使徒们，并由此推及他们的继承人，吩咐他们说：</w:t>
      </w:r>
      <w:r w:rsidRPr="006A21F9">
        <w:rPr>
          <w:i/>
          <w:iCs/>
          <w:lang w:val="ru-RU"/>
        </w:rPr>
        <w:t>“你们要这样行，为的是纪念我</w:t>
      </w:r>
      <w:r w:rsidRPr="006A21F9">
        <w:rPr>
          <w:lang w:val="ru-RU"/>
        </w:rPr>
        <w:t>”[(路加福音 22:19)； （林前11:24-25）]；且</w:t>
      </w:r>
      <w:r w:rsidRPr="006A21F9">
        <w:rPr>
          <w:b/>
          <w:bCs/>
          <w:lang w:val="ru-RU"/>
        </w:rPr>
        <w:t>——b)</w:t>
      </w:r>
      <w:r w:rsidRPr="006A21F9">
        <w:rPr>
          <w:lang w:val="ru-RU"/>
        </w:rPr>
        <w:t xml:space="preserve"> 自使徒时代起，唯有主教和长老在教会中始终行使着这一权柄。 </w:t>
      </w:r>
      <w:r w:rsidRPr="006A21F9">
        <w:rPr>
          <w:lang w:val="ru-RU"/>
        </w:rPr>
        <w:lastRenderedPageBreak/>
        <w:t>对此作证的不仅有个别神学家：圣狄奥尼修斯·阿雷奥帕吉特，</w:t>
      </w:r>
      <w:r>
        <w:rPr>
          <w:rStyle w:val="FootnoteReference"/>
        </w:rPr>
        <w:footnoteReference w:id="1228"/>
      </w:r>
      <w:r w:rsidRPr="006A21F9">
        <w:rPr>
          <w:lang w:val="ru-RU"/>
        </w:rPr>
        <w:t xml:space="preserve"> 圣贾斯汀，</w:t>
      </w:r>
      <w:r>
        <w:rPr>
          <w:rStyle w:val="FootnoteReference"/>
        </w:rPr>
        <w:footnoteReference w:id="1229"/>
      </w:r>
      <w:r w:rsidRPr="006A21F9">
        <w:rPr>
          <w:lang w:val="ru-RU"/>
        </w:rPr>
        <w:t xml:space="preserve"> 特土良，</w:t>
      </w:r>
      <w:r>
        <w:rPr>
          <w:rStyle w:val="FootnoteReference"/>
        </w:rPr>
        <w:footnoteReference w:id="1230"/>
      </w:r>
      <w:r w:rsidRPr="006A21F9">
        <w:rPr>
          <w:lang w:val="ru-RU"/>
        </w:rPr>
        <w:t xml:space="preserve"> 圣大巴西勒、圣金口若望、 伊拉里乌斯、埃皮法尼乌斯、杰罗姆等人，</w:t>
      </w:r>
      <w:r>
        <w:rPr>
          <w:rStyle w:val="FootnoteReference"/>
        </w:rPr>
        <w:footnoteReference w:id="1231"/>
      </w:r>
      <w:r w:rsidRPr="006A21F9">
        <w:rPr>
          <w:lang w:val="ru-RU"/>
        </w:rPr>
        <w:t xml:space="preserve"> ——还有整个大公会议：第一次尼西亚大公会议，</w:t>
      </w:r>
      <w:r>
        <w:rPr>
          <w:rStyle w:val="FootnoteReference"/>
        </w:rPr>
        <w:footnoteReference w:id="1232"/>
      </w:r>
      <w:r w:rsidRPr="006A21F9">
        <w:rPr>
          <w:lang w:val="ru-RU"/>
        </w:rPr>
        <w:t xml:space="preserve"> 安基拉大公会议（第1条）、新凯撒利亚大公会议（第9条）、甘格拉大公会议（第4条）和拉奥狄基亚大公会议。</w:t>
      </w:r>
      <w:r>
        <w:rPr>
          <w:rStyle w:val="FootnoteReference"/>
        </w:rPr>
        <w:footnoteReference w:id="1233"/>
      </w:r>
    </w:p>
    <w:p w14:paraId="4623E175" w14:textId="77777777" w:rsidR="00BE1885" w:rsidRPr="006A21F9" w:rsidRDefault="00BE1885" w:rsidP="00BE1885">
      <w:pPr>
        <w:rPr>
          <w:lang w:val="ru-RU"/>
        </w:rPr>
      </w:pPr>
      <w:r w:rsidRPr="006A21F9">
        <w:rPr>
          <w:lang w:val="ru-RU"/>
        </w:rPr>
        <w:tab/>
        <w:t>执事从未被授予这一权柄。</w:t>
      </w:r>
      <w:r>
        <w:rPr>
          <w:rStyle w:val="FootnoteReference"/>
        </w:rPr>
        <w:footnoteReference w:id="1234"/>
      </w:r>
      <w:r w:rsidRPr="006A21F9">
        <w:rPr>
          <w:lang w:val="ru-RU"/>
        </w:rPr>
        <w:t xml:space="preserve"> 他们仅需在主教或长老举行圣体圣事时在场并协助，</w:t>
      </w:r>
      <w:r>
        <w:rPr>
          <w:rStyle w:val="FootnoteReference"/>
        </w:rPr>
        <w:footnoteReference w:id="1235"/>
      </w:r>
      <w:r w:rsidRPr="006A21F9">
        <w:rPr>
          <w:lang w:val="ru-RU"/>
        </w:rPr>
        <w:t xml:space="preserve"> 而在仪式结束后 ，他们方可将基督的圣体分予信徒</w:t>
      </w:r>
      <w:r>
        <w:rPr>
          <w:rStyle w:val="FootnoteReference"/>
        </w:rPr>
        <w:footnoteReference w:id="1236"/>
      </w:r>
      <w:r w:rsidRPr="006A21F9">
        <w:rPr>
          <w:lang w:val="ru-RU"/>
        </w:rPr>
        <w:t xml:space="preserve"> ，并呈上圣杯供其领受。</w:t>
      </w:r>
      <w:r>
        <w:rPr>
          <w:rStyle w:val="FootnoteReference"/>
        </w:rPr>
        <w:footnoteReference w:id="1237"/>
      </w:r>
      <w:r w:rsidRPr="006A21F9">
        <w:rPr>
          <w:lang w:val="ru-RU"/>
        </w:rPr>
        <w:t xml:space="preserve"> 至于平信徒，不仅禁止在主教、司铎和执事在场时主持圣体圣事，也禁止自行施行此圣事。</w:t>
      </w:r>
      <w:r>
        <w:rPr>
          <w:rStyle w:val="FootnoteReference"/>
        </w:rPr>
        <w:footnoteReference w:id="1238"/>
      </w:r>
    </w:p>
    <w:p w14:paraId="698D1D2B" w14:textId="77777777" w:rsidR="00BE1885" w:rsidRPr="006A21F9" w:rsidRDefault="00BE1885" w:rsidP="00BE1885">
      <w:pPr>
        <w:ind w:firstLine="708"/>
        <w:rPr>
          <w:lang w:val="ru-RU"/>
        </w:rPr>
      </w:pPr>
      <w:r w:rsidRPr="006A21F9">
        <w:rPr>
          <w:lang w:val="ru-RU"/>
        </w:rPr>
        <w:t>. 所有东正教基督徒——且唯有他们——均可参与主的圣餐，领受基督的圣体与圣血；因为他们已通过洗礼之门进入教会，成为并始终是</w:t>
      </w:r>
      <w:r w:rsidRPr="001E4083">
        <w:t>教会的</w:t>
      </w:r>
      <w:r w:rsidRPr="006A21F9">
        <w:rPr>
          <w:lang w:val="ru-RU"/>
        </w:rPr>
        <w:t>儿女，因此也是主在教会中所赐予的一切恩典的继承者。 “这一个饼，这一个身体，我们虽多，却是一体，”圣使徒在致哥林多基督徒的书信中写道，</w:t>
      </w:r>
      <w:r w:rsidRPr="006A21F9">
        <w:rPr>
          <w:i/>
          <w:iCs/>
          <w:lang w:val="ru-RU"/>
        </w:rPr>
        <w:t>因为我们都是从这一个饼领受的</w:t>
      </w:r>
      <w:r w:rsidRPr="006A21F9">
        <w:rPr>
          <w:lang w:val="ru-RU"/>
        </w:rPr>
        <w:t>[(林前 10:17)；参见(林前 11:20-33)]。 “圣殉道者尤斯丁也曾作证说：‘这种圣餐，在我们这里被称为圣体圣事（感恩）；除了那些相信我们的教义是真实的、已经通过洗礼洗净罪孽并获得重生、并且按照基督所传授的方式生活的人之外，任何人都不得领受它。’”</w:t>
      </w:r>
      <w:r>
        <w:rPr>
          <w:rStyle w:val="FootnoteReference"/>
        </w:rPr>
        <w:footnoteReference w:id="1239"/>
      </w:r>
      <w:r w:rsidRPr="006A21F9">
        <w:rPr>
          <w:lang w:val="ru-RU"/>
        </w:rPr>
        <w:t xml:space="preserve"> 因此，以下人员过去从未被允许、现在也不被允许参与圣体圣事：</w:t>
      </w:r>
      <w:r w:rsidRPr="006A21F9">
        <w:rPr>
          <w:b/>
          <w:bCs/>
          <w:lang w:val="ru-RU"/>
        </w:rPr>
        <w:t>a)</w:t>
      </w:r>
      <w:r w:rsidRPr="006A21F9">
        <w:rPr>
          <w:lang w:val="ru-RU"/>
        </w:rPr>
        <w:t xml:space="preserve"> 所有尚未通过洗礼之门进入教会、尚未成为</w:t>
      </w:r>
      <w:r w:rsidRPr="001E4083">
        <w:t>教会</w:t>
      </w:r>
      <w:r w:rsidRPr="006A21F9">
        <w:rPr>
          <w:lang w:val="ru-RU"/>
        </w:rPr>
        <w:t xml:space="preserve">子女的人，即：异教徒、犹太人、穆斯林和慕道者； </w:t>
      </w:r>
      <w:r w:rsidRPr="006A21F9">
        <w:rPr>
          <w:b/>
          <w:bCs/>
          <w:lang w:val="ru-RU"/>
        </w:rPr>
        <w:t>b)</w:t>
      </w:r>
      <w:r w:rsidRPr="006A21F9">
        <w:rPr>
          <w:lang w:val="ru-RU"/>
        </w:rPr>
        <w:t xml:space="preserve"> 那些虽经洗礼进入教会，但因背弃信仰、陷入异端与分裂，或因其他任何严重罪过而受到教会禁令的人。 除了众多大公会议和教父们的规定外，</w:t>
      </w:r>
      <w:r>
        <w:rPr>
          <w:rStyle w:val="FootnoteReference"/>
        </w:rPr>
        <w:footnoteReference w:id="1240"/>
      </w:r>
      <w:r w:rsidRPr="006A21F9">
        <w:rPr>
          <w:lang w:val="ru-RU"/>
        </w:rPr>
        <w:t xml:space="preserve"> ，圣体圣事仪式本身的构成便是这一观点的有力证明。 众所周知，所有古代礼拜仪式在“圣体预备礼”之后，均由两部分组成：其一是“慕道者礼拜”，不仅允许受洗候选人和忏悔者（即使他们正处于教会禁令或补赎期中）出席聆听教会诵读和教诲，也允许分裂分</w:t>
      </w:r>
      <w:r w:rsidRPr="006A21F9">
        <w:rPr>
          <w:lang w:val="ru-RU"/>
        </w:rPr>
        <w:lastRenderedPageBreak/>
        <w:t>子、异端分子，甚至非信徒参加；</w:t>
      </w:r>
      <w:r>
        <w:rPr>
          <w:rStyle w:val="FootnoteReference"/>
        </w:rPr>
        <w:footnoteReference w:id="1241"/>
      </w:r>
      <w:r w:rsidRPr="006A21F9">
        <w:rPr>
          <w:lang w:val="ru-RU"/>
        </w:rPr>
        <w:t xml:space="preserve"> 以及信徒圣礼，只有东正教基督徒才能参加，而圣体圣事正是在此仪式中举行并传授的。</w:t>
      </w:r>
    </w:p>
    <w:p w14:paraId="65A4E864" w14:textId="77777777" w:rsidR="00BE1885" w:rsidRPr="006A21F9" w:rsidRDefault="00BE1885" w:rsidP="00BE1885">
      <w:pPr>
        <w:rPr>
          <w:lang w:val="ru-RU"/>
        </w:rPr>
      </w:pPr>
      <w:r w:rsidRPr="006A21F9">
        <w:rPr>
          <w:lang w:val="ru-RU"/>
        </w:rPr>
        <w:tab/>
        <w:t>至于信徒本身：根据教会的规定，不仅成年人，而且“为了那些带来他们的信徒，连年幼的婴孩也应当领受圣事，以圣化他们的灵魂和身体，并领受主的恩典。”</w:t>
      </w:r>
      <w:r>
        <w:rPr>
          <w:rStyle w:val="FootnoteReference"/>
        </w:rPr>
        <w:footnoteReference w:id="1242"/>
      </w:r>
      <w:r w:rsidRPr="006A21F9">
        <w:rPr>
          <w:lang w:val="ru-RU"/>
        </w:rPr>
        <w:t xml:space="preserve"> 这一规则至今仍被东正教会遵守，却被罗马天主教会所拒绝，</w:t>
      </w:r>
      <w:r>
        <w:rPr>
          <w:rStyle w:val="FootnoteReference"/>
        </w:rPr>
        <w:footnoteReference w:id="1243"/>
      </w:r>
      <w:r w:rsidRPr="006A21F9">
        <w:rPr>
          <w:lang w:val="ru-RU"/>
        </w:rPr>
        <w:t xml:space="preserve"> — </w:t>
      </w:r>
      <w:r w:rsidRPr="006A21F9">
        <w:rPr>
          <w:b/>
          <w:bCs/>
          <w:lang w:val="ru-RU"/>
        </w:rPr>
        <w:t>a)</w:t>
      </w:r>
      <w:r w:rsidRPr="006A21F9">
        <w:rPr>
          <w:lang w:val="ru-RU"/>
        </w:rPr>
        <w:t xml:space="preserve"> 据《使徒法令》一书</w:t>
      </w:r>
      <w:r>
        <w:rPr>
          <w:rStyle w:val="FootnoteReference"/>
        </w:rPr>
        <w:footnoteReference w:id="1244"/>
      </w:r>
      <w:r w:rsidRPr="006A21F9">
        <w:rPr>
          <w:lang w:val="ru-RU"/>
        </w:rPr>
        <w:t xml:space="preserve"> 及教会教父们的见证，自古以来便在整个天主教会中被遵守： 狄奥尼修斯·阿雷奥帕吉塔、基普里安、</w:t>
      </w:r>
      <w:r>
        <w:rPr>
          <w:rStyle w:val="FootnoteReference"/>
        </w:rPr>
        <w:footnoteReference w:id="1245"/>
      </w:r>
      <w:r w:rsidRPr="006A21F9">
        <w:rPr>
          <w:lang w:val="ru-RU"/>
        </w:rPr>
        <w:t xml:space="preserve"> 奥古斯丁、</w:t>
      </w:r>
      <w:r>
        <w:rPr>
          <w:rStyle w:val="FootnoteReference"/>
        </w:rPr>
        <w:footnoteReference w:id="1246"/>
      </w:r>
      <w:r w:rsidRPr="006A21F9">
        <w:rPr>
          <w:lang w:val="ru-RU"/>
        </w:rPr>
        <w:t xml:space="preserve"> 教宗英诺森一世、</w:t>
      </w:r>
      <w:r>
        <w:rPr>
          <w:rStyle w:val="FootnoteReference"/>
        </w:rPr>
        <w:footnoteReference w:id="1247"/>
      </w:r>
      <w:r w:rsidRPr="006A21F9">
        <w:rPr>
          <w:lang w:val="ru-RU"/>
        </w:rPr>
        <w:t xml:space="preserve"> 基利基亚的瓦西里、埃瓦格里乌斯</w:t>
      </w:r>
      <w:r>
        <w:rPr>
          <w:rStyle w:val="FootnoteReference"/>
        </w:rPr>
        <w:footnoteReference w:id="1248"/>
      </w:r>
      <w:r w:rsidRPr="006A21F9">
        <w:rPr>
          <w:lang w:val="ru-RU"/>
        </w:rPr>
        <w:t xml:space="preserve"> 等人；</w:t>
      </w:r>
      <w:r>
        <w:rPr>
          <w:rStyle w:val="FootnoteReference"/>
        </w:rPr>
        <w:footnoteReference w:id="1249"/>
      </w:r>
      <w:r w:rsidRPr="006A21F9">
        <w:rPr>
          <w:lang w:val="ru-RU"/>
        </w:rPr>
        <w:t xml:space="preserve"> </w:t>
      </w:r>
      <w:r w:rsidRPr="006A21F9">
        <w:rPr>
          <w:b/>
          <w:bCs/>
          <w:lang w:val="ru-RU"/>
        </w:rPr>
        <w:t>b)</w:t>
      </w:r>
      <w:r w:rsidRPr="006A21F9">
        <w:rPr>
          <w:lang w:val="ru-RU"/>
        </w:rPr>
        <w:t xml:space="preserve"> 不仅在九世纪，</w:t>
      </w:r>
      <w:r>
        <w:rPr>
          <w:rStyle w:val="FootnoteReference"/>
        </w:rPr>
        <w:footnoteReference w:id="1250"/>
      </w:r>
      <w:r w:rsidRPr="006A21F9">
        <w:rPr>
          <w:lang w:val="ru-RU"/>
        </w:rPr>
        <w:t xml:space="preserve"> 而且在十二世纪，罗马教会本身也曾遵守过这一规定。</w:t>
      </w:r>
      <w:r>
        <w:rPr>
          <w:rStyle w:val="FootnoteReference"/>
        </w:rPr>
        <w:footnoteReference w:id="1251"/>
      </w:r>
    </w:p>
    <w:p w14:paraId="02742224" w14:textId="77777777" w:rsidR="00BE1885" w:rsidRPr="006A21F9" w:rsidRDefault="00BE1885" w:rsidP="00BE1885">
      <w:pPr>
        <w:ind w:firstLine="708"/>
        <w:rPr>
          <w:lang w:val="ru-RU"/>
        </w:rPr>
      </w:pPr>
      <w:r w:rsidRPr="006A21F9">
        <w:rPr>
          <w:b/>
          <w:bCs/>
          <w:lang w:val="ru-RU"/>
        </w:rPr>
        <w:t>3.</w:t>
      </w:r>
      <w:r w:rsidRPr="006A21F9">
        <w:rPr>
          <w:lang w:val="ru-RU"/>
        </w:rPr>
        <w:t xml:space="preserve"> 不过，圣教会呼吁所有忠信的儿女参与基督的圣餐时，唯有在他们经过事先准备之后，才会允许他们领受这至圣的圣礼，</w:t>
      </w:r>
      <w:r w:rsidRPr="006A21F9">
        <w:rPr>
          <w:i/>
          <w:iCs/>
          <w:lang w:val="ru-RU"/>
        </w:rPr>
        <w:t>以此</w:t>
      </w:r>
      <w:r w:rsidRPr="006A21F9">
        <w:rPr>
          <w:lang w:val="ru-RU"/>
        </w:rPr>
        <w:t>遵行使徒的诫命：</w:t>
      </w:r>
      <w:r w:rsidRPr="006A21F9">
        <w:rPr>
          <w:i/>
          <w:iCs/>
          <w:lang w:val="ru-RU"/>
        </w:rPr>
        <w:t xml:space="preserve"> 人应当自己省察，然后才吃这饼、喝这杯。 因为人若不按理吃喝，就是吃喝自己的定罪，没有分辨主的身体</w:t>
      </w:r>
      <w:r w:rsidRPr="006A21F9">
        <w:rPr>
          <w:lang w:val="ru-RU"/>
        </w:rPr>
        <w:t>（林前11:28-29）。 这种预备包括信徒们真诚地省察自己，并通过忏悔圣事将良心从罪中洁净，同时还要按照教会的礼仪规程进行斋戒和祈祷。</w:t>
      </w:r>
      <w:r>
        <w:rPr>
          <w:rStyle w:val="FootnoteReference"/>
        </w:rPr>
        <w:footnoteReference w:id="1252"/>
      </w:r>
    </w:p>
    <w:p w14:paraId="3C4E8270" w14:textId="77777777" w:rsidR="00BE1885" w:rsidRPr="006A21F9" w:rsidRDefault="00BE1885" w:rsidP="00BE1885">
      <w:pPr>
        <w:rPr>
          <w:lang w:val="ru-RU"/>
        </w:rPr>
      </w:pPr>
    </w:p>
    <w:p w14:paraId="2AEEE7D8" w14:textId="77777777" w:rsidR="00BE1885" w:rsidRPr="006A21F9" w:rsidRDefault="00BE1885" w:rsidP="00BE1885">
      <w:pPr>
        <w:pStyle w:val="Heading5"/>
        <w:rPr>
          <w:lang w:val="ru-RU"/>
        </w:rPr>
      </w:pPr>
      <w:bookmarkStart w:id="827" w:name="_Toc133142986"/>
      <w:bookmarkStart w:id="828" w:name="_Toc133166343"/>
      <w:bookmarkStart w:id="829" w:name="_Toc182221553"/>
      <w:bookmarkStart w:id="830" w:name="_Toc238453120"/>
      <w:bookmarkStart w:id="831" w:name="_Toc238453920"/>
      <w:bookmarkStart w:id="832" w:name="_Toc238576580"/>
      <w:r w:rsidRPr="006A21F9">
        <w:rPr>
          <w:lang w:val="ru-RU"/>
        </w:rPr>
        <w:t>§218. 领受圣体圣事（即以两种形式领受）的必要性，以及圣事的果效</w:t>
      </w:r>
      <w:bookmarkEnd w:id="827"/>
      <w:bookmarkEnd w:id="828"/>
      <w:bookmarkEnd w:id="829"/>
      <w:bookmarkEnd w:id="830"/>
      <w:bookmarkEnd w:id="831"/>
      <w:bookmarkEnd w:id="832"/>
    </w:p>
    <w:p w14:paraId="2A411C31"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领受主的圣体和圣血是每位基督徒本质上不可或缺的义务。这一点显而易见：</w:t>
      </w:r>
    </w:p>
    <w:p w14:paraId="1EE34BA9" w14:textId="77777777" w:rsidR="00BE1885" w:rsidRPr="006A21F9" w:rsidRDefault="00BE1885" w:rsidP="00BE1885">
      <w:pPr>
        <w:ind w:firstLine="708"/>
        <w:rPr>
          <w:lang w:val="ru-RU"/>
        </w:rPr>
      </w:pPr>
      <w:r w:rsidRPr="006A21F9">
        <w:rPr>
          <w:b/>
          <w:bCs/>
          <w:lang w:val="ru-RU"/>
        </w:rPr>
        <w:t>1)</w:t>
      </w:r>
      <w:r w:rsidRPr="006A21F9">
        <w:rPr>
          <w:lang w:val="ru-RU"/>
        </w:rPr>
        <w:t xml:space="preserve"> 救主在预言圣体圣事时所说的话：</w:t>
      </w:r>
      <w:r w:rsidRPr="006A21F9">
        <w:rPr>
          <w:i/>
          <w:iCs/>
          <w:lang w:val="ru-RU"/>
        </w:rPr>
        <w:t>我实实在在地告诉你们：你们若不吃人子的肉，不喝他的血，就没有生命在你们里面。 “吃我肉、喝我血的人就有永生，在末日我要叫他复活”</w:t>
      </w:r>
      <w:r w:rsidRPr="006A21F9">
        <w:rPr>
          <w:lang w:val="ru-RU"/>
        </w:rPr>
        <w:t xml:space="preserve">（约6:53-54）。 也就是说，正如人要进入基督的恩典之国，必须在洗礼圣事中藉着水和圣灵重生（约3:5）；同样，为了在恩典的生命中得以坚固并成长——而这生命将通向永生——基督徒必须在圣体圣事中领受这赐生命的圣餐。 </w:t>
      </w:r>
      <w:r w:rsidRPr="006A21F9">
        <w:rPr>
          <w:lang w:val="ru-RU"/>
        </w:rPr>
        <w:lastRenderedPageBreak/>
        <w:t>虽然无论是婴孩还是成人，只要借着水和圣灵重生，却因骤然离世而未能领受主的圣体圣血，都可因其纯洁与无辜而蒙受天国（马太福音11:14），</w:t>
      </w:r>
      <w:r>
        <w:rPr>
          <w:rStyle w:val="FootnoteReference"/>
        </w:rPr>
        <w:footnoteReference w:id="1253"/>
      </w:r>
      <w:r w:rsidRPr="006A21F9">
        <w:rPr>
          <w:lang w:val="ru-RU"/>
        </w:rPr>
        <w:t xml:space="preserve"> ——然而，那些受洗后仍活在世上、隶属于地上基督教会，却因疏忽或顽固而轻忽领受这救赎之粮的人，无疑无法承受永生（约6:53）。</w:t>
      </w:r>
    </w:p>
    <w:p w14:paraId="10DA4D4B" w14:textId="77777777" w:rsidR="00BE1885" w:rsidRPr="006A21F9" w:rsidRDefault="00BE1885" w:rsidP="00BE1885">
      <w:pPr>
        <w:ind w:firstLine="708"/>
        <w:rPr>
          <w:lang w:val="ru-RU"/>
        </w:rPr>
      </w:pPr>
      <w:r w:rsidRPr="006A21F9">
        <w:rPr>
          <w:b/>
          <w:bCs/>
          <w:lang w:val="ru-RU"/>
        </w:rPr>
        <w:t>2）</w:t>
      </w:r>
      <w:r w:rsidRPr="006A21F9">
        <w:rPr>
          <w:lang w:val="ru-RU"/>
        </w:rPr>
        <w:t>源于救主设立圣餐时所颁布的明确诫命。圣使徒保罗如此记载：</w:t>
      </w:r>
      <w:r w:rsidRPr="006A21F9">
        <w:rPr>
          <w:i/>
          <w:iCs/>
          <w:lang w:val="ru-RU"/>
        </w:rPr>
        <w:t>主耶稣在被出卖的那一夜，拿起饼来，祝谢了，掰开，说：“你们领受，吃，这是我的身体，为你们所掰开的； 你们要如此行，为的是纪念我。晚餐后，祂又拿起杯，说：“这杯是用我的血所立的新约；你们每逢喝的时候，要如此行，为的是纪念我</w:t>
      </w:r>
      <w:r w:rsidRPr="006A21F9">
        <w:rPr>
          <w:lang w:val="ru-RU"/>
        </w:rPr>
        <w:t>”（林前11:23-25）。 随后紧接着补充道：</w:t>
      </w:r>
      <w:r w:rsidRPr="006A21F9">
        <w:rPr>
          <w:i/>
          <w:iCs/>
          <w:lang w:val="ru-RU"/>
        </w:rPr>
        <w:t>“因为你们每逢吃这饼、喝这杯，就是宣扬主的死，直等到他来</w:t>
      </w:r>
      <w:r w:rsidRPr="006A21F9">
        <w:rPr>
          <w:lang w:val="ru-RU"/>
        </w:rPr>
        <w:t>”（林前11:26）。 由此可见，主关于领受祂圣体圣血的诫命，不仅适用于使徒们，也适用于所有信徒。</w:t>
      </w:r>
    </w:p>
    <w:p w14:paraId="21D3E0E2" w14:textId="77777777" w:rsidR="00BE1885" w:rsidRPr="006A21F9" w:rsidRDefault="00BE1885" w:rsidP="00BE1885">
      <w:pPr>
        <w:ind w:firstLine="708"/>
        <w:rPr>
          <w:lang w:val="ru-RU"/>
        </w:rPr>
      </w:pPr>
      <w:r w:rsidRPr="006A21F9">
        <w:rPr>
          <w:b/>
          <w:bCs/>
          <w:lang w:val="ru-RU"/>
        </w:rPr>
        <w:t xml:space="preserve">3) </w:t>
      </w:r>
      <w:r w:rsidRPr="006A21F9">
        <w:rPr>
          <w:lang w:val="ru-RU"/>
        </w:rPr>
        <w:t>从圣使徒和早期基督徒的榜样来看，他们虔诚地遵守救主的</w:t>
      </w:r>
      <w:r w:rsidRPr="006A21F9">
        <w:rPr>
          <w:i/>
          <w:iCs/>
          <w:lang w:val="ru-RU"/>
        </w:rPr>
        <w:t>这条诫命，每天同心合意地在圣殿中……参与团契并擘饼，</w:t>
      </w:r>
      <w:r w:rsidRPr="009C4F4A">
        <w:rPr>
          <w:lang w:val="ru-RU"/>
        </w:rPr>
        <w:t>[</w:t>
      </w:r>
      <w:r w:rsidRPr="006A21F9">
        <w:rPr>
          <w:lang w:val="ru-RU"/>
        </w:rPr>
        <w:t>(使徒行传 2:42-46</w:t>
      </w:r>
      <w:r w:rsidRPr="009C4F4A">
        <w:rPr>
          <w:lang w:val="ru-RU"/>
        </w:rPr>
        <w:t>)</w:t>
      </w:r>
      <w:r w:rsidRPr="006A21F9">
        <w:rPr>
          <w:lang w:val="ru-RU"/>
        </w:rPr>
        <w:t xml:space="preserve">；参见 </w:t>
      </w:r>
      <w:r w:rsidRPr="009C4F4A">
        <w:rPr>
          <w:lang w:val="ru-RU"/>
        </w:rPr>
        <w:t>(</w:t>
      </w:r>
      <w:r w:rsidRPr="006A21F9">
        <w:rPr>
          <w:lang w:val="ru-RU"/>
        </w:rPr>
        <w:t>林前 10:17</w:t>
      </w:r>
      <w:r w:rsidRPr="009C4F4A">
        <w:rPr>
          <w:lang w:val="ru-RU"/>
        </w:rPr>
        <w:t>)</w:t>
      </w:r>
      <w:r w:rsidRPr="006A21F9">
        <w:rPr>
          <w:lang w:val="ru-RU"/>
        </w:rPr>
        <w:t>；</w:t>
      </w:r>
      <w:r w:rsidRPr="009C4F4A">
        <w:rPr>
          <w:lang w:val="ru-RU"/>
        </w:rPr>
        <w:t>(</w:t>
      </w:r>
      <w:r w:rsidRPr="006A21F9">
        <w:rPr>
          <w:lang w:val="ru-RU"/>
        </w:rPr>
        <w:t>林前 11:20)</w:t>
      </w:r>
      <w:r w:rsidRPr="00430F02">
        <w:rPr>
          <w:lang w:val="ru-RU"/>
        </w:rPr>
        <w:t>]</w:t>
      </w:r>
      <w:r w:rsidRPr="006A21F9">
        <w:rPr>
          <w:lang w:val="ru-RU"/>
        </w:rPr>
        <w:t>。</w:t>
      </w:r>
    </w:p>
    <w:p w14:paraId="5866FF23" w14:textId="77777777" w:rsidR="00BE1885" w:rsidRPr="006A21F9" w:rsidRDefault="00BE1885" w:rsidP="00BE1885">
      <w:pPr>
        <w:ind w:firstLine="708"/>
        <w:rPr>
          <w:lang w:val="ru-RU"/>
        </w:rPr>
      </w:pPr>
      <w:r w:rsidRPr="006A21F9">
        <w:rPr>
          <w:b/>
          <w:bCs/>
          <w:lang w:val="ru-RU"/>
        </w:rPr>
        <w:t>4)</w:t>
      </w:r>
      <w:r w:rsidRPr="006A21F9">
        <w:rPr>
          <w:lang w:val="ru-RU"/>
        </w:rPr>
        <w:t xml:space="preserve"> 来自东正教会的教义与实践，该教会教导其信徒尽可能频繁地参与主的圣餐，并规定所有人必须在一年中既定的四个斋期中，或至少每年一次，通过忏悔洁净良心，并领受圣礼（《忏悔规程》第1部分。</w:t>
      </w:r>
      <w:r w:rsidRPr="006A21F9">
        <w:rPr>
          <w:b/>
          <w:bCs/>
          <w:lang w:val="ru-RU"/>
        </w:rPr>
        <w:t xml:space="preserve"> </w:t>
      </w:r>
      <w:r w:rsidRPr="006A21F9">
        <w:rPr>
          <w:lang w:val="ru-RU"/>
        </w:rPr>
        <w:t>对第90个问题的回答）。</w:t>
      </w:r>
    </w:p>
    <w:p w14:paraId="0256D50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“无论是灵性之人还是世俗之人，都应当以饼和酒这两种形式领受此圣礼”（《正教问答》第1卷，对第107个问题的回答），这与罗马教会的谬论截然相反——该教会禁止平信徒从主的圣杯中领受。</w:t>
      </w:r>
      <w:r>
        <w:rPr>
          <w:rStyle w:val="FootnoteReference"/>
        </w:rPr>
        <w:footnoteReference w:id="1254"/>
      </w:r>
      <w:r w:rsidRPr="006A21F9">
        <w:rPr>
          <w:lang w:val="ru-RU"/>
        </w:rPr>
        <w:t xml:space="preserve"> 因为：</w:t>
      </w:r>
    </w:p>
    <w:p w14:paraId="58375C49" w14:textId="77777777" w:rsidR="00BE1885" w:rsidRPr="006A21F9" w:rsidRDefault="00BE1885" w:rsidP="00BE1885">
      <w:pPr>
        <w:ind w:firstLine="708"/>
        <w:rPr>
          <w:lang w:val="ru-RU"/>
        </w:rPr>
      </w:pPr>
      <w:r w:rsidRPr="006A21F9">
        <w:rPr>
          <w:b/>
          <w:bCs/>
          <w:lang w:val="ru-RU"/>
        </w:rPr>
        <w:t>1)</w:t>
      </w:r>
      <w:r w:rsidRPr="006A21F9">
        <w:rPr>
          <w:lang w:val="ru-RU"/>
        </w:rPr>
        <w:t xml:space="preserve"> 救主基督以不可分割的方式确立了圣体圣事，即以饼和酒的双重形态：当祂将饼递给门徒时，吩咐道：</w:t>
      </w:r>
      <w:r w:rsidRPr="006A21F9">
        <w:rPr>
          <w:i/>
          <w:iCs/>
          <w:lang w:val="ru-RU"/>
        </w:rPr>
        <w:t>“你们领受，吃吧，这是我的身体”</w:t>
      </w:r>
      <w:r w:rsidRPr="006A21F9">
        <w:rPr>
          <w:lang w:val="ru-RU"/>
        </w:rPr>
        <w:t>； 同样，当祂递上圣杯时，也吩咐道：</w:t>
      </w:r>
      <w:r w:rsidRPr="006A21F9">
        <w:rPr>
          <w:i/>
          <w:iCs/>
          <w:lang w:val="ru-RU"/>
        </w:rPr>
        <w:t>“你们都喝这个，因为这是我的血</w:t>
      </w:r>
      <w:r w:rsidRPr="006A21F9">
        <w:rPr>
          <w:lang w:val="ru-RU"/>
        </w:rPr>
        <w:t>”（马太福音26:27-28）。 因此，如果所有基督徒——无论是神职人员还是平信徒——都应当领受圣体圣事（这也是罗马教会所教导的），而根据主的规定，圣体圣事的本质同样包含这两种圣体形式；并且如果基督本人吩咐要同时以这两种形式领受此圣事 ： 那么，剥夺平信徒领受主的圣杯，就意味着使他们无法完全领受这一至高圣事，并违背了上帝的诫命。拉丁礼派所主张的——即平信徒即使仅领受一种圣体形式也能完全领受圣体圣事——</w:t>
      </w:r>
      <w:r w:rsidRPr="006A21F9">
        <w:rPr>
          <w:b/>
          <w:bCs/>
          <w:lang w:val="ru-RU"/>
        </w:rPr>
        <w:t>是</w:t>
      </w:r>
      <w:r w:rsidRPr="006A21F9">
        <w:rPr>
          <w:lang w:val="ru-RU"/>
        </w:rPr>
        <w:t>毫无根据的：因为哪里有基督的圣体，哪里就有基督的圣血。</w:t>
      </w:r>
      <w:r>
        <w:rPr>
          <w:rStyle w:val="FootnoteReference"/>
        </w:rPr>
        <w:footnoteReference w:id="1255"/>
      </w:r>
      <w:r w:rsidRPr="006A21F9">
        <w:rPr>
          <w:lang w:val="ru-RU"/>
        </w:rPr>
        <w:t xml:space="preserve"> 这种推论是站不住脚的，因为我们确切地知道，主乐意设立圣体圣事并非仅以一种饼的形式——以便借此形式将祂的圣体与圣血一同赐予信徒——而是以两种形式：即以饼的形式赐予祂的圣体，以酒的形式赐予祂的圣血。 此外，如果平信徒仅以一种形式领受圣体就已足够，那么为何这对牧者而言却被视为不足呢？人们还</w:t>
      </w:r>
      <w:r w:rsidRPr="006A21F9">
        <w:rPr>
          <w:b/>
          <w:bCs/>
          <w:lang w:val="ru-RU"/>
        </w:rPr>
        <w:t>徒劳地——b）</w:t>
      </w:r>
      <w:r w:rsidRPr="006A21F9">
        <w:rPr>
          <w:lang w:val="ru-RU"/>
        </w:rPr>
        <w:t>声称：倘若基督本意仅是设立圣体圣事以向信徒传授祂的肉身与宝血，祂本可仅以一种饼的形式设立； 但主愿将圣体圣事同时确立为祭礼，因此以两种独立的形式——即饼的形式和酒的形式——确立了它，分别对应祂在十字架上受苦的身体，以及当时从祂被刺穿的肋旁流出的、混杂着水的宝血。</w:t>
      </w:r>
      <w:r>
        <w:rPr>
          <w:rStyle w:val="FootnoteReference"/>
        </w:rPr>
        <w:lastRenderedPageBreak/>
        <w:footnoteReference w:id="1256"/>
      </w:r>
      <w:r w:rsidRPr="006A21F9">
        <w:rPr>
          <w:lang w:val="ru-RU"/>
        </w:rPr>
        <w:t xml:space="preserve"> 不，从福音书的记载中可以得知，主确立圣体圣事时，正是将其作为以两种形式呈现的圣礼：因为祂特意以饼的形式向信徒传授自己的身体，同样，祂也特意以酒的形式向信徒传授自己的宝血，并说：“你们都喝这个，因为这是我的宝血……” 最后，那些以“主关于圣杯的命令——‘你们都喝吧’——实际上仅针对使徒们，进而针对他们的继任者——牧者，而非所有信徒”为由为自己辩护的人，也是徒劳的。</w:t>
      </w:r>
      <w:r>
        <w:rPr>
          <w:rStyle w:val="FootnoteReference"/>
        </w:rPr>
        <w:footnoteReference w:id="1257"/>
      </w:r>
      <w:r w:rsidRPr="006A21F9">
        <w:rPr>
          <w:lang w:val="ru-RU"/>
        </w:rPr>
        <w:t xml:space="preserve"> 确实，在最后的晚餐上，这一命令，正如“吃主的身体”的命令一样，直接针对的只是使徒们； 但当时信徒群体仅由使徒们组成，基督对使徒们所说的话并非总是仅针对他们，相反，许多内容当时就适用于、现在也适用于全体基督徒（参见《约翰福音》第14-17章）。 因此，这里还需要进一步厘清：主关于领受祂以饼为形体的圣体、继而领受祂以酒为形体的圣血的诫命，究竟是以何种意义针对使徒们的——究竟仅针对使徒们本身，还是普遍针对全体信徒。使徒们自己已对此作出了极为明确的裁决，他们接受了后一种意义上的诫命。 因为：</w:t>
      </w:r>
    </w:p>
    <w:p w14:paraId="5EDC4831" w14:textId="77777777" w:rsidR="00BE1885" w:rsidRPr="006A21F9" w:rsidRDefault="00BE1885" w:rsidP="00BE1885">
      <w:pPr>
        <w:ind w:firstLine="708"/>
        <w:rPr>
          <w:lang w:val="ru-RU"/>
        </w:rPr>
      </w:pPr>
      <w:r w:rsidRPr="006A21F9">
        <w:rPr>
          <w:b/>
          <w:bCs/>
          <w:lang w:val="ru-RU"/>
        </w:rPr>
        <w:t>2)</w:t>
      </w:r>
      <w:r w:rsidRPr="006A21F9">
        <w:rPr>
          <w:lang w:val="ru-RU"/>
        </w:rPr>
        <w:t xml:space="preserve"> 使徒们在圣灵的引导下，仅将主关于为纪念祂而举行圣餐礼的诫命适用于他们自己及其继任者； 而关于以两种形式领受圣体的诫命，则适用于所有信徒，因此他们向所有人传授以两种形式领受圣体的圣事，并命令所有人以两种形式领受圣体。 </w:t>
      </w:r>
      <w:r w:rsidRPr="006A21F9">
        <w:rPr>
          <w:i/>
          <w:iCs/>
          <w:lang w:val="ru-RU"/>
        </w:rPr>
        <w:t>“人应当自己省察</w:t>
      </w:r>
      <w:r w:rsidRPr="006A21F9">
        <w:rPr>
          <w:lang w:val="ru-RU"/>
        </w:rPr>
        <w:t>，”圣使徒保罗说——他正是将从主那里领受的关于圣体圣事的内容传给了我们</w:t>
      </w:r>
      <w:r w:rsidRPr="006A21F9">
        <w:rPr>
          <w:i/>
          <w:iCs/>
          <w:lang w:val="ru-RU"/>
        </w:rPr>
        <w:t>——“然后才吃这饼、喝这杯。 因为人若不分辨主的身体，就吃喝自己的定罪了</w:t>
      </w:r>
      <w:r w:rsidRPr="006A21F9">
        <w:rPr>
          <w:lang w:val="ru-RU"/>
        </w:rPr>
        <w:t>[(林前 11:28-29</w:t>
      </w:r>
      <w:r w:rsidRPr="009C4F4A">
        <w:rPr>
          <w:lang w:val="ru-RU"/>
        </w:rPr>
        <w:t>)</w:t>
      </w:r>
      <w:r w:rsidRPr="006A21F9">
        <w:rPr>
          <w:lang w:val="ru-RU"/>
        </w:rPr>
        <w:t>，(林前 24-27)</w:t>
      </w:r>
      <w:r w:rsidRPr="009C4F4A">
        <w:rPr>
          <w:lang w:val="ru-RU"/>
        </w:rPr>
        <w:t>]</w:t>
      </w:r>
      <w:r w:rsidRPr="006A21F9">
        <w:rPr>
          <w:lang w:val="ru-RU"/>
        </w:rPr>
        <w:t>。 此外，在劝诫这些基督徒远离吃偶像祭物之前，他还写道：</w:t>
      </w:r>
      <w:r w:rsidRPr="006A21F9">
        <w:rPr>
          <w:i/>
          <w:iCs/>
          <w:lang w:val="ru-RU"/>
        </w:rPr>
        <w:t>我以明智之人的身份对你们说；你们自己要斟酌我所说的话。我们所祝福的这杯，岂不是领受基督的血吗？ 我们所掰开的饼，岂不是领受基督的身体吗？……你们不能既喝主的杯，又喝魔鬼的杯；不能既参与主的筵席，又参与魔鬼的筵席</w:t>
      </w:r>
      <w:r w:rsidRPr="006A21F9">
        <w:rPr>
          <w:lang w:val="ru-RU"/>
        </w:rPr>
        <w:t>（林前10:15-16, 21）。 以下证据进一步证明：使徒们将主关于以两种形式领受圣餐的诫命适用于所有基督徒——无论是属灵的还是世俗的——并教导所有人，也吩咐他们以两种形式传授圣礼：</w:t>
      </w:r>
    </w:p>
    <w:p w14:paraId="43CA7151" w14:textId="77777777" w:rsidR="00BE1885" w:rsidRPr="006A21F9" w:rsidRDefault="00BE1885" w:rsidP="00BE1885">
      <w:pPr>
        <w:ind w:firstLine="708"/>
        <w:rPr>
          <w:lang w:val="ru-RU"/>
        </w:rPr>
      </w:pPr>
      <w:r w:rsidRPr="006A21F9">
        <w:rPr>
          <w:b/>
          <w:bCs/>
          <w:lang w:val="ru-RU"/>
        </w:rPr>
        <w:t>3)</w:t>
      </w:r>
      <w:r w:rsidRPr="006A21F9">
        <w:rPr>
          <w:lang w:val="ru-RU"/>
        </w:rPr>
        <w:t xml:space="preserve"> 早期基督教会的事例。毫无疑问，无论在其他方面，还是在传授如此重大的圣事方面，该教会都只能坚定不移地遵循直接 从圣使徒那里接受的教导。 可靠的见证人：尤斯丁（</w:t>
      </w:r>
      <w:r>
        <w:rPr>
          <w:rStyle w:val="FootnoteReference"/>
        </w:rPr>
        <w:footnoteReference w:id="1258"/>
      </w:r>
      <w:r w:rsidRPr="006A21F9">
        <w:rPr>
          <w:lang w:val="ru-RU"/>
        </w:rPr>
        <w:t xml:space="preserve"> ）、伊雷奈乌斯（</w:t>
      </w:r>
      <w:r>
        <w:rPr>
          <w:rStyle w:val="FootnoteReference"/>
        </w:rPr>
        <w:footnoteReference w:id="1259"/>
      </w:r>
      <w:r w:rsidRPr="006A21F9">
        <w:rPr>
          <w:lang w:val="ru-RU"/>
        </w:rPr>
        <w:t xml:space="preserve"> ）、特土良（</w:t>
      </w:r>
      <w:r>
        <w:rPr>
          <w:rStyle w:val="FootnoteReference"/>
        </w:rPr>
        <w:footnoteReference w:id="1260"/>
      </w:r>
      <w:r w:rsidRPr="006A21F9">
        <w:rPr>
          <w:lang w:val="ru-RU"/>
        </w:rPr>
        <w:t xml:space="preserve"> ）、基普里安（</w:t>
      </w:r>
      <w:r>
        <w:rPr>
          <w:rStyle w:val="FootnoteReference"/>
        </w:rPr>
        <w:footnoteReference w:id="1261"/>
      </w:r>
      <w:r w:rsidRPr="006A21F9">
        <w:rPr>
          <w:lang w:val="ru-RU"/>
        </w:rPr>
        <w:t xml:space="preserve"> ）、耶路撒冷的西里尔、约翰·金口等人（</w:t>
      </w:r>
      <w:r>
        <w:rPr>
          <w:rStyle w:val="FootnoteReference"/>
        </w:rPr>
        <w:footnoteReference w:id="1262"/>
      </w:r>
      <w:r w:rsidRPr="006A21F9">
        <w:rPr>
          <w:lang w:val="ru-RU"/>
        </w:rPr>
        <w:t xml:space="preserve"> ），一致表明：自起初起，在整个基督教世界中，圣体圣事向所有信徒传授的就不是以一种形式，而是</w:t>
      </w:r>
      <w:r w:rsidRPr="006A21F9">
        <w:rPr>
          <w:lang w:val="ru-RU"/>
        </w:rPr>
        <w:lastRenderedPageBreak/>
        <w:t>以两种形式。 不仅如此：还有证据——包括教皇本人的证词——表明，某些基督徒仅领受救主的一体而不领受祂的宝血，被视为对圣事的极大亵渎，是分裂唯一圣事的行径，因此被严加禁止。 例如，大教宗利奥（5世纪）在四旬期的一次讲道中，曾向听众谈及此类基督徒：“他们用不配的嘴唇领受基督的圣体，却完全回避我们救赎的圣血。 为此，我们特此向您的圣洁禀报此事，以便根据上述特征识别此类人，并在揭露其亵渎神明的伪装后，将其作为已被查明和已知的人，由教会当局从圣徒的团体中开除。”</w:t>
      </w:r>
      <w:r>
        <w:rPr>
          <w:rStyle w:val="FootnoteReference"/>
        </w:rPr>
        <w:footnoteReference w:id="1263"/>
      </w:r>
      <w:r w:rsidRPr="006A21F9">
        <w:rPr>
          <w:lang w:val="ru-RU"/>
        </w:rPr>
        <w:t xml:space="preserve"> 同样，同世纪的教宗赫拉西乌斯曾写道：“我们发现，有些人仅满足于领受圣体的圣体部分，却拒绝领受圣血的圣爵。 我不知他们是从何种迷信中学会如此自我设限的；但毫无疑问，他们要么应当全然领受圣事，要么根本不应被允许参与其中：因为对同一圣事的分割，必然是对圣物的极大亵渎。”</w:t>
      </w:r>
      <w:r>
        <w:rPr>
          <w:rStyle w:val="FootnoteReference"/>
        </w:rPr>
        <w:footnoteReference w:id="1264"/>
      </w:r>
    </w:p>
    <w:p w14:paraId="486A1162" w14:textId="77777777" w:rsidR="00BE1885" w:rsidRPr="006A21F9" w:rsidRDefault="00BE1885" w:rsidP="00BE1885">
      <w:pPr>
        <w:ind w:firstLine="708"/>
        <w:rPr>
          <w:lang w:val="ru-RU"/>
        </w:rPr>
      </w:pPr>
      <w:r w:rsidRPr="006A21F9">
        <w:rPr>
          <w:b/>
          <w:bCs/>
          <w:lang w:val="ru-RU"/>
        </w:rPr>
        <w:t>4)</w:t>
      </w:r>
      <w:r w:rsidRPr="006A21F9">
        <w:rPr>
          <w:lang w:val="ru-RU"/>
        </w:rPr>
        <w:t xml:space="preserve"> 罗马作家们自己也承认，在最初的十二个世纪里，无论是东方教会还是西方教会，都向所有基督徒以两种形式施予圣体圣事。</w:t>
      </w:r>
      <w:r>
        <w:rPr>
          <w:rStyle w:val="FootnoteReference"/>
        </w:rPr>
        <w:footnoteReference w:id="1265"/>
      </w:r>
      <w:r w:rsidRPr="006A21F9">
        <w:rPr>
          <w:lang w:val="ru-RU"/>
        </w:rPr>
        <w:t xml:space="preserve"> 他们仅为自圆其说而指出，当时尚不存在后来促使西方教会禁止平信徒使用主的圣杯的那些理由。</w:t>
      </w:r>
      <w:r>
        <w:rPr>
          <w:rStyle w:val="FootnoteReference"/>
        </w:rPr>
        <w:footnoteReference w:id="1266"/>
      </w:r>
      <w:r w:rsidRPr="006A21F9">
        <w:rPr>
          <w:lang w:val="ru-RU"/>
        </w:rPr>
        <w:t xml:space="preserve"> 然而，在审视这些理由时，却发现它们在基督教早期就已存在。</w:t>
      </w:r>
      <w:r>
        <w:rPr>
          <w:rStyle w:val="FootnoteReference"/>
        </w:rPr>
        <w:footnoteReference w:id="1267"/>
      </w:r>
      <w:r w:rsidRPr="006A21F9">
        <w:rPr>
          <w:lang w:val="ru-RU"/>
        </w:rPr>
        <w:t xml:space="preserve"> 他们还补充道，西方教会本身“从未通过任何明确的法令禁止使用圣杯，直到15世纪，一些不安分且煽动性的人开始指责教会因此陷入了巨大的迷误并违反了神的诫命。”</w:t>
      </w:r>
      <w:r>
        <w:rPr>
          <w:rStyle w:val="FootnoteReference"/>
        </w:rPr>
        <w:footnoteReference w:id="1268"/>
      </w:r>
      <w:r w:rsidRPr="006A21F9">
        <w:rPr>
          <w:lang w:val="ru-RU"/>
        </w:rPr>
        <w:t xml:space="preserve"> 但这种辩解反倒成了新的指责，表明其仍陷于谬误之中。</w:t>
      </w:r>
    </w:p>
    <w:p w14:paraId="2829B817" w14:textId="77777777" w:rsidR="00BE1885" w:rsidRPr="006A21F9" w:rsidRDefault="00BE1885" w:rsidP="00BE1885">
      <w:pPr>
        <w:ind w:firstLine="708"/>
        <w:rPr>
          <w:lang w:val="ru-RU"/>
        </w:rPr>
      </w:pPr>
      <w:r w:rsidRPr="006A21F9">
        <w:rPr>
          <w:lang w:val="ru-RU"/>
        </w:rPr>
        <w:t>拉丁教徒为捍卫其新规，列举了以下主要依据：</w:t>
      </w:r>
    </w:p>
    <w:p w14:paraId="63881BE0"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无论是西方还是东方教会，自古以来都在一年中的特定日子举行预圣体礼仪，据称此时圣体是以一块饼的形式分赐的。</w:t>
      </w:r>
      <w:r>
        <w:rPr>
          <w:rStyle w:val="FootnoteReference"/>
        </w:rPr>
        <w:footnoteReference w:id="1269"/>
      </w:r>
      <w:r w:rsidRPr="006A21F9">
        <w:rPr>
          <w:lang w:val="ru-RU"/>
        </w:rPr>
        <w:t xml:space="preserve"> 但众所周知，即使在这场圣礼中，圣体也是以两种形态同时分赐的：因为根据东正教会的礼仪规程，在用于举行圣礼的预先祝圣的圣体中，主的圣体已浸润于祂的圣血之中。</w:t>
      </w:r>
    </w:p>
    <w:p w14:paraId="77A25230"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据称，为了给垂危的病人临终祝福，教会一直以单一种形式——即面饼——分发圣体； 仿佛在基督教早期，信徒们常将圣体带回家中，有些人随身携带去旅行，而隐士则带入旷野，并同样仅以饼的形式领受圣体 。</w:t>
      </w:r>
      <w:r>
        <w:rPr>
          <w:rStyle w:val="FootnoteReference"/>
        </w:rPr>
        <w:footnoteReference w:id="1270"/>
      </w:r>
      <w:r w:rsidRPr="006A21F9">
        <w:rPr>
          <w:lang w:val="ru-RU"/>
        </w:rPr>
        <w:t xml:space="preserve"> 但东正教会过去和现在都使用所谓的“备用圣体”来为病人送行，其中基督的圣体浸满了圣血。其他基督徒也可以以同样的方式从教会牧者的手中领受基督的圣体，并将其带回家中、带在旅途中或带入沙漠中领受圣餐。 因此，如果某处提到曾向这些基督徒和病人分发基督圣体，——这并不意味着他们是在仅以饼的形式而非两种形式并存的情况下领受圣餐的。 另一方面，有明确的证据表明，临终的病人也在自己家中以圣体圣血的两种形式领受圣餐，</w:t>
      </w:r>
      <w:r>
        <w:rPr>
          <w:rStyle w:val="FootnoteReference"/>
        </w:rPr>
        <w:footnoteReference w:id="1271"/>
      </w:r>
      <w:r w:rsidRPr="006A21F9">
        <w:rPr>
          <w:lang w:val="ru-RU"/>
        </w:rPr>
        <w:t xml:space="preserve"> </w:t>
      </w:r>
      <w:r w:rsidRPr="006A21F9">
        <w:rPr>
          <w:lang w:val="ru-RU"/>
        </w:rPr>
        <w:lastRenderedPageBreak/>
        <w:t>；而那些将圣礼带去旅行或进入旷野的基督徒，同样以这两种形式持有这些圣礼。</w:t>
      </w:r>
      <w:r>
        <w:rPr>
          <w:rStyle w:val="FootnoteReference"/>
        </w:rPr>
        <w:footnoteReference w:id="1272"/>
      </w:r>
      <w:r w:rsidRPr="006A21F9">
        <w:rPr>
          <w:lang w:val="ru-RU"/>
        </w:rPr>
        <w:t xml:space="preserve"> 即使假设有时病人或其他基督徒出于某种原因仅以饼或酒其中一种形式领受圣体，这也应被视为个别、特殊的情况，是规则的例外，绝非通则。</w:t>
      </w:r>
    </w:p>
    <w:p w14:paraId="2937F845"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最后，关于教会仅以酒的形式向婴孩传授圣事的惯例。</w:t>
      </w:r>
      <w:r>
        <w:rPr>
          <w:rStyle w:val="FootnoteReference"/>
        </w:rPr>
        <w:footnoteReference w:id="1273"/>
      </w:r>
      <w:r w:rsidRPr="006A21F9">
        <w:rPr>
          <w:lang w:val="ru-RU"/>
        </w:rPr>
        <w:t xml:space="preserve"> 但众所周知，东正教会是让婴孩从盛有饼与酒——亦即基督的圣体与圣血——的圣爵中领受，此时这两种圣物已然结合，仿佛融为一体。 此外，这种让婴孩领受圣餐的做法是出于绝对的必要性，直到他们能够以饼的形式领受基督的圣体为止。</w:t>
      </w:r>
    </w:p>
    <w:p w14:paraId="633C3A3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只要我们以配得的方式领受圣体圣事，其救赎的果效或作用如下：</w:t>
      </w:r>
    </w:p>
    <w:p w14:paraId="1892574E" w14:textId="77777777" w:rsidR="00BE1885" w:rsidRPr="006A21F9" w:rsidRDefault="00BE1885" w:rsidP="00BE1885">
      <w:pPr>
        <w:ind w:firstLine="708"/>
        <w:rPr>
          <w:lang w:val="ru-RU"/>
        </w:rPr>
      </w:pPr>
      <w:r w:rsidRPr="006A21F9">
        <w:rPr>
          <w:b/>
          <w:bCs/>
          <w:lang w:val="ru-RU"/>
        </w:rPr>
        <w:t>1)</w:t>
      </w:r>
      <w:r w:rsidRPr="006A21F9">
        <w:rPr>
          <w:lang w:val="ru-RU"/>
        </w:rPr>
        <w:t xml:space="preserve"> 它使我们真诚地与主联合： 主亲自见证道：“</w:t>
      </w:r>
      <w:r w:rsidRPr="006A21F9">
        <w:rPr>
          <w:i/>
          <w:iCs/>
          <w:lang w:val="ru-RU"/>
        </w:rPr>
        <w:t>吃我肉、喝我血的人，就住在我的里面，我也住在他的</w:t>
      </w:r>
      <w:r w:rsidRPr="006A21F9">
        <w:rPr>
          <w:lang w:val="ru-RU"/>
        </w:rPr>
        <w:t>里面”（约6:56），因此，当我们领受基督的圣体和圣血时，便如圣父们所言，成为祂的肢体、与祂合而为一、成为基督的承载者，并分享神性。</w:t>
      </w:r>
      <w:r>
        <w:rPr>
          <w:rStyle w:val="FootnoteReference"/>
        </w:rPr>
        <w:footnoteReference w:id="1274"/>
      </w:r>
    </w:p>
    <w:p w14:paraId="412C0076" w14:textId="77777777" w:rsidR="00BE1885" w:rsidRPr="006A21F9" w:rsidRDefault="00BE1885" w:rsidP="00BE1885">
      <w:pPr>
        <w:ind w:firstLine="708"/>
        <w:rPr>
          <w:lang w:val="ru-RU"/>
        </w:rPr>
      </w:pPr>
      <w:r w:rsidRPr="006A21F9">
        <w:rPr>
          <w:b/>
          <w:bCs/>
          <w:lang w:val="ru-RU"/>
        </w:rPr>
        <w:t>2)</w:t>
      </w:r>
      <w:r w:rsidRPr="006A21F9">
        <w:rPr>
          <w:lang w:val="ru-RU"/>
        </w:rPr>
        <w:t xml:space="preserve"> 它滋养我们的身体和灵魂，并有助于我们在灵性生活中得到坚固、提升和成长：</w:t>
      </w:r>
      <w:r w:rsidRPr="006A21F9">
        <w:rPr>
          <w:i/>
          <w:iCs/>
          <w:lang w:val="ru-RU"/>
        </w:rPr>
        <w:t>因为</w:t>
      </w:r>
      <w:r w:rsidRPr="006A21F9">
        <w:rPr>
          <w:lang w:val="ru-RU"/>
        </w:rPr>
        <w:t>救主说：</w:t>
      </w:r>
      <w:r w:rsidRPr="006A21F9">
        <w:rPr>
          <w:i/>
          <w:iCs/>
          <w:lang w:val="ru-RU"/>
        </w:rPr>
        <w:t>“我的肉真是可吃的，我的血真是可喝的</w:t>
      </w:r>
      <w:r w:rsidRPr="006A21F9">
        <w:rPr>
          <w:lang w:val="ru-RU"/>
        </w:rPr>
        <w:t xml:space="preserve">”；此外： </w:t>
      </w:r>
      <w:r w:rsidRPr="006A21F9">
        <w:rPr>
          <w:i/>
          <w:iCs/>
          <w:lang w:val="ru-RU"/>
        </w:rPr>
        <w:t>“正如那活着的父差遣了我，我因父而活；同样，吃我的人也要因我而活</w:t>
      </w:r>
      <w:r w:rsidRPr="006A21F9">
        <w:rPr>
          <w:lang w:val="ru-RU"/>
        </w:rPr>
        <w:t>”（《约翰福音》6:55-57）。 如果连身体摄入的普通健康食物，在滋养身体的同时，自然也能恢复并治愈其衰弱的力量，赋予它新的活力，并促进其进一步成长或延续生命： 那么，我们更应期待，在圣体圣事中我们以应有的尊严领受的神圣圣体，不仅能为身体，更能主要为灵魂带来类似的救赎果实。 当我们领受这奇妙的圣餐时，便直接与基督联合——祂是一切生命与恩典的源头，也是</w:t>
      </w:r>
      <w:r w:rsidRPr="006A21F9">
        <w:rPr>
          <w:i/>
          <w:iCs/>
          <w:lang w:val="ru-RU"/>
        </w:rPr>
        <w:t>维持生命与敬虔所需</w:t>
      </w:r>
      <w:r w:rsidRPr="006A21F9">
        <w:rPr>
          <w:lang w:val="ru-RU"/>
        </w:rPr>
        <w:t>的一切属灵恩赐的赐予者（彼得后书 1:3）。 圣父们和教会的导师们特别教导说，圣体圣事作为救赎之粮：</w:t>
      </w:r>
      <w:r w:rsidRPr="006A21F9">
        <w:rPr>
          <w:b/>
          <w:bCs/>
          <w:lang w:val="ru-RU"/>
        </w:rPr>
        <w:t>a)</w:t>
      </w:r>
      <w:r w:rsidRPr="006A21F9">
        <w:rPr>
          <w:lang w:val="ru-RU"/>
        </w:rPr>
        <w:t xml:space="preserve"> 滋养并强健我们的身体，</w:t>
      </w:r>
      <w:r>
        <w:rPr>
          <w:rStyle w:val="FootnoteReference"/>
        </w:rPr>
        <w:footnoteReference w:id="1275"/>
      </w:r>
      <w:r w:rsidRPr="006A21F9">
        <w:rPr>
          <w:lang w:val="ru-RU"/>
        </w:rPr>
        <w:t xml:space="preserve"> </w:t>
      </w:r>
      <w:r w:rsidRPr="006A21F9">
        <w:rPr>
          <w:b/>
          <w:bCs/>
          <w:lang w:val="ru-RU"/>
        </w:rPr>
        <w:t>同时——</w:t>
      </w:r>
      <w:r w:rsidRPr="006A21F9">
        <w:rPr>
          <w:b/>
          <w:bCs/>
          <w:lang w:val="ru-RU"/>
        </w:rPr>
        <w:lastRenderedPageBreak/>
        <w:t>b)</w:t>
      </w:r>
      <w:r w:rsidRPr="006A21F9">
        <w:rPr>
          <w:lang w:val="ru-RU"/>
        </w:rPr>
        <w:t xml:space="preserve"> 滋养，</w:t>
      </w:r>
      <w:r>
        <w:rPr>
          <w:rStyle w:val="FootnoteReference"/>
        </w:rPr>
        <w:footnoteReference w:id="1276"/>
      </w:r>
      <w:r w:rsidRPr="006A21F9">
        <w:rPr>
          <w:lang w:val="ru-RU"/>
        </w:rPr>
        <w:t xml:space="preserve"> 强健，</w:t>
      </w:r>
      <w:r>
        <w:rPr>
          <w:rStyle w:val="FootnoteReference"/>
        </w:rPr>
        <w:footnoteReference w:id="1277"/>
      </w:r>
      <w:r w:rsidRPr="006A21F9">
        <w:rPr>
          <w:lang w:val="ru-RU"/>
        </w:rPr>
        <w:t xml:space="preserve"> 使我们的灵魂复活；</w:t>
      </w:r>
      <w:r>
        <w:rPr>
          <w:rStyle w:val="FootnoteReference"/>
        </w:rPr>
        <w:footnoteReference w:id="1278"/>
      </w:r>
      <w:r w:rsidRPr="006A21F9">
        <w:rPr>
          <w:lang w:val="ru-RU"/>
        </w:rPr>
        <w:t xml:space="preserve"> </w:t>
      </w:r>
      <w:r w:rsidRPr="006A21F9">
        <w:rPr>
          <w:b/>
          <w:bCs/>
          <w:lang w:val="ru-RU"/>
        </w:rPr>
        <w:t>c)</w:t>
      </w:r>
      <w:r w:rsidRPr="006A21F9">
        <w:rPr>
          <w:lang w:val="ru-RU"/>
        </w:rPr>
        <w:t xml:space="preserve"> 有助于治愈我们的属灵疾病并洁净 罪过；</w:t>
      </w:r>
      <w:r>
        <w:rPr>
          <w:rStyle w:val="FootnoteReference"/>
        </w:rPr>
        <w:footnoteReference w:id="1279"/>
      </w:r>
      <w:r w:rsidRPr="006A21F9">
        <w:rPr>
          <w:lang w:val="ru-RU"/>
        </w:rPr>
        <w:t xml:space="preserve"> </w:t>
      </w:r>
      <w:r w:rsidRPr="006A21F9">
        <w:rPr>
          <w:b/>
          <w:bCs/>
          <w:lang w:val="ru-RU"/>
        </w:rPr>
        <w:t>d)</w:t>
      </w:r>
      <w:r w:rsidRPr="006A21F9">
        <w:rPr>
          <w:lang w:val="ru-RU"/>
        </w:rPr>
        <w:t xml:space="preserve"> 使我们成圣；</w:t>
      </w:r>
      <w:r>
        <w:rPr>
          <w:rStyle w:val="FootnoteReference"/>
        </w:rPr>
        <w:footnoteReference w:id="1280"/>
      </w:r>
      <w:r w:rsidRPr="006A21F9">
        <w:rPr>
          <w:lang w:val="ru-RU"/>
        </w:rPr>
        <w:t xml:space="preserve"> </w:t>
      </w:r>
      <w:r w:rsidRPr="006A21F9">
        <w:rPr>
          <w:b/>
          <w:bCs/>
          <w:lang w:val="ru-RU"/>
        </w:rPr>
        <w:t>e)</w:t>
      </w:r>
      <w:r w:rsidRPr="006A21F9">
        <w:rPr>
          <w:lang w:val="ru-RU"/>
        </w:rPr>
        <w:t xml:space="preserve"> 使我们在虔诚的事工上坚定不移，成为我们救恩之敌无法战胜的劲敌。</w:t>
      </w:r>
      <w:r>
        <w:rPr>
          <w:rStyle w:val="FootnoteReference"/>
        </w:rPr>
        <w:footnoteReference w:id="1281"/>
      </w:r>
    </w:p>
    <w:p w14:paraId="501A8063" w14:textId="77777777" w:rsidR="00BE1885" w:rsidRPr="006A21F9" w:rsidRDefault="00BE1885" w:rsidP="00BE1885">
      <w:pPr>
        <w:ind w:firstLine="708"/>
        <w:rPr>
          <w:lang w:val="ru-RU"/>
        </w:rPr>
      </w:pPr>
      <w:r w:rsidRPr="006A21F9">
        <w:rPr>
          <w:b/>
          <w:bCs/>
          <w:lang w:val="ru-RU"/>
        </w:rPr>
        <w:t>3)</w:t>
      </w:r>
      <w:r w:rsidRPr="006A21F9">
        <w:rPr>
          <w:lang w:val="ru-RU"/>
        </w:rPr>
        <w:t xml:space="preserve"> 最后，我们若能以应有的尊严领受这一圣礼，它便成为我们未来复活与永享福乐之生命的凭据。 救主说：</w:t>
      </w:r>
      <w:r w:rsidRPr="006A21F9">
        <w:rPr>
          <w:i/>
          <w:iCs/>
          <w:lang w:val="ru-RU"/>
        </w:rPr>
        <w:t>“吃我肉、喝我血的人就有永生，我将在末日使他复活……吃这饼的人必永远活着</w:t>
      </w:r>
      <w:r w:rsidRPr="006A21F9">
        <w:rPr>
          <w:lang w:val="ru-RU"/>
        </w:rPr>
        <w:t>”（约6:54-58）。 圣父们曾说：“（圣体圣事）是通往不朽的良药，是免于死亡、使人永远活在耶稣基督里的保障。”</w:t>
      </w:r>
      <w:r>
        <w:rPr>
          <w:rStyle w:val="FootnoteReference"/>
        </w:rPr>
        <w:footnoteReference w:id="1282"/>
      </w:r>
      <w:r w:rsidRPr="006A21F9">
        <w:rPr>
          <w:lang w:val="ru-RU"/>
        </w:rPr>
        <w:t xml:space="preserve"> “领受圣体圣事的身体，已不再是会朽坏的，而是怀有复活进入永生的希望。”</w:t>
      </w:r>
      <w:r>
        <w:rPr>
          <w:rStyle w:val="FootnoteReference"/>
        </w:rPr>
        <w:footnoteReference w:id="1283"/>
      </w:r>
      <w:r w:rsidRPr="006A21F9">
        <w:rPr>
          <w:lang w:val="ru-RU"/>
        </w:rPr>
        <w:t xml:space="preserve"> 我们领受基督的圣体，是为了能成为永生的参与者。”</w:t>
      </w:r>
      <w:r>
        <w:rPr>
          <w:rStyle w:val="FootnoteReference"/>
        </w:rPr>
        <w:footnoteReference w:id="1284"/>
      </w:r>
    </w:p>
    <w:p w14:paraId="23BC47C8" w14:textId="77777777" w:rsidR="00BE1885" w:rsidRPr="006A21F9" w:rsidRDefault="00BE1885" w:rsidP="00BE1885">
      <w:pPr>
        <w:rPr>
          <w:lang w:val="ru-RU"/>
        </w:rPr>
      </w:pPr>
      <w:r w:rsidRPr="006A21F9">
        <w:rPr>
          <w:lang w:val="ru-RU"/>
        </w:rPr>
        <w:tab/>
        <w:t>然而必须记住，至圣圣体所带来的所有上述救赎果实，仅赐予那些经过适当准备并以合宜之态领受圣体的基督徒。 至于那些未经适当准备就妄自领受、不配地参与圣餐的人，这种不配地领受主的圣体和圣血的行为，只会招致更大的定罪。圣使徒如此教导，并作证说：</w:t>
      </w:r>
      <w:r w:rsidRPr="006A21F9">
        <w:rPr>
          <w:i/>
          <w:iCs/>
          <w:lang w:val="ru-RU"/>
        </w:rPr>
        <w:t>凡不配地吃这饼、喝这杯的人，就是干犯主的圣体和圣血…… 因为人若不按理吃喝，就是吃喝自己的定罪，因为他不分辨主的身体</w:t>
      </w:r>
      <w:r w:rsidRPr="006A21F9">
        <w:rPr>
          <w:lang w:val="ru-RU"/>
        </w:rPr>
        <w:t>（林前11:27-29）。 圣正教会亦如此教导，因此总是事先关照其信众，使他们为值得领受基督圣体圣血做好准备，而对于教会所知的那些不配者，则不允许他们参与此圣事（《东方教父关于正统信仰的书信》，第17条）。</w:t>
      </w:r>
    </w:p>
    <w:p w14:paraId="091A9A21" w14:textId="77777777" w:rsidR="00BE1885" w:rsidRPr="006A21F9" w:rsidRDefault="00BE1885" w:rsidP="00BE1885">
      <w:pPr>
        <w:rPr>
          <w:lang w:val="ru-RU"/>
        </w:rPr>
      </w:pPr>
    </w:p>
    <w:p w14:paraId="5C9788A0" w14:textId="77777777" w:rsidR="00BE1885" w:rsidRPr="006A21F9" w:rsidRDefault="00BE1885" w:rsidP="00BE1885">
      <w:pPr>
        <w:pStyle w:val="Heading5"/>
        <w:rPr>
          <w:lang w:val="ru-RU"/>
        </w:rPr>
      </w:pPr>
      <w:bookmarkStart w:id="833" w:name="_Toc133142987"/>
      <w:bookmarkStart w:id="834" w:name="_Toc133166344"/>
      <w:bookmarkStart w:id="835" w:name="_Toc182221554"/>
      <w:bookmarkStart w:id="836" w:name="_Toc238453121"/>
      <w:bookmarkStart w:id="837" w:name="_Toc238453921"/>
      <w:bookmarkStart w:id="838" w:name="_Toc238576581"/>
      <w:r w:rsidRPr="006A21F9">
        <w:rPr>
          <w:lang w:val="ru-RU"/>
        </w:rPr>
        <w:t>§219. 圣体圣事作为牺牲：</w:t>
      </w:r>
      <w:r w:rsidRPr="006A21F9">
        <w:rPr>
          <w:bCs/>
          <w:lang w:val="ru-RU"/>
        </w:rPr>
        <w:t>a)</w:t>
      </w:r>
      <w:r w:rsidRPr="006A21F9">
        <w:rPr>
          <w:lang w:val="ru-RU"/>
        </w:rPr>
        <w:t xml:space="preserve"> 此牺牲的真实性或有效性</w:t>
      </w:r>
      <w:bookmarkEnd w:id="833"/>
      <w:bookmarkEnd w:id="834"/>
      <w:bookmarkEnd w:id="835"/>
      <w:bookmarkEnd w:id="836"/>
      <w:bookmarkEnd w:id="837"/>
      <w:bookmarkEnd w:id="838"/>
    </w:p>
    <w:p w14:paraId="3C615B82" w14:textId="77777777" w:rsidR="00BE1885" w:rsidRPr="006A21F9" w:rsidRDefault="00BE1885" w:rsidP="00BE1885">
      <w:pPr>
        <w:ind w:firstLine="708"/>
        <w:rPr>
          <w:lang w:val="ru-RU"/>
        </w:rPr>
      </w:pPr>
      <w:r w:rsidRPr="006A21F9">
        <w:rPr>
          <w:lang w:val="ru-RU"/>
        </w:rPr>
        <w:t>正教会不仅相信并宣认至圣圣体圣事是真正的圣事，而且也相信并宣认——这与新教徒的谬误相反——</w:t>
      </w:r>
      <w:r>
        <w:rPr>
          <w:rStyle w:val="FootnoteReference"/>
        </w:rPr>
        <w:footnoteReference w:id="1285"/>
      </w:r>
      <w:r w:rsidRPr="006A21F9">
        <w:rPr>
          <w:lang w:val="ru-RU"/>
        </w:rPr>
        <w:t xml:space="preserve"> 圣体圣事同时也是真实、有效的牺牲， ——即在圣体圣事中，我们救主的圣体与圣血一方面作为食物赐予世人，另一方面又作为祭品为世人献给上帝（《正统教义》第一卷，对第107个问题的回答）。</w:t>
      </w:r>
    </w:p>
    <w:p w14:paraId="7E006DF4" w14:textId="77777777" w:rsidR="00BE1885" w:rsidRPr="006A21F9" w:rsidRDefault="00BE1885" w:rsidP="00BE1885">
      <w:pPr>
        <w:ind w:firstLine="708"/>
        <w:rPr>
          <w:lang w:val="ru-RU"/>
        </w:rPr>
      </w:pPr>
      <w:r w:rsidRPr="006A21F9">
        <w:rPr>
          <w:b/>
          <w:bCs/>
          <w:lang w:val="ru-RU"/>
        </w:rPr>
        <w:t>1)</w:t>
      </w:r>
      <w:r w:rsidRPr="006A21F9">
        <w:rPr>
          <w:lang w:val="ru-RU"/>
        </w:rPr>
        <w:t xml:space="preserve"> 这一真理是由救主基督亲自传授的。早在关于设立圣餐的预言性谈话中，当祂将圣餐称为一种圣礼和拯救人类的食物</w:t>
      </w:r>
      <w:r w:rsidRPr="006A21F9">
        <w:rPr>
          <w:i/>
          <w:iCs/>
          <w:lang w:val="ru-RU"/>
        </w:rPr>
        <w:t>——“吃这饼的人必永远活着</w:t>
      </w:r>
      <w:r w:rsidRPr="006A21F9">
        <w:rPr>
          <w:lang w:val="ru-RU"/>
        </w:rPr>
        <w:t xml:space="preserve">”时，主随即补充道： </w:t>
      </w:r>
      <w:r w:rsidRPr="006A21F9">
        <w:rPr>
          <w:i/>
          <w:iCs/>
          <w:lang w:val="ru-RU"/>
        </w:rPr>
        <w:lastRenderedPageBreak/>
        <w:t>“我所要赐给人的那饼，就是我的肉，我将为世人的生命舍</w:t>
      </w:r>
      <w:r w:rsidRPr="006A21F9">
        <w:rPr>
          <w:lang w:val="ru-RU"/>
        </w:rPr>
        <w:t>去”（约6:51），由此明确表明，这一圣礼同时具有向神献上赎罪祭的意义。同样，在实际设立圣餐时，当祂将蒙福的饼递给门徒时，对他们说： “你们领受，吃吧：这是我的身体”，并补充道：“这是为你们而擘开的”；当祂递上那蒙福的杯时，又说：“你们都喝这个：因为这是我立新约的血”，并补充道：“这是为你们和许多人流出的，为赦免罪过。” 此外，祂在圣体圣事中将自己的血与肉分离，以此指向祂在十字架上肉身的苦难以及从肋旁流出的宝血，从而明确表明：这一为纪念各各他赎罪牺牲而举行的圣事，本身就是一种牺牲。</w:t>
      </w:r>
    </w:p>
    <w:p w14:paraId="718720C6" w14:textId="77777777" w:rsidR="00BE1885" w:rsidRPr="006A21F9" w:rsidRDefault="00BE1885" w:rsidP="00BE1885">
      <w:pPr>
        <w:ind w:firstLine="708"/>
        <w:rPr>
          <w:lang w:val="ru-RU"/>
        </w:rPr>
      </w:pPr>
      <w:r w:rsidRPr="006A21F9">
        <w:rPr>
          <w:b/>
          <w:bCs/>
          <w:lang w:val="ru-RU"/>
        </w:rPr>
        <w:t>2)</w:t>
      </w:r>
      <w:r w:rsidRPr="006A21F9">
        <w:rPr>
          <w:lang w:val="ru-RU"/>
        </w:rPr>
        <w:t xml:space="preserve"> 这一真理也可从圣使徒的教导中看出。圣保罗为告诫哥林多基督徒不要参与异教的偶像祭祀，曾写道：</w:t>
      </w:r>
      <w:r w:rsidRPr="006A21F9">
        <w:rPr>
          <w:i/>
          <w:iCs/>
          <w:lang w:val="ru-RU"/>
        </w:rPr>
        <w:t>“你们看那按肉体属以色列的人： 那些吃祭物的人，岂不是与祭坛有份吗？” 我这话是什么意思呢？难道是说偶像算什么，或是说偶像祭算什么吗？不是的，而是说外邦人献祭，是献给鬼魔，而不是献给上帝。 但我不想你们与魔鬼有份。你们不能既喝主的杯，又喝魔鬼的杯；不能既参与主的筵席，又参与魔鬼的筵席</w:t>
      </w:r>
      <w:r w:rsidRPr="006A21F9">
        <w:rPr>
          <w:lang w:val="ru-RU"/>
        </w:rPr>
        <w:t xml:space="preserve">。（林前10:18-21） 在这里，这位语言学家将基督徒的筵席或祭坛与异教的筵席或祭坛相对比——尽管异教徒在后者上献上的祭物确实是不洁且违背神的——他显然认为，在基督徒的筵席上，通过主圣体圣血的圣礼，同样向神献上了真实而有效的祭物。 在另一封书信中，这位使徒劝诫信靠基督的信徒远离犹太人的献祭——这些献祭随着弥赛亚的降临已失去其意义与效力——他写道： </w:t>
      </w:r>
      <w:r w:rsidRPr="006A21F9">
        <w:rPr>
          <w:i/>
          <w:iCs/>
          <w:lang w:val="ru-RU"/>
        </w:rPr>
        <w:t>“我们有祭坛</w:t>
      </w:r>
      <w:r w:rsidRPr="006A21F9">
        <w:rPr>
          <w:lang w:val="ru-RU"/>
        </w:rPr>
        <w:t>（θυσιαστήριον——祭坛）</w:t>
      </w:r>
      <w:r w:rsidRPr="006A21F9">
        <w:rPr>
          <w:i/>
          <w:iCs/>
          <w:lang w:val="ru-RU"/>
        </w:rPr>
        <w:t>，会幕的侍奉者无权从那里取食”</w:t>
      </w:r>
      <w:r w:rsidRPr="009C4F4A">
        <w:rPr>
          <w:lang w:val="ru-RU"/>
        </w:rPr>
        <w:t>[</w:t>
      </w:r>
      <w:r w:rsidRPr="006A21F9">
        <w:rPr>
          <w:lang w:val="ru-RU"/>
        </w:rPr>
        <w:t>（希伯来书 13:10</w:t>
      </w:r>
      <w:r w:rsidRPr="009C4F4A">
        <w:rPr>
          <w:lang w:val="ru-RU"/>
        </w:rPr>
        <w:t>）</w:t>
      </w:r>
      <w:r w:rsidRPr="006A21F9">
        <w:rPr>
          <w:lang w:val="ru-RU"/>
        </w:rPr>
        <w:t xml:space="preserve">；引自 </w:t>
      </w:r>
      <w:r w:rsidRPr="009C4F4A">
        <w:rPr>
          <w:lang w:val="ru-RU"/>
        </w:rPr>
        <w:t>（</w:t>
      </w:r>
      <w:r w:rsidRPr="006A21F9">
        <w:rPr>
          <w:lang w:val="ru-RU"/>
        </w:rPr>
        <w:t>林前10:18）</w:t>
      </w:r>
      <w:r w:rsidRPr="009C4F4A">
        <w:rPr>
          <w:lang w:val="ru-RU"/>
        </w:rPr>
        <w:t>]</w:t>
      </w:r>
      <w:r w:rsidRPr="006A21F9">
        <w:rPr>
          <w:lang w:val="ru-RU"/>
        </w:rPr>
        <w:t>；他通过这一名称，以及新约祭坛与旧约祭坛的对比——犹太人确实曾在旧约祭坛上献上祭物并随后享用——再次见证：在基督教的祭坛上，同样向神献上了真正的祭物，而这祭物仅供信徒享用。</w:t>
      </w:r>
    </w:p>
    <w:p w14:paraId="680144F0" w14:textId="77777777" w:rsidR="00BE1885" w:rsidRPr="006A21F9" w:rsidRDefault="00BE1885" w:rsidP="00BE1885">
      <w:pPr>
        <w:ind w:firstLine="708"/>
        <w:rPr>
          <w:lang w:val="ru-RU"/>
        </w:rPr>
      </w:pPr>
      <w:r w:rsidRPr="006A21F9">
        <w:rPr>
          <w:b/>
          <w:bCs/>
          <w:lang w:val="ru-RU"/>
        </w:rPr>
        <w:t>3)</w:t>
      </w:r>
      <w:r w:rsidRPr="006A21F9">
        <w:rPr>
          <w:lang w:val="ru-RU"/>
        </w:rPr>
        <w:t xml:space="preserve"> 关于这新约的祭物，早在旧约时期就通过先知玛拉基向犹太人预言了：</w:t>
      </w:r>
      <w:r w:rsidRPr="006A21F9">
        <w:rPr>
          <w:i/>
          <w:iCs/>
          <w:lang w:val="ru-RU"/>
        </w:rPr>
        <w:t>万军之耶和华说：“我厌恶你们，你们手所献的祭物我也厌恶。 因为从日出之地到日落之处，我的名在万民中必为大；在各处人都要向我的名献上纯净的祭物；我的名在万民中必为大，万军之耶和华如此说</w:t>
      </w:r>
      <w:r w:rsidRPr="006A21F9">
        <w:rPr>
          <w:lang w:val="ru-RU"/>
        </w:rPr>
        <w:t>（玛拉基书1:10-11）。 这里显然指的是新的、纯洁的、蒙神喜悦的、遍及各地的祭物。这究竟是怎样的祭物呢？毫无疑问，不能将其理解为犹太人的祭物——经文在此明确表达了神对这些祭物的厌恶，而且这些祭物仅在特定地点献上； 更不用说异教的祭物了，根据整部圣经的精神，这些祭物在任何意义上都不能被称为纯洁且蒙神喜悦的。也不能将其理解为诗人所说的属灵的祭物（诗篇 60:19）： 因为此类祭物，从前一直都是由善良、虔诚的人献给神的——然而，预言中预言的是一种新的祭物，即此前从未有过的、可见的或外在的祭物，它与犹太人的祭物相对立，并将取而代之。 甚至也不能将其理解为主救主在十字架上为世人的罪所献上的那最纯洁、最蒙神喜悦的牺牲：因为这牺牲是在一个特定地点——各各他——献上的，而先知所预言的纯洁牺牲，却将在任何地方被献上。 因此，我们应当追随圣父们的教导，</w:t>
      </w:r>
      <w:r>
        <w:rPr>
          <w:rStyle w:val="FootnoteReference"/>
        </w:rPr>
        <w:footnoteReference w:id="1286"/>
      </w:r>
      <w:r w:rsidRPr="006A21F9">
        <w:rPr>
          <w:lang w:val="ru-RU"/>
        </w:rPr>
        <w:t xml:space="preserve"> 将此祭解为至圣的圣体圣事，即真正的新祭（格前11:25-26），一种纯洁且蒙神喜悦的祭，可在任何地方献上。</w:t>
      </w:r>
    </w:p>
    <w:p w14:paraId="13BE9284" w14:textId="77777777" w:rsidR="00BE1885" w:rsidRPr="006A21F9" w:rsidRDefault="00BE1885" w:rsidP="00BE1885">
      <w:pPr>
        <w:ind w:firstLine="708"/>
        <w:rPr>
          <w:lang w:val="ru-RU"/>
        </w:rPr>
      </w:pPr>
      <w:r w:rsidRPr="006A21F9">
        <w:rPr>
          <w:b/>
          <w:bCs/>
          <w:lang w:val="ru-RU"/>
        </w:rPr>
        <w:lastRenderedPageBreak/>
        <w:t>4)</w:t>
      </w:r>
      <w:r w:rsidRPr="006A21F9">
        <w:rPr>
          <w:lang w:val="ru-RU"/>
        </w:rPr>
        <w:t xml:space="preserve"> 圣公会教会一直如此看待主的圣体圣血圣事，这源于目击者和圣道侍奉者的传统。 这一点首先可见于</w:t>
      </w:r>
      <w:r w:rsidRPr="001E4083">
        <w:t>她的</w:t>
      </w:r>
      <w:r w:rsidRPr="006A21F9">
        <w:rPr>
          <w:lang w:val="ru-RU"/>
        </w:rPr>
        <w:t>所有礼仪中：在举行圣体圣事时，她庄严地在天主面前宣认，在圣祭台上为众人、为万物向祂献上言语的、无血的祭品。</w:t>
      </w:r>
      <w:r>
        <w:rPr>
          <w:rStyle w:val="FootnoteReference"/>
        </w:rPr>
        <w:footnoteReference w:id="1287"/>
      </w:r>
      <w:r w:rsidRPr="006A21F9">
        <w:rPr>
          <w:lang w:val="ru-RU"/>
        </w:rPr>
        <w:t xml:space="preserve"> 其次，从普世大公会议的见证中也可以看出，例如：</w:t>
      </w:r>
      <w:r w:rsidRPr="006A21F9">
        <w:rPr>
          <w:b/>
          <w:bCs/>
          <w:lang w:val="ru-RU"/>
        </w:rPr>
        <w:t>a)</w:t>
      </w:r>
      <w:r w:rsidRPr="006A21F9">
        <w:rPr>
          <w:lang w:val="ru-RU"/>
        </w:rPr>
        <w:t xml:space="preserve"> 尼西亚大公会议：“在圣餐桌上躺着</w:t>
      </w:r>
      <w:r w:rsidRPr="006A21F9">
        <w:rPr>
          <w:i/>
          <w:iCs/>
          <w:lang w:val="ru-RU"/>
        </w:rPr>
        <w:t>上帝的羔羊，祂担当世人的罪</w:t>
      </w:r>
      <w:r w:rsidRPr="006A21F9">
        <w:rPr>
          <w:lang w:val="ru-RU"/>
        </w:rPr>
        <w:t>（约1:29），由司祭们作为无血的祭物献上；”</w:t>
      </w:r>
      <w:r>
        <w:rPr>
          <w:rStyle w:val="FootnoteReference"/>
        </w:rPr>
        <w:footnoteReference w:id="1288"/>
      </w:r>
      <w:r w:rsidRPr="006A21F9">
        <w:rPr>
          <w:lang w:val="ru-RU"/>
        </w:rPr>
        <w:t xml:space="preserve"> </w:t>
      </w:r>
      <w:r w:rsidRPr="006A21F9">
        <w:rPr>
          <w:b/>
          <w:bCs/>
          <w:lang w:val="ru-RU"/>
        </w:rPr>
        <w:t xml:space="preserve">b) </w:t>
      </w:r>
      <w:r w:rsidRPr="006A21F9">
        <w:rPr>
          <w:lang w:val="ru-RU"/>
        </w:rPr>
        <w:t>以弗所大公会议： “我们在教堂中举行无血的献祭，从而参与神圣而蒙福的奥秘，并通过领受救赎万人的基督圣体与宝血而得以成圣；”</w:t>
      </w:r>
      <w:r>
        <w:rPr>
          <w:rStyle w:val="FootnoteReference"/>
        </w:rPr>
        <w:footnoteReference w:id="1289"/>
      </w:r>
      <w:r w:rsidRPr="006A21F9">
        <w:rPr>
          <w:lang w:val="ru-RU"/>
        </w:rPr>
        <w:t xml:space="preserve"> </w:t>
      </w:r>
      <w:r w:rsidRPr="006A21F9">
        <w:rPr>
          <w:b/>
          <w:bCs/>
          <w:lang w:val="ru-RU"/>
        </w:rPr>
        <w:t>c)</w:t>
      </w:r>
      <w:r w:rsidRPr="006A21F9">
        <w:rPr>
          <w:lang w:val="ru-RU"/>
        </w:rPr>
        <w:t xml:space="preserve"> 特鲁尔大公会议：“鉴于我们得知，在各处教堂中，根据某种根深蒂固的习俗， 葡萄被呈献至祭坛，而司祭们将其与无血的献祭结合，以此方式将二者一同分赐给信众：为此，我们认定有必要，今后任何司祭都不得再行此 ，而应向信众传授唯一的献祭，以赐予生命并赦免罪过；”</w:t>
      </w:r>
      <w:r>
        <w:rPr>
          <w:rStyle w:val="FootnoteReference"/>
        </w:rPr>
        <w:footnoteReference w:id="1290"/>
      </w:r>
      <w:r w:rsidRPr="006A21F9">
        <w:rPr>
          <w:lang w:val="ru-RU"/>
        </w:rPr>
        <w:t xml:space="preserve"> </w:t>
      </w:r>
      <w:r w:rsidRPr="006A21F9">
        <w:rPr>
          <w:b/>
          <w:bCs/>
          <w:lang w:val="ru-RU"/>
        </w:rPr>
        <w:t>d)</w:t>
      </w:r>
      <w:r w:rsidRPr="006A21F9">
        <w:rPr>
          <w:lang w:val="ru-RU"/>
        </w:rPr>
        <w:t xml:space="preserve"> 尼西亚</w:t>
      </w:r>
      <w:r w:rsidRPr="001E4083">
        <w:t>第二次大公会议</w:t>
      </w:r>
      <w:r w:rsidRPr="0097554A">
        <w:rPr>
          <w:lang w:val="ru-RU"/>
        </w:rPr>
        <w:t>：</w:t>
      </w:r>
      <w:r w:rsidRPr="006A21F9">
        <w:rPr>
          <w:lang w:val="ru-RU"/>
        </w:rPr>
        <w:t>“无论是主，还是使徒，还是教父们，都从未将司祭所献的无血祭称为‘形象’，而是称为‘圣体’和‘圣血’本身；”</w:t>
      </w:r>
      <w:r>
        <w:rPr>
          <w:rStyle w:val="FootnoteReference"/>
        </w:rPr>
        <w:footnoteReference w:id="1291"/>
      </w:r>
      <w:r w:rsidRPr="006A21F9">
        <w:rPr>
          <w:lang w:val="ru-RU"/>
        </w:rPr>
        <w:t xml:space="preserve"> 最后，从无数圣教父和教会导师的见证中可以看出，例如：</w:t>
      </w:r>
    </w:p>
    <w:p w14:paraId="110797F0" w14:textId="77777777" w:rsidR="00BE1885" w:rsidRPr="006A21F9" w:rsidRDefault="00BE1885" w:rsidP="00BE1885">
      <w:pPr>
        <w:rPr>
          <w:lang w:val="ru-RU"/>
        </w:rPr>
      </w:pPr>
      <w:r w:rsidRPr="006A21F9">
        <w:rPr>
          <w:lang w:val="ru-RU"/>
        </w:rPr>
        <w:tab/>
        <w:t>圣伊格纳提乌斯·神载者：“务要仅参与一次圣体圣事：因为我们主耶稣基督只有一个圣体，一个圣杯，因其血的合一，一个祭坛（</w:t>
      </w:r>
      <w:r w:rsidRPr="001E4083">
        <w:t>ίν</w:t>
      </w:r>
      <w:r w:rsidRPr="0097554A">
        <w:rPr>
          <w:lang w:val="ru-RU"/>
        </w:rPr>
        <w:t xml:space="preserve"> </w:t>
      </w:r>
      <w:r w:rsidRPr="001E4083">
        <w:t>θυσιαστήριον</w:t>
      </w:r>
      <w:r w:rsidRPr="006A21F9">
        <w:rPr>
          <w:lang w:val="ru-RU"/>
        </w:rPr>
        <w:t>），正如只有一位主教一样。”</w:t>
      </w:r>
      <w:r>
        <w:rPr>
          <w:rStyle w:val="FootnoteReference"/>
        </w:rPr>
        <w:footnoteReference w:id="1292"/>
      </w:r>
    </w:p>
    <w:p w14:paraId="6B5C9EB0" w14:textId="77777777" w:rsidR="00BE1885" w:rsidRPr="006A21F9" w:rsidRDefault="00BE1885" w:rsidP="00BE1885">
      <w:pPr>
        <w:rPr>
          <w:lang w:val="ru-RU"/>
        </w:rPr>
      </w:pPr>
      <w:r w:rsidRPr="006A21F9">
        <w:rPr>
          <w:lang w:val="ru-RU"/>
        </w:rPr>
        <w:tab/>
        <w:t>殉道者圣尤斯蒂诺：“我们奉祂的名献上耶稣基督所吩咐的一切祭品，即圣体圣事中的饼与杯。 这些由基督徒在各地献上的祭品，上帝既已悦纳，便证明它们是蒙祂喜悦的……（玛拉基书 1:10）。”</w:t>
      </w:r>
      <w:r>
        <w:rPr>
          <w:rStyle w:val="FootnoteReference"/>
        </w:rPr>
        <w:footnoteReference w:id="1293"/>
      </w:r>
    </w:p>
    <w:p w14:paraId="5B40B13C" w14:textId="77777777" w:rsidR="00BE1885" w:rsidRPr="006A21F9" w:rsidRDefault="00BE1885" w:rsidP="00BE1885">
      <w:pPr>
        <w:rPr>
          <w:lang w:val="ru-RU"/>
        </w:rPr>
      </w:pPr>
      <w:r w:rsidRPr="006A21F9">
        <w:rPr>
          <w:lang w:val="ru-RU"/>
        </w:rPr>
        <w:tab/>
        <w:t>圣爱任纽：“（耶稣基督）教导了新约中的新祭献，教会从使徒们那里领受了这一祭献，并在全世界向天主献上……正如十二先知之一的玛拉基所预言的：‘我不要你们的祭献……’ （玛拉基书 1:10-11），由此清楚地表明：尽管最初的（即犹太）子民将不再向上帝献祭，但各地都将向祂献上祭物，而且是纯洁的祭物，祂的名也将在外邦人中得着荣耀。”</w:t>
      </w:r>
      <w:r>
        <w:rPr>
          <w:rStyle w:val="FootnoteReference"/>
        </w:rPr>
        <w:footnoteReference w:id="1294"/>
      </w:r>
    </w:p>
    <w:p w14:paraId="5BDC28D5" w14:textId="77777777" w:rsidR="00BE1885" w:rsidRPr="006A21F9" w:rsidRDefault="00BE1885" w:rsidP="00BE1885">
      <w:pPr>
        <w:rPr>
          <w:lang w:val="ru-RU"/>
        </w:rPr>
      </w:pPr>
      <w:r w:rsidRPr="006A21F9">
        <w:rPr>
          <w:lang w:val="ru-RU"/>
        </w:rPr>
        <w:tab/>
        <w:t>圣希波吕托斯：“在他（耶稣基督）升天之后，我们按照他的规定，献上纯洁且无血的祭品，并按立了七位主教、长老和执事。”</w:t>
      </w:r>
      <w:r>
        <w:rPr>
          <w:rStyle w:val="FootnoteReference"/>
        </w:rPr>
        <w:footnoteReference w:id="1295"/>
      </w:r>
    </w:p>
    <w:p w14:paraId="28174BA5" w14:textId="77777777" w:rsidR="00BE1885" w:rsidRPr="006A21F9" w:rsidRDefault="00BE1885" w:rsidP="00BE1885">
      <w:pPr>
        <w:rPr>
          <w:lang w:val="ru-RU"/>
        </w:rPr>
      </w:pPr>
      <w:r w:rsidRPr="006A21F9">
        <w:rPr>
          <w:lang w:val="ru-RU"/>
        </w:rPr>
        <w:tab/>
        <w:t>圣基普里安：“若圣杯中无酒，便无法献上基督的宝血；若我们的奉献与祭品未能与祂的受难相称，对主祭品的祝圣便不合礼仪…… 因为如果耶稣基督——我们的主和上帝——祂自己就是上帝和天父的大祭司，并且首先将自己献给天父为祭，并吩咐我们要以此纪念祂： 那么，那位效法基督所行之事、并在教会中按照基督亲自献祭的方式向天父献上真实而完全的祭品的司祭，才真正履行了基督的事工（</w:t>
      </w:r>
      <w:r w:rsidRPr="001E4083">
        <w:t>via</w:t>
      </w:r>
      <w:r w:rsidRPr="0097554A">
        <w:rPr>
          <w:lang w:val="ru-RU"/>
        </w:rPr>
        <w:t xml:space="preserve"> </w:t>
      </w:r>
      <w:r w:rsidRPr="001E4083">
        <w:t>Christi</w:t>
      </w:r>
      <w:r w:rsidRPr="0097554A">
        <w:rPr>
          <w:lang w:val="ru-RU"/>
        </w:rPr>
        <w:t xml:space="preserve"> </w:t>
      </w:r>
      <w:r w:rsidRPr="001E4083">
        <w:t>fungitur</w:t>
      </w:r>
      <w:r w:rsidRPr="006A21F9">
        <w:rPr>
          <w:lang w:val="ru-RU"/>
        </w:rPr>
        <w:t>）。”</w:t>
      </w:r>
      <w:r>
        <w:rPr>
          <w:rStyle w:val="FootnoteReference"/>
        </w:rPr>
        <w:footnoteReference w:id="1296"/>
      </w:r>
    </w:p>
    <w:p w14:paraId="20BDD1BC" w14:textId="77777777" w:rsidR="00BE1885" w:rsidRPr="006A21F9" w:rsidRDefault="00BE1885" w:rsidP="00BE1885">
      <w:pPr>
        <w:rPr>
          <w:lang w:val="ru-RU"/>
        </w:rPr>
      </w:pPr>
      <w:r w:rsidRPr="006A21F9">
        <w:rPr>
          <w:lang w:val="ru-RU"/>
        </w:rPr>
        <w:tab/>
        <w:t xml:space="preserve">圣格里高利·尼撒说：“那位以全能主宰万有的……并未等待彼拉多的判决，而是以一种不可言喻、人眼不可见的方式，将自己作为祭品和牺牲献给我们——祂既是祭司，又是上帝的羔羊，承担了世人的罪孽。 </w:t>
      </w:r>
      <w:r w:rsidRPr="006A21F9">
        <w:rPr>
          <w:lang w:val="ru-RU"/>
        </w:rPr>
        <w:lastRenderedPageBreak/>
        <w:t>何时如此？正是当祂将自己的身体作为食物赐予（门徒）之时：那时祂清楚地表明，羔羊的献祭已经完成了。”</w:t>
      </w:r>
      <w:r>
        <w:rPr>
          <w:rStyle w:val="FootnoteReference"/>
        </w:rPr>
        <w:footnoteReference w:id="1297"/>
      </w:r>
    </w:p>
    <w:p w14:paraId="2D23D624" w14:textId="77777777" w:rsidR="00BE1885" w:rsidRPr="006A21F9" w:rsidRDefault="00BE1885" w:rsidP="00BE1885">
      <w:pPr>
        <w:rPr>
          <w:lang w:val="ru-RU"/>
        </w:rPr>
      </w:pPr>
      <w:r w:rsidRPr="006A21F9">
        <w:rPr>
          <w:lang w:val="ru-RU"/>
        </w:rPr>
        <w:tab/>
        <w:t>圣约翰·金口：“那么，究竟如何？我们难道不是每天都在献祭吗？是的，我们在纪念祂的受难时便在献祭。而这祭只有一个，并非多个。为何说只有一个，而非多个？因为……我们献上的始终是同一位：并非今天献一只羊羔，明天献另一只，而是始终是同一位——因此，祭也只有一个。 难道因为它在许多地方被献上，就意味着有许多位基督吗？绝非如此。但只有一位基督，无论在这里还是在那里，祂都是完整的——是一个身体。正如祂在许多地方被献上，祂是一个身体，而不是许多身体；因此，祭物也是唯一的。”</w:t>
      </w:r>
      <w:r>
        <w:rPr>
          <w:rStyle w:val="FootnoteReference"/>
        </w:rPr>
        <w:footnoteReference w:id="1298"/>
      </w:r>
    </w:p>
    <w:p w14:paraId="52DAE96F" w14:textId="77777777" w:rsidR="00BE1885" w:rsidRPr="006A21F9" w:rsidRDefault="00BE1885" w:rsidP="00BE1885">
      <w:pPr>
        <w:rPr>
          <w:lang w:val="ru-RU"/>
        </w:rPr>
      </w:pPr>
      <w:r w:rsidRPr="006A21F9">
        <w:rPr>
          <w:lang w:val="ru-RU"/>
        </w:rPr>
        <w:tab/>
        <w:t>以下是相关见证：特土良（Tertullian），</w:t>
      </w:r>
      <w:r>
        <w:rPr>
          <w:rStyle w:val="FootnoteReference"/>
        </w:rPr>
        <w:footnoteReference w:id="1299"/>
      </w:r>
      <w:r w:rsidRPr="006A21F9">
        <w:rPr>
          <w:lang w:val="ru-RU"/>
        </w:rPr>
        <w:t xml:space="preserve"> ；凯撒利亚的优西比乌（Eusebius of Caesarea），</w:t>
      </w:r>
      <w:r>
        <w:rPr>
          <w:rStyle w:val="FootnoteReference"/>
        </w:rPr>
        <w:footnoteReference w:id="1300"/>
      </w:r>
      <w:r w:rsidRPr="006A21F9">
        <w:rPr>
          <w:lang w:val="ru-RU"/>
        </w:rPr>
        <w:t xml:space="preserve"> ；大巴西勒（Basil the Great），</w:t>
      </w:r>
      <w:r>
        <w:rPr>
          <w:rStyle w:val="FootnoteReference"/>
        </w:rPr>
        <w:footnoteReference w:id="1301"/>
      </w:r>
      <w:r w:rsidRPr="006A21F9">
        <w:rPr>
          <w:lang w:val="ru-RU"/>
        </w:rPr>
        <w:t xml:space="preserve"> ；亚历山大的迪迪莫（Didymus of Alexandria），</w:t>
      </w:r>
      <w:r>
        <w:rPr>
          <w:rStyle w:val="FootnoteReference"/>
        </w:rPr>
        <w:footnoteReference w:id="1302"/>
      </w:r>
      <w:r w:rsidRPr="006A21F9">
        <w:rPr>
          <w:lang w:val="ru-RU"/>
        </w:rPr>
        <w:t xml:space="preserve"> ；安布罗斯（Ambrose），</w:t>
      </w:r>
      <w:r>
        <w:rPr>
          <w:rStyle w:val="FootnoteReference"/>
        </w:rPr>
        <w:footnoteReference w:id="1303"/>
      </w:r>
      <w:r w:rsidRPr="006A21F9">
        <w:rPr>
          <w:lang w:val="ru-RU"/>
        </w:rPr>
        <w:t xml:space="preserve"> ；杰罗姆（Jerome），</w:t>
      </w:r>
      <w:r>
        <w:rPr>
          <w:rStyle w:val="FootnoteReference"/>
        </w:rPr>
        <w:footnoteReference w:id="1304"/>
      </w:r>
      <w:r w:rsidRPr="006A21F9">
        <w:rPr>
          <w:lang w:val="ru-RU"/>
        </w:rPr>
        <w:t xml:space="preserve"> ；奥古斯丁（Augustine），</w:t>
      </w:r>
      <w:r>
        <w:rPr>
          <w:rStyle w:val="FootnoteReference"/>
        </w:rPr>
        <w:footnoteReference w:id="1305"/>
      </w:r>
      <w:r w:rsidRPr="006A21F9">
        <w:rPr>
          <w:lang w:val="ru-RU"/>
        </w:rPr>
        <w:t xml:space="preserve"> ；狄奥多里特（Theodoret），</w:t>
      </w:r>
      <w:r>
        <w:rPr>
          <w:rStyle w:val="FootnoteReference"/>
        </w:rPr>
        <w:footnoteReference w:id="1306"/>
      </w:r>
      <w:r w:rsidRPr="006A21F9">
        <w:rPr>
          <w:lang w:val="ru-RU"/>
        </w:rPr>
        <w:t xml:space="preserve"> ；亚历山大的西里尔（Cyril of Alexandria），</w:t>
      </w:r>
      <w:r>
        <w:rPr>
          <w:rStyle w:val="FootnoteReference"/>
        </w:rPr>
        <w:footnoteReference w:id="1307"/>
      </w:r>
      <w:r w:rsidRPr="006A21F9">
        <w:rPr>
          <w:lang w:val="ru-RU"/>
        </w:rPr>
        <w:t xml:space="preserve"> ；以及其他人。</w:t>
      </w:r>
      <w:r>
        <w:rPr>
          <w:rStyle w:val="FootnoteReference"/>
        </w:rPr>
        <w:footnoteReference w:id="1308"/>
      </w:r>
    </w:p>
    <w:p w14:paraId="333A36AB" w14:textId="77777777" w:rsidR="00BE1885" w:rsidRPr="006A21F9" w:rsidRDefault="00BE1885" w:rsidP="00BE1885">
      <w:pPr>
        <w:rPr>
          <w:lang w:val="ru-RU"/>
        </w:rPr>
      </w:pPr>
      <w:r w:rsidRPr="006A21F9">
        <w:rPr>
          <w:lang w:val="ru-RU"/>
        </w:rPr>
        <w:tab/>
      </w:r>
    </w:p>
    <w:p w14:paraId="5B5014D0" w14:textId="77777777" w:rsidR="00BE1885" w:rsidRPr="006A21F9" w:rsidRDefault="00BE1885" w:rsidP="00BE1885">
      <w:pPr>
        <w:pStyle w:val="Heading5"/>
        <w:rPr>
          <w:lang w:val="ru-RU"/>
        </w:rPr>
      </w:pPr>
      <w:bookmarkStart w:id="839" w:name="_Toc133142988"/>
      <w:bookmarkStart w:id="840" w:name="_Toc133166345"/>
      <w:bookmarkStart w:id="841" w:name="_Toc182221555"/>
      <w:bookmarkStart w:id="842" w:name="_Toc238453122"/>
      <w:bookmarkStart w:id="843" w:name="_Toc238453922"/>
      <w:bookmarkStart w:id="844" w:name="_Toc238576582"/>
      <w:r w:rsidRPr="006A21F9">
        <w:rPr>
          <w:lang w:val="ru-RU"/>
        </w:rPr>
        <w:t xml:space="preserve">§220. </w:t>
      </w:r>
      <w:r w:rsidRPr="006A21F9">
        <w:rPr>
          <w:bCs/>
          <w:lang w:val="ru-RU"/>
        </w:rPr>
        <w:t>b)</w:t>
      </w:r>
      <w:r w:rsidRPr="006A21F9">
        <w:rPr>
          <w:lang w:val="ru-RU"/>
        </w:rPr>
        <w:t xml:space="preserve"> 此祭与十字架之祭的关系及其性质</w:t>
      </w:r>
      <w:bookmarkEnd w:id="839"/>
      <w:bookmarkEnd w:id="840"/>
      <w:bookmarkEnd w:id="841"/>
      <w:bookmarkEnd w:id="842"/>
      <w:bookmarkEnd w:id="843"/>
      <w:bookmarkEnd w:id="844"/>
    </w:p>
    <w:p w14:paraId="2A3B4F7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在圣体圣事中向天主献上的牺牲，就其本质而言，与十字架上的牺牲完全是一样的。 因为如今在教会的祭坛上所献的，正是那位曾为世人的罪在十字架上被献上的天主羔羊——正是那在十字架上受苦的至圣肉身，正是当时倾流的至圣宝血。 如今，那位曾完成十字架上牺牲的永恒大祭司，也在隐秘中举行着这一奥秘的献祭。正如当时那样，如</w:t>
      </w:r>
      <w:r w:rsidRPr="006A21F9">
        <w:rPr>
          <w:lang w:val="ru-RU"/>
        </w:rPr>
        <w:lastRenderedPageBreak/>
        <w:t>今献祭者与被献者同为一人，</w:t>
      </w:r>
      <w:r>
        <w:rPr>
          <w:rStyle w:val="FootnoteReference"/>
        </w:rPr>
        <w:footnoteReference w:id="1309"/>
      </w:r>
      <w:r w:rsidRPr="006A21F9">
        <w:rPr>
          <w:lang w:val="ru-RU"/>
        </w:rPr>
        <w:t xml:space="preserve"> 既是祭品又是大祭司，</w:t>
      </w:r>
      <w:r>
        <w:rPr>
          <w:rStyle w:val="FootnoteReference"/>
        </w:rPr>
        <w:footnoteReference w:id="1310"/>
      </w:r>
      <w:r w:rsidRPr="006A21F9">
        <w:rPr>
          <w:lang w:val="ru-RU"/>
        </w:rPr>
        <w:t xml:space="preserve"> 同为世界的救赎主——基督。 “我们的大祭司，”圣约翰·金口说，“献上了使我们得洁净的祭物；我们如今所献的，正是当年所献的那同一祭物：它永不耗尽。 这是为了纪念当时所发生的事：‘你们要这样做，’祂吩咐道，‘是为了纪念我。’我们所献的并非另一项祭品，而是与当时大祭司所献的完全相同的祭品，或者说，我们是在更深切地纪念那项祭品。”</w:t>
      </w:r>
      <w:r>
        <w:rPr>
          <w:rStyle w:val="FootnoteReference"/>
        </w:rPr>
        <w:footnoteReference w:id="1311"/>
      </w:r>
      <w:r w:rsidRPr="006A21F9">
        <w:rPr>
          <w:lang w:val="ru-RU"/>
        </w:rPr>
        <w:t xml:space="preserve"> 圣格里高利·尼撒、福者狄奥多里特等人也同样如此教导。</w:t>
      </w:r>
      <w:r>
        <w:rPr>
          <w:rStyle w:val="FootnoteReference"/>
        </w:rPr>
        <w:footnoteReference w:id="1312"/>
      </w:r>
    </w:p>
    <w:p w14:paraId="40649B9D" w14:textId="77777777" w:rsidR="00BE1885" w:rsidRPr="006A21F9" w:rsidRDefault="00BE1885" w:rsidP="00BE1885">
      <w:pPr>
        <w:rPr>
          <w:lang w:val="ru-RU"/>
        </w:rPr>
      </w:pPr>
      <w:r w:rsidRPr="006A21F9">
        <w:rPr>
          <w:lang w:val="ru-RU"/>
        </w:rPr>
        <w:tab/>
        <w:t xml:space="preserve">然而，就献祭的形式和情境而言，圣体圣事中的牺牲与十字架上的牺牲有所不同。在十字架上，主耶稣以可见的方式将祂至圣的身体和至圣的宝血献给天主；而在圣体圣事中，祂则以饼和酒的形体将它们献上。 在那里，祂亲自——作为大祭司——直接完成了赎罪的献祭；在这里，虽然同样是由祂亲自完成，但却是通过教会的牧者以可见的形式进行的。 那时，祭祀是通过羔羊的实际宰杀而献上的，是一项流血的祭祀——因为主耶稣确实受了苦，流了血，并在肉体上尝了死味： </w:t>
      </w:r>
      <w:r w:rsidRPr="006A21F9">
        <w:rPr>
          <w:i/>
          <w:iCs/>
          <w:lang w:val="ru-RU"/>
        </w:rPr>
        <w:t>如今，祂从死里复活，不再死亡：死亡已不能再辖制祂</w:t>
      </w:r>
      <w:r w:rsidRPr="006A21F9">
        <w:rPr>
          <w:lang w:val="ru-RU"/>
        </w:rPr>
        <w:t>（罗6:9），如今这祭是在圣餐中，藉着圣灵将饼和酒奥秘地转化或变为基督的身体和宝血 （路加福音 22:19-20）——没有痛苦、没有流血、没有死亡，因此被称为无血的牺牲， 无痛苦的，</w:t>
      </w:r>
      <w:r>
        <w:rPr>
          <w:rStyle w:val="FootnoteReference"/>
        </w:rPr>
        <w:footnoteReference w:id="1313"/>
      </w:r>
      <w:r w:rsidRPr="006A21F9">
        <w:rPr>
          <w:lang w:val="ru-RU"/>
        </w:rPr>
        <w:t xml:space="preserve"> 尽管它是为了纪念神圣羔羊的受难与死亡而献上的。 十字架上的牺牲完成了全人类的救赎，并为世人的罪满足了神的公义；而无血的牺牲仅为那些为之献祭之人的罪向神求得宽恕，并实际上将各各他牺牲的果实赐予那些能够接受并领受的人。 最后，十字架上的牺牲仅在各各他为全人类献上一次；而无血祭自设立以来，一直、正在并将持续在世界各地无数祭坛上为拯救人类而献上，直至主第二次降临（林前11:25-26）。 总的来说，将十字架的牺牲与无血的献祭相比较，我们可以这样表述：前者仿佛是种子或根，而后者则是从这颗种子中生长出来的树，它完全扎根于这根之上，从其中汲取生命之汁，从而结出救赎的生命之果， ——因此，这两种牺牲既密不可分，实际上构成同一牺牲，同时又在性质上有所区别。这是同一棵蒙恩的生命之树，由上帝栽种在各各他山上，却以其神秘的枝条充满整个上帝的教会，并以其救赎的果实滋养所有寻求永生的人。</w:t>
      </w:r>
    </w:p>
    <w:p w14:paraId="6EB2BAE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圣体圣事本质上是献给上帝的真正牺牲，就其性质而言，它不仅是一项赞美和感恩的牺牲，更是一项为所有活着和已逝之人献上的赎罪牺牲（《东方教父论正统信仰书》第17条）。</w:t>
      </w:r>
    </w:p>
    <w:p w14:paraId="59B88309" w14:textId="77777777" w:rsidR="00BE1885" w:rsidRPr="006A21F9" w:rsidRDefault="00BE1885" w:rsidP="00BE1885">
      <w:pPr>
        <w:rPr>
          <w:lang w:val="ru-RU"/>
        </w:rPr>
      </w:pPr>
      <w:r w:rsidRPr="006A21F9">
        <w:rPr>
          <w:lang w:val="ru-RU"/>
        </w:rPr>
        <w:tab/>
        <w:t xml:space="preserve">它是赞美与感恩的祭。救主在设立圣体时亲自明确指出了这一无血之祭的性质：祂拿起饼，首先献上赞美并表示感谢，然后掰开，递给门徒，说：“这是我的身体……”[(路加福音 22:19-20)； </w:t>
      </w:r>
      <w:r w:rsidRPr="006A21F9">
        <w:rPr>
          <w:lang w:val="ru-RU"/>
        </w:rPr>
        <w:lastRenderedPageBreak/>
        <w:t>（《哥林多前书》11:23-24）]。 正因如此，时至今日，在东正教会中，主持无血祭仪的司祭，按照圣大巴西尔和圣约翰·金口所制定的礼仪规程，在祭台上为圣物祝圣之前，便会在隐秘的祷告中追念上帝的伟大作为——从虚无中创造人类， 人在堕落后的种种眷顾，以及借着耶稣基督为人类建立的救赎之家，并在心中默念这些，以此来颂扬并感谢天父、祂的独生子——世界的救主，以及至圣圣灵。</w:t>
      </w:r>
      <w:r>
        <w:rPr>
          <w:rStyle w:val="FootnoteReference"/>
        </w:rPr>
        <w:footnoteReference w:id="1314"/>
      </w:r>
      <w:r w:rsidRPr="006A21F9">
        <w:rPr>
          <w:lang w:val="ru-RU"/>
        </w:rPr>
        <w:t xml:space="preserve"> 同样，当在圣餐中向上帝献上无血祭时，所有在圣殿中的基督徒都向祂呼求：我们向祢歌唱，我们称颂祢，我们感谢祢，主啊…… 正如最古老的礼仪所示——圣使徒雅各的礼仪以及收录于《使徒规条》中的</w:t>
      </w:r>
      <w:r>
        <w:rPr>
          <w:rStyle w:val="FootnoteReference"/>
        </w:rPr>
        <w:footnoteReference w:id="1315"/>
      </w:r>
      <w:r w:rsidRPr="006A21F9">
        <w:rPr>
          <w:lang w:val="ru-RU"/>
        </w:rPr>
        <w:t xml:space="preserve"> ——无血祭的献祭自圣使徒时代起便始终伴随着这样的赞美与感恩，圣殉道者尤斯丁也作证道： “祷告结束后，”他说，“我们以亲吻互相问候。随后，将面饼、盛有水的圣杯以及兑过水的葡萄酒呈献给弟兄们的领袖：他接过这些，奉圣子和圣灵之名，向万有的父献上赞美与荣耀，并特别为祂使我们有幸参与此事向祂献上感谢。 当他完成祷告和感恩之后，全体在场信众齐声高呼：阿门。”</w:t>
      </w:r>
      <w:r>
        <w:rPr>
          <w:rStyle w:val="FootnoteReference"/>
        </w:rPr>
        <w:footnoteReference w:id="1316"/>
      </w:r>
    </w:p>
    <w:p w14:paraId="1687D1C1" w14:textId="77777777" w:rsidR="00BE1885" w:rsidRPr="006A21F9" w:rsidRDefault="00BE1885" w:rsidP="00BE1885">
      <w:pPr>
        <w:rPr>
          <w:lang w:val="ru-RU"/>
        </w:rPr>
      </w:pPr>
      <w:r w:rsidRPr="006A21F9">
        <w:rPr>
          <w:lang w:val="ru-RU"/>
        </w:rPr>
        <w:tab/>
        <w:t>圣体圣事本身就是为生者与死者所献的赎罪祭。因为正如我们所见，它在本质上与十字架上的牺牲完全相同且不可分割；而十字架上的牺牲，毫无疑问，是为了赎去全人类的罪过而献给上帝的。 此外，救主在设立圣体圣事时，也明确指出了这种无血牺牲的特性。当祂将自己的身体赐给门徒时，祂明确说：“这是为你们而擘开的”；当祂将自己的宝血赐给门徒时，又补充道：“这是为你们和许多人而倾流的，为赦免罪过。” 因此，自基督教初期起，教会便为所有在世者与已故者的得救而献上无血祭。这一点可从所有圣礼仪式的礼仪程序中看出，从圣使徒雅各的圣礼开始，</w:t>
      </w:r>
      <w:r>
        <w:rPr>
          <w:rStyle w:val="FootnoteReference"/>
        </w:rPr>
        <w:footnoteReference w:id="1317"/>
      </w:r>
      <w:r w:rsidRPr="006A21F9">
        <w:rPr>
          <w:lang w:val="ru-RU"/>
        </w:rPr>
        <w:t xml:space="preserve"> 在这些仪式中，该祭献常被直接称为“ ”赎罪祭，或“赎罪献祭”。</w:t>
      </w:r>
      <w:r>
        <w:rPr>
          <w:rStyle w:val="FootnoteReference"/>
        </w:rPr>
        <w:footnoteReference w:id="1318"/>
      </w:r>
      <w:r w:rsidRPr="006A21F9">
        <w:rPr>
          <w:lang w:val="ru-RU"/>
        </w:rPr>
        <w:t xml:space="preserve"> 这一点也可从古代基督教导师的证言中看出，例如：</w:t>
      </w:r>
      <w:r w:rsidRPr="006A21F9">
        <w:rPr>
          <w:b/>
          <w:bCs/>
          <w:lang w:val="ru-RU"/>
        </w:rPr>
        <w:t xml:space="preserve">a) </w:t>
      </w:r>
      <w:r w:rsidRPr="006A21F9">
        <w:rPr>
          <w:lang w:val="ru-RU"/>
        </w:rPr>
        <w:t>特土良提到为活人</w:t>
      </w:r>
      <w:r>
        <w:rPr>
          <w:rStyle w:val="FootnoteReference"/>
        </w:rPr>
        <w:footnoteReference w:id="1319"/>
      </w:r>
      <w:r w:rsidRPr="006A21F9">
        <w:rPr>
          <w:lang w:val="ru-RU"/>
        </w:rPr>
        <w:t xml:space="preserve"> 和死人献上此祭；</w:t>
      </w:r>
      <w:r>
        <w:rPr>
          <w:rStyle w:val="FootnoteReference"/>
        </w:rPr>
        <w:footnoteReference w:id="1320"/>
      </w:r>
      <w:r w:rsidRPr="006A21F9">
        <w:rPr>
          <w:lang w:val="ru-RU"/>
        </w:rPr>
        <w:t xml:space="preserve"> </w:t>
      </w:r>
      <w:r w:rsidRPr="006A21F9">
        <w:rPr>
          <w:b/>
          <w:bCs/>
          <w:lang w:val="ru-RU"/>
        </w:rPr>
        <w:t>b)</w:t>
      </w:r>
      <w:r w:rsidRPr="006A21F9">
        <w:rPr>
          <w:lang w:val="ru-RU"/>
        </w:rPr>
        <w:t xml:space="preserve"> 圣基普里安提到为死人献上此祭；</w:t>
      </w:r>
      <w:r>
        <w:rPr>
          <w:rStyle w:val="FootnoteReference"/>
        </w:rPr>
        <w:footnoteReference w:id="1321"/>
      </w:r>
      <w:r w:rsidRPr="006A21F9">
        <w:rPr>
          <w:lang w:val="ru-RU"/>
        </w:rPr>
        <w:t xml:space="preserve"> </w:t>
      </w:r>
      <w:r w:rsidRPr="006A21F9">
        <w:rPr>
          <w:b/>
          <w:bCs/>
          <w:lang w:val="ru-RU"/>
        </w:rPr>
        <w:t>c)</w:t>
      </w:r>
      <w:r w:rsidRPr="006A21F9">
        <w:rPr>
          <w:lang w:val="ru-RU"/>
        </w:rPr>
        <w:t xml:space="preserve"> 耶路撒冷的圣西里尔不仅明确将其称为赎罪祭，</w:t>
      </w:r>
      <w:r>
        <w:rPr>
          <w:rStyle w:val="FootnoteReference"/>
        </w:rPr>
        <w:footnoteReference w:id="1322"/>
      </w:r>
      <w:r w:rsidRPr="006A21F9">
        <w:rPr>
          <w:lang w:val="ru-RU"/>
        </w:rPr>
        <w:t xml:space="preserve"> 还同样明确地宣称： “我们献上为我们的过犯被宰杀的基督，以此向爱人的上帝为他们（亡者）和我们赎罪；”</w:t>
      </w:r>
      <w:r>
        <w:rPr>
          <w:rStyle w:val="FootnoteReference"/>
        </w:rPr>
        <w:footnoteReference w:id="1323"/>
      </w:r>
      <w:r w:rsidRPr="006A21F9">
        <w:rPr>
          <w:lang w:val="ru-RU"/>
        </w:rPr>
        <w:t xml:space="preserve"> </w:t>
      </w:r>
      <w:r w:rsidRPr="006A21F9">
        <w:rPr>
          <w:b/>
          <w:bCs/>
          <w:lang w:val="ru-RU"/>
        </w:rPr>
        <w:t>d)</w:t>
      </w:r>
      <w:r w:rsidRPr="006A21F9">
        <w:rPr>
          <w:lang w:val="ru-RU"/>
        </w:rPr>
        <w:t xml:space="preserve"> 圣约翰·金口，在该圣人的著作中，我们还读到： “我们在神圣圣事前为已故者举行追思并非徒然，当我们上前时，为他们宰杀那俯卧在前的羔羊——祂已担当了世人的罪孽；而是为了让他们从此刻起获得某种安慰，因此，站在那举行庄严圣事的祭坛前</w:t>
      </w:r>
      <w:r w:rsidRPr="006A21F9">
        <w:rPr>
          <w:lang w:val="ru-RU"/>
        </w:rPr>
        <w:lastRenderedPageBreak/>
        <w:t>，为所有 在基督里安息之人，以及为他们举行追思礼的人代祷。倘若自古以来，从使徒时代起就没有为他们举行追思礼，那么也就不会有这番话了。我们的事奉并非儿戏——绝非如此！——而是按照圣灵的安排进行的…… 我们切莫懈怠，要帮助已故者并为他们献上祈祷：因为有一项普世共有的洁净之祭正在进行。因此，我们当时便大胆地为普世祈祷，并将安息者的名字与殉道者、信德见证人和司祭们一同诵念。”</w:t>
      </w:r>
      <w:r>
        <w:rPr>
          <w:rStyle w:val="FootnoteReference"/>
        </w:rPr>
        <w:footnoteReference w:id="1324"/>
      </w:r>
    </w:p>
    <w:p w14:paraId="738698A6" w14:textId="77777777" w:rsidR="00BE1885" w:rsidRPr="006A21F9" w:rsidRDefault="00BE1885" w:rsidP="00BE1885">
      <w:pPr>
        <w:rPr>
          <w:lang w:val="ru-RU"/>
        </w:rPr>
      </w:pPr>
      <w:r w:rsidRPr="006A21F9">
        <w:rPr>
          <w:lang w:val="ru-RU"/>
        </w:rPr>
        <w:tab/>
        <w:t>在此需要提出两点说明。</w:t>
      </w:r>
    </w:p>
    <w:p w14:paraId="0D9B19B6" w14:textId="77777777" w:rsidR="00BE1885" w:rsidRPr="006A21F9" w:rsidRDefault="00BE1885" w:rsidP="00BE1885">
      <w:pPr>
        <w:rPr>
          <w:lang w:val="ru-RU"/>
        </w:rPr>
      </w:pPr>
      <w:r w:rsidRPr="006A21F9">
        <w:rPr>
          <w:lang w:val="ru-RU"/>
        </w:rPr>
        <w:tab/>
        <w:t>第一：如果东正教会献上无血的祭，并首先纪念上帝所荣耀的圣徒、先祖、先知、 使徒、殉道者、信德见证人，甚至至圣童贞圣母——其目的并非为了使上帝向他们动慈心，而是为了借助他们的祈祷与代祷，增强我们在上帝面前为生者与逝者所作的祈求。 因此，司祭在结束对圣徒的追思时，会补充道：“上帝啊，求祢藉他们的祈祷眷顾我们，并记念所有怀着复活与永生希望的亡者。”</w:t>
      </w:r>
      <w:r>
        <w:rPr>
          <w:rStyle w:val="FootnoteReference"/>
        </w:rPr>
        <w:footnoteReference w:id="1325"/>
      </w:r>
      <w:r w:rsidRPr="006A21F9">
        <w:rPr>
          <w:lang w:val="ru-RU"/>
        </w:rPr>
        <w:t xml:space="preserve"> 耶路撒冷的圣西里尔也说：“我们纪念那些先我们而去的人，首先是宗主教、先知、使徒和殉道者，以便借着他们的祈祷和代祷，上帝能接受我们的祈求。”</w:t>
      </w:r>
      <w:r>
        <w:rPr>
          <w:rStyle w:val="FootnoteReference"/>
        </w:rPr>
        <w:footnoteReference w:id="1326"/>
      </w:r>
    </w:p>
    <w:p w14:paraId="123602E8" w14:textId="77777777" w:rsidR="00BE1885" w:rsidRPr="006A21F9" w:rsidRDefault="00BE1885" w:rsidP="00BE1885">
      <w:pPr>
        <w:rPr>
          <w:lang w:val="ru-RU"/>
        </w:rPr>
      </w:pPr>
      <w:r w:rsidRPr="006A21F9">
        <w:rPr>
          <w:lang w:val="ru-RU"/>
        </w:rPr>
        <w:tab/>
        <w:t>其次：既然无血祭具有平息上帝的忿怒并使祂垂听我们的力量，那么它自然也具有向上帝为我们求取各种恩惠的强大能力；因此，作为一种平息忿怒的祭祀，它同时也具有祈求或代祷的性质。 因此，圣教会举行无血祭祀时，不仅祈求上帝宽恕罪过，拯救生者与死者，还向祂求取各种属灵与属世的恩赐，这些恩赐对人的生活至关重要： “耶路撒冷的圣西里尔见证道：在完成无血事奉的属灵祭祀之后， 我们就在这同一的赎罪祭中，向天主祈求各教会普世和睦、世界安康、君王、将士及同工、身患病痛者、劳苦疲惫者，以及所有需要帮助的人，我们众人一同祈祷，并以此献上祭礼。”</w:t>
      </w:r>
      <w:r>
        <w:rPr>
          <w:rStyle w:val="FootnoteReference"/>
        </w:rPr>
        <w:footnoteReference w:id="1327"/>
      </w:r>
      <w:r w:rsidRPr="006A21F9">
        <w:rPr>
          <w:lang w:val="ru-RU"/>
        </w:rPr>
        <w:t xml:space="preserve"> 此外，众所周知，圣教会会在特殊情况下——无论是公共还是私人场合——将无血祭祀的圣礼与 结合，并进行特别的祈祷，例如在干旱、致命瘟疫、敌军入侵等情况下。</w:t>
      </w:r>
    </w:p>
    <w:p w14:paraId="3D1A4311" w14:textId="77777777" w:rsidR="00BE1885" w:rsidRPr="006A21F9" w:rsidRDefault="00BE1885" w:rsidP="00BE1885">
      <w:pPr>
        <w:rPr>
          <w:lang w:val="ru-RU"/>
        </w:rPr>
      </w:pPr>
      <w:r w:rsidRPr="006A21F9">
        <w:rPr>
          <w:lang w:val="ru-RU"/>
        </w:rPr>
        <w:tab/>
      </w:r>
    </w:p>
    <w:p w14:paraId="338BB346" w14:textId="77777777" w:rsidR="00BE1885" w:rsidRPr="006A21F9" w:rsidRDefault="00BE1885" w:rsidP="00BE1885">
      <w:pPr>
        <w:pStyle w:val="Heading4"/>
        <w:rPr>
          <w:lang w:val="ru-RU"/>
        </w:rPr>
      </w:pPr>
      <w:bookmarkStart w:id="845" w:name="_Toc133142613"/>
      <w:bookmarkStart w:id="846" w:name="_Toc133142989"/>
      <w:bookmarkStart w:id="847" w:name="_Toc133166346"/>
      <w:bookmarkStart w:id="848" w:name="_Toc182221556"/>
      <w:bookmarkStart w:id="849" w:name="_Toc238453123"/>
      <w:bookmarkStart w:id="850" w:name="_Toc238453923"/>
      <w:bookmarkStart w:id="851" w:name="_Toc238454333"/>
      <w:bookmarkStart w:id="852" w:name="_Toc238466415"/>
      <w:bookmarkStart w:id="853" w:name="_Toc238576583"/>
      <w:r w:rsidRPr="006A21F9">
        <w:rPr>
          <w:bCs/>
          <w:lang w:val="ru-RU"/>
        </w:rPr>
        <w:t>4.</w:t>
      </w:r>
      <w:r w:rsidRPr="006A21F9">
        <w:rPr>
          <w:lang w:val="ru-RU"/>
        </w:rPr>
        <w:t xml:space="preserve"> 关于忏悔圣事</w:t>
      </w:r>
      <w:bookmarkEnd w:id="845"/>
      <w:bookmarkEnd w:id="846"/>
      <w:bookmarkEnd w:id="847"/>
      <w:bookmarkEnd w:id="848"/>
      <w:bookmarkEnd w:id="849"/>
      <w:bookmarkEnd w:id="850"/>
      <w:bookmarkEnd w:id="851"/>
      <w:bookmarkEnd w:id="852"/>
      <w:bookmarkEnd w:id="853"/>
    </w:p>
    <w:p w14:paraId="116964F1" w14:textId="77777777" w:rsidR="00BE1885" w:rsidRPr="006A21F9" w:rsidRDefault="00BE1885" w:rsidP="00BE1885">
      <w:pPr>
        <w:rPr>
          <w:lang w:val="ru-RU"/>
        </w:rPr>
      </w:pPr>
    </w:p>
    <w:p w14:paraId="1352233B" w14:textId="77777777" w:rsidR="00BE1885" w:rsidRPr="006A21F9" w:rsidRDefault="00BE1885" w:rsidP="00BE1885">
      <w:pPr>
        <w:pStyle w:val="Heading5"/>
        <w:rPr>
          <w:lang w:val="ru-RU"/>
        </w:rPr>
      </w:pPr>
      <w:bookmarkStart w:id="854" w:name="_Toc133142990"/>
      <w:bookmarkStart w:id="855" w:name="_Toc133166347"/>
      <w:bookmarkStart w:id="856" w:name="_Toc182221557"/>
      <w:bookmarkStart w:id="857" w:name="_Toc238453124"/>
      <w:bookmarkStart w:id="858" w:name="_Toc238453924"/>
      <w:bookmarkStart w:id="859" w:name="_Toc238576584"/>
      <w:r w:rsidRPr="006A21F9">
        <w:rPr>
          <w:bCs/>
          <w:lang w:val="ru-RU"/>
        </w:rPr>
        <w:t>§221.</w:t>
      </w:r>
      <w:r w:rsidRPr="006A21F9">
        <w:rPr>
          <w:lang w:val="ru-RU"/>
        </w:rPr>
        <w:t xml:space="preserve"> 与前文的关联、忏悔圣事的概念及其不同名称</w:t>
      </w:r>
      <w:bookmarkEnd w:id="854"/>
      <w:bookmarkEnd w:id="855"/>
      <w:bookmarkEnd w:id="856"/>
      <w:bookmarkEnd w:id="857"/>
      <w:bookmarkEnd w:id="858"/>
      <w:bookmarkEnd w:id="859"/>
    </w:p>
    <w:p w14:paraId="511E5251" w14:textId="77777777" w:rsidR="00BE1885" w:rsidRPr="006A21F9" w:rsidRDefault="00BE1885" w:rsidP="00BE1885">
      <w:pPr>
        <w:ind w:firstLine="708"/>
        <w:rPr>
          <w:lang w:val="ru-RU"/>
        </w:rPr>
      </w:pPr>
      <w:r w:rsidRPr="006A21F9">
        <w:rPr>
          <w:lang w:val="ru-RU"/>
        </w:rPr>
        <w:t>在迄今为止我们所探讨的教会三大救赎圣事中，人获得了成为基督徒所必需的全部丰沛属灵恩赐，并借此在基督教虔诚生活中不断成长，最终达到永恒的福乐。 洗礼使罪人从一切罪过——无论是原罪还是自犯之罪——中得到洁净，并引领他进入基督恩典的国度。坚振礼赋予他神圣的力量，使他在恩典的生命中得以坚固并不断成长。圣体圣事以神圣的食粮滋养他，并将他与生命与恩典的源头本身结合在一起。 但既然人在洗礼池中虽已完全洗净一切罪孽，却未能摆脱原罪及其遗传败坏带来的后果——</w:t>
      </w:r>
      <w:r w:rsidRPr="006A21F9">
        <w:rPr>
          <w:lang w:val="ru-RU"/>
        </w:rPr>
        <w:lastRenderedPageBreak/>
        <w:t>即：在灵魂中容易倾向于作恶，在肉体中则面临疾病与死亡（§§91, 93）； 既然人在受洗后，虽已成为基督徒，仍可能再次犯罪，甚至频繁犯罪（约壹1:8-10），也可能罹患疾病，有时甚至是危及生命的重病，使人濒临死亡： 因此，全善的主乐意在祂的教会中设立另外两个圣礼，作为</w:t>
      </w:r>
      <w:r w:rsidRPr="001E4083">
        <w:t>拯救教会中</w:t>
      </w:r>
      <w:r w:rsidRPr="006A21F9">
        <w:rPr>
          <w:lang w:val="ru-RU"/>
        </w:rPr>
        <w:t>软弱成员的两种救赎良药：悔改圣礼，医治我们的属灵软弱；以及傅油圣礼，将其救赎之效延伸至我们的肉体软弱。 我们先谈谈这两个圣事中的第一个，然后再谈最后一个。</w:t>
      </w:r>
    </w:p>
    <w:p w14:paraId="1348DCFF" w14:textId="77777777" w:rsidR="00BE1885" w:rsidRPr="006A21F9" w:rsidRDefault="00BE1885" w:rsidP="00BE1885">
      <w:pPr>
        <w:rPr>
          <w:lang w:val="ru-RU"/>
        </w:rPr>
      </w:pPr>
      <w:r w:rsidRPr="006A21F9">
        <w:rPr>
          <w:lang w:val="ru-RU"/>
        </w:rPr>
        <w:tab/>
        <w:t>作为圣礼意义上的忏悔，</w:t>
      </w:r>
      <w:r>
        <w:rPr>
          <w:rStyle w:val="FootnoteReference"/>
        </w:rPr>
        <w:footnoteReference w:id="1328"/>
      </w:r>
      <w:r w:rsidRPr="006A21F9">
        <w:rPr>
          <w:lang w:val="ru-RU"/>
        </w:rPr>
        <w:t xml:space="preserve"> 是一种神圣礼仪，其中教会的牧者藉着圣灵的大能，赦免忏悔并告解的基督徒自受洗后所犯的一切罪过，使该基督徒重新变得纯洁无瑕、蒙受圣化，如同他初次从洗礼之水中出来时一般。 据此，古代教会导师们将忏悔圣事称为“赦免”</w:t>
      </w:r>
      <w:r>
        <w:rPr>
          <w:rStyle w:val="FootnoteReference"/>
        </w:rPr>
        <w:footnoteReference w:id="1329"/>
      </w:r>
      <w:r w:rsidRPr="006A21F9">
        <w:rPr>
          <w:lang w:val="ru-RU"/>
        </w:rPr>
        <w:t xml:space="preserve"> 1、“告解”</w:t>
      </w:r>
      <w:r>
        <w:rPr>
          <w:rStyle w:val="FootnoteReference"/>
        </w:rPr>
        <w:footnoteReference w:id="1330"/>
      </w:r>
      <w:r w:rsidRPr="006A21F9">
        <w:rPr>
          <w:lang w:val="ru-RU"/>
        </w:rPr>
        <w:t xml:space="preserve"> 、“和好”</w:t>
      </w:r>
      <w:r>
        <w:rPr>
          <w:rStyle w:val="FootnoteReference"/>
        </w:rPr>
        <w:footnoteReference w:id="1331"/>
      </w:r>
      <w:r w:rsidRPr="006A21F9">
        <w:rPr>
          <w:lang w:val="ru-RU"/>
        </w:rPr>
        <w:t xml:space="preserve"> 、“第二次洗礼”</w:t>
      </w:r>
      <w:r>
        <w:rPr>
          <w:rStyle w:val="FootnoteReference"/>
        </w:rPr>
        <w:footnoteReference w:id="1332"/>
      </w:r>
      <w:r w:rsidRPr="006A21F9">
        <w:rPr>
          <w:lang w:val="ru-RU"/>
        </w:rPr>
        <w:t xml:space="preserve"> 、“海难后的第二块木板”</w:t>
      </w:r>
      <w:r>
        <w:rPr>
          <w:rStyle w:val="FootnoteReference"/>
        </w:rPr>
        <w:footnoteReference w:id="1333"/>
      </w:r>
      <w:r w:rsidRPr="006A21F9">
        <w:rPr>
          <w:lang w:val="ru-RU"/>
        </w:rPr>
        <w:t xml:space="preserve"> 等。</w:t>
      </w:r>
    </w:p>
    <w:p w14:paraId="6D52E7DE" w14:textId="77777777" w:rsidR="00BE1885" w:rsidRPr="006A21F9" w:rsidRDefault="00BE1885" w:rsidP="00BE1885">
      <w:pPr>
        <w:rPr>
          <w:lang w:val="ru-RU"/>
        </w:rPr>
      </w:pPr>
      <w:r w:rsidRPr="006A21F9">
        <w:rPr>
          <w:lang w:val="ru-RU"/>
        </w:rPr>
        <w:tab/>
      </w:r>
    </w:p>
    <w:p w14:paraId="2096298F" w14:textId="77777777" w:rsidR="00BE1885" w:rsidRPr="006A21F9" w:rsidRDefault="00BE1885" w:rsidP="00BE1885">
      <w:pPr>
        <w:pStyle w:val="Heading5"/>
        <w:rPr>
          <w:lang w:val="ru-RU"/>
        </w:rPr>
      </w:pPr>
      <w:bookmarkStart w:id="860" w:name="_Toc133142991"/>
      <w:bookmarkStart w:id="861" w:name="_Toc133166348"/>
      <w:bookmarkStart w:id="862" w:name="_Toc182221558"/>
      <w:bookmarkStart w:id="863" w:name="_Toc238453125"/>
      <w:bookmarkStart w:id="864" w:name="_Toc238453925"/>
      <w:bookmarkStart w:id="865" w:name="_Toc238576585"/>
      <w:r w:rsidRPr="006A21F9">
        <w:rPr>
          <w:bCs/>
          <w:lang w:val="ru-RU"/>
        </w:rPr>
        <w:t>§222.</w:t>
      </w:r>
      <w:r w:rsidRPr="006A21F9">
        <w:rPr>
          <w:lang w:val="ru-RU"/>
        </w:rPr>
        <w:t xml:space="preserve"> 忏悔圣事的 divine 设立与有效性</w:t>
      </w:r>
      <w:bookmarkEnd w:id="860"/>
      <w:bookmarkEnd w:id="861"/>
      <w:bookmarkEnd w:id="862"/>
      <w:bookmarkEnd w:id="863"/>
      <w:bookmarkEnd w:id="864"/>
      <w:bookmarkEnd w:id="865"/>
    </w:p>
    <w:p w14:paraId="3BC51ACE" w14:textId="77777777" w:rsidR="00BE1885" w:rsidRPr="006A21F9" w:rsidRDefault="00BE1885" w:rsidP="00BE1885">
      <w:pPr>
        <w:ind w:firstLine="708"/>
        <w:rPr>
          <w:lang w:val="ru-RU"/>
        </w:rPr>
      </w:pPr>
      <w:r w:rsidRPr="001E4083">
        <w:rPr>
          <w:b/>
          <w:bCs/>
        </w:rPr>
        <w:t>一</w:t>
      </w:r>
      <w:r w:rsidRPr="006A21F9">
        <w:rPr>
          <w:lang w:val="ru-RU"/>
        </w:rPr>
        <w:t>、主在复活后设立了忏悔圣事。当时，他向聚集在一起的门徒们显现——唯独多马不在场——庄严地对他们说：</w:t>
      </w:r>
      <w:r w:rsidRPr="006A21F9">
        <w:rPr>
          <w:i/>
          <w:iCs/>
          <w:lang w:val="ru-RU"/>
        </w:rPr>
        <w:t>“愿你们平安！”……说了这话，他就向他们吹了一口气，说：“你们领受圣灵吧。” “你们赦免谁的罪，谁的罪就得赦免；你们留下谁的罪，谁的罪就留下</w:t>
      </w:r>
      <w:r w:rsidRPr="006A21F9">
        <w:rPr>
          <w:lang w:val="ru-RU"/>
        </w:rPr>
        <w:t>”（约20:21-23）。从这些话中可以看出：</w:t>
      </w:r>
      <w:r w:rsidRPr="006A21F9">
        <w:rPr>
          <w:b/>
          <w:bCs/>
          <w:lang w:val="ru-RU"/>
        </w:rPr>
        <w:t>a)</w:t>
      </w:r>
      <w:r w:rsidRPr="006A21F9">
        <w:rPr>
          <w:lang w:val="ru-RU"/>
        </w:rPr>
        <w:t xml:space="preserve"> 主亲自将祂那赦免或不赦免人罪的 神圣权柄传授给了使徒们，进而也传授给了他们的继任者； </w:t>
      </w:r>
      <w:r w:rsidRPr="006A21F9">
        <w:rPr>
          <w:b/>
          <w:bCs/>
          <w:lang w:val="ru-RU"/>
        </w:rPr>
        <w:t>b)</w:t>
      </w:r>
      <w:r w:rsidRPr="006A21F9">
        <w:rPr>
          <w:lang w:val="ru-RU"/>
        </w:rPr>
        <w:t xml:space="preserve"> 赦免或不赦免罪过正是通过圣灵，即祂那不可见的大能与作为；以及</w:t>
      </w:r>
      <w:r w:rsidRPr="006A21F9">
        <w:rPr>
          <w:b/>
          <w:bCs/>
          <w:lang w:val="ru-RU"/>
        </w:rPr>
        <w:t>——c)</w:t>
      </w:r>
      <w:r w:rsidRPr="006A21F9">
        <w:rPr>
          <w:lang w:val="ru-RU"/>
        </w:rPr>
        <w:t xml:space="preserve"> 毫无疑问，必须通过某种可见的行为来彰显这种权柄。 因此，忏悔是具有真正圣礼所有属性的有效圣礼（§200）。此外，救主基督此前曾两次就这一圣礼作出应许——第一次是在使徒彼得代表全体使徒承认祂是神的儿子时，祂对彼得说： </w:t>
      </w:r>
      <w:r w:rsidRPr="006A21F9">
        <w:rPr>
          <w:i/>
          <w:iCs/>
          <w:lang w:val="ru-RU"/>
        </w:rPr>
        <w:t>“我要把天国的钥匙给你：凡你在地上所捆绑的，在天上也要捆绑；凡你在地上所释放的，在天上也要释放”</w:t>
      </w:r>
      <w:r w:rsidRPr="006A21F9">
        <w:rPr>
          <w:lang w:val="ru-RU"/>
        </w:rPr>
        <w:t>（马太福音16:19）； 另一次，祂在所有使徒——</w:t>
      </w:r>
      <w:r w:rsidRPr="001E4083">
        <w:t>即教会的</w:t>
      </w:r>
      <w:r w:rsidRPr="006A21F9">
        <w:rPr>
          <w:lang w:val="ru-RU"/>
        </w:rPr>
        <w:t>领袖们——面前作证说：</w:t>
      </w:r>
      <w:r w:rsidRPr="006A21F9">
        <w:rPr>
          <w:i/>
          <w:iCs/>
          <w:lang w:val="ru-RU"/>
        </w:rPr>
        <w:t>若有人不听从教会，你就当把他当作外邦人和税吏一样对待。 我实在告诉你们： 你们在地上所捆绑的，在天上也要捆绑；你们在地上所释放的，在天上也要释放</w:t>
      </w:r>
      <w:r w:rsidRPr="006A21F9">
        <w:rPr>
          <w:lang w:val="ru-RU"/>
        </w:rPr>
        <w:t>（马太福音18:17-18）。</w:t>
      </w:r>
    </w:p>
    <w:p w14:paraId="13A23219" w14:textId="77777777" w:rsidR="00BE1885" w:rsidRPr="006A21F9" w:rsidRDefault="00BE1885" w:rsidP="00BE1885">
      <w:pPr>
        <w:rPr>
          <w:lang w:val="ru-RU"/>
        </w:rPr>
      </w:pPr>
      <w:r w:rsidRPr="006A21F9">
        <w:rPr>
          <w:lang w:val="ru-RU"/>
        </w:rPr>
        <w:tab/>
      </w:r>
      <w:r w:rsidRPr="001E4083">
        <w:rPr>
          <w:b/>
          <w:bCs/>
        </w:rPr>
        <w:t>二</w:t>
      </w:r>
      <w:r w:rsidRPr="006A21F9">
        <w:rPr>
          <w:b/>
          <w:bCs/>
          <w:lang w:val="ru-RU"/>
        </w:rPr>
        <w:t>、</w:t>
      </w:r>
      <w:r w:rsidRPr="006A21F9">
        <w:rPr>
          <w:lang w:val="ru-RU"/>
        </w:rPr>
        <w:t>自圣使徒时代起，忏悔圣事便一直存在于教会</w:t>
      </w:r>
      <w:r w:rsidRPr="001E4083">
        <w:t>之中</w:t>
      </w:r>
      <w:r w:rsidRPr="006A21F9">
        <w:rPr>
          <w:lang w:val="ru-RU"/>
        </w:rPr>
        <w:t>，其牧者始终行使着上帝所赐的捆绑与释放之权。 正如《使徒规条》所载：“若有人——无论是主教还是长老——不接纳悔改的罪人，反而将其驱逐，则应被逐出圣职。因为这使基督伤心，祂曾说：‘天上因一个悔改的罪人，便有喜乐’”（第52条）。 在《使徒规条》中，一方面，教会领袖们被非常明确地提醒：正是他们从上帝那里获得了“捆绑与释放”</w:t>
      </w:r>
      <w:r w:rsidRPr="006A21F9">
        <w:rPr>
          <w:lang w:val="ru-RU"/>
        </w:rPr>
        <w:lastRenderedPageBreak/>
        <w:t>的权柄，</w:t>
      </w:r>
      <w:r>
        <w:rPr>
          <w:rStyle w:val="FootnoteReference"/>
        </w:rPr>
        <w:footnoteReference w:id="1334"/>
      </w:r>
      <w:r w:rsidRPr="006A21F9">
        <w:rPr>
          <w:lang w:val="ru-RU"/>
        </w:rPr>
        <w:t xml:space="preserve"> ，并提供了大量关于如何审判各种罪行</w:t>
      </w:r>
      <w:r>
        <w:rPr>
          <w:rStyle w:val="FootnoteReference"/>
        </w:rPr>
        <w:footnoteReference w:id="1335"/>
      </w:r>
      <w:r w:rsidRPr="006A21F9">
        <w:rPr>
          <w:lang w:val="ru-RU"/>
        </w:rPr>
        <w:t xml:space="preserve"> 以及如何对待悔改者</w:t>
      </w:r>
      <w:r>
        <w:rPr>
          <w:rStyle w:val="FootnoteReference"/>
        </w:rPr>
        <w:footnoteReference w:id="1336"/>
      </w:r>
      <w:r w:rsidRPr="006A21F9">
        <w:rPr>
          <w:lang w:val="ru-RU"/>
        </w:rPr>
        <w:t xml:space="preserve"> 的指导； 另一方面，信徒被诫命要尊敬自己的属灵父亲：“因为他们从上帝那里领受了生与死的权柄，有权审判罪人并判处他们永火之刑，也有权赦免悔改者的罪并使他们复活。”</w:t>
      </w:r>
      <w:r>
        <w:rPr>
          <w:rStyle w:val="FootnoteReference"/>
        </w:rPr>
        <w:footnoteReference w:id="1337"/>
      </w:r>
      <w:r w:rsidRPr="006A21F9">
        <w:rPr>
          <w:lang w:val="ru-RU"/>
        </w:rPr>
        <w:t xml:space="preserve"> 古代教会导师们对此的见证同样清晰明确，例如：</w:t>
      </w:r>
    </w:p>
    <w:p w14:paraId="506893B7" w14:textId="77777777" w:rsidR="00BE1885" w:rsidRPr="006A21F9" w:rsidRDefault="00BE1885" w:rsidP="00BE1885">
      <w:pPr>
        <w:rPr>
          <w:lang w:val="ru-RU"/>
        </w:rPr>
      </w:pPr>
      <w:r w:rsidRPr="006A21F9">
        <w:rPr>
          <w:lang w:val="ru-RU"/>
        </w:rPr>
        <w:tab/>
        <w:t>圣基普里安： “那些虽未犯下任何重大罪行，却仅在心中萌生过罪念的人，若能怀着痛悔之心和坦诚的态度，在神的司祭面前坦白这一切，敞开心扉，将灵魂的重担托付于他们，寻求救赎的良药——哪怕只是微小且无害的创伤…… 恳请各位，我最亲爱的弟兄们，让我们每个人都忏悔自己的罪过，趁着犯罪者尚在世时，趁着他的忏悔还能被接受之时，趁着神父所施行的赎罪与赦免在主面前蒙悦纳之时。”</w:t>
      </w:r>
      <w:r>
        <w:rPr>
          <w:rStyle w:val="FootnoteReference"/>
        </w:rPr>
        <w:footnoteReference w:id="1338"/>
      </w:r>
    </w:p>
    <w:p w14:paraId="56F7BAE1" w14:textId="77777777" w:rsidR="00BE1885" w:rsidRPr="006A21F9" w:rsidRDefault="00BE1885" w:rsidP="00BE1885">
      <w:pPr>
        <w:rPr>
          <w:lang w:val="ru-RU"/>
        </w:rPr>
      </w:pPr>
      <w:r w:rsidRPr="006A21F9">
        <w:rPr>
          <w:lang w:val="ru-RU"/>
        </w:rPr>
        <w:tab/>
        <w:t>大圣亚法纳西：“正如受人——即神父——施洗之人，因圣灵的恩典而得蒙光照；同样，在悔改中忏悔自己罪过的人，也通过神父，因耶稣基督的恩典而获得罪的赦免。”</w:t>
      </w:r>
      <w:r>
        <w:rPr>
          <w:rStyle w:val="FootnoteReference"/>
        </w:rPr>
        <w:footnoteReference w:id="1339"/>
      </w:r>
    </w:p>
    <w:p w14:paraId="78C93D0D" w14:textId="77777777" w:rsidR="00BE1885" w:rsidRPr="006A21F9" w:rsidRDefault="00BE1885" w:rsidP="00BE1885">
      <w:pPr>
        <w:rPr>
          <w:lang w:val="ru-RU"/>
        </w:rPr>
      </w:pPr>
      <w:r w:rsidRPr="006A21F9">
        <w:rPr>
          <w:lang w:val="ru-RU"/>
        </w:rPr>
        <w:tab/>
        <w:t>大圣巴西略：“必须在那些受托管理上帝圣礼之事的人面前忏悔罪过。”</w:t>
      </w:r>
      <w:r>
        <w:rPr>
          <w:rStyle w:val="FootnoteReference"/>
        </w:rPr>
        <w:footnoteReference w:id="1340"/>
      </w:r>
      <w:r w:rsidRPr="006A21F9">
        <w:rPr>
          <w:lang w:val="ru-RU"/>
        </w:rPr>
        <w:t xml:space="preserve"> “（对于女修道士而言）在长老面前，由一位能提出明智的忏悔与改正方式的长老主持的忏悔，要得体得多，也安全得多。”</w:t>
      </w:r>
      <w:r>
        <w:rPr>
          <w:rStyle w:val="FootnoteReference"/>
        </w:rPr>
        <w:footnoteReference w:id="1341"/>
      </w:r>
    </w:p>
    <w:p w14:paraId="5B380A77" w14:textId="77777777" w:rsidR="00BE1885" w:rsidRPr="006A21F9" w:rsidRDefault="00BE1885" w:rsidP="00BE1885">
      <w:pPr>
        <w:rPr>
          <w:lang w:val="ru-RU"/>
        </w:rPr>
      </w:pPr>
      <w:r w:rsidRPr="006A21F9">
        <w:rPr>
          <w:lang w:val="ru-RU"/>
        </w:rPr>
        <w:tab/>
        <w:t>圣约翰·金口：“（神父们）虽仍居于尘世，却被允许管理天上的事务，获得了连上帝都未赐予天使或大天使的权柄。因为上帝对天使们说：‘你们在地上捆绑的……’ 地上的掌权者虽有权捆绑，但仅限于肉体；而这种权柄则关乎灵魂本身，并直达天国，因为神父们在地上所作的决定，上帝在天上予以确认，主也顺从祂仆人的意见。”</w:t>
      </w:r>
      <w:r>
        <w:rPr>
          <w:rStyle w:val="FootnoteReference"/>
        </w:rPr>
        <w:footnoteReference w:id="1342"/>
      </w:r>
    </w:p>
    <w:p w14:paraId="0FF6630E" w14:textId="77777777" w:rsidR="00BE1885" w:rsidRPr="006A21F9" w:rsidRDefault="00BE1885" w:rsidP="00BE1885">
      <w:pPr>
        <w:rPr>
          <w:lang w:val="ru-RU"/>
        </w:rPr>
      </w:pPr>
      <w:r w:rsidRPr="006A21F9">
        <w:rPr>
          <w:lang w:val="ru-RU"/>
        </w:rPr>
        <w:tab/>
        <w:t>关于忏悔圣事的相同教义，还由以下人士阐述过：特土良（Tertullian）、</w:t>
      </w:r>
      <w:r>
        <w:rPr>
          <w:rStyle w:val="FootnoteReference"/>
        </w:rPr>
        <w:footnoteReference w:id="1343"/>
      </w:r>
      <w:r w:rsidRPr="006A21F9">
        <w:rPr>
          <w:lang w:val="ru-RU"/>
        </w:rPr>
        <w:t xml:space="preserve"> 、拉克坦提乌斯（Lactantius）、尼西亚的格里高利（Gregory of Nyssa）、安布罗斯（Ambrose）、杰罗姆（Jerome）、奥古斯丁（Augustine）、亚历山大的西里尔（Cyril of Alexandria）、</w:t>
      </w:r>
      <w:r>
        <w:rPr>
          <w:rStyle w:val="FootnoteReference"/>
        </w:rPr>
        <w:footnoteReference w:id="1344"/>
      </w:r>
      <w:r w:rsidRPr="006A21F9">
        <w:rPr>
          <w:lang w:val="ru-RU"/>
        </w:rPr>
        <w:t xml:space="preserve"> 、教宗利奥（Pope Leo）</w:t>
      </w:r>
      <w:r>
        <w:rPr>
          <w:rStyle w:val="FootnoteReference"/>
        </w:rPr>
        <w:footnoteReference w:id="1345"/>
      </w:r>
      <w:r w:rsidRPr="006A21F9">
        <w:rPr>
          <w:lang w:val="ru-RU"/>
        </w:rPr>
        <w:t xml:space="preserve"> 等人。</w:t>
      </w:r>
      <w:r>
        <w:rPr>
          <w:rStyle w:val="FootnoteReference"/>
        </w:rPr>
        <w:footnoteReference w:id="1346"/>
      </w:r>
    </w:p>
    <w:p w14:paraId="7A42D22B" w14:textId="77777777" w:rsidR="00BE1885" w:rsidRPr="006A21F9" w:rsidRDefault="00BE1885" w:rsidP="00BE1885">
      <w:pPr>
        <w:rPr>
          <w:lang w:val="ru-RU"/>
        </w:rPr>
      </w:pPr>
      <w:r w:rsidRPr="006A21F9">
        <w:rPr>
          <w:lang w:val="ru-RU"/>
        </w:rPr>
        <w:lastRenderedPageBreak/>
        <w:tab/>
      </w:r>
    </w:p>
    <w:p w14:paraId="7085C3C3" w14:textId="77777777" w:rsidR="00BE1885" w:rsidRPr="006A21F9" w:rsidRDefault="00BE1885" w:rsidP="00BE1885">
      <w:pPr>
        <w:pStyle w:val="Heading5"/>
        <w:rPr>
          <w:lang w:val="ru-RU"/>
        </w:rPr>
      </w:pPr>
      <w:bookmarkStart w:id="866" w:name="_Toc133142992"/>
      <w:bookmarkStart w:id="867" w:name="_Toc133166349"/>
      <w:bookmarkStart w:id="868" w:name="_Toc182221559"/>
      <w:bookmarkStart w:id="869" w:name="_Toc238453126"/>
      <w:bookmarkStart w:id="870" w:name="_Toc238453926"/>
      <w:bookmarkStart w:id="871" w:name="_Toc238576586"/>
      <w:r w:rsidRPr="006A21F9">
        <w:rPr>
          <w:bCs/>
          <w:lang w:val="ru-RU"/>
        </w:rPr>
        <w:t>§223.</w:t>
      </w:r>
      <w:r w:rsidRPr="006A21F9">
        <w:rPr>
          <w:lang w:val="ru-RU"/>
        </w:rPr>
        <w:t xml:space="preserve"> 谁可以施行忏悔圣事，谁可以领受此圣事？</w:t>
      </w:r>
      <w:bookmarkEnd w:id="866"/>
      <w:bookmarkEnd w:id="867"/>
      <w:bookmarkEnd w:id="868"/>
      <w:bookmarkEnd w:id="869"/>
      <w:bookmarkEnd w:id="870"/>
      <w:bookmarkEnd w:id="871"/>
    </w:p>
    <w:p w14:paraId="56B411B1" w14:textId="77777777" w:rsidR="00BE1885" w:rsidRPr="006A21F9" w:rsidRDefault="00BE1885" w:rsidP="00BE1885">
      <w:pPr>
        <w:ind w:firstLine="708"/>
        <w:rPr>
          <w:lang w:val="ru-RU"/>
        </w:rPr>
      </w:pPr>
      <w:r w:rsidRPr="006A21F9">
        <w:rPr>
          <w:b/>
          <w:bCs/>
          <w:lang w:val="ru-RU"/>
        </w:rPr>
        <w:t xml:space="preserve">1. </w:t>
      </w:r>
      <w:r w:rsidRPr="006A21F9">
        <w:rPr>
          <w:lang w:val="ru-RU"/>
        </w:rPr>
        <w:t>从所引用的圣经和圣传的见证中已经可以看出，施行忏悔圣事的权柄起初是由主授予使徒们的 [(玛18:18)；(若20:</w:t>
      </w:r>
      <w:r w:rsidRPr="009D41B8">
        <w:rPr>
          <w:lang w:val="ru-RU"/>
        </w:rPr>
        <w:t>21-23</w:t>
      </w:r>
      <w:r w:rsidRPr="006A21F9">
        <w:rPr>
          <w:lang w:val="ru-RU"/>
        </w:rPr>
        <w:t>)；参见 (格前12:28)； （林后5:18-20）]，随后从使徒们传给了他们在教会中的继任者——主教和长老（多1:7），</w:t>
      </w:r>
      <w:r>
        <w:rPr>
          <w:rStyle w:val="FootnoteReference"/>
        </w:rPr>
        <w:footnoteReference w:id="1347"/>
      </w:r>
      <w:r w:rsidRPr="006A21F9">
        <w:rPr>
          <w:lang w:val="ru-RU"/>
        </w:rPr>
        <w:t xml:space="preserve"> 但需明确的是，神职人员在施行圣事时仅是可见的工具，而圣事本身是由上帝借着他们以不可见的方式施行的。 因为经上说：“你们在地上所捆绑的，在天上也要捆绑；你们在地上所释放的，在天上也要释放”（马太福音18:18）。为证实这一点，还可以引用古代教师们的其他见证，例如：</w:t>
      </w:r>
    </w:p>
    <w:p w14:paraId="551784E6" w14:textId="77777777" w:rsidR="00BE1885" w:rsidRPr="006A21F9" w:rsidRDefault="00BE1885" w:rsidP="00BE1885">
      <w:pPr>
        <w:rPr>
          <w:lang w:val="ru-RU"/>
        </w:rPr>
      </w:pPr>
      <w:r w:rsidRPr="006A21F9">
        <w:rPr>
          <w:lang w:val="ru-RU"/>
        </w:rPr>
        <w:tab/>
        <w:t>卡帕多西亚凯撒利亚主教菲尔米利安（233年）：“赦免罪孽的权柄，是赐予那些奉基督之命被差遣、并建立了教会的使徒及其所建立的教会，以及承继他们职权的各位主教的。”</w:t>
      </w:r>
      <w:r>
        <w:rPr>
          <w:rStyle w:val="FootnoteReference"/>
        </w:rPr>
        <w:footnoteReference w:id="1348"/>
      </w:r>
    </w:p>
    <w:p w14:paraId="02523DFB" w14:textId="77777777" w:rsidR="00BE1885" w:rsidRPr="006A21F9" w:rsidRDefault="00BE1885" w:rsidP="00BE1885">
      <w:pPr>
        <w:rPr>
          <w:lang w:val="ru-RU"/>
        </w:rPr>
      </w:pPr>
      <w:r w:rsidRPr="006A21F9">
        <w:rPr>
          <w:lang w:val="ru-RU"/>
        </w:rPr>
        <w:tab/>
        <w:t>圣安布罗斯：“除了独一的上帝之外，还有谁能赦免罪过？而上帝也是通过那些被他赋予赦罪权柄的人来赦免罪过的。”</w:t>
      </w:r>
      <w:r>
        <w:rPr>
          <w:rStyle w:val="FootnoteReference"/>
        </w:rPr>
        <w:footnoteReference w:id="1349"/>
      </w:r>
      <w:r w:rsidRPr="006A21F9">
        <w:rPr>
          <w:lang w:val="ru-RU"/>
        </w:rPr>
        <w:t xml:space="preserve"> 另有一处写道：“这一权柄仅授予神父。”</w:t>
      </w:r>
      <w:r>
        <w:rPr>
          <w:rStyle w:val="FootnoteReference"/>
        </w:rPr>
        <w:footnoteReference w:id="1350"/>
      </w:r>
      <w:r w:rsidRPr="006A21F9">
        <w:rPr>
          <w:lang w:val="ru-RU"/>
        </w:rPr>
        <w:t xml:space="preserve"> 第三处：“人们仅履行赦罪的侍奉，但并不展现任何自身的权柄。因为他们并非以自己的名义赦罪，而是奉圣父、圣子、圣灵之名；他们祈求，上帝赐予；此处人类仅是顺服，而恩赐则属于至高权柄。”</w:t>
      </w:r>
      <w:r>
        <w:rPr>
          <w:rStyle w:val="FootnoteReference"/>
        </w:rPr>
        <w:footnoteReference w:id="1351"/>
      </w:r>
    </w:p>
    <w:p w14:paraId="2820722B" w14:textId="77777777" w:rsidR="00BE1885" w:rsidRPr="006A21F9" w:rsidRDefault="00BE1885" w:rsidP="00BE1885">
      <w:pPr>
        <w:rPr>
          <w:lang w:val="ru-RU"/>
        </w:rPr>
      </w:pPr>
      <w:r w:rsidRPr="006A21F9">
        <w:rPr>
          <w:lang w:val="ru-RU"/>
        </w:rPr>
        <w:tab/>
        <w:t>圣约翰·金口：“父已将一切审判交给了子（约5:22）：如今我看到，子又将这审判全权交给了祭司…… 犹太祭司有权洁净身体上的麻风病，或者更确切地说，并非洁净，而是仅为被洁净者作见证（利未记14章）……但新约的祭司所获得的权柄，并非作为被洁净者的见证人，而是亲自施行洁净，而且不是洁净身体上的麻风病，而是洁净灵魂的污秽。”</w:t>
      </w:r>
      <w:r>
        <w:rPr>
          <w:rStyle w:val="FootnoteReference"/>
        </w:rPr>
        <w:footnoteReference w:id="1352"/>
      </w:r>
    </w:p>
    <w:p w14:paraId="7FC8A6FF" w14:textId="77777777" w:rsidR="00BE1885" w:rsidRPr="006A21F9" w:rsidRDefault="00BE1885" w:rsidP="00BE1885">
      <w:pPr>
        <w:rPr>
          <w:lang w:val="ru-RU"/>
        </w:rPr>
      </w:pPr>
      <w:r w:rsidRPr="006A21F9">
        <w:rPr>
          <w:lang w:val="ru-RU"/>
        </w:rPr>
        <w:tab/>
        <w:t>西班牙主教拉齐亚纳（约370年）：“你说：唯有上帝能赦免罪过？此言有理。但祂借着司祭所成就的，也是祂自己的权柄。”</w:t>
      </w:r>
      <w:r>
        <w:rPr>
          <w:rStyle w:val="FootnoteReference"/>
        </w:rPr>
        <w:footnoteReference w:id="1353"/>
      </w:r>
    </w:p>
    <w:p w14:paraId="4FBB9180" w14:textId="77777777" w:rsidR="00BE1885" w:rsidRPr="006A21F9" w:rsidRDefault="00BE1885" w:rsidP="00BE1885">
      <w:pPr>
        <w:rPr>
          <w:lang w:val="ru-RU"/>
        </w:rPr>
      </w:pPr>
      <w:r w:rsidRPr="006A21F9">
        <w:rPr>
          <w:lang w:val="ru-RU"/>
        </w:rPr>
        <w:tab/>
        <w:t>罗马教宗圣利奥：“作为神与人的中保，主耶稣基督赐予教会领袖权柄，使他们既能向悔罪者传授悔改的圣化，又能通过和解之门，让那些因救赎的赎罪而得洁净的人，得以领受圣事。 但在这一事工中，救主本人始终参与其中。”</w:t>
      </w:r>
      <w:r>
        <w:rPr>
          <w:rStyle w:val="FootnoteReference"/>
        </w:rPr>
        <w:footnoteReference w:id="1354"/>
      </w:r>
    </w:p>
    <w:p w14:paraId="69C9C7EB" w14:textId="77777777" w:rsidR="00BE1885" w:rsidRPr="006A21F9" w:rsidRDefault="00BE1885" w:rsidP="00BE1885">
      <w:pPr>
        <w:rPr>
          <w:lang w:val="ru-RU"/>
        </w:rPr>
      </w:pPr>
      <w:r w:rsidRPr="006A21F9">
        <w:rPr>
          <w:lang w:val="ru-RU"/>
        </w:rPr>
        <w:lastRenderedPageBreak/>
        <w:tab/>
        <w:t>总体而言，古代教会导师们断言，在忏悔圣事中赦免罪过的是基督本人（</w:t>
      </w:r>
      <w:r>
        <w:rPr>
          <w:rStyle w:val="FootnoteReference"/>
        </w:rPr>
        <w:footnoteReference w:id="1355"/>
      </w:r>
      <w:r w:rsidRPr="006A21F9">
        <w:rPr>
          <w:lang w:val="ru-RU"/>
        </w:rPr>
        <w:t xml:space="preserve"> ）或圣灵（</w:t>
      </w:r>
      <w:r>
        <w:rPr>
          <w:rStyle w:val="FootnoteReference"/>
        </w:rPr>
        <w:footnoteReference w:id="1356"/>
      </w:r>
      <w:r w:rsidRPr="006A21F9">
        <w:rPr>
          <w:lang w:val="ru-RU"/>
        </w:rPr>
        <w:t xml:space="preserve"> ），而在地上，继圣使徒之后，主教（</w:t>
      </w:r>
      <w:r>
        <w:rPr>
          <w:rStyle w:val="FootnoteReference"/>
        </w:rPr>
        <w:footnoteReference w:id="1357"/>
      </w:r>
      <w:r w:rsidRPr="006A21F9">
        <w:rPr>
          <w:lang w:val="ru-RU"/>
        </w:rPr>
        <w:t xml:space="preserve"> ）和长老作为这一权柄的可见代表履行职责。</w:t>
      </w:r>
      <w:r>
        <w:rPr>
          <w:rStyle w:val="FootnoteReference"/>
        </w:rPr>
        <w:footnoteReference w:id="1358"/>
      </w:r>
    </w:p>
    <w:p w14:paraId="7D077C33" w14:textId="77777777" w:rsidR="00BE1885" w:rsidRPr="006A21F9" w:rsidRDefault="00BE1885" w:rsidP="00BE1885">
      <w:pPr>
        <w:ind w:firstLine="708"/>
        <w:rPr>
          <w:lang w:val="ru-RU"/>
        </w:rPr>
      </w:pPr>
      <w:r w:rsidRPr="006A21F9">
        <w:rPr>
          <w:b/>
          <w:bCs/>
          <w:lang w:val="ru-RU"/>
        </w:rPr>
        <w:t>2.</w:t>
      </w:r>
      <w:r w:rsidRPr="006A21F9">
        <w:rPr>
          <w:lang w:val="ru-RU"/>
        </w:rPr>
        <w:t xml:space="preserve"> 唯有基督徒方可领受告解圣事，即那些在洗礼圣事中已洗净一切罪过，但随后再次犯罪，并需要新的途径来净化良心的人。 而非基督徒则不得参与此圣事：他们必须先领受第一个基督教圣事——该圣事能赦免一切人的罪过——并通过它如同通过一扇门般进入基督的教会，从而获得参与</w:t>
      </w:r>
      <w:r w:rsidRPr="001E4083">
        <w:t>教会</w:t>
      </w:r>
      <w:r w:rsidRPr="006A21F9">
        <w:rPr>
          <w:lang w:val="ru-RU"/>
        </w:rPr>
        <w:t>其他圣事的权利。 这一教义源于教会一贯的实践，广为人知</w:t>
      </w:r>
      <w:r w:rsidRPr="0097554A">
        <w:rPr>
          <w:lang w:val="ru-RU"/>
        </w:rPr>
        <w:t>，</w:t>
      </w:r>
      <w:r w:rsidRPr="001E4083">
        <w:t>并被教会</w:t>
      </w:r>
      <w:r w:rsidRPr="006A21F9">
        <w:rPr>
          <w:lang w:val="ru-RU"/>
        </w:rPr>
        <w:t>古代 的教师们明确阐述，例如：</w:t>
      </w:r>
      <w:r w:rsidRPr="006A21F9">
        <w:rPr>
          <w:b/>
          <w:bCs/>
          <w:lang w:val="ru-RU"/>
        </w:rPr>
        <w:t>a)</w:t>
      </w:r>
      <w:r w:rsidRPr="006A21F9">
        <w:rPr>
          <w:lang w:val="ru-RU"/>
        </w:rPr>
        <w:t xml:space="preserve"> 亚历山大的圣西里尔：“依我之见，被圣灵充满的人通过两种方式赦免或保留罪过： 首先，当允许那些因生活方式和信仰考验而被证明配得的人接受洗礼，而那些尚未配得的人则不予接纳，也不使他们分享神的恩典； 其次，在其他情况下，通过赦免或不予赦免罪过，对犯错的教会子民施以禁令，并宽恕悔改者；”</w:t>
      </w:r>
      <w:r>
        <w:rPr>
          <w:rStyle w:val="FootnoteReference"/>
        </w:rPr>
        <w:footnoteReference w:id="1359"/>
      </w:r>
      <w:r w:rsidRPr="006A21F9">
        <w:rPr>
          <w:lang w:val="ru-RU"/>
        </w:rPr>
        <w:t xml:space="preserve"> </w:t>
      </w:r>
      <w:r w:rsidRPr="006A21F9">
        <w:rPr>
          <w:b/>
          <w:bCs/>
          <w:lang w:val="ru-RU"/>
        </w:rPr>
        <w:t>b)</w:t>
      </w:r>
      <w:r w:rsidRPr="006A21F9">
        <w:rPr>
          <w:lang w:val="ru-RU"/>
        </w:rPr>
        <w:t xml:space="preserve"> 圣奥古斯丁：“罪……若是受洗候选人所犯，则藉洗礼得以洗净；若是受洗者所犯，则藉悔改得以医治。”</w:t>
      </w:r>
      <w:r>
        <w:rPr>
          <w:rStyle w:val="FootnoteReference"/>
        </w:rPr>
        <w:footnoteReference w:id="1360"/>
      </w:r>
    </w:p>
    <w:p w14:paraId="2334BE12" w14:textId="77777777" w:rsidR="00BE1885" w:rsidRPr="006A21F9" w:rsidRDefault="00BE1885" w:rsidP="00BE1885">
      <w:pPr>
        <w:rPr>
          <w:lang w:val="ru-RU"/>
        </w:rPr>
      </w:pPr>
    </w:p>
    <w:p w14:paraId="396C70A9" w14:textId="77777777" w:rsidR="00BE1885" w:rsidRPr="006A21F9" w:rsidRDefault="00BE1885" w:rsidP="00BE1885">
      <w:pPr>
        <w:pStyle w:val="Heading5"/>
        <w:rPr>
          <w:lang w:val="ru-RU"/>
        </w:rPr>
      </w:pPr>
      <w:bookmarkStart w:id="872" w:name="_Toc133142993"/>
      <w:bookmarkStart w:id="873" w:name="_Toc133166350"/>
      <w:bookmarkStart w:id="874" w:name="_Toc182221560"/>
      <w:bookmarkStart w:id="875" w:name="_Toc238453127"/>
      <w:bookmarkStart w:id="876" w:name="_Toc238453927"/>
      <w:bookmarkStart w:id="877" w:name="_Toc238576587"/>
      <w:r w:rsidRPr="006A21F9">
        <w:rPr>
          <w:bCs/>
          <w:lang w:val="ru-RU"/>
        </w:rPr>
        <w:t>§224.</w:t>
      </w:r>
      <w:r w:rsidRPr="006A21F9">
        <w:rPr>
          <w:lang w:val="ru-RU"/>
        </w:rPr>
        <w:t xml:space="preserve"> 接受忏悔圣事者应具备哪些条件？</w:t>
      </w:r>
      <w:bookmarkEnd w:id="872"/>
      <w:bookmarkEnd w:id="873"/>
      <w:bookmarkEnd w:id="874"/>
      <w:bookmarkEnd w:id="875"/>
      <w:bookmarkEnd w:id="876"/>
      <w:bookmarkEnd w:id="877"/>
    </w:p>
    <w:p w14:paraId="102ADF1C" w14:textId="77777777" w:rsidR="00BE1885" w:rsidRPr="006A21F9" w:rsidRDefault="00BE1885" w:rsidP="00BE1885">
      <w:pPr>
        <w:ind w:firstLine="708"/>
        <w:rPr>
          <w:lang w:val="ru-RU"/>
        </w:rPr>
      </w:pPr>
      <w:r w:rsidRPr="006A21F9">
        <w:rPr>
          <w:lang w:val="ru-RU"/>
        </w:rPr>
        <w:t>但为了使领受忏悔圣事者能够真正获得罪的赦免，根据东正教会的教义（《忏悔规程》第一卷，对第112和113个问题的回答；《关于忏悔的简明教理问答》），要求其满足以下条件：</w:t>
      </w:r>
    </w:p>
    <w:p w14:paraId="57BDF53C" w14:textId="77777777" w:rsidR="00BE1885" w:rsidRPr="006A21F9" w:rsidRDefault="00BE1885" w:rsidP="00BE1885">
      <w:pPr>
        <w:ind w:firstLine="708"/>
        <w:rPr>
          <w:lang w:val="ru-RU"/>
        </w:rPr>
      </w:pPr>
      <w:r w:rsidRPr="006A21F9">
        <w:rPr>
          <w:b/>
          <w:bCs/>
          <w:lang w:val="ru-RU"/>
        </w:rPr>
        <w:t xml:space="preserve">1. </w:t>
      </w:r>
      <w:r w:rsidRPr="006A21F9">
        <w:rPr>
          <w:lang w:val="ru-RU"/>
        </w:rPr>
        <w:t>为罪过痛悔。这是忏悔本质的必然要求： 真正悔改的人，必然会意识到自己罪孽的全部严重性及其毁灭性的后果，必然会感受到自己在上帝面前的罪责与不配，必然会内心悲痛、痛悔不已——那些对罪孽没有真正痛悔的人，便没有真正的悔改，而只有表面上的悔改。 正因如此，早在旧约时代，上帝在呼吁人们悔改时，就要求他们以对罪的痛悔作为必要条件：</w:t>
      </w:r>
      <w:r w:rsidRPr="006A21F9">
        <w:rPr>
          <w:i/>
          <w:iCs/>
          <w:lang w:val="ru-RU"/>
        </w:rPr>
        <w:t>当以全心、禁食、哭泣和哀号归向我。 “当撕裂你们的心，而不是你们的衣服，归向你们的上帝耶和华</w:t>
      </w:r>
      <w:r w:rsidRPr="006A21F9">
        <w:rPr>
          <w:lang w:val="ru-RU"/>
        </w:rPr>
        <w:t>”[（约珥书 2:12-13）；引自 （诗篇 50:19）]。同样，在新约中，救主基督为了在“浪子”和“税吏”的比喻中展示真正悔改的榜样，描绘了长子是如何怀着深刻的自我谴责和对自身罪孽的痛悔，率先回到父亲身边并呼求道：</w:t>
      </w:r>
      <w:r w:rsidRPr="006A21F9">
        <w:rPr>
          <w:i/>
          <w:iCs/>
          <w:lang w:val="ru-RU"/>
        </w:rPr>
        <w:t>“父亲！ 我得罪了天，也得罪了你，从今以后，我不配再称为你的儿子； 请把我当作你手下的雇工吧</w:t>
      </w:r>
      <w:r w:rsidRPr="006A21F9">
        <w:rPr>
          <w:lang w:val="ru-RU"/>
        </w:rPr>
        <w:t>（路加福音15:18-19）——而后者（即税吏）又是怀着何等谦卑和痛悔的心出现在上帝的殿中</w:t>
      </w:r>
      <w:r w:rsidRPr="006A21F9">
        <w:rPr>
          <w:i/>
          <w:iCs/>
          <w:lang w:val="ru-RU"/>
        </w:rPr>
        <w:t>，远远地站着，甚至不敢抬头望天；但他捶着胸膛说：“上帝啊！ 求祢怜悯我这个罪人！</w:t>
      </w:r>
      <w:r w:rsidRPr="006A21F9">
        <w:rPr>
          <w:lang w:val="ru-RU"/>
        </w:rPr>
        <w:t>（路加福音18:13）。圣父们和教会的导师们一致认为，为罪痛悔是悔改最本质、最必要的组成部分。</w:t>
      </w:r>
    </w:p>
    <w:p w14:paraId="2D75E440" w14:textId="77777777" w:rsidR="00BE1885" w:rsidRPr="006A21F9" w:rsidRDefault="00BE1885" w:rsidP="00BE1885">
      <w:pPr>
        <w:rPr>
          <w:lang w:val="ru-RU"/>
        </w:rPr>
      </w:pPr>
      <w:r w:rsidRPr="006A21F9">
        <w:rPr>
          <w:lang w:val="ru-RU"/>
        </w:rPr>
        <w:lastRenderedPageBreak/>
        <w:tab/>
        <w:t>“亲爱的弟兄们，”圣基普里安写道，“……在悔改和痛悔中审视你们的罪过；认清良心最沉重的罪责，敞开心灵之眼，看清自己的过犯……我们犯的罪越重，就越应该痛哭哀恸。”</w:t>
      </w:r>
      <w:r>
        <w:rPr>
          <w:rStyle w:val="FootnoteReference"/>
        </w:rPr>
        <w:footnoteReference w:id="1361"/>
      </w:r>
    </w:p>
    <w:p w14:paraId="1EC242D8" w14:textId="77777777" w:rsidR="00BE1885" w:rsidRPr="006A21F9" w:rsidRDefault="00BE1885" w:rsidP="00BE1885">
      <w:pPr>
        <w:rPr>
          <w:lang w:val="ru-RU"/>
        </w:rPr>
      </w:pPr>
      <w:r w:rsidRPr="006A21F9">
        <w:rPr>
          <w:lang w:val="ru-RU"/>
        </w:rPr>
        <w:tab/>
        <w:t>“如果彼得的哭泣，”圣金口若望也这样告诫他的听众，“都能洗刷如此重大的罪过，那么你若痛哭，又怎能无法洗刷自己的罪过呢？因为背弃自己的主——这并非微不足道的罪行，而是极其严重且重大的罪行——然而眼泪却洗刷了这罪过。 你也要为自己的罪过痛哭，但不要敷衍了事，也不要装模作样，而要像彼得那样痛彻心扉地哭泣；让泪水从灵魂深处奔涌而出，好使主动了慈心，赦免你的过犯。”</w:t>
      </w:r>
      <w:r>
        <w:rPr>
          <w:rStyle w:val="FootnoteReference"/>
        </w:rPr>
        <w:footnoteReference w:id="1362"/>
      </w:r>
    </w:p>
    <w:p w14:paraId="1D8B18E9" w14:textId="77777777" w:rsidR="00BE1885" w:rsidRPr="006A21F9" w:rsidRDefault="00BE1885" w:rsidP="00BE1885">
      <w:pPr>
        <w:rPr>
          <w:lang w:val="ru-RU"/>
        </w:rPr>
      </w:pPr>
      <w:r w:rsidRPr="006A21F9">
        <w:rPr>
          <w:lang w:val="ru-RU"/>
        </w:rPr>
        <w:tab/>
        <w:t>“谁能——圣格里高利·神学家曾呼求道——为我的头颅或眼睑赐下一股涌流的泉源，让我以泪水之流洗净一切污秽，为罪孽哀恸至应有的程度？因为对于凡人以及被玷污的灵魂而言，眼泪、烧焦的灰烬和尘世中安全的坟墓，才是最好的良药。”</w:t>
      </w:r>
      <w:r>
        <w:rPr>
          <w:rStyle w:val="FootnoteReference"/>
        </w:rPr>
        <w:footnoteReference w:id="1363"/>
      </w:r>
    </w:p>
    <w:p w14:paraId="7C475E36" w14:textId="77777777" w:rsidR="00BE1885" w:rsidRPr="006A21F9" w:rsidRDefault="00BE1885" w:rsidP="00BE1885">
      <w:pPr>
        <w:rPr>
          <w:lang w:val="ru-RU"/>
        </w:rPr>
      </w:pPr>
      <w:r w:rsidRPr="006A21F9">
        <w:rPr>
          <w:lang w:val="ru-RU"/>
        </w:rPr>
        <w:tab/>
        <w:t>“悔罪者应当，”大圣巴西尔教导道，“从心底发出苦涩的呻吟，并展现出悔罪所应有的其他表现。”</w:t>
      </w:r>
      <w:r>
        <w:rPr>
          <w:rStyle w:val="FootnoteReference"/>
        </w:rPr>
        <w:footnoteReference w:id="1364"/>
      </w:r>
      <w:r w:rsidRPr="006A21F9">
        <w:rPr>
          <w:lang w:val="ru-RU"/>
        </w:rPr>
        <w:t xml:space="preserve"> “悔改要求人首先在内心深处发出呼喊，并使自己的心 破碎，然后成为他人的良善榜样；为此，他要让自己被听见，并宣扬悔改的榜样。”</w:t>
      </w:r>
      <w:r>
        <w:rPr>
          <w:rStyle w:val="FootnoteReference"/>
        </w:rPr>
        <w:footnoteReference w:id="1365"/>
      </w:r>
    </w:p>
    <w:p w14:paraId="58F626F7" w14:textId="77777777" w:rsidR="00BE1885" w:rsidRPr="006A21F9" w:rsidRDefault="00BE1885" w:rsidP="00BE1885">
      <w:pPr>
        <w:rPr>
          <w:lang w:val="ru-RU"/>
        </w:rPr>
      </w:pPr>
      <w:r w:rsidRPr="006A21F9">
        <w:rPr>
          <w:lang w:val="ru-RU"/>
        </w:rPr>
        <w:tab/>
        <w:t>至于为罪孽痛悔的特质：必须注意，这种痛悔不应仅源于对罪孽惩罚的恐惧，也不应仅源于对罪孽在今生和来世将给我们带来毁灭性后果的想象，而应主要源于对上帝的爱——我们违背了祂的旨意， 源于我们最鲜活的自觉：我们因罪过冒犯了我们最伟大的恩主和天父，在祂面前表现得忘恩负义，使自己不配蒙祂恩待。</w:t>
      </w:r>
      <w:r>
        <w:rPr>
          <w:rStyle w:val="FootnoteReference"/>
        </w:rPr>
        <w:footnoteReference w:id="1366"/>
      </w:r>
      <w:r w:rsidRPr="006A21F9">
        <w:rPr>
          <w:lang w:val="ru-RU"/>
        </w:rPr>
        <w:t xml:space="preserve"> 第一种悲伤若缺少后一种，就只是奴隶式的悲伤，而非儿子的悲伤， 这种悲伤实则是为我们自己，而非为上帝；虽然它作为敬畏上帝的后果，或许能成为我们智慧的开端——即我们从不义转向美德的起点——但它尚不完美，也无法拯救灵魂。</w:t>
      </w:r>
      <w:r>
        <w:rPr>
          <w:rStyle w:val="FootnoteReference"/>
        </w:rPr>
        <w:footnoteReference w:id="1367"/>
      </w:r>
      <w:r w:rsidRPr="006A21F9">
        <w:rPr>
          <w:lang w:val="ru-RU"/>
        </w:rPr>
        <w:t xml:space="preserve"> 唯有后一种悲伤，即</w:t>
      </w:r>
      <w:r w:rsidRPr="006A21F9">
        <w:rPr>
          <w:i/>
          <w:iCs/>
          <w:lang w:val="ru-RU"/>
        </w:rPr>
        <w:t>为上帝而生的悲伤，才能带来通向救恩的恒久悔改</w:t>
      </w:r>
      <w:r w:rsidRPr="006A21F9">
        <w:rPr>
          <w:lang w:val="ru-RU"/>
        </w:rPr>
        <w:t>（林后7:10）。 唯有对上帝的爱——这种爱激励着为自己的罪而痛悔的罪人——才能使他获得上帝完全的恩宠和罪的赦免 [(路加福音 7:48)；(彼得前书 4:8)]。</w:t>
      </w:r>
      <w:r>
        <w:rPr>
          <w:rStyle w:val="FootnoteReference"/>
        </w:rPr>
        <w:footnoteReference w:id="1368"/>
      </w:r>
    </w:p>
    <w:p w14:paraId="7641BA8D" w14:textId="77777777" w:rsidR="00BE1885" w:rsidRPr="006A21F9" w:rsidRDefault="00BE1885" w:rsidP="00BE1885">
      <w:pPr>
        <w:ind w:firstLine="708"/>
        <w:rPr>
          <w:lang w:val="ru-RU"/>
        </w:rPr>
      </w:pPr>
      <w:r w:rsidRPr="006A21F9">
        <w:rPr>
          <w:b/>
          <w:bCs/>
          <w:lang w:val="ru-RU"/>
        </w:rPr>
        <w:t>2.</w:t>
      </w:r>
      <w:r w:rsidRPr="006A21F9">
        <w:rPr>
          <w:lang w:val="ru-RU"/>
        </w:rPr>
        <w:t xml:space="preserve"> 今后改过自新的坚定决心。这是为罪痛悔的必然结果，因此，若要真正为罪痛悔——这种痛悔不仅出于对刑罚的恐惧，更源于对神的爱——同时若心中缺乏改过自新的真诚愿望和决心，这是完全不可能的。 而在上帝的话语中，悔改者必然需要具备这种意愿和决心。悔改的传道者——施洗约翰</w:t>
      </w:r>
      <w:r w:rsidRPr="006A21F9">
        <w:rPr>
          <w:i/>
          <w:iCs/>
          <w:lang w:val="ru-RU"/>
        </w:rPr>
        <w:t xml:space="preserve">，看到许多法利赛人和撒都该人前来受洗，便对他们说：“毒蛇的后代！ </w:t>
      </w:r>
      <w:r w:rsidRPr="006A21F9">
        <w:rPr>
          <w:i/>
          <w:iCs/>
          <w:lang w:val="ru-RU"/>
        </w:rPr>
        <w:lastRenderedPageBreak/>
        <w:t>是谁促使你们逃避将来的忿怒呢？你们要结出与悔改相称的果子来</w:t>
      </w:r>
      <w:r w:rsidRPr="006A21F9">
        <w:rPr>
          <w:lang w:val="ru-RU"/>
        </w:rPr>
        <w:t>（太3:7-8）。圣使徒彼得在向犹太人讲道时说：</w:t>
      </w:r>
      <w:r w:rsidRPr="006A21F9">
        <w:rPr>
          <w:i/>
          <w:iCs/>
          <w:lang w:val="ru-RU"/>
        </w:rPr>
        <w:t>“你们应当悔改，归向神，使你们的罪得以赦免</w:t>
      </w:r>
      <w:r w:rsidRPr="006A21F9">
        <w:rPr>
          <w:lang w:val="ru-RU"/>
        </w:rPr>
        <w:t>”（徒3:19）。 在《启示录》中，以弗所教会的天使受命说：</w:t>
      </w:r>
      <w:r w:rsidRPr="009D41B8">
        <w:rPr>
          <w:i/>
          <w:iCs/>
          <w:lang w:val="ru-RU"/>
        </w:rPr>
        <w:t>“你要回想你是从哪里坠落的，并要悔改，行起初所行的事；若不这样，我就要快快临到你那里，把你的灯台从原处挪去，除非你悔改</w:t>
      </w:r>
      <w:r w:rsidRPr="006A21F9">
        <w:rPr>
          <w:lang w:val="ru-RU"/>
        </w:rPr>
        <w:t>”</w:t>
      </w:r>
      <w:r>
        <w:rPr>
          <w:lang w:val="ru-RU"/>
        </w:rPr>
        <w:t>（</w:t>
      </w:r>
      <w:r w:rsidRPr="006A21F9">
        <w:rPr>
          <w:lang w:val="ru-RU"/>
        </w:rPr>
        <w:t>启2</w:t>
      </w:r>
      <w:r>
        <w:rPr>
          <w:lang w:val="ru-RU"/>
        </w:rPr>
        <w:t>:</w:t>
      </w:r>
      <w:r w:rsidRPr="006A21F9">
        <w:rPr>
          <w:lang w:val="ru-RU"/>
        </w:rPr>
        <w:t>5）。 教会的教师们也宣讲了同样的真理，例如：</w:t>
      </w:r>
    </w:p>
    <w:p w14:paraId="529EB7D8" w14:textId="77777777" w:rsidR="00BE1885" w:rsidRPr="006A21F9" w:rsidRDefault="00BE1885" w:rsidP="00BE1885">
      <w:pPr>
        <w:rPr>
          <w:lang w:val="ru-RU"/>
        </w:rPr>
      </w:pPr>
      <w:r w:rsidRPr="006A21F9">
        <w:rPr>
          <w:lang w:val="ru-RU"/>
        </w:rPr>
        <w:tab/>
        <w:t>大圣巴西尔：“说‘我犯了罪’却仍停留在罪中的人，并非真正认罪；唯有那照着《诗篇》的话语察觉自己的罪并憎恶它的人，才是真正认罪的（诗篇 35:3）。” 当受病痛折磨的人仍执着于那些摧毁生命的事物时，医生的照料对病人又有何益处？同样，对于仍在行不义之事的人，宽恕毫无益处；对于在放荡中寻求宽恕、却继续放荡生活的人，宽恕也毫无益处…… 我们生命的智慧之主希望，那些曾沉溺于罪恶之中、随后立誓回归健康生活的人，能够与过去彻底决裂，并在犯下罪行之后有所改观，仿佛通过悔改在生命中焕然一新。”</w:t>
      </w:r>
      <w:r>
        <w:rPr>
          <w:rStyle w:val="FootnoteReference"/>
        </w:rPr>
        <w:footnoteReference w:id="1369"/>
      </w:r>
      <w:r w:rsidRPr="006A21F9">
        <w:rPr>
          <w:lang w:val="ru-RU"/>
        </w:rPr>
        <w:t xml:space="preserve"> “对于悔罪者而言，仅远离罪恶尚不足以得救，他们还需要结出与悔改相称的果实。”</w:t>
      </w:r>
      <w:r>
        <w:rPr>
          <w:rStyle w:val="FootnoteReference"/>
        </w:rPr>
        <w:footnoteReference w:id="1370"/>
      </w:r>
    </w:p>
    <w:p w14:paraId="2DFFC6CA" w14:textId="77777777" w:rsidR="00BE1885" w:rsidRPr="006A21F9" w:rsidRDefault="00BE1885" w:rsidP="00BE1885">
      <w:pPr>
        <w:rPr>
          <w:lang w:val="ru-RU"/>
        </w:rPr>
      </w:pPr>
      <w:r w:rsidRPr="006A21F9">
        <w:rPr>
          <w:lang w:val="ru-RU"/>
        </w:rPr>
        <w:tab/>
        <w:t>圣安布罗斯：“行悔改之人，不仅要用眼泪洗净自己的罪，更要以善行遮盖以往的过犯，以免罪过归咎于他。”</w:t>
      </w:r>
      <w:r>
        <w:rPr>
          <w:rStyle w:val="FootnoteReference"/>
        </w:rPr>
        <w:footnoteReference w:id="1371"/>
      </w:r>
    </w:p>
    <w:p w14:paraId="487A0DBF" w14:textId="77777777" w:rsidR="00BE1885" w:rsidRPr="006A21F9" w:rsidRDefault="00BE1885" w:rsidP="00BE1885">
      <w:pPr>
        <w:ind w:firstLine="708"/>
        <w:rPr>
          <w:lang w:val="ru-RU"/>
        </w:rPr>
      </w:pPr>
      <w:r w:rsidRPr="006A21F9">
        <w:rPr>
          <w:b/>
          <w:bCs/>
          <w:lang w:val="ru-RU"/>
        </w:rPr>
        <w:t xml:space="preserve">3. </w:t>
      </w:r>
      <w:r w:rsidRPr="006A21F9">
        <w:rPr>
          <w:lang w:val="ru-RU"/>
        </w:rPr>
        <w:t>对耶稣基督的信仰以及对祂仁慈的盼望</w:t>
      </w:r>
      <w:r w:rsidRPr="006A21F9">
        <w:rPr>
          <w:i/>
          <w:iCs/>
          <w:lang w:val="ru-RU"/>
        </w:rPr>
        <w:t>。所有先知都为祂作见证：凡信靠祂的人，都将因祂的名得蒙罪赦</w:t>
      </w:r>
      <w:r w:rsidRPr="006A21F9">
        <w:rPr>
          <w:lang w:val="ru-RU"/>
        </w:rPr>
        <w:t>（使徒行传 10:43），</w:t>
      </w:r>
      <w:r w:rsidRPr="006A21F9">
        <w:rPr>
          <w:i/>
          <w:iCs/>
          <w:lang w:val="ru-RU"/>
        </w:rPr>
        <w:t>而且在 天下，没有赐给世人的别的名，我们可以靠着得救</w:t>
      </w:r>
      <w:r w:rsidRPr="006A21F9">
        <w:rPr>
          <w:lang w:val="ru-RU"/>
        </w:rPr>
        <w:t>（使徒行传 4:12）。 唯有祂借着在十字架上的受死，使我们与神和好[(罗 5:1-2)； （罗8:24-25）]，祂是我们永恒的大祭司</w:t>
      </w:r>
      <w:r w:rsidRPr="006A21F9">
        <w:rPr>
          <w:i/>
          <w:iCs/>
          <w:lang w:val="ru-RU"/>
        </w:rPr>
        <w:t>，因此，祂能永远拯救那些借着祂来到神面前的人，因为祂永远活着，为他们代求</w:t>
      </w:r>
      <w:r w:rsidRPr="006A21F9">
        <w:rPr>
          <w:lang w:val="ru-RU"/>
        </w:rPr>
        <w:t>（来7:25）。 因此，若不信靠基督这位救主，也不寄望于祂，无论我们对罪的痛悔多么深刻，无论我们改过自新的决心多么坚定，我们都绝无可能蒙神赦免罪孽（参见§§153、197）。</w:t>
      </w:r>
    </w:p>
    <w:p w14:paraId="0D6E347A" w14:textId="77777777" w:rsidR="00BE1885" w:rsidRPr="006A21F9" w:rsidRDefault="00BE1885" w:rsidP="00BE1885">
      <w:pPr>
        <w:ind w:firstLine="708"/>
        <w:rPr>
          <w:lang w:val="ru-RU"/>
        </w:rPr>
      </w:pPr>
      <w:r w:rsidRPr="006A21F9">
        <w:rPr>
          <w:b/>
          <w:bCs/>
          <w:lang w:val="ru-RU"/>
        </w:rPr>
        <w:t>4.</w:t>
      </w:r>
      <w:r w:rsidRPr="006A21F9">
        <w:rPr>
          <w:lang w:val="ru-RU"/>
        </w:rPr>
        <w:t xml:space="preserve"> 向神父口头告解罪过。</w:t>
      </w:r>
      <w:r>
        <w:rPr>
          <w:rStyle w:val="FootnoteReference"/>
        </w:rPr>
        <w:footnoteReference w:id="1372"/>
      </w:r>
      <w:r w:rsidRPr="006A21F9">
        <w:rPr>
          <w:lang w:val="ru-RU"/>
        </w:rPr>
        <w:t xml:space="preserve"> 这种告解的必要性不言而喻：因为在忏悔圣事中，必须由神父来赦免罪过；而要决定是否赦免某项罪过，就必须事先了解该罪过。 既然主亲自赐予教会牧者“捆绑与释放”的神圣权柄（</w:t>
      </w:r>
      <w:r>
        <w:rPr>
          <w:lang w:val="ru-RU"/>
        </w:rPr>
        <w:t>《约翰福音》</w:t>
      </w:r>
      <w:r w:rsidRPr="006A21F9">
        <w:rPr>
          <w:lang w:val="ru-RU"/>
        </w:rPr>
        <w:t>20:22-23），毫无疑问，这并非为了让他们凭无节制的任意妄为来捆绑与释放，而是恰恰相反， 根据悔改的性质及其罪行的严重程度，向那些可以获得宽恕的人赦免罪过，而不向那些因缺乏悔意或罪行严重而被认定为不配获得宽恕的人赦免： 因此，在忏悔圣事中向教会牧者告解罪过——这必然以神所赐予他们的束缚与裁决权为前提——理应被视为神圣的制度。</w:t>
      </w:r>
    </w:p>
    <w:p w14:paraId="57DFE8DC" w14:textId="77777777" w:rsidR="00BE1885" w:rsidRPr="006A21F9" w:rsidRDefault="00BE1885" w:rsidP="00BE1885">
      <w:pPr>
        <w:rPr>
          <w:lang w:val="ru-RU"/>
        </w:rPr>
      </w:pPr>
      <w:r w:rsidRPr="006A21F9">
        <w:rPr>
          <w:lang w:val="ru-RU"/>
        </w:rPr>
        <w:tab/>
        <w:t>这一制度在教会中一直存在并得到遵守。 圣爱任纽记载道，有些妇女曾被诺斯替派引诱陷入异端和不敬虔之中，当她们重返教会时，坦承（</w:t>
      </w:r>
      <w:r w:rsidRPr="001E4083">
        <w:t>εξωμολογήσαντο</w:t>
      </w:r>
      <w:r w:rsidRPr="006A21F9">
        <w:rPr>
          <w:lang w:val="ru-RU"/>
        </w:rPr>
        <w:t>）了自己的罪过和迷误；而另一些人因不愿接受这一考验，便陷入了绝望。</w:t>
      </w:r>
      <w:r>
        <w:rPr>
          <w:rStyle w:val="FootnoteReference"/>
        </w:rPr>
        <w:footnoteReference w:id="1373"/>
      </w:r>
      <w:r w:rsidRPr="006A21F9">
        <w:rPr>
          <w:lang w:val="ru-RU"/>
        </w:rPr>
        <w:t xml:space="preserve"> 特土良抨击那些因虚假的羞耻感， </w:t>
      </w:r>
      <w:r w:rsidRPr="006A21F9">
        <w:rPr>
          <w:lang w:val="ru-RU"/>
        </w:rPr>
        <w:lastRenderedPageBreak/>
        <w:t>不愿忏悔自己罪过的人，并指出：人或许能躲过世人，却无法躲过上帝；公开被宽恕总比暗中受谴责要好；那些不忏悔自己罪过的人，其下场将与病患无异——因羞耻而不向能治愈他的医生坦白病情，最终导致病入膏肓。</w:t>
      </w:r>
      <w:r>
        <w:rPr>
          <w:rStyle w:val="FootnoteReference"/>
        </w:rPr>
        <w:footnoteReference w:id="1374"/>
      </w:r>
      <w:r w:rsidRPr="006A21F9">
        <w:rPr>
          <w:lang w:val="ru-RU"/>
        </w:rPr>
        <w:t xml:space="preserve"> 圣基普里安在某处曾抱怨某些神父，他们竟胆敢允许那些犯下严重罪行却未忏悔、未悔改的人参加圣餐；</w:t>
      </w:r>
      <w:r>
        <w:rPr>
          <w:rStyle w:val="FootnoteReference"/>
        </w:rPr>
        <w:footnoteReference w:id="1375"/>
      </w:r>
      <w:r w:rsidRPr="006A21F9">
        <w:rPr>
          <w:lang w:val="ru-RU"/>
        </w:rPr>
        <w:t xml:space="preserve"> 在另一处，他赞扬了许多信徒向神父敞开心扉、坦诚相待的真诚与纯洁，他们向神父忏悔自己的灵性创伤，并寻求救赎的医治；</w:t>
      </w:r>
      <w:r>
        <w:rPr>
          <w:rStyle w:val="FootnoteReference"/>
        </w:rPr>
        <w:footnoteReference w:id="1376"/>
      </w:r>
      <w:r w:rsidRPr="006A21F9">
        <w:rPr>
          <w:lang w:val="ru-RU"/>
        </w:rPr>
        <w:t xml:space="preserve"> 在第三处，他恳求基督徒在今生忏悔自己的罪过，趁着还能从神父那里获得宽恕的时候。</w:t>
      </w:r>
      <w:r>
        <w:rPr>
          <w:rStyle w:val="FootnoteReference"/>
        </w:rPr>
        <w:footnoteReference w:id="1377"/>
      </w:r>
      <w:r w:rsidRPr="006A21F9">
        <w:rPr>
          <w:lang w:val="ru-RU"/>
        </w:rPr>
        <w:t xml:space="preserve"> 奥利金在第三世纪也曾如此明确地论及这种忏悔。 例如，我们在他的著作中读到：“还有一种罪的赦免，尽管过程艰辛而艰难，但通过悔改可以实现——当罪人用眼泪洗净自己的床榻（诗篇 6:7），眼泪日夜成为他的食物（诗篇 41:4）， 并且他毫不羞愧地在主的祭司面前坦露</w:t>
      </w:r>
      <w:r w:rsidRPr="006A21F9">
        <w:rPr>
          <w:i/>
          <w:iCs/>
          <w:lang w:val="ru-RU"/>
        </w:rPr>
        <w:t>自己的罪</w:t>
      </w:r>
      <w:r w:rsidRPr="006A21F9">
        <w:rPr>
          <w:lang w:val="ru-RU"/>
        </w:rPr>
        <w:t>，并向他求医治。</w:t>
      </w:r>
      <w:r w:rsidRPr="006A21F9">
        <w:rPr>
          <w:i/>
          <w:iCs/>
          <w:lang w:val="ru-RU"/>
        </w:rPr>
        <w:t>”</w:t>
      </w:r>
      <w:r>
        <w:rPr>
          <w:rStyle w:val="FootnoteReference"/>
        </w:rPr>
        <w:footnoteReference w:id="1378"/>
      </w:r>
      <w:r w:rsidRPr="006A21F9">
        <w:rPr>
          <w:lang w:val="ru-RU"/>
        </w:rPr>
        <w:t xml:space="preserve"> 又如：“若我们犯罪，就应当说：</w:t>
      </w:r>
      <w:r w:rsidRPr="006A21F9">
        <w:rPr>
          <w:i/>
          <w:iCs/>
          <w:lang w:val="ru-RU"/>
        </w:rPr>
        <w:t>‘我向祢坦露了我的罪，没有隐瞒我的过犯；我说：“我要向主承认我的过犯。”’</w:t>
      </w:r>
      <w:r w:rsidRPr="006A21F9">
        <w:rPr>
          <w:lang w:val="ru-RU"/>
        </w:rPr>
        <w:t>（诗篇31:5）。 如果我们这样做，不仅向神，也向那些能医治我们创伤和罪孽的人坦白自己的罪，那么那位</w:t>
      </w:r>
      <w:r w:rsidRPr="006A21F9">
        <w:rPr>
          <w:i/>
          <w:iCs/>
          <w:lang w:val="ru-RU"/>
        </w:rPr>
        <w:t>说‘我要像消散雾气一样消散你的罪孽，像消散云雾一样消散你的过犯</w:t>
      </w:r>
      <w:r w:rsidRPr="006A21F9">
        <w:rPr>
          <w:lang w:val="ru-RU"/>
        </w:rPr>
        <w:t>’（以赛亚书 44:22）的主，必会赦免我们的罪。”</w:t>
      </w:r>
      <w:r>
        <w:rPr>
          <w:rStyle w:val="FootnoteReference"/>
        </w:rPr>
        <w:footnoteReference w:id="1379"/>
      </w:r>
      <w:r w:rsidRPr="006A21F9">
        <w:rPr>
          <w:lang w:val="ru-RU"/>
        </w:rPr>
        <w:t xml:space="preserve"> 在四世纪，也有人宣讲同样的道理：伟大的圣巴西尔和圣亚他那修——我们 已经看到了他们的见证，</w:t>
      </w:r>
      <w:r>
        <w:rPr>
          <w:rStyle w:val="FootnoteReference"/>
        </w:rPr>
        <w:footnoteReference w:id="1380"/>
      </w:r>
      <w:r w:rsidRPr="006A21F9">
        <w:rPr>
          <w:lang w:val="ru-RU"/>
        </w:rPr>
        <w:t xml:space="preserve"> ——圣安布罗斯，</w:t>
      </w:r>
      <w:r>
        <w:rPr>
          <w:rStyle w:val="FootnoteReference"/>
        </w:rPr>
        <w:footnoteReference w:id="1381"/>
      </w:r>
      <w:r w:rsidRPr="006A21F9">
        <w:rPr>
          <w:lang w:val="ru-RU"/>
        </w:rPr>
        <w:t xml:space="preserve"> 圣雅各布·尼西比</w:t>
      </w:r>
      <w:r>
        <w:rPr>
          <w:rStyle w:val="FootnoteReference"/>
        </w:rPr>
        <w:footnoteReference w:id="1382"/>
      </w:r>
      <w:r w:rsidRPr="006A21F9">
        <w:rPr>
          <w:lang w:val="ru-RU"/>
        </w:rPr>
        <w:t xml:space="preserve"> 以及圣格里高利·尼西。 最后一位对悔罪者说：“在我面前流下苦涩而汹涌的泪水吧，我也将我的泪水与你的泪水交融；请将神父视为父亲，接纳他成为你悲伤的同路人与伙伴…… 神父为那个在信仰中视如己子的罪人所感到的痛心，恰如雅各看见约瑟的衣服时所感到的悲痛……你为何要更倚靠那位在神里面生你的，而非那些按肉体生你的呢？ 大胆地向他敞开心扉；向他揭示心灵的奥秘，如同向医生展示隐秘的伤口一般：他也会照料你的健康。”</w:t>
      </w:r>
      <w:r>
        <w:rPr>
          <w:rStyle w:val="FootnoteReference"/>
        </w:rPr>
        <w:footnoteReference w:id="1383"/>
      </w:r>
      <w:r w:rsidRPr="006A21F9">
        <w:rPr>
          <w:lang w:val="ru-RU"/>
        </w:rPr>
        <w:t xml:space="preserve"> 鉴于无需援引后世作家关于我们所探讨之真理的证言，</w:t>
      </w:r>
      <w:r>
        <w:rPr>
          <w:rStyle w:val="FootnoteReference"/>
        </w:rPr>
        <w:footnoteReference w:id="1384"/>
      </w:r>
      <w:r w:rsidRPr="006A21F9">
        <w:rPr>
          <w:lang w:val="ru-RU"/>
        </w:rPr>
        <w:t xml:space="preserve"> 需指出的是，地方和普世大公会议的各项规则——这些规则规定了告解的具体情形、形式、时间、地点等——无疑</w:t>
      </w:r>
      <w:r w:rsidRPr="001E4083">
        <w:t>对此真理</w:t>
      </w:r>
      <w:r w:rsidRPr="006A21F9">
        <w:rPr>
          <w:lang w:val="ru-RU"/>
        </w:rPr>
        <w:t>作出了确凿的证实。 例如，拉奥狄基亚大公会议的第二条规则规定：“对于犯下各种罪过，但坚持祈祷、忏悔并完全弃绝恶行的人，在根据其罪行的严重程度给予他们忏悔时间之后，应因着上帝的怜悯与仁慈，接纳他们重归教</w:t>
      </w:r>
      <w:r w:rsidRPr="006A21F9">
        <w:rPr>
          <w:lang w:val="ru-RU"/>
        </w:rPr>
        <w:lastRenderedPageBreak/>
        <w:t>会团契。”</w:t>
      </w:r>
      <w:r>
        <w:rPr>
          <w:rStyle w:val="FootnoteReference"/>
        </w:rPr>
        <w:footnoteReference w:id="1385"/>
      </w:r>
      <w:r w:rsidRPr="006A21F9">
        <w:rPr>
          <w:lang w:val="ru-RU"/>
        </w:rPr>
        <w:t xml:space="preserve"> 在特鲁尔大公会议的第102条规则中，我们读到：“那些从上帝那里领受了裁决与捆绑权柄的人，应当审视罪行的性质以及犯罪者悔改的意愿，并据此施以与病症相称的治疗，以免在两者中都不加节制，从而使患病者失去得救的机会。”</w:t>
      </w:r>
    </w:p>
    <w:p w14:paraId="43F53722" w14:textId="77777777" w:rsidR="00BE1885" w:rsidRPr="006A21F9" w:rsidRDefault="00BE1885" w:rsidP="00BE1885">
      <w:pPr>
        <w:rPr>
          <w:lang w:val="ru-RU"/>
        </w:rPr>
      </w:pPr>
    </w:p>
    <w:p w14:paraId="3150ECD1" w14:textId="77777777" w:rsidR="00BE1885" w:rsidRPr="006A21F9" w:rsidRDefault="00BE1885" w:rsidP="00BE1885">
      <w:pPr>
        <w:pStyle w:val="Heading5"/>
        <w:rPr>
          <w:lang w:val="ru-RU"/>
        </w:rPr>
      </w:pPr>
      <w:bookmarkStart w:id="878" w:name="_Toc133142994"/>
      <w:bookmarkStart w:id="879" w:name="_Toc133166351"/>
      <w:bookmarkStart w:id="880" w:name="_Toc182221561"/>
      <w:bookmarkStart w:id="881" w:name="_Toc238453128"/>
      <w:bookmarkStart w:id="882" w:name="_Toc238453928"/>
      <w:bookmarkStart w:id="883" w:name="_Toc238576588"/>
      <w:r w:rsidRPr="006A21F9">
        <w:rPr>
          <w:bCs/>
          <w:lang w:val="ru-RU"/>
        </w:rPr>
        <w:t>§225.</w:t>
      </w:r>
      <w:r w:rsidRPr="006A21F9">
        <w:rPr>
          <w:lang w:val="ru-RU"/>
        </w:rPr>
        <w:t xml:space="preserve"> 忏悔圣事的可见方面、其不可见的功效及其广度</w:t>
      </w:r>
      <w:bookmarkEnd w:id="878"/>
      <w:bookmarkEnd w:id="879"/>
      <w:bookmarkEnd w:id="880"/>
      <w:bookmarkEnd w:id="881"/>
      <w:bookmarkEnd w:id="882"/>
      <w:bookmarkEnd w:id="883"/>
    </w:p>
    <w:p w14:paraId="0899E31F" w14:textId="77777777" w:rsidR="00BE1885" w:rsidRPr="006A21F9" w:rsidRDefault="00BE1885" w:rsidP="00BE1885">
      <w:pPr>
        <w:ind w:firstLine="708"/>
        <w:rPr>
          <w:lang w:val="ru-RU"/>
        </w:rPr>
      </w:pPr>
      <w:r w:rsidRPr="006A21F9">
        <w:rPr>
          <w:lang w:val="ru-RU"/>
        </w:rPr>
        <w:t>因此，当一位悔改的基督徒怀着对自身罪过的真诚痛悔，怀着今后改过自新的坚定决心，怀着对救主基督的活泼信心和对祂的盼望，来到教会牧者面前，向他忏悔自己的罪行时： 神的仆人便倾听忏悔，并奉主耶稣之名，赦免、宽恕并解除所有真心悔改之人的罪。因此：</w:t>
      </w:r>
    </w:p>
    <w:p w14:paraId="12AAE3E5" w14:textId="77777777" w:rsidR="00BE1885" w:rsidRPr="006A21F9" w:rsidRDefault="00BE1885" w:rsidP="00BE1885">
      <w:pPr>
        <w:ind w:firstLine="708"/>
        <w:rPr>
          <w:lang w:val="ru-RU"/>
        </w:rPr>
      </w:pPr>
      <w:r w:rsidRPr="006A21F9">
        <w:rPr>
          <w:b/>
          <w:bCs/>
          <w:lang w:val="ru-RU"/>
        </w:rPr>
        <w:t>1.</w:t>
      </w:r>
      <w:r w:rsidRPr="006A21F9">
        <w:rPr>
          <w:lang w:val="ru-RU"/>
        </w:rPr>
        <w:t xml:space="preserve"> 忏悔圣事的可见方面包括以下实质性行为：</w:t>
      </w:r>
      <w:r w:rsidRPr="006A21F9">
        <w:rPr>
          <w:b/>
          <w:bCs/>
          <w:lang w:val="ru-RU"/>
        </w:rPr>
        <w:t>a）</w:t>
      </w:r>
      <w:r w:rsidRPr="006A21F9">
        <w:rPr>
          <w:lang w:val="ru-RU"/>
        </w:rPr>
        <w:t xml:space="preserve">忏悔者向神职人员倾诉罪过；以及 </w:t>
      </w:r>
      <w:r w:rsidRPr="006A21F9">
        <w:rPr>
          <w:b/>
          <w:bCs/>
          <w:lang w:val="ru-RU"/>
        </w:rPr>
        <w:t>b）</w:t>
      </w:r>
      <w:r w:rsidRPr="006A21F9">
        <w:rPr>
          <w:lang w:val="ru-RU"/>
        </w:rPr>
        <w:t>神职人员在聆听忏悔后宣告的赦罪。 根据东正教会的礼仪，神职人员以以下话语表达这种赦免：“愿我们的主和上帝耶稣基督，凭着祂仁爱之恩典与慷慨，赦免你——[</w:t>
      </w:r>
      <w:r w:rsidRPr="006A21F9">
        <w:rPr>
          <w:i/>
          <w:iCs/>
          <w:lang w:val="ru-RU"/>
        </w:rPr>
        <w:t>名字</w:t>
      </w:r>
      <w:r w:rsidRPr="006A21F9">
        <w:rPr>
          <w:lang w:val="ru-RU"/>
        </w:rPr>
        <w:t>]，我的孩子——一切的罪过。 我这不配的司祭，凭祂赐予我的权柄，奉圣父、圣子、圣灵的名，赦免并解除你一切的罪，阿们。”</w:t>
      </w:r>
    </w:p>
    <w:p w14:paraId="40F5948B" w14:textId="77777777" w:rsidR="00BE1885" w:rsidRPr="006A21F9" w:rsidRDefault="00BE1885" w:rsidP="00BE1885">
      <w:pPr>
        <w:ind w:firstLine="708"/>
        <w:rPr>
          <w:lang w:val="ru-RU"/>
        </w:rPr>
      </w:pPr>
      <w:r w:rsidRPr="006A21F9">
        <w:rPr>
          <w:b/>
          <w:bCs/>
          <w:lang w:val="ru-RU"/>
        </w:rPr>
        <w:t>2.</w:t>
      </w:r>
      <w:r w:rsidRPr="006A21F9">
        <w:rPr>
          <w:lang w:val="ru-RU"/>
        </w:rPr>
        <w:t xml:space="preserve"> 忏悔圣事中那些不可见却充满恩典的功效是：</w:t>
      </w:r>
      <w:r w:rsidRPr="006A21F9">
        <w:rPr>
          <w:b/>
          <w:bCs/>
          <w:lang w:val="ru-RU"/>
        </w:rPr>
        <w:t>a)</w:t>
      </w:r>
      <w:r w:rsidRPr="006A21F9">
        <w:rPr>
          <w:lang w:val="ru-RU"/>
        </w:rPr>
        <w:t xml:space="preserve"> 直接的——赦免罪过与称义 [(约 20:23)；参 （路加福音 18:13-14）；（以西结书 18:21）；（约珥书 2:31)]，随后是</w:t>
      </w:r>
      <w:r w:rsidRPr="006A21F9">
        <w:rPr>
          <w:b/>
          <w:bCs/>
          <w:lang w:val="ru-RU"/>
        </w:rPr>
        <w:t>——b)</w:t>
      </w:r>
      <w:r w:rsidRPr="006A21F9">
        <w:rPr>
          <w:lang w:val="ru-RU"/>
        </w:rPr>
        <w:t xml:space="preserve"> 与上帝和好 [(路加福音 15:17-24)；参见 （罗 5:1-2</w:t>
      </w:r>
      <w:r>
        <w:rPr>
          <w:lang w:val="ru-RU"/>
        </w:rPr>
        <w:t>）</w:t>
      </w:r>
      <w:r w:rsidRPr="006A21F9">
        <w:rPr>
          <w:lang w:val="ru-RU"/>
        </w:rPr>
        <w:t>；</w:t>
      </w:r>
      <w:r>
        <w:rPr>
          <w:lang w:val="ru-RU"/>
        </w:rPr>
        <w:t>（</w:t>
      </w:r>
      <w:r w:rsidRPr="006A21F9">
        <w:rPr>
          <w:lang w:val="ru-RU"/>
        </w:rPr>
        <w:t>林后 5:19）]，</w:t>
      </w:r>
      <w:r w:rsidRPr="006A21F9">
        <w:rPr>
          <w:b/>
          <w:bCs/>
          <w:lang w:val="ru-RU"/>
        </w:rPr>
        <w:t xml:space="preserve">c) </w:t>
      </w:r>
      <w:r w:rsidRPr="006A21F9">
        <w:rPr>
          <w:lang w:val="ru-RU"/>
        </w:rPr>
        <w:t>从因罪而受的永恒刑罚中得释放，并得着永恒救恩的盼望 [(路 19:7-9)；</w:t>
      </w:r>
      <w:r w:rsidRPr="006A21F9">
        <w:rPr>
          <w:rFonts w:cs="Cambria Math"/>
          <w:lang w:val="ru-RU"/>
        </w:rPr>
        <w:t>(</w:t>
      </w:r>
      <w:r w:rsidRPr="006A21F9">
        <w:rPr>
          <w:lang w:val="ru-RU"/>
        </w:rPr>
        <w:t>路 23:42-43)]。 关于这些行为的见解，我们在前文引用的教父箴言中已多次见到，以下引文也清晰地表达了这一观点：</w:t>
      </w:r>
    </w:p>
    <w:p w14:paraId="285075DC" w14:textId="77777777" w:rsidR="00BE1885" w:rsidRPr="006A21F9" w:rsidRDefault="00BE1885" w:rsidP="00BE1885">
      <w:pPr>
        <w:rPr>
          <w:lang w:val="ru-RU"/>
        </w:rPr>
      </w:pPr>
      <w:r w:rsidRPr="006A21F9">
        <w:rPr>
          <w:lang w:val="ru-RU"/>
        </w:rPr>
        <w:tab/>
        <w:t>大圣巴西尔：“虽因某种罪过而受玷污，虽在当下失去了纯洁，但在未来仍不至于丧失借着悔改而得洁净的希望。”</w:t>
      </w:r>
      <w:r>
        <w:rPr>
          <w:rStyle w:val="FootnoteReference"/>
        </w:rPr>
        <w:footnoteReference w:id="1386"/>
      </w:r>
      <w:r w:rsidRPr="006A21F9">
        <w:rPr>
          <w:lang w:val="ru-RU"/>
        </w:rPr>
        <w:t xml:space="preserve"> “若将罪过在告解中揭露出来，便会使它成为干枯的柴，值得被洁净之火焚尽。”</w:t>
      </w:r>
      <w:r>
        <w:rPr>
          <w:rStyle w:val="FootnoteReference"/>
        </w:rPr>
        <w:footnoteReference w:id="1387"/>
      </w:r>
    </w:p>
    <w:p w14:paraId="31C638D6" w14:textId="77777777" w:rsidR="00BE1885" w:rsidRPr="006A21F9" w:rsidRDefault="00BE1885" w:rsidP="00BE1885">
      <w:pPr>
        <w:rPr>
          <w:lang w:val="ru-RU"/>
        </w:rPr>
      </w:pPr>
      <w:r w:rsidRPr="006A21F9">
        <w:rPr>
          <w:lang w:val="ru-RU"/>
        </w:rPr>
        <w:tab/>
        <w:t>圣约翰·金口：“当孩子们冒犯了某位显赫而有权势的人时，世俗的父母根本无法帮助他们；但神父们所做的，并非让他们的属灵儿女与贵族或君王和解，而是与那位动怒的上帝和解。”</w:t>
      </w:r>
      <w:r>
        <w:rPr>
          <w:rStyle w:val="FootnoteReference"/>
        </w:rPr>
        <w:footnoteReference w:id="1388"/>
      </w:r>
      <w:r w:rsidRPr="006A21F9">
        <w:rPr>
          <w:lang w:val="ru-RU"/>
        </w:rPr>
        <w:t xml:space="preserve"> “你犯了罪吗？ 走进教堂，赎清你的罪孽。无论你在广场上跌倒多少次，你总能站起来；同样，无论你犯了多少次罪，只要为罪孽忏悔，就不要绝望；下次再犯，下次再忏悔，以免因疏忽而彻底失去对应许之福的希望。 你已年事已高，却——犯了罪？——请走进（教堂），忏悔吧：这里是疗愈之所，而非审判之庭；这里不会施以酷刑，而是赐予罪的宽恕。”</w:t>
      </w:r>
      <w:r>
        <w:rPr>
          <w:rStyle w:val="FootnoteReference"/>
        </w:rPr>
        <w:footnoteReference w:id="1389"/>
      </w:r>
    </w:p>
    <w:p w14:paraId="1C7F4143" w14:textId="77777777" w:rsidR="00BE1885" w:rsidRPr="006A21F9" w:rsidRDefault="00BE1885" w:rsidP="00BE1885">
      <w:pPr>
        <w:rPr>
          <w:lang w:val="ru-RU"/>
        </w:rPr>
      </w:pPr>
      <w:r w:rsidRPr="006A21F9">
        <w:rPr>
          <w:lang w:val="ru-RU"/>
        </w:rPr>
        <w:tab/>
        <w:t>圣利奥，罗马教宗：“上帝多样的仁慈对人类的堕落如此宽容，以至于不仅通过洗礼的恩典，而且通过悔改的医治，永生的希望得以恢复， 那些未能持守重生恩赐、以自身判决自我定罪的人，也能获得罪的赦免；尽管根据神圣恩典的安排，他们唯有通过神父的代祷，才能蒙受这天主的仁慈…… 在末日来临之前，通过神父的祈祷来赦免罪责，是极其有益且必要的。”</w:t>
      </w:r>
      <w:r>
        <w:rPr>
          <w:rStyle w:val="FootnoteReference"/>
        </w:rPr>
        <w:footnoteReference w:id="1390"/>
      </w:r>
    </w:p>
    <w:p w14:paraId="58F760CF" w14:textId="77777777" w:rsidR="00BE1885" w:rsidRPr="006A21F9" w:rsidRDefault="00BE1885" w:rsidP="00BE1885">
      <w:pPr>
        <w:ind w:firstLine="708"/>
        <w:rPr>
          <w:lang w:val="ru-RU"/>
        </w:rPr>
      </w:pPr>
      <w:r w:rsidRPr="006A21F9">
        <w:rPr>
          <w:b/>
          <w:bCs/>
          <w:lang w:val="ru-RU"/>
        </w:rPr>
        <w:lastRenderedPageBreak/>
        <w:t>3.</w:t>
      </w:r>
      <w:r w:rsidRPr="006A21F9">
        <w:rPr>
          <w:lang w:val="ru-RU"/>
        </w:rPr>
        <w:t xml:space="preserve"> 须知，在忏悔圣事中，恩典那不可见的作用，以其广度与能力，遍及一切人的不法之举；只要人们真诚地为之悔改，并怀着对主耶稣的活泼信心及对祂功绩的盼望来认罪，就没有哪一种罪是不能被赦免的。 </w:t>
      </w:r>
      <w:r w:rsidRPr="006A21F9">
        <w:rPr>
          <w:i/>
          <w:iCs/>
          <w:lang w:val="ru-RU"/>
        </w:rPr>
        <w:t>因为祂来，不是要召义人，而是要召罪人悔改</w:t>
      </w:r>
      <w:r w:rsidRPr="006F72D5">
        <w:rPr>
          <w:lang w:val="ru-RU"/>
        </w:rPr>
        <w:t>[</w:t>
      </w:r>
      <w:r w:rsidRPr="006A21F9">
        <w:rPr>
          <w:lang w:val="ru-RU"/>
        </w:rPr>
        <w:t>（太9:13</w:t>
      </w:r>
      <w:r>
        <w:rPr>
          <w:lang w:val="ru-RU"/>
        </w:rPr>
        <w:t>）</w:t>
      </w:r>
      <w:r w:rsidRPr="006A21F9">
        <w:rPr>
          <w:lang w:val="ru-RU"/>
        </w:rPr>
        <w:t>；  （太18:11）</w:t>
      </w:r>
      <w:r w:rsidRPr="006F72D5">
        <w:rPr>
          <w:lang w:val="ru-RU"/>
        </w:rPr>
        <w:t>]</w:t>
      </w:r>
      <w:r w:rsidRPr="006A21F9">
        <w:rPr>
          <w:lang w:val="ru-RU"/>
        </w:rPr>
        <w:t>；</w:t>
      </w:r>
      <w:r w:rsidRPr="006A21F9">
        <w:rPr>
          <w:i/>
          <w:iCs/>
          <w:lang w:val="ru-RU"/>
        </w:rPr>
        <w:t>你们天父并不愿这些小者中失丧一个</w:t>
      </w:r>
      <w:r w:rsidRPr="006A21F9">
        <w:rPr>
          <w:lang w:val="ru-RU"/>
        </w:rPr>
        <w:t>（太18:14），——救主如此说，——无论使徒彼得的堕落多么严重，当他真心悔改时，主也赦免了他。 圣使徒们也教导说，</w:t>
      </w:r>
      <w:r w:rsidRPr="006A21F9">
        <w:rPr>
          <w:i/>
          <w:iCs/>
          <w:lang w:val="ru-RU"/>
        </w:rPr>
        <w:t>主对我们大有忍耐，不愿任何人灭亡，而是愿人人都悔改</w:t>
      </w:r>
      <w:r w:rsidRPr="006A21F9">
        <w:rPr>
          <w:lang w:val="ru-RU"/>
        </w:rPr>
        <w:t>（彼得后书 3:9）。</w:t>
      </w:r>
      <w:r w:rsidRPr="006A21F9">
        <w:rPr>
          <w:i/>
          <w:iCs/>
          <w:lang w:val="ru-RU"/>
        </w:rPr>
        <w:t>若有人犯罪，我们有一位在父面前的代求者，就是那义者耶稣基督； 祂是为我们的罪作赎罪祭，不仅为我们的罪，也为全人类的罪</w:t>
      </w:r>
      <w:r w:rsidRPr="006A21F9">
        <w:rPr>
          <w:lang w:val="ru-RU"/>
        </w:rPr>
        <w:t>（《约翰一书》2:1-2）。</w:t>
      </w:r>
      <w:r w:rsidRPr="006A21F9">
        <w:rPr>
          <w:i/>
          <w:iCs/>
          <w:lang w:val="ru-RU"/>
        </w:rPr>
        <w:t>我们若认自己的罪，祂因是信实的、公义的，必赦免我们的罪，洗净我们一切的不义</w:t>
      </w:r>
      <w:r w:rsidRPr="006A21F9">
        <w:rPr>
          <w:lang w:val="ru-RU"/>
        </w:rPr>
        <w:t>（《约翰一书》1:9）。 众所周知，圣彼得甚至呼吁那些钉死真弥赛亚的犹太人悔改（使徒行传 2:38），随后又呼吁了西门·术士——所有异端之首（使徒行传 8:22）； 而圣保罗也接纳了那位已悔改的乱伦者，此前仅对他实施了暂时的开除教籍（哥林多后书 2:7）。 倘若上帝的话语中提到亵渎圣灵之罪——此罪人不能赦免（马太福音 12:31），以及那致命的罪——甚至未被吩咐为之祈求赦免（约翰一书 5:16）： 那么必须记住，前者所指的显然是顽固地抵挡显而易见的上帝真理</w:t>
      </w:r>
      <w:r>
        <w:rPr>
          <w:rStyle w:val="FootnoteReference"/>
        </w:rPr>
        <w:footnoteReference w:id="1391"/>
      </w:r>
      <w:r w:rsidRPr="006A21F9">
        <w:rPr>
          <w:lang w:val="ru-RU"/>
        </w:rPr>
        <w:t xml:space="preserve"> 、彻底的不信</w:t>
      </w:r>
      <w:r>
        <w:rPr>
          <w:rStyle w:val="FootnoteReference"/>
        </w:rPr>
        <w:footnoteReference w:id="1392"/>
      </w:r>
      <w:r w:rsidRPr="006A21F9">
        <w:rPr>
          <w:lang w:val="ru-RU"/>
        </w:rPr>
        <w:t xml:space="preserve"> 以及不悔改</w:t>
      </w:r>
      <w:r>
        <w:rPr>
          <w:rStyle w:val="FootnoteReference"/>
        </w:rPr>
        <w:footnoteReference w:id="1393"/>
      </w:r>
      <w:r w:rsidRPr="006A21F9">
        <w:rPr>
          <w:lang w:val="ru-RU"/>
        </w:rPr>
        <w:t xml:space="preserve"> ；而后者所指的，则是对虔诚与真理的恶毒叛逆，以及顽固地坚持不悔改。</w:t>
      </w:r>
      <w:r>
        <w:rPr>
          <w:rStyle w:val="FootnoteReference"/>
        </w:rPr>
        <w:footnoteReference w:id="1394"/>
      </w:r>
      <w:r w:rsidRPr="006A21F9">
        <w:rPr>
          <w:lang w:val="ru-RU"/>
        </w:rPr>
        <w:t xml:space="preserve"> 因此，在这两种情况下，所假设的仅仅是赦免罪孽在道德层面的不可能性——这种不可能性源于罪人自身，而非源于恩典。 但只要罪人真诚地为这些罪孽悔改，他们就会得到上帝的宽恕。“因为，”圣金口若望在论及亵渎圣灵之罪时说，“这种罪过在悔改者身上已被赦免。 许多曾诽谤圣灵的人，后来信了主，他们的罪都得到了赦免。”</w:t>
      </w:r>
      <w:r>
        <w:rPr>
          <w:rStyle w:val="FootnoteReference"/>
        </w:rPr>
        <w:footnoteReference w:id="1395"/>
      </w:r>
      <w:r w:rsidRPr="006A21F9">
        <w:rPr>
          <w:lang w:val="ru-RU"/>
        </w:rPr>
        <w:t xml:space="preserve"> 同样，第七次 大公会议的教父们也谈到了赦免致命罪的可能性：“所谓致命罪，是指某些人犯罪后仍不悔改，持续沉溺于罪中。 比这更严重的是，当有人顽固地背离虔诚与真理，宁可追逐玛门也不顺服上帝，且不遵守祂的律例和规条。在这样的人里面没有主耶稣，除非他们谦卑下来，并从自己的堕落中清醒过来。 他们更应当亲近上帝，怀着痛悔的心祈求赦免此罪，而非因不义之行而自夸。因为</w:t>
      </w:r>
      <w:r w:rsidRPr="006A21F9">
        <w:rPr>
          <w:i/>
          <w:iCs/>
          <w:lang w:val="ru-RU"/>
        </w:rPr>
        <w:t>“耶和华靠近伤心的人</w:t>
      </w:r>
      <w:r w:rsidRPr="006A21F9">
        <w:rPr>
          <w:lang w:val="ru-RU"/>
        </w:rPr>
        <w:t>”（诗篇33:19）”（规则5）。</w:t>
      </w:r>
    </w:p>
    <w:p w14:paraId="2549CB41" w14:textId="77777777" w:rsidR="00BE1885" w:rsidRPr="006A21F9" w:rsidRDefault="00BE1885" w:rsidP="00BE1885">
      <w:pPr>
        <w:rPr>
          <w:lang w:val="ru-RU"/>
        </w:rPr>
      </w:pPr>
      <w:r w:rsidRPr="006A21F9">
        <w:rPr>
          <w:lang w:val="ru-RU"/>
        </w:rPr>
        <w:tab/>
        <w:t>圣正教会通过忏悔圣事赦免一切罪过的这一信仰，已明确表达出来。首先，教会谴责了蒙塔努派，他们声称教会无权在忏悔中赦免某些重罪，例如：拜偶像、杀人、肉体的污秽； 其次，谴责了诺瓦蒂安派，他们起初剥夺了教会对那些在迫害期间背离信仰之人的此项权柄，随后又将</w:t>
      </w:r>
      <w:r w:rsidRPr="006A21F9">
        <w:rPr>
          <w:lang w:val="ru-RU"/>
        </w:rPr>
        <w:lastRenderedPageBreak/>
        <w:t>此权柄延伸至所有致命罪</w:t>
      </w:r>
      <w:r>
        <w:rPr>
          <w:rStyle w:val="FootnoteReference"/>
        </w:rPr>
        <w:footnoteReference w:id="1396"/>
      </w:r>
      <w:r w:rsidRPr="006A21F9">
        <w:rPr>
          <w:lang w:val="ru-RU"/>
        </w:rPr>
        <w:t xml:space="preserve"> ，甚至包括可宽恕的罪；</w:t>
      </w:r>
      <w:r>
        <w:rPr>
          <w:rStyle w:val="FootnoteReference"/>
        </w:rPr>
        <w:footnoteReference w:id="1397"/>
      </w:r>
      <w:r w:rsidRPr="006A21F9">
        <w:rPr>
          <w:lang w:val="ru-RU"/>
        </w:rPr>
        <w:t xml:space="preserve"> 最后，在各次大公会议上，教会制定了相关规则：虽然罪人因自己的罪过而须接受各种——有时极为严苛——的补赎，但在妥善履行补赎之后，无论罪过多么严重，他们都必然获得罪过的赦免。</w:t>
      </w:r>
      <w:r>
        <w:rPr>
          <w:rStyle w:val="FootnoteReference"/>
        </w:rPr>
        <w:footnoteReference w:id="1398"/>
      </w:r>
    </w:p>
    <w:p w14:paraId="1B073F3A" w14:textId="77777777" w:rsidR="00BE1885" w:rsidRPr="006A21F9" w:rsidRDefault="00BE1885" w:rsidP="00BE1885">
      <w:pPr>
        <w:rPr>
          <w:lang w:val="ru-RU"/>
        </w:rPr>
      </w:pPr>
      <w:r w:rsidRPr="006A21F9">
        <w:rPr>
          <w:lang w:val="ru-RU"/>
        </w:rPr>
        <w:tab/>
      </w:r>
    </w:p>
    <w:p w14:paraId="001159E8" w14:textId="77777777" w:rsidR="00BE1885" w:rsidRPr="006A21F9" w:rsidRDefault="00BE1885" w:rsidP="00BE1885">
      <w:pPr>
        <w:pStyle w:val="Heading5"/>
        <w:rPr>
          <w:lang w:val="ru-RU"/>
        </w:rPr>
      </w:pPr>
      <w:bookmarkStart w:id="884" w:name="_Toc133142995"/>
      <w:bookmarkStart w:id="885" w:name="_Toc133166352"/>
      <w:bookmarkStart w:id="886" w:name="_Toc182221562"/>
      <w:bookmarkStart w:id="887" w:name="_Toc238453129"/>
      <w:bookmarkStart w:id="888" w:name="_Toc238453929"/>
      <w:bookmarkStart w:id="889" w:name="_Toc238576589"/>
      <w:r w:rsidRPr="006A21F9">
        <w:rPr>
          <w:bCs/>
          <w:lang w:val="ru-RU"/>
        </w:rPr>
        <w:t>§226.</w:t>
      </w:r>
      <w:r w:rsidRPr="006A21F9">
        <w:rPr>
          <w:lang w:val="ru-RU"/>
        </w:rPr>
        <w:t xml:space="preserve"> 补赎、其起源及在教会中的应用</w:t>
      </w:r>
      <w:bookmarkEnd w:id="884"/>
      <w:bookmarkEnd w:id="885"/>
      <w:bookmarkEnd w:id="886"/>
      <w:bookmarkEnd w:id="887"/>
      <w:bookmarkEnd w:id="888"/>
      <w:bookmarkEnd w:id="889"/>
    </w:p>
    <w:p w14:paraId="34B2D7D9" w14:textId="77777777" w:rsidR="00BE1885" w:rsidRPr="006A21F9" w:rsidRDefault="00BE1885" w:rsidP="00BE1885">
      <w:pPr>
        <w:ind w:firstLine="708"/>
        <w:rPr>
          <w:lang w:val="ru-RU"/>
        </w:rPr>
      </w:pPr>
      <w:r w:rsidRPr="006A21F9">
        <w:rPr>
          <w:b/>
          <w:bCs/>
          <w:lang w:val="ru-RU"/>
        </w:rPr>
        <w:t>1.</w:t>
      </w:r>
      <w:r w:rsidRPr="006A21F9">
        <w:rPr>
          <w:lang w:val="ru-RU"/>
        </w:rPr>
        <w:t xml:space="preserve"> 所谓“补赎”（</w:t>
      </w:r>
      <w:r w:rsidRPr="001E4083">
        <w:t>επιτίμια</w:t>
      </w:r>
      <w:r w:rsidRPr="006A21F9">
        <w:rPr>
          <w:lang w:val="ru-RU"/>
        </w:rPr>
        <w:t>），是指根据教会规则，神职人员作为属灵的医者，为治愈某些悔改的基督徒的道德疾病而对其施加的禁令或惩罚（林后2:6）（普世大公会议</w:t>
      </w:r>
      <w:r w:rsidRPr="001E4083">
        <w:t>第六</w:t>
      </w:r>
      <w:r w:rsidRPr="006A21F9">
        <w:rPr>
          <w:lang w:val="ru-RU"/>
        </w:rPr>
        <w:t>次，第102条）。 例如，最著名的斋戒种类包括：在规定斋期之外额外进行特别斋戒；每日前往教堂参加所有礼拜仪式；在家中祈祷并配合规定次数的叩拜；施舍救济；前往圣地朝圣；以及暂时或长期禁止领受圣体圣事 （《教规》第一卷，对第113个问题的回答）。 补赎并非针对所有人，而仅针对某些忏悔的基督徒：即那些无论因其罪孽的严重程度与性质，还是因其忏悔的特质，都需要这些属灵疗法以获得完全治愈的人（圣格里高利·尼萨《教规》第5条）。</w:t>
      </w:r>
    </w:p>
    <w:p w14:paraId="4C0F6D02" w14:textId="77777777" w:rsidR="00BE1885" w:rsidRPr="006A21F9" w:rsidRDefault="00BE1885" w:rsidP="00BE1885">
      <w:pPr>
        <w:ind w:firstLine="708"/>
        <w:rPr>
          <w:lang w:val="ru-RU"/>
        </w:rPr>
      </w:pPr>
      <w:r w:rsidRPr="006A21F9">
        <w:rPr>
          <w:b/>
          <w:bCs/>
          <w:lang w:val="ru-RU"/>
        </w:rPr>
        <w:t>2.</w:t>
      </w:r>
      <w:r w:rsidRPr="006A21F9">
        <w:rPr>
          <w:lang w:val="ru-RU"/>
        </w:rPr>
        <w:t xml:space="preserve"> 教会从主那里获得了对某些悔罪者施加斋戒、并借由禁令暂时约束他们的权柄，正如她从主那里获得了赦免罪孽的权柄一样。 因为主不仅对圣使徒们——进而也对他们的继任者们——说：</w:t>
      </w:r>
      <w:r w:rsidRPr="006A21F9">
        <w:rPr>
          <w:i/>
          <w:iCs/>
          <w:lang w:val="ru-RU"/>
        </w:rPr>
        <w:t>“你们在地上所捆绑的，在天上也要捆绑；你们在地上所释放的，在天上也要释放</w:t>
      </w:r>
      <w:r w:rsidRPr="006A21F9">
        <w:rPr>
          <w:lang w:val="ru-RU"/>
        </w:rPr>
        <w:t>”（玛18</w:t>
      </w:r>
      <w:r w:rsidRPr="006F72D5">
        <w:rPr>
          <w:lang w:val="ru-RU"/>
        </w:rPr>
        <w:t>:</w:t>
      </w:r>
      <w:r w:rsidRPr="006A21F9">
        <w:rPr>
          <w:lang w:val="ru-RU"/>
        </w:rPr>
        <w:t>18），还说：</w:t>
      </w:r>
      <w:r w:rsidRPr="006A21F9">
        <w:rPr>
          <w:i/>
          <w:iCs/>
          <w:lang w:val="ru-RU"/>
        </w:rPr>
        <w:t>“你们赦免谁的罪，谁的罪就得赦免； 你们若不赦免谁的罪，谁的罪就不得赦免</w:t>
      </w:r>
      <w:r w:rsidRPr="006A21F9">
        <w:rPr>
          <w:lang w:val="ru-RU"/>
        </w:rPr>
        <w:t>”（约20</w:t>
      </w:r>
      <w:r w:rsidRPr="006F72D5">
        <w:rPr>
          <w:lang w:val="ru-RU"/>
        </w:rPr>
        <w:t>:</w:t>
      </w:r>
      <w:r w:rsidRPr="006A21F9">
        <w:rPr>
          <w:lang w:val="ru-RU"/>
        </w:rPr>
        <w:t>23）。圣使徒们确实行使了这一权柄。 例如，圣保罗听说哥林多基督徒中出现了一名乱伦者，为了使他悔改，便对这位不法之徒施以最严厉的惩戒，命令将他逐出教会，将其交给撒但，使他的肉体受苦，好叫他的灵得救 （林前5:1-5）——随后，当惩戒发挥了救赎作用，罪人悔改后，他便宽恕了他，并吩咐哥林多人再次接纳这位悔改者进入教会团契（林后2:6-8）。</w:t>
      </w:r>
    </w:p>
    <w:p w14:paraId="06D5D0A7" w14:textId="77777777" w:rsidR="00BE1885" w:rsidRPr="006A21F9" w:rsidRDefault="00BE1885" w:rsidP="00BE1885">
      <w:pPr>
        <w:ind w:firstLine="708"/>
        <w:rPr>
          <w:lang w:val="ru-RU"/>
        </w:rPr>
      </w:pPr>
      <w:r w:rsidRPr="006A21F9">
        <w:rPr>
          <w:b/>
          <w:bCs/>
          <w:lang w:val="ru-RU"/>
        </w:rPr>
        <w:t>3.</w:t>
      </w:r>
      <w:r w:rsidRPr="006A21F9">
        <w:rPr>
          <w:lang w:val="ru-RU"/>
        </w:rPr>
        <w:t xml:space="preserve"> 圣教会承继自圣使徒的传统，自其成立之初便施行斋戒。这一点有以下依据：</w:t>
      </w:r>
    </w:p>
    <w:p w14:paraId="53B251DC"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来自圣依里内、特土良、基普里安</w:t>
      </w:r>
      <w:r>
        <w:rPr>
          <w:rStyle w:val="FootnoteReference"/>
        </w:rPr>
        <w:footnoteReference w:id="1399"/>
      </w:r>
      <w:r w:rsidRPr="006A21F9">
        <w:rPr>
          <w:lang w:val="ru-RU"/>
        </w:rPr>
        <w:t xml:space="preserve"> 的见证以及《使徒宪章》的规定。</w:t>
      </w:r>
      <w:r>
        <w:rPr>
          <w:rStyle w:val="FootnoteReference"/>
        </w:rPr>
        <w:footnoteReference w:id="1400"/>
      </w:r>
    </w:p>
    <w:p w14:paraId="7AFB51CA"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源自古代教会中存在的公开忏悔仪式。 根据该仪式，忏悔者被分为四类，每类都须遵守特定的斋戒：一类 是“哭泣者”，他们无权参加公共礼拜，只能俯卧在教堂门廊上，一边哭泣一边恳求进入圣殿的人向神为他们祈祷； “聆听者”一类，允许进入教堂前厅，在为慕道者举行的圣礼期间聆听圣经诵读和教诲； 跪拜者群体，他们进入圣殿内部，在礼拜中停留的时间稍长，但通常跪在圣殿门口；以及共同站立者群体，他们在整个礼拜仪式中与信徒们一同站立，但不能与他们一同领受基督的圣体圣血。</w:t>
      </w:r>
      <w:r>
        <w:rPr>
          <w:rStyle w:val="FootnoteReference"/>
        </w:rPr>
        <w:footnoteReference w:id="1401"/>
      </w:r>
    </w:p>
    <w:p w14:paraId="167DAFAA"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关于各类斋戒、其性质、等级、变更等问题的众多规则，包括大公会议和教父们的规定。</w:t>
      </w:r>
      <w:r>
        <w:rPr>
          <w:rStyle w:val="FootnoteReference"/>
        </w:rPr>
        <w:footnoteReference w:id="1402"/>
      </w:r>
    </w:p>
    <w:p w14:paraId="6EC8DB35" w14:textId="77777777" w:rsidR="00BE1885" w:rsidRPr="006A21F9" w:rsidRDefault="00BE1885" w:rsidP="00BE1885">
      <w:pPr>
        <w:rPr>
          <w:lang w:val="ru-RU"/>
        </w:rPr>
      </w:pPr>
      <w:r w:rsidRPr="006A21F9">
        <w:rPr>
          <w:lang w:val="ru-RU"/>
        </w:rPr>
        <w:lastRenderedPageBreak/>
        <w:tab/>
      </w:r>
    </w:p>
    <w:p w14:paraId="2A8E60EA" w14:textId="77777777" w:rsidR="00BE1885" w:rsidRPr="006A21F9" w:rsidRDefault="00BE1885" w:rsidP="00BE1885">
      <w:pPr>
        <w:pStyle w:val="Heading5"/>
        <w:rPr>
          <w:lang w:val="ru-RU"/>
        </w:rPr>
      </w:pPr>
      <w:bookmarkStart w:id="890" w:name="_Toc133142996"/>
      <w:bookmarkStart w:id="891" w:name="_Toc133166353"/>
      <w:bookmarkStart w:id="892" w:name="_Toc182221563"/>
      <w:bookmarkStart w:id="893" w:name="_Toc238453130"/>
      <w:bookmarkStart w:id="894" w:name="_Toc238453930"/>
      <w:bookmarkStart w:id="895" w:name="_Toc238576590"/>
      <w:r w:rsidRPr="006A21F9">
        <w:rPr>
          <w:bCs/>
          <w:lang w:val="ru-RU"/>
        </w:rPr>
        <w:t>§227.</w:t>
      </w:r>
      <w:r w:rsidRPr="006A21F9">
        <w:rPr>
          <w:lang w:val="ru-RU"/>
        </w:rPr>
        <w:t xml:space="preserve"> 补赎的意义</w:t>
      </w:r>
      <w:bookmarkEnd w:id="890"/>
      <w:bookmarkEnd w:id="891"/>
      <w:bookmarkEnd w:id="892"/>
      <w:bookmarkEnd w:id="893"/>
      <w:bookmarkEnd w:id="894"/>
      <w:bookmarkEnd w:id="895"/>
    </w:p>
    <w:p w14:paraId="3328B0C6" w14:textId="77777777" w:rsidR="00BE1885" w:rsidRPr="006A21F9" w:rsidRDefault="00BE1885" w:rsidP="00BE1885">
      <w:pPr>
        <w:ind w:firstLine="708"/>
        <w:rPr>
          <w:lang w:val="ru-RU"/>
        </w:rPr>
      </w:pPr>
      <w:r w:rsidRPr="006A21F9">
        <w:rPr>
          <w:lang w:val="ru-RU"/>
        </w:rPr>
        <w:t>斋戒虽本质上属于惩罚，但就其意义而言，仅是具有矫正性、治疗性、父爱性（</w:t>
      </w:r>
      <w:r w:rsidRPr="001E4083">
        <w:t>παιδεία</w:t>
      </w:r>
      <w:r w:rsidRPr="006A21F9">
        <w:rPr>
          <w:lang w:val="ru-RU"/>
        </w:rPr>
        <w:t xml:space="preserve">）的惩罚，恰如使徒所言： </w:t>
      </w:r>
      <w:r w:rsidRPr="006A21F9">
        <w:rPr>
          <w:i/>
          <w:iCs/>
          <w:lang w:val="ru-RU"/>
        </w:rPr>
        <w:t>“主所爱的，他必管教</w:t>
      </w:r>
      <w:r w:rsidRPr="006A21F9">
        <w:rPr>
          <w:lang w:val="ru-RU"/>
        </w:rPr>
        <w:t>（</w:t>
      </w:r>
      <w:r w:rsidRPr="001E4083">
        <w:t>παιδεύει</w:t>
      </w:r>
      <w:r w:rsidRPr="006A21F9">
        <w:rPr>
          <w:lang w:val="ru-RU"/>
        </w:rPr>
        <w:t>）”（希伯来书12:6），以及在另一处经文中：</w:t>
      </w:r>
      <w:r w:rsidRPr="006A21F9">
        <w:rPr>
          <w:i/>
          <w:iCs/>
          <w:lang w:val="ru-RU"/>
        </w:rPr>
        <w:t>“我们受主的管教</w:t>
      </w:r>
      <w:r w:rsidRPr="006A21F9">
        <w:rPr>
          <w:lang w:val="ru-RU"/>
        </w:rPr>
        <w:t>（</w:t>
      </w:r>
      <w:r w:rsidRPr="001E4083">
        <w:t>παιδευόμεθα</w:t>
      </w:r>
      <w:r w:rsidRPr="006A21F9">
        <w:rPr>
          <w:lang w:val="ru-RU"/>
        </w:rPr>
        <w:t>）</w:t>
      </w:r>
      <w:r w:rsidRPr="006A21F9">
        <w:rPr>
          <w:i/>
          <w:iCs/>
          <w:lang w:val="ru-RU"/>
        </w:rPr>
        <w:t>，免得我们和世人一同受审判</w:t>
      </w:r>
      <w:r w:rsidRPr="006A21F9">
        <w:rPr>
          <w:lang w:val="ru-RU"/>
        </w:rPr>
        <w:t>”（哥林多前书11:32）。 这绝非罗马教会所教导的严格意义上的惩罚（</w:t>
      </w:r>
      <w:r w:rsidRPr="001E4083">
        <w:t>τιμωρία</w:t>
      </w:r>
      <w:r w:rsidRPr="006A21F9">
        <w:rPr>
          <w:lang w:val="ru-RU"/>
        </w:rPr>
        <w:t>），即忏悔的罪人似乎必须暂时承受这种惩罚，以向受冒犯的上帝公义赎罪。</w:t>
      </w:r>
      <w:r>
        <w:rPr>
          <w:rStyle w:val="FootnoteReference"/>
        </w:rPr>
        <w:footnoteReference w:id="1403"/>
      </w:r>
      <w:r w:rsidRPr="006A21F9">
        <w:rPr>
          <w:lang w:val="ru-RU"/>
        </w:rPr>
        <w:t xml:space="preserve"> 简而言之：补赎是治愈罪恶的良药，而非报应，也非向永恒公义赎罪的补偿。</w:t>
      </w:r>
      <w:r>
        <w:rPr>
          <w:rStyle w:val="FootnoteReference"/>
        </w:rPr>
        <w:footnoteReference w:id="1404"/>
      </w:r>
    </w:p>
    <w:p w14:paraId="3B12658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为证明第一个观点——即关于忏悔真正含义的观点——我们援引以下证人：</w:t>
      </w:r>
    </w:p>
    <w:p w14:paraId="4BCD144D" w14:textId="77777777" w:rsidR="00BE1885" w:rsidRPr="006A21F9" w:rsidRDefault="00BE1885" w:rsidP="00BE1885">
      <w:pPr>
        <w:ind w:firstLine="708"/>
        <w:rPr>
          <w:lang w:val="ru-RU"/>
        </w:rPr>
      </w:pPr>
      <w:r w:rsidRPr="006A21F9">
        <w:rPr>
          <w:b/>
          <w:bCs/>
          <w:lang w:val="ru-RU"/>
        </w:rPr>
        <w:t>1)</w:t>
      </w:r>
      <w:r w:rsidRPr="006A21F9">
        <w:rPr>
          <w:lang w:val="ru-RU"/>
        </w:rPr>
        <w:t xml:space="preserve"> 圣使徒保罗。正如我们所见，他对哥林多的一位乱伦者施以严厉的惩罚，他本人将其称为“补赎”——命令将此人逐出教会，交予撒但，任其受肉体之苦……其目的何在？ </w:t>
      </w:r>
      <w:r w:rsidRPr="006A21F9">
        <w:rPr>
          <w:i/>
          <w:iCs/>
          <w:lang w:val="ru-RU"/>
        </w:rPr>
        <w:t>为了</w:t>
      </w:r>
      <w:r w:rsidRPr="006A21F9">
        <w:rPr>
          <w:lang w:val="ru-RU"/>
        </w:rPr>
        <w:t>拯</w:t>
      </w:r>
      <w:r w:rsidRPr="006A21F9">
        <w:rPr>
          <w:i/>
          <w:iCs/>
          <w:lang w:val="ru-RU"/>
        </w:rPr>
        <w:t>救他的灵魂</w:t>
      </w:r>
      <w:r w:rsidRPr="006A21F9">
        <w:rPr>
          <w:lang w:val="ru-RU"/>
        </w:rPr>
        <w:t>（林前5:1-5）。而且，一旦他察觉到这种惩戒已在罪人心中引发了忧伤与悔改，便立即撤销了惩罚（林后2:7）。因此， 使徒施以惩戒，并非为了惩罚本身，也并非通过惩罚来满足神的公义，而是为了使人悔改；当医治之法产生良好效果后，便将其撤销，正是为了避免继续使用这种已属多余的手段——它非但无益，反而会给病人带来伤害</w:t>
      </w:r>
      <w:r w:rsidRPr="006A21F9">
        <w:rPr>
          <w:i/>
          <w:iCs/>
          <w:lang w:val="ru-RU"/>
        </w:rPr>
        <w:t>，以免他被过度的悲伤所吞噬</w:t>
      </w:r>
      <w:r w:rsidRPr="006A21F9">
        <w:rPr>
          <w:lang w:val="ru-RU"/>
        </w:rPr>
        <w:t xml:space="preserve"> （林后2:7）。</w:t>
      </w:r>
      <w:r>
        <w:rPr>
          <w:rStyle w:val="FootnoteReference"/>
        </w:rPr>
        <w:footnoteReference w:id="1405"/>
      </w:r>
    </w:p>
    <w:p w14:paraId="1590B347" w14:textId="77777777" w:rsidR="00BE1885" w:rsidRPr="006A21F9" w:rsidRDefault="00BE1885" w:rsidP="00BE1885">
      <w:pPr>
        <w:ind w:firstLine="708"/>
        <w:rPr>
          <w:lang w:val="ru-RU"/>
        </w:rPr>
      </w:pPr>
      <w:r w:rsidRPr="006A21F9">
        <w:rPr>
          <w:b/>
          <w:bCs/>
          <w:lang w:val="ru-RU"/>
        </w:rPr>
        <w:t>2)</w:t>
      </w:r>
      <w:r w:rsidRPr="006A21F9">
        <w:rPr>
          <w:lang w:val="ru-RU"/>
        </w:rPr>
        <w:t xml:space="preserve"> 圣公会（普世及地方）的规则，以及圣父们的教导。从这些规则中可以无可辩驳地清楚地看出：</w:t>
      </w:r>
      <w:r w:rsidRPr="006A21F9">
        <w:rPr>
          <w:b/>
          <w:bCs/>
          <w:lang w:val="ru-RU"/>
        </w:rPr>
        <w:t>a)</w:t>
      </w:r>
      <w:r w:rsidRPr="006A21F9">
        <w:rPr>
          <w:lang w:val="ru-RU"/>
        </w:rPr>
        <w:t xml:space="preserve"> 古代教会导师们若将补赎视为惩罚，那也仅是具有矫正性质的惩罚，并且直接称其为“属灵的良药”； </w:t>
      </w:r>
      <w:r w:rsidRPr="006A21F9">
        <w:rPr>
          <w:b/>
          <w:bCs/>
          <w:lang w:val="ru-RU"/>
        </w:rPr>
        <w:t>b)</w:t>
      </w:r>
      <w:r w:rsidRPr="006A21F9">
        <w:rPr>
          <w:lang w:val="ru-RU"/>
        </w:rPr>
        <w:t xml:space="preserve"> 他们在对罪人施加补赎时，并非仅仅关注如何公正地惩罚——根据各人的罪行轻重，对一人多罚、对另一人少罚，以适当满足上帝对罪的公义——而是 ，即把补赎作为疗法，恰当地适应属灵疾病的性质和程度； </w:t>
      </w:r>
      <w:r w:rsidRPr="006A21F9">
        <w:rPr>
          <w:b/>
          <w:bCs/>
          <w:lang w:val="ru-RU"/>
        </w:rPr>
        <w:t>c)</w:t>
      </w:r>
      <w:r w:rsidRPr="006A21F9">
        <w:rPr>
          <w:lang w:val="ru-RU"/>
        </w:rPr>
        <w:t xml:space="preserve"> 他们承认，在上帝和教会面前，补赎的唯一目的并非为了因罪过而向上帝的公义作出任何补偿，而是仅为了治愈罪人，使他们在未来免于犯罪； </w:t>
      </w:r>
      <w:r w:rsidRPr="006A21F9">
        <w:rPr>
          <w:b/>
          <w:bCs/>
          <w:lang w:val="ru-RU"/>
        </w:rPr>
        <w:t>d)</w:t>
      </w:r>
      <w:r w:rsidRPr="006A21F9">
        <w:rPr>
          <w:lang w:val="ru-RU"/>
        </w:rPr>
        <w:t xml:space="preserve"> 因此，他们并不一定非要等到罪人完全服完所定的惩罚，从而满足上帝的公义，相反，如果发现这些惩罚对罪人产生了积极影响，他们就会减轻惩罚，缩短忏悔期，甚至完全免除惩罚； </w:t>
      </w:r>
      <w:r w:rsidRPr="006A21F9">
        <w:rPr>
          <w:b/>
          <w:bCs/>
          <w:lang w:val="ru-RU"/>
        </w:rPr>
        <w:lastRenderedPageBreak/>
        <w:t>戊）</w:t>
      </w:r>
      <w:r w:rsidRPr="006A21F9">
        <w:rPr>
          <w:lang w:val="ru-RU"/>
        </w:rPr>
        <w:t>最后，忏悔并非针对所有罪行，而仅针对其中最严重的若干罪行；因此，他们根本不将忏悔视为对上帝公义的满足：否则，无论罪行大小，都应按不同程度要求对此进行补偿。以下是上述规则的部分摘录：</w:t>
      </w:r>
    </w:p>
    <w:p w14:paraId="6B3A7472" w14:textId="77777777" w:rsidR="00BE1885" w:rsidRPr="006A21F9" w:rsidRDefault="00BE1885" w:rsidP="00BE1885">
      <w:pPr>
        <w:rPr>
          <w:lang w:val="ru-RU"/>
        </w:rPr>
      </w:pPr>
      <w:r w:rsidRPr="006A21F9">
        <w:rPr>
          <w:lang w:val="ru-RU"/>
        </w:rPr>
        <w:tab/>
        <w:t>“那些从上帝那里领受了束缚与裁决权的人，应当审视罪的性质，以及犯罪者悔改的意愿，并据此施以与病症相称的疗法，以免因在这两方面未能把握分寸，而使患病者失去得救的机会。 因为罪恶的病症并非千篇一律，而是各不相同且多种多样，会衍生出许多危害的分支，其中邪恶会大量滋生并进一步蔓延，直到被医治者的力量制止为止”——（</w:t>
      </w:r>
      <w:r w:rsidRPr="001E4083">
        <w:t>第六</w:t>
      </w:r>
      <w:r w:rsidRPr="006A21F9">
        <w:rPr>
          <w:lang w:val="ru-RU"/>
        </w:rPr>
        <w:t xml:space="preserve">次大公会议第102条；参见 </w:t>
      </w:r>
      <w:r w:rsidRPr="001E4083">
        <w:t>第一</w:t>
      </w:r>
      <w:r w:rsidRPr="006A21F9">
        <w:rPr>
          <w:lang w:val="ru-RU"/>
        </w:rPr>
        <w:t>普世大公会议第12条；安基拉大公会议第5条；迦太基大公会议第52条）。</w:t>
      </w:r>
    </w:p>
    <w:p w14:paraId="3C922875" w14:textId="77777777" w:rsidR="00BE1885" w:rsidRPr="006A21F9" w:rsidRDefault="00BE1885" w:rsidP="00BE1885">
      <w:pPr>
        <w:rPr>
          <w:lang w:val="ru-RU"/>
        </w:rPr>
      </w:pPr>
      <w:r w:rsidRPr="006A21F9">
        <w:rPr>
          <w:lang w:val="ru-RU"/>
        </w:rPr>
        <w:tab/>
        <w:t>“为何属灵的医治之术应当首先考察罪人的心境，观察他是否正走向康复，抑或恰恰相反，因自身品行而招致疾病，并在此期间如何调整自己的行为： 倘若他不抗拒医治，并通过应用规定的疗法治愈了心灵的创伤：在这种情况下，理应按其应得的程度施予他怜悯”（同上；引自《大巴西尔教规》第3条）。</w:t>
      </w:r>
    </w:p>
    <w:p w14:paraId="4E26F1D6" w14:textId="77777777" w:rsidR="00BE1885" w:rsidRPr="006A21F9" w:rsidRDefault="00BE1885" w:rsidP="00BE1885">
      <w:pPr>
        <w:rPr>
          <w:lang w:val="ru-RU"/>
        </w:rPr>
      </w:pPr>
      <w:r w:rsidRPr="006A21F9">
        <w:rPr>
          <w:lang w:val="ru-RU"/>
        </w:rPr>
        <w:tab/>
        <w:t>“因为无论是上帝，还是接受了牧者引导的人，都致力于将迷途的羊领回，并医治被蛇咬伤的羊。既不应驱赶它们坠入绝望的深渊，也不应放松缰绳导致生活松懈和疏忽： 而必须以某种方式——无论是通过严厉而收敛的手段，还是通过更为温和轻柔的治疗方法——来对抗病症，并为治愈创伤而努力；同时检验悔改的果实，并明智地引导那些被召唤去获得属天启迪的人”（同上）。</w:t>
      </w:r>
    </w:p>
    <w:p w14:paraId="471876B5" w14:textId="77777777" w:rsidR="00BE1885" w:rsidRPr="006A21F9" w:rsidRDefault="00BE1885" w:rsidP="00BE1885">
      <w:pPr>
        <w:rPr>
          <w:lang w:val="ru-RU"/>
        </w:rPr>
      </w:pPr>
      <w:r w:rsidRPr="006A21F9">
        <w:rPr>
          <w:lang w:val="ru-RU"/>
        </w:rPr>
        <w:tab/>
        <w:t>“正如在身体治疗中，医术的目标是统一的——即使病人恢复健康，但治疗方式却各不相同：因为根据疾病的差异，每种疾病都采用相应的治疗方法： 同样，在其他疾病中，由于情欲的众多与多样，必须采取多种多样的治愈性关怀，这种关怀会根据病症相应地产生疗效…… 因此，凡欲对灵魂中患病的部分施以恰当治疗者，首先必须查明疾病发生在哪个部位；然后，应根据实际情况对受苦的部分施以治疗，以免因不了解治疗方法，而在疾病位于另一部位时，却对该部位施以治疗”（格里高利·尼萨的 《教义》1）。</w:t>
      </w:r>
    </w:p>
    <w:p w14:paraId="108EE10A" w14:textId="77777777" w:rsidR="00BE1885" w:rsidRPr="006A21F9" w:rsidRDefault="00BE1885" w:rsidP="00BE1885">
      <w:pPr>
        <w:rPr>
          <w:lang w:val="ru-RU"/>
        </w:rPr>
      </w:pPr>
      <w:r w:rsidRPr="006A21F9">
        <w:rPr>
          <w:lang w:val="ru-RU"/>
        </w:rPr>
        <w:tab/>
        <w:t>“对于任何种类的罪过，首先必须观察受治疗者的心态，并认为治愈的关键不在于时间（因为时间能带来什么治愈呢？），而在于通过忏悔自我疗愈者的意愿”（格里高利·尼萨的《教规》第8条）。“对于那些更加虔诚地履行忏悔，并通过自身生活展现出回归善道之人，若其能为教会建设做出有益贡献，则允许缩短其听道时间，并尽快引导其归正：同样，也应缩短其忏悔时间，并尽快准予其领受圣餐，具体视其通过自身考验所了解的受治者状况而定” （格里高利·尼萨《教规》第4条）。“根据悔改情况的判断，其补赎期限将相应缩短，因此，每阶段的悔改所需年限将从九年减少为八年、七年、六年，甚至仅五年， 倘若他因虔诚的忏悔而提前完成期限，且在自我修正的热忱上超越了那些长期以来在净化自身污秽方面不够积极的人。因此，若确有真诚的悔改，即使未满规定年数，也应缩短期限，引导忏悔者重返教会并领受圣事” （格里高利·尼萨的《教规》第5条</w:t>
      </w:r>
      <w:r w:rsidRPr="0097554A">
        <w:rPr>
          <w:lang w:val="ru-RU"/>
        </w:rPr>
        <w:t>，</w:t>
      </w:r>
      <w:r w:rsidRPr="006A21F9">
        <w:rPr>
          <w:lang w:val="ru-RU"/>
        </w:rPr>
        <w:t>参见《普世教规》第12条；大圣巴西尔《教规》第74条）。</w:t>
      </w:r>
    </w:p>
    <w:p w14:paraId="545BE398" w14:textId="77777777" w:rsidR="00BE1885" w:rsidRPr="006A21F9" w:rsidRDefault="00BE1885" w:rsidP="00BE1885">
      <w:pPr>
        <w:rPr>
          <w:lang w:val="ru-RU"/>
        </w:rPr>
      </w:pPr>
      <w:r w:rsidRPr="006A21F9">
        <w:rPr>
          <w:lang w:val="ru-RU"/>
        </w:rPr>
        <w:tab/>
        <w:t xml:space="preserve">“因罪恶之事及各种邪恶而产生的烦躁之情屡见不鲜。但我们的父们认为，对于其中某些情况，无需过多赘述；他们也不认为，因烦躁而产生的所有过犯都需要特别细致的医治。 圣经不仅禁止轻微的伤害，也禁止一切恶言或污言秽语 </w:t>
      </w:r>
      <w:r w:rsidRPr="006F72D5">
        <w:rPr>
          <w:lang w:val="ru-RU"/>
        </w:rPr>
        <w:t>[</w:t>
      </w:r>
      <w:r w:rsidRPr="006A21F9">
        <w:rPr>
          <w:lang w:val="ru-RU"/>
        </w:rPr>
        <w:t>(歌罗西书 3:8</w:t>
      </w:r>
      <w:r w:rsidRPr="006F72D5">
        <w:rPr>
          <w:lang w:val="ru-RU"/>
        </w:rPr>
        <w:t>)</w:t>
      </w:r>
      <w:r w:rsidRPr="006A21F9">
        <w:rPr>
          <w:lang w:val="ru-RU"/>
        </w:rPr>
        <w:t xml:space="preserve">； </w:t>
      </w:r>
      <w:r w:rsidRPr="006F72D5">
        <w:rPr>
          <w:lang w:val="ru-RU"/>
        </w:rPr>
        <w:t>（</w:t>
      </w:r>
      <w:r w:rsidRPr="006A21F9">
        <w:rPr>
          <w:lang w:val="ru-RU"/>
        </w:rPr>
        <w:t>以弗所书 4:31）</w:t>
      </w:r>
      <w:r w:rsidRPr="006F72D5">
        <w:rPr>
          <w:lang w:val="ru-RU"/>
        </w:rPr>
        <w:t>]</w:t>
      </w:r>
      <w:r w:rsidRPr="006A21F9">
        <w:rPr>
          <w:lang w:val="ru-RU"/>
        </w:rPr>
        <w:t>，以及一切源于愤怒的类似行为：但他们仅针对谋杀这一恶行，在斋戒中设定了防范措施”（- 第5条）。</w:t>
      </w:r>
    </w:p>
    <w:p w14:paraId="64372970" w14:textId="77777777" w:rsidR="00BE1885" w:rsidRPr="006A21F9" w:rsidRDefault="00BE1885" w:rsidP="00BE1885">
      <w:pPr>
        <w:rPr>
          <w:lang w:val="ru-RU"/>
        </w:rPr>
      </w:pPr>
      <w:r w:rsidRPr="006A21F9">
        <w:rPr>
          <w:lang w:val="ru-RU"/>
        </w:rPr>
        <w:tab/>
        <w:t>而要理解忏悔如何能成为治疗属灵疾病的良药，——为此必须考虑到以下几点：</w:t>
      </w:r>
    </w:p>
    <w:p w14:paraId="333DAB1E" w14:textId="77777777" w:rsidR="00BE1885" w:rsidRPr="006A21F9" w:rsidRDefault="00BE1885" w:rsidP="00BE1885">
      <w:pPr>
        <w:rPr>
          <w:lang w:val="ru-RU"/>
        </w:rPr>
      </w:pPr>
      <w:r w:rsidRPr="006A21F9">
        <w:rPr>
          <w:lang w:val="ru-RU"/>
        </w:rPr>
        <w:lastRenderedPageBreak/>
        <w:tab/>
      </w:r>
      <w:r w:rsidRPr="006A21F9">
        <w:rPr>
          <w:b/>
          <w:bCs/>
          <w:lang w:val="ru-RU"/>
        </w:rPr>
        <w:t>a)</w:t>
      </w:r>
      <w:r w:rsidRPr="006A21F9">
        <w:rPr>
          <w:lang w:val="ru-RU"/>
        </w:rPr>
        <w:t xml:space="preserve"> 作为教会惩罚的补赎，自然能使罪人的骄傲得到克制，教导他更深刻地认识到自己在上帝和教会面前的罪责，并在其心中激发对罪恶的憎恶以及悔改的意愿。 因此，忏悔操练为悔改的基督徒指明了一条明确的道路，以便进一步践行并更加巩固那些在忏悔过程中产生的良善情感与意愿——这些情感与意愿本应成为他们改过自新事业的起点。让我们回顾一下古代教会中存在的四种悔改等级。</w:t>
      </w:r>
    </w:p>
    <w:p w14:paraId="5FDA7A49"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补赎大多由某些虔诚的修行组成，这些修行直接针对罪人已知的私欲和恶习，因此能直接促进其根除。 例如，对于放纵情欲和贪图享乐者，所指定的补赎是节制和斋戒；对于吝啬或贪婪者，则是施舍；</w:t>
      </w:r>
      <w:r>
        <w:rPr>
          <w:rStyle w:val="FootnoteReference"/>
        </w:rPr>
        <w:footnoteReference w:id="1406"/>
      </w:r>
      <w:r w:rsidRPr="006A21F9">
        <w:rPr>
          <w:lang w:val="ru-RU"/>
        </w:rPr>
        <w:t xml:space="preserve"> 对于心神散漫、追逐世俗享乐者，则是经常去教堂、诵读圣经、在家祈祷等。 显然，这些罪人中的每个人越是怀着善意去履行指定给他的斋戒，他就越能摆脱以往的软弱和倾向，并养成相反的习惯。</w:t>
      </w:r>
    </w:p>
    <w:p w14:paraId="5B921AEF"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作为教会惩罚的补赎，既惩戒某些罪人，又使其他人警醒并心生敬畏，从而防止他们犯下类似罪过，有助于改善教会成员之间的品行，同时也有助于维护</w:t>
      </w:r>
      <w:r w:rsidRPr="001E4083">
        <w:t>教会的</w:t>
      </w:r>
      <w:r w:rsidRPr="006A21F9">
        <w:rPr>
          <w:lang w:val="ru-RU"/>
        </w:rPr>
        <w:t>教规和法令，防止迷途的儿女们任性妄为和不服从。</w:t>
      </w:r>
      <w:r>
        <w:rPr>
          <w:rStyle w:val="FootnoteReference"/>
        </w:rPr>
        <w:footnoteReference w:id="1407"/>
      </w:r>
    </w:p>
    <w:p w14:paraId="0F20298E" w14:textId="77777777" w:rsidR="00BE1885" w:rsidRPr="006A21F9" w:rsidRDefault="00BE1885" w:rsidP="00BE1885">
      <w:pPr>
        <w:rPr>
          <w:lang w:val="ru-RU"/>
        </w:rPr>
      </w:pPr>
      <w:r w:rsidRPr="006A21F9">
        <w:rPr>
          <w:lang w:val="ru-RU"/>
        </w:rPr>
        <w:tab/>
      </w:r>
      <w:r w:rsidRPr="001E4083">
        <w:rPr>
          <w:b/>
          <w:bCs/>
        </w:rPr>
        <w:t>一</w:t>
      </w:r>
      <w:r w:rsidRPr="006A21F9">
        <w:rPr>
          <w:lang w:val="ru-RU"/>
        </w:rPr>
        <w:t>、罗马教会的教义是不公正的，它声称补赎是严格意义上的惩罚——尽管是暂时的——悔罪者必须承受这些惩罚，以对其罪过向神的公义作出某种补偿。这是：</w:t>
      </w:r>
    </w:p>
    <w:p w14:paraId="5FE6E12F" w14:textId="77777777" w:rsidR="00BE1885" w:rsidRPr="006A21F9" w:rsidRDefault="00BE1885" w:rsidP="00BE1885">
      <w:pPr>
        <w:ind w:firstLine="708"/>
        <w:rPr>
          <w:lang w:val="ru-RU"/>
        </w:rPr>
      </w:pPr>
      <w:r w:rsidRPr="006A21F9">
        <w:rPr>
          <w:b/>
          <w:bCs/>
          <w:lang w:val="ru-RU"/>
        </w:rPr>
        <w:t>1)</w:t>
      </w:r>
      <w:r w:rsidRPr="006A21F9">
        <w:rPr>
          <w:lang w:val="ru-RU"/>
        </w:rPr>
        <w:t xml:space="preserve"> 这与基督教关于满足上帝公义以及罪人称义的教义相悖。 上帝的话语教导我们：基督救主曾一次而永远地为全人类的一切罪孽，完全且完美地满足了上帝的公义；祂承受了罪人本应因自己的不法行为而遭受的一切痛苦重担[(赛 53:5)；(罗 3:25)； （歌罗西书 1:20）；（彼得前书 2:24）；（约翰一书 2:2）]，并成为永恒的大祭司</w:t>
      </w:r>
      <w:r w:rsidRPr="006A21F9">
        <w:rPr>
          <w:i/>
          <w:iCs/>
          <w:lang w:val="ru-RU"/>
        </w:rPr>
        <w:t>，因此能够永远拯救那些借着祂来到神面前的人，因为祂永远活着，为他们代求</w:t>
      </w:r>
      <w:r w:rsidRPr="006A21F9">
        <w:rPr>
          <w:lang w:val="ru-RU"/>
        </w:rPr>
        <w:t>（希伯来书 7:25）</w:t>
      </w:r>
      <w:r w:rsidRPr="006A21F9">
        <w:rPr>
          <w:b/>
          <w:bCs/>
          <w:lang w:val="ru-RU"/>
        </w:rPr>
        <w:t xml:space="preserve"> </w:t>
      </w:r>
      <w:r w:rsidRPr="006A21F9">
        <w:rPr>
          <w:lang w:val="ru-RU"/>
        </w:rPr>
        <w:t>（§153）。另一方面，它教导说，为了使罪人在神面前称义，即为了使他们领受救主基督的赎罪之功，罪人自身必须满足两个条件：第一，悔改与信靠：</w:t>
      </w:r>
      <w:r w:rsidRPr="006A21F9">
        <w:rPr>
          <w:i/>
          <w:iCs/>
          <w:lang w:val="ru-RU"/>
        </w:rPr>
        <w:t xml:space="preserve">你们当悔改，信靠福音 </w:t>
      </w:r>
      <w:r w:rsidRPr="006A21F9">
        <w:rPr>
          <w:lang w:val="ru-RU"/>
        </w:rPr>
        <w:t>[(可 1:15)； （使徒行传 2:38）]</w:t>
      </w:r>
      <w:r w:rsidRPr="006A21F9">
        <w:rPr>
          <w:i/>
          <w:iCs/>
          <w:lang w:val="ru-RU"/>
        </w:rPr>
        <w:t xml:space="preserve">——我们信了基督耶稣，为要因信基督称义 </w:t>
      </w:r>
      <w:r w:rsidRPr="006A21F9">
        <w:rPr>
          <w:lang w:val="ru-RU"/>
        </w:rPr>
        <w:t>[(加拉太书 2:16)；（罗马书 8:24-25</w:t>
      </w:r>
      <w:r w:rsidRPr="006F72D5">
        <w:rPr>
          <w:lang w:val="ru-RU"/>
        </w:rPr>
        <w:t>）</w:t>
      </w:r>
      <w:r w:rsidRPr="006A21F9">
        <w:rPr>
          <w:lang w:val="ru-RU"/>
        </w:rPr>
        <w:t>；（罗马书 10:9）]； 其次，作为悔改与信心的见证和果实，就是善行：</w:t>
      </w:r>
      <w:r w:rsidRPr="006A21F9">
        <w:rPr>
          <w:i/>
          <w:iCs/>
          <w:lang w:val="ru-RU"/>
        </w:rPr>
        <w:t>人因行为称义，而非仅凭信心</w:t>
      </w:r>
      <w:r w:rsidRPr="006A21F9">
        <w:rPr>
          <w:lang w:val="ru-RU"/>
        </w:rPr>
        <w:t>（</w:t>
      </w:r>
      <w:r w:rsidRPr="006F72D5">
        <w:rPr>
          <w:lang w:val="ru-RU"/>
        </w:rPr>
        <w:t>雅各书</w:t>
      </w:r>
      <w:r w:rsidRPr="006A21F9">
        <w:rPr>
          <w:lang w:val="ru-RU"/>
        </w:rPr>
        <w:t xml:space="preserve"> 2:24）；</w:t>
      </w:r>
      <w:r w:rsidRPr="006A21F9">
        <w:rPr>
          <w:i/>
          <w:iCs/>
          <w:lang w:val="ru-RU"/>
        </w:rPr>
        <w:t xml:space="preserve">在基督耶稣里，无论是受割礼还是未受割礼，都没有任何功效，唯有那以爱为动力的信心 </w:t>
      </w:r>
      <w:r w:rsidRPr="006A21F9">
        <w:rPr>
          <w:lang w:val="ru-RU"/>
        </w:rPr>
        <w:t xml:space="preserve">[(加拉太书 5:6)； （太7:21）]；因为在神面前，不是听律法的人为义，乃是行律法的人称义（罗2:13）（§§197, 198）。 通过满足这些条件——借此领受耶稣基督的功绩——有罪的人确实能够使神喜悦并满足祂； 但这并非意味着人的悔改、信心和善行本身在神面前具有赎罪祭的意义， 而仅仅在于，通过这些，我们得以领受我们救赎主已预备好的功绩——祂已完全为我们满足了神的公义。 但若断言，除了为领受救主功绩所必需的活泼信心和善行之外，悔改的罪人本身还必须为自己的罪承受某种惩罚，以满足上帝的公义，这就意味着表达了以下两种观点之一： </w:t>
      </w:r>
      <w:r w:rsidRPr="006A21F9">
        <w:rPr>
          <w:lang w:val="ru-RU"/>
        </w:rPr>
        <w:lastRenderedPageBreak/>
        <w:t>要么是说救主为罪人所受的苦难尚不充分，祂为世人罪孽所作的赎罪尚不完全，必须由悔改的罪人自身承受苦难来加以补足；要么是说人的信心和善行不足以使他领受救主的功绩……</w:t>
      </w:r>
    </w:p>
    <w:p w14:paraId="3759B58C" w14:textId="77777777" w:rsidR="00BE1885" w:rsidRPr="006A21F9" w:rsidRDefault="00BE1885" w:rsidP="00BE1885">
      <w:pPr>
        <w:rPr>
          <w:lang w:val="ru-RU"/>
        </w:rPr>
      </w:pPr>
      <w:r w:rsidRPr="006A21F9">
        <w:rPr>
          <w:lang w:val="ru-RU"/>
        </w:rPr>
        <w:tab/>
        <w:t>否则，就等于推翻了基督教关于赎罪与称义的教义。</w:t>
      </w:r>
    </w:p>
    <w:p w14:paraId="07967DCD" w14:textId="77777777" w:rsidR="00BE1885" w:rsidRPr="006A21F9" w:rsidRDefault="00BE1885" w:rsidP="00BE1885">
      <w:pPr>
        <w:rPr>
          <w:lang w:val="ru-RU"/>
        </w:rPr>
      </w:pPr>
      <w:r w:rsidRPr="006A21F9">
        <w:rPr>
          <w:lang w:val="ru-RU"/>
        </w:rPr>
        <w:tab/>
        <w:t>倘若施洗约翰要求悔改的罪人结出与悔改相称的果子（太3:8）：</w:t>
      </w:r>
      <w:r>
        <w:rPr>
          <w:rStyle w:val="FootnoteReference"/>
        </w:rPr>
        <w:footnoteReference w:id="1408"/>
      </w:r>
      <w:r w:rsidRPr="006A21F9">
        <w:rPr>
          <w:lang w:val="ru-RU"/>
        </w:rPr>
        <w:t xml:space="preserve"> 那么，这些“果子”绝非指为满足上帝公义而对以往罪孽施加的惩罚，而是指能见证罪人悔改诚意的善行——我们重申，这些善行确实能够平息上帝的愤怒，并在某种意义上使祂满意。 施洗约翰——正如他本人所解释的那样——正是敦促悔改者改变以往堕落的生活方式，今后履行自己的职责并虔诚行事（路加福音 3:8-15）。 同样，圣经中提到，尼尼微人在先知约拿的宣讲之后，通过全民禁食和痛哭流涕，赢得了上帝的宽恕（约拿书 3:10）；尼布甲尼撒王被命令通过施舍来赎罪（但以理书 4:24）， 而且一般而言，施舍能洗净罪孽并使人免于死亡 （多比传 4:10），</w:t>
      </w:r>
      <w:r>
        <w:rPr>
          <w:rStyle w:val="FootnoteReference"/>
        </w:rPr>
        <w:footnoteReference w:id="1409"/>
      </w:r>
      <w:r w:rsidRPr="006A21F9">
        <w:rPr>
          <w:lang w:val="ru-RU"/>
        </w:rPr>
        <w:t xml:space="preserve"> ，因此绝不能断言，上述所有手段本身在天上的审判者眼中就具有价值，足以满足祂的公义；而仅仅是因为它们在祂面前发挥了作用，并能作为罪人真诚悔改的活生生的见证，以及他们归向神的果实。 人的真正悔改，若非通过眼泪、叹息、祷告、禁食、施舍及其他虔诚的行为，还能通过什么来表达呢？主自己曾如此证实道：</w:t>
      </w:r>
      <w:r w:rsidRPr="006A21F9">
        <w:rPr>
          <w:i/>
          <w:iCs/>
          <w:lang w:val="ru-RU"/>
        </w:rPr>
        <w:t>“你们要全心归向我，禁食、哭泣、哀号。” “你们要撕裂你们的心，不要撕裂你们的衣服，归向你们的上帝耶和华；因为祂是良善的、有怜悯的，是宽容的、满有恩典的，并且会为灾祸而懊悔</w:t>
      </w:r>
      <w:r w:rsidRPr="006A21F9">
        <w:rPr>
          <w:lang w:val="ru-RU"/>
        </w:rPr>
        <w:t>”（约珥书 2:12-13）。 上帝所喜悦的，正是罪人那通过禁食、祷告、施舍等行为所表现出的真正悔改，</w:t>
      </w:r>
      <w:r>
        <w:rPr>
          <w:rStyle w:val="FootnoteReference"/>
        </w:rPr>
        <w:footnoteReference w:id="1410"/>
      </w:r>
      <w:r w:rsidRPr="006A21F9">
        <w:rPr>
          <w:lang w:val="ru-RU"/>
        </w:rPr>
        <w:t xml:space="preserve"> ，而祂在此情况下赦免罪孽，完全是出于对悔改者无尽的仁慈，绝非因为祂的公义——仿佛这些行为能满足祂的公义一般。 尼尼微人和尼布甲尼撒难道能用如此微不足道的代价，来满足他们所有罪行所应得的无限公义吗？</w:t>
      </w:r>
    </w:p>
    <w:p w14:paraId="3364CEF5" w14:textId="77777777" w:rsidR="00BE1885" w:rsidRPr="006A21F9" w:rsidRDefault="00BE1885" w:rsidP="00BE1885">
      <w:pPr>
        <w:ind w:firstLine="708"/>
        <w:rPr>
          <w:lang w:val="ru-RU"/>
        </w:rPr>
      </w:pPr>
      <w:r w:rsidRPr="006A21F9">
        <w:rPr>
          <w:b/>
          <w:bCs/>
          <w:lang w:val="ru-RU"/>
        </w:rPr>
        <w:t>2)</w:t>
      </w:r>
      <w:r w:rsidRPr="006A21F9">
        <w:rPr>
          <w:lang w:val="ru-RU"/>
        </w:rPr>
        <w:t xml:space="preserve"> 违背了关于上帝公义的观念。 如果，正如拉丁礼信徒所相信的那样，救主基督已经为世上一切罪孽献上了完全足够甚至过剩的赎罪祭（加拉太书3:13等），然而却还要求悔改的罪人不仅要信靠救主以领受祂的功绩（罗马书3:26）， 并结出与悔改相称的果子，还必须亲自承受至少是暂时的惩罚，以满足永恒的公义：这意味着，它对同一罪行进行了双重惩罚，接受了双重的补偿。 其次，如果根据永恒公义的审判，悔改的罪人自身确实必须作出这样的补偿： 那么，毫无疑问，所有罪人针对所有罪行都应承担这种补偿——尽管程度因罪行的不同而有所差异；然而，拉丁教徒却教导说，这种暂时的惩罚仅由永恒的公义指定给某些罪责更重的罪人，而其他人 在忏悔中既被赦免了罪过，也免除了任何惩罚。 最后，——我们再次强调——若说这种对上帝公义的补偿也必须由悔改的罪人自身来提供： 那么，毫无疑问，当罪人首次在洗礼圣事中寻求罪的洁净时，以及当他们希望在悔改的洗礼池中再次洁</w:t>
      </w:r>
      <w:r w:rsidRPr="006A21F9">
        <w:rPr>
          <w:lang w:val="ru-RU"/>
        </w:rPr>
        <w:lastRenderedPageBreak/>
        <w:t>净自己时，这些补偿也是必要的；尽管在后一种情况下，补偿应当更多，因为悔改者的罪责更重。 然而，拉丁教徒却教导说，在洗礼中，上帝赦免了罪人的一切罪过和所有惩罚，并不要求他们作出任何补赎；而仅在告解圣事中，才要求作为罪责更重的基督徒罪人作出补赎，并且在赦免他们的罪过及因罪过而应受的永恒惩罚时，并不总是赦免暂时的惩罚。</w:t>
      </w:r>
      <w:r>
        <w:rPr>
          <w:rStyle w:val="FootnoteReference"/>
        </w:rPr>
        <w:footnoteReference w:id="1411"/>
      </w:r>
      <w:r w:rsidRPr="006A21F9">
        <w:rPr>
          <w:lang w:val="ru-RU"/>
        </w:rPr>
        <w:t xml:space="preserve"> 但若主张：罪人在告解圣事中获得罪赦后，仍须结出与忏悔相称的果实，须从肉体和灵性上洁净自己，并改正生活方式；且为此目的，上帝可能会直接或通过教会牧者，向罪人施加各种惩罚， 无论是亲自施行，还是通过教会的牧者。但这已是具有治疗性质的惩罚，其目的是为了受罚者自身的道德益处。</w:t>
      </w:r>
    </w:p>
    <w:p w14:paraId="3D644A4C" w14:textId="77777777" w:rsidR="00BE1885" w:rsidRPr="006A21F9" w:rsidRDefault="00BE1885" w:rsidP="00BE1885">
      <w:pPr>
        <w:rPr>
          <w:lang w:val="ru-RU"/>
        </w:rPr>
      </w:pPr>
      <w:r w:rsidRPr="006A21F9">
        <w:rPr>
          <w:lang w:val="ru-RU"/>
        </w:rPr>
        <w:tab/>
        <w:t>拉丁人为了证明自己的学说，援引亚当（《箴言》10:1； 创世记 3:10）、摩西、亚伦[（民数记 20:11-12, 24）；（申命记 32:49）]，尤其是大卫（撒母耳记下 12:13）的例子，尽管上帝赦免了他们的罪，但也对他们施以了暂时的惩罚。</w:t>
      </w:r>
      <w:r>
        <w:rPr>
          <w:rStyle w:val="FootnoteReference"/>
        </w:rPr>
        <w:footnoteReference w:id="1412"/>
      </w:r>
      <w:r w:rsidRPr="006A21F9">
        <w:rPr>
          <w:lang w:val="ru-RU"/>
        </w:rPr>
        <w:t xml:space="preserve"> 为什么我们将所有这些惩罚称为威严的审判者所采取的行动——祂要求对冒犯祂公义的行为予以报应——而不是仁慈的天父所采取的行动？这位天父在宽恕自己犯错的儿子时，即使惩罚他，也纯粹是为了让他改过自新，以防止他今后再犯类似的过错，或者， 至少是为了给其他孩子树立榜样？ 必须记住，圣经严格区分了上帝降于不义之人的惩罚，与祂赐予那些忠于祂并全心归向祂之人的惩罚：前者被视为上帝的愤怒与公义之举，要求得到满足 [(耶 23:19)； （罗 1:18）等]；后者则是父般的管教（</w:t>
      </w:r>
      <w:r w:rsidRPr="001E4083">
        <w:t>παιδεϋματα</w:t>
      </w:r>
      <w:r w:rsidRPr="006A21F9">
        <w:rPr>
          <w:lang w:val="ru-RU"/>
        </w:rPr>
        <w:t>），具有医治性质，仅为使人改过自新，即使通过惩罚的威慑来使人远离邪恶，并巩固其行善之心，以及实现类似目的 [(林前 11:32)； （希伯来书 12:6-8）；（彼得前书 1:6-7）；（雅各书 1:12）]。 “我若爱谁，就责备管教（</w:t>
      </w:r>
      <w:r w:rsidRPr="001E4083">
        <w:t>παιδεύω</w:t>
      </w:r>
      <w:r w:rsidRPr="006A21F9">
        <w:rPr>
          <w:lang w:val="ru-RU"/>
        </w:rPr>
        <w:t>）他，”主亲自说，随即阐明了这些管教的目的：</w:t>
      </w:r>
      <w:r w:rsidRPr="006A21F9">
        <w:rPr>
          <w:i/>
          <w:iCs/>
          <w:lang w:val="ru-RU"/>
        </w:rPr>
        <w:t>要发热心，并要悔改</w:t>
      </w:r>
      <w:r w:rsidRPr="006A21F9">
        <w:rPr>
          <w:lang w:val="ru-RU"/>
        </w:rPr>
        <w:t>（启3:19）。 因此，圣保罗与所罗门（箴言 3:11）一样，劝诫信徒不要轻视神的管教：</w:t>
      </w:r>
      <w:r w:rsidRPr="006A21F9">
        <w:rPr>
          <w:i/>
          <w:iCs/>
          <w:lang w:val="ru-RU"/>
        </w:rPr>
        <w:t>“我儿啊！不要轻视主的管教，当祂责备你时</w:t>
      </w:r>
      <w:r w:rsidRPr="006A21F9">
        <w:rPr>
          <w:lang w:val="ru-RU"/>
        </w:rPr>
        <w:t>，</w:t>
      </w:r>
      <w:r w:rsidRPr="006A21F9">
        <w:rPr>
          <w:i/>
          <w:iCs/>
          <w:lang w:val="ru-RU"/>
        </w:rPr>
        <w:t>也不要灰心</w:t>
      </w:r>
      <w:r w:rsidRPr="006A21F9">
        <w:rPr>
          <w:lang w:val="ru-RU"/>
        </w:rPr>
        <w:t>”（希伯来书 12:5）。</w:t>
      </w:r>
    </w:p>
    <w:p w14:paraId="4B830F6A" w14:textId="77777777" w:rsidR="00BE1885" w:rsidRPr="006A21F9" w:rsidRDefault="00BE1885" w:rsidP="00BE1885">
      <w:pPr>
        <w:ind w:firstLine="708"/>
        <w:rPr>
          <w:lang w:val="ru-RU"/>
        </w:rPr>
      </w:pPr>
      <w:r w:rsidRPr="006A21F9">
        <w:rPr>
          <w:b/>
          <w:bCs/>
          <w:lang w:val="ru-RU"/>
        </w:rPr>
        <w:t>3)</w:t>
      </w:r>
      <w:r w:rsidRPr="006A21F9">
        <w:rPr>
          <w:lang w:val="ru-RU"/>
        </w:rPr>
        <w:t xml:space="preserve"> 这与整个古代教会的教义相悖。关于补赎，有大量大公会议和教父们的规定——正如我们已经看到的，其中没有任何一条将补赎称为对罪的补偿，而仅将其视为治愈罪恶的良药。</w:t>
      </w:r>
      <w:r>
        <w:rPr>
          <w:rStyle w:val="FootnoteReference"/>
        </w:rPr>
        <w:footnoteReference w:id="1413"/>
      </w:r>
      <w:r w:rsidRPr="006A21F9">
        <w:rPr>
          <w:lang w:val="ru-RU"/>
        </w:rPr>
        <w:t xml:space="preserve"> 教会教父们也在他们的个人著作中阐述了同样的教义。 例如，一位普世导师——圣约翰·金口，这位曾对悔改进行过大量论述的圣人，便非常明确地宣讲道：</w:t>
      </w:r>
    </w:p>
    <w:p w14:paraId="7DF32C1F"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上帝会赦免悔改的基督徒的罪，即受洗后所犯的罪，且不施加任何惩罚。 “浪子象征着受洗后堕落的人；而他之所以象征受洗后堕落的人，原因如下：他被称为‘儿子’，而未经洗礼者无人能被称为‘儿子’。他曾住在父亲的家中，并分得了父亲全部财产的份额，但在受洗之前，既无法享用父亲的财产，也无法获得遗产。 因此，这一切都指向信徒的身份……当那个浪子远走他乡，亲身体会到离开父家是多么致命的，于是返回时——父亲并没有记恨他，而是张开双臂接纳了他。为什么会这样？因为他是父亲，而不是审判者。 于是，欢呼声、盛宴、庆典接踵而至，整个家都变得光明而喜乐！你说什么？这是对罪恶的奖赏吗？人啊，这不是对 的罪恶的奖赏，而是对（回家）的奖赏；不是对罪的奖赏，而是对悔改的奖赏；不是对恶行的奖赏，而</w:t>
      </w:r>
      <w:r w:rsidRPr="006A21F9">
        <w:rPr>
          <w:lang w:val="ru-RU"/>
        </w:rPr>
        <w:lastRenderedPageBreak/>
        <w:t>是对改过自新的奖赏。 更令人感动的是——当大儿子为此感到不快时，父亲温柔地安抚他说：</w:t>
      </w:r>
      <w:r w:rsidRPr="006A21F9">
        <w:rPr>
          <w:i/>
          <w:iCs/>
          <w:lang w:val="ru-RU"/>
        </w:rPr>
        <w:t>“你一直与我同在……而你的这个弟弟，他曾死而复生，失而复得</w:t>
      </w:r>
      <w:r w:rsidRPr="006A21F9">
        <w:rPr>
          <w:lang w:val="ru-RU"/>
        </w:rPr>
        <w:t>”（路加福音15:31-32）。 他说，当需要拯救一个濒临灭亡的人时，此时不是审判和严厉审问的时候，而是充满仁爱与宽恕的时候。 没有任何一位医生，在给病人开药之前，会因其生活放荡而对其进行责难和惩罚……因此，既然知道（上帝）不仅不会拒绝悔改的人，而且接纳他们与接纳品行端正的人一样； 祂不仅不施以惩罚，甚至亲自去寻找迷途者，找到他们时，为他们所感到的喜悦甚至超过那些原本安然无恙的人；因此，我们既不要因罪恶而绝望，也不要过分寄希望于善行。”</w:t>
      </w:r>
    </w:p>
    <w:p w14:paraId="74F0A090" w14:textId="77777777" w:rsidR="00BE1885" w:rsidRPr="006A21F9" w:rsidRDefault="00BE1885" w:rsidP="00BE1885">
      <w:pPr>
        <w:rPr>
          <w:lang w:val="ru-RU"/>
        </w:rPr>
      </w:pPr>
      <w:r w:rsidRPr="006A21F9">
        <w:rPr>
          <w:lang w:val="ru-RU"/>
        </w:rPr>
        <w:tab/>
        <w:t>在另一场谈话中：‘神圣经文说：</w:t>
      </w:r>
      <w:r w:rsidRPr="006A21F9">
        <w:rPr>
          <w:i/>
          <w:iCs/>
          <w:lang w:val="ru-RU"/>
        </w:rPr>
        <w:t>你先承认你的罪孽，好使你得称义</w:t>
      </w:r>
      <w:r w:rsidRPr="006A21F9">
        <w:rPr>
          <w:lang w:val="ru-RU"/>
        </w:rPr>
        <w:t>（赛43</w:t>
      </w:r>
      <w:r w:rsidRPr="006F72D5">
        <w:rPr>
          <w:lang w:val="ru-RU"/>
        </w:rPr>
        <w:t>:</w:t>
      </w:r>
      <w:r w:rsidRPr="006A21F9">
        <w:rPr>
          <w:lang w:val="ru-RU"/>
        </w:rPr>
        <w:t>26）：说出罪，才能解决罪。 为此既不需要劳苦，也不需要长篇大论，更不需要金钱开销，或其他任何类似的东西：说出那句话，坦白自己的罪，并说：‘我犯了罪。’”</w:t>
      </w:r>
      <w:r>
        <w:rPr>
          <w:rStyle w:val="FootnoteReference"/>
        </w:rPr>
        <w:footnoteReference w:id="1414"/>
      </w:r>
    </w:p>
    <w:p w14:paraId="4E4CA587"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通过悔改和自我谴责，只要我们愿意，不仅能摆脱永恒的惩罚，也能摆脱暂时的惩罚；而上帝只有在我们自己不愿悔改时，才会让我们承受暂时的惩罚，而且——其目的正是为了使我们从罪中得医治。 “使徒说：‘倘若我们自己审判自己，就不会被定罪了（林前11:31）。’他并没有说： ‘倘若我们惩罚自己，为过犯受苦（</w:t>
      </w:r>
      <w:r w:rsidRPr="001E4083">
        <w:t>εί</w:t>
      </w:r>
      <w:r w:rsidRPr="0097554A">
        <w:rPr>
          <w:lang w:val="ru-RU"/>
        </w:rPr>
        <w:t xml:space="preserve"> </w:t>
      </w:r>
      <w:r w:rsidRPr="001E4083">
        <w:t>έκολάζομεν</w:t>
      </w:r>
      <w:r w:rsidRPr="0097554A">
        <w:rPr>
          <w:lang w:val="ru-RU"/>
        </w:rPr>
        <w:t xml:space="preserve"> </w:t>
      </w:r>
      <w:r w:rsidRPr="001E4083">
        <w:t>εαυτούς</w:t>
      </w:r>
      <w:r w:rsidRPr="006A21F9">
        <w:rPr>
          <w:lang w:val="ru-RU"/>
        </w:rPr>
        <w:t xml:space="preserve">, </w:t>
      </w:r>
      <w:r w:rsidRPr="001E4083">
        <w:t>εί</w:t>
      </w:r>
      <w:r w:rsidRPr="0097554A">
        <w:rPr>
          <w:lang w:val="ru-RU"/>
        </w:rPr>
        <w:t xml:space="preserve"> </w:t>
      </w:r>
      <w:r w:rsidRPr="001E4083">
        <w:t>έτιμαρούμεθα</w:t>
      </w:r>
      <w:r w:rsidRPr="006A21F9">
        <w:rPr>
          <w:lang w:val="ru-RU"/>
        </w:rPr>
        <w:t>）’，而是仅说：倘若我们愿意认清罪过、自我定罪并坦白不法之事——那么我们便能既免除今世的（</w:t>
      </w:r>
      <w:r w:rsidRPr="001E4083">
        <w:t>καί</w:t>
      </w:r>
      <w:r w:rsidRPr="0097554A">
        <w:rPr>
          <w:lang w:val="ru-RU"/>
        </w:rPr>
        <w:t xml:space="preserve"> </w:t>
      </w:r>
      <w:r w:rsidRPr="001E4083">
        <w:t>τής</w:t>
      </w:r>
      <w:r w:rsidRPr="0097554A">
        <w:rPr>
          <w:lang w:val="ru-RU"/>
        </w:rPr>
        <w:t xml:space="preserve"> </w:t>
      </w:r>
      <w:r w:rsidRPr="001E4083">
        <w:t>ένταύθα</w:t>
      </w:r>
      <w:r w:rsidRPr="006A21F9">
        <w:rPr>
          <w:lang w:val="ru-RU"/>
        </w:rPr>
        <w:t>）惩罚，也免除未来的惩罚 （</w:t>
      </w:r>
      <w:r w:rsidRPr="001E4083">
        <w:t>timorias</w:t>
      </w:r>
      <w:r w:rsidRPr="006A21F9">
        <w:rPr>
          <w:lang w:val="ru-RU"/>
        </w:rPr>
        <w:t>）。因为自我谴责的人能以双重方式取悦上帝：既因认清了罪过，又因今后会更少倾向于犯罪， 然而，既然我们连这本应做到的简单之事都不愿去做：神不愿让我们与世人一同受审判，而是怜悯我们，便在此处惩罚我们——这里既有一时的惩罚，也有极大的安慰，因为既能洗净罪孽，又留有甘美的盼望，这盼望使当下变得轻松。 因此，为了既安慰软弱的人，又使其他人更加热忱，（使徒）便说：</w:t>
      </w:r>
      <w:r w:rsidRPr="006A21F9">
        <w:rPr>
          <w:i/>
          <w:iCs/>
          <w:lang w:val="ru-RU"/>
        </w:rPr>
        <w:t>“我们受审判时，是受主的管教，免得我们与世人一同定罪</w:t>
      </w:r>
      <w:r w:rsidRPr="006A21F9">
        <w:rPr>
          <w:lang w:val="ru-RU"/>
        </w:rPr>
        <w:t>。”</w:t>
      </w:r>
      <w:r>
        <w:rPr>
          <w:rStyle w:val="FootnoteReference"/>
        </w:rPr>
        <w:footnoteReference w:id="1415"/>
      </w:r>
      <w:r w:rsidRPr="006A21F9">
        <w:rPr>
          <w:lang w:val="ru-RU"/>
        </w:rPr>
        <w:t xml:space="preserve"> 他没有说：我们遭受刑罚（</w:t>
      </w:r>
      <w:r w:rsidRPr="001E4083">
        <w:t>κολαζομεθα</w:t>
      </w:r>
      <w:r w:rsidRPr="006A21F9">
        <w:rPr>
          <w:lang w:val="ru-RU"/>
        </w:rPr>
        <w:t>）；也没有说：我们像罪犯一样受到惩罚（</w:t>
      </w:r>
      <w:r w:rsidRPr="001E4083">
        <w:t>τιμωρούμεθα</w:t>
      </w:r>
      <w:r w:rsidRPr="006A21F9">
        <w:rPr>
          <w:lang w:val="ru-RU"/>
        </w:rPr>
        <w:t>），而是说我们像孩子一样受到管教（</w:t>
      </w:r>
      <w:r w:rsidRPr="001E4083">
        <w:t>παιδευόμεθα</w:t>
      </w:r>
      <w:r w:rsidRPr="006A21F9">
        <w:rPr>
          <w:lang w:val="ru-RU"/>
        </w:rPr>
        <w:t>）。因为这更像劝诫而非指控，更像医治而非惩罚，更像矫正而非体罚。”</w:t>
      </w:r>
      <w:r>
        <w:rPr>
          <w:rStyle w:val="FootnoteReference"/>
        </w:rPr>
        <w:footnoteReference w:id="1416"/>
      </w:r>
    </w:p>
    <w:p w14:paraId="6D771790"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牧师和神父的全部职责在于通过惩罚及其他措施，使罪人从罪恶中得到救赎，而非因罪行而处以死刑。 “基督徒比任何人都更被禁止——以暴力手段纠正陷入罪恶的人。世俗法官对触犯法律的人拥有巨大的权力，并能违背他们的意愿阻止其犯罪。但在教会中，引导人走上更好的生活道路，不应依靠压迫，而应依靠说服。 况且，法律并未赋予我们禁止罪人犯罪的权力；即便赋予了，我们也绝不能行使这种权力：因为上帝只奖赏那些自愿远离罪恶的人，而非被迫远离罪恶的人。 因此，要使软弱之人顺从劝诫，自愿接受神父的医治，甚至为此向他们表示感谢，这需要极大的智慧。</w:t>
      </w:r>
      <w:r w:rsidRPr="006A21F9">
        <w:rPr>
          <w:lang w:val="ru-RU"/>
        </w:rPr>
        <w:lastRenderedPageBreak/>
        <w:t>因为若有人在被束缚时挣脱枷锁逃跑（而任何拥有自由的人都能做到这一点），他只会使自己的罪恶加剧。 若藐视那些如利刃般割裂人心的言语，这种藐视将给自己增添新的伤口，而原本用于治疗的缘由，反而会变成最严重的病因。至于在强迫之下且违背病人意愿的情况下，无人能为其治病。 那么该怎么办呢？如果对本应接受严厉治疗的人宽容以待，却不允许对需要深度治疗的人深入处理伤口：那么伤口部分会愈合，部分则不会……正因如此，牧者必须具备极大的审慎和敏锐的洞察力，以便从各个角度审视灵魂的状况。 因为有许多人因无法忍受 的严厉治疗而变得心硬，并对自己的得救绝望；相反，也有一些人，因未因罪行受到应有的惩罚，便变得疏忽大意，愈发堕落，并更加肆无忌惮地犯罪。 因此，神父的职责是：对任何事情都不得放过，而要在严格审查一切之后，选择符合灵魂状况的手段，以免这些努力付诸东流。”</w:t>
      </w:r>
      <w:r>
        <w:rPr>
          <w:rStyle w:val="FootnoteReference"/>
        </w:rPr>
        <w:footnoteReference w:id="1417"/>
      </w:r>
    </w:p>
    <w:p w14:paraId="0CCFE242"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最后，作为对罪人的补赎而指定的祈祷、施舍及其他虔诚的修行，本质上只是各种忏悔之道，是治愈灵性创伤的各种疗愈手段。“我们曾说过，忏悔之道多种多样，正是为了使我们更容易获得救赎…… 你是罪人吗？走进教堂，说一句：‘我犯了罪’，就能赎罪。 我们还以大卫为例，他曾犯罪，却也洗净了罪孽。随后又提出另一条途径，即为罪孽痛哭，并说道：这有什么难的？既无需花钱，也无需长途跋涉，更无需做其他类似之事，只需为罪孽痛哭一番…… 接着，我们指出了第三条悔改之路，并从圣经中举出了法利赛人和税吏的例子——也就是说，法利赛人因傲慢自夸而失去了义，而税吏则因表现出谦卑之心，获得了义的果实，且未费丝毫力气便成了义人——他只说了话，却得到了实际的行动。 现在让我们继续，来阐述第四种悔改之道。这究竟是怎样的道路呢？那就是施舍——美德之王后，它能迅速将人提升至天堂，是最好的守护者。”</w:t>
      </w:r>
      <w:r>
        <w:rPr>
          <w:rStyle w:val="FootnoteReference"/>
        </w:rPr>
        <w:footnoteReference w:id="1418"/>
      </w:r>
      <w:r w:rsidRPr="006A21F9">
        <w:rPr>
          <w:lang w:val="ru-RU"/>
        </w:rPr>
        <w:t xml:space="preserve"> “但还有另一条悔改之道，同样非常便捷，通过它你可以从罪中得释放。 每时每刻都要祈祷，不要在祈祷中疲倦，要不倦地恳求上帝的仁爱；上帝不会拒绝那些恒切祈祷的人，祂必赦免你的罪，并应允你的祈求。”</w:t>
      </w:r>
      <w:r>
        <w:rPr>
          <w:rStyle w:val="FootnoteReference"/>
        </w:rPr>
        <w:footnoteReference w:id="1419"/>
      </w:r>
      <w:r w:rsidRPr="006A21F9">
        <w:rPr>
          <w:lang w:val="ru-RU"/>
        </w:rPr>
        <w:t xml:space="preserve"> “试数一数，有多少疗愈你心灵创伤的良方，请将它们逐一、不懈地加以运用：自卑、忏悔、不记仇、为降临在你身上的苦难感恩、用金钱和物品帮助穷人，最后是不懈的祈祷…… 那么，既然有如此多的通往天堂的道路，以及如此多的疗愈受洗后心灵创伤的良方，我们若仍深陷这些创伤之中，又怎能配得上任何宽恕呢？”</w:t>
      </w:r>
      <w:r>
        <w:rPr>
          <w:rStyle w:val="FootnoteReference"/>
        </w:rPr>
        <w:footnoteReference w:id="1420"/>
      </w:r>
    </w:p>
    <w:p w14:paraId="1E27A3AB" w14:textId="77777777" w:rsidR="00BE1885" w:rsidRPr="006A21F9" w:rsidRDefault="00BE1885" w:rsidP="00BE1885">
      <w:pPr>
        <w:rPr>
          <w:lang w:val="ru-RU"/>
        </w:rPr>
      </w:pPr>
      <w:r w:rsidRPr="006A21F9">
        <w:rPr>
          <w:lang w:val="ru-RU"/>
        </w:rPr>
        <w:tab/>
        <w:t>诚然，西方的一些古代导师，如特土良、基普里安、安布罗斯和奥古斯丁，有时将补赎称为“赎罪”；</w:t>
      </w:r>
      <w:r>
        <w:rPr>
          <w:rStyle w:val="FootnoteReference"/>
        </w:rPr>
        <w:footnoteReference w:id="1421"/>
      </w:r>
      <w:r w:rsidRPr="006A21F9">
        <w:rPr>
          <w:lang w:val="ru-RU"/>
        </w:rPr>
        <w:t xml:space="preserve"> 但这并非指补赎本身能作为某种赎罪代价或为满足神圣公义而献上的罪孽牺牲，而是指它们作为父性的惩戒，能在罪人心中激发真正的悔改，以此来平息天父的愤怒； </w:t>
      </w:r>
      <w:r w:rsidRPr="006A21F9">
        <w:rPr>
          <w:lang w:val="ru-RU"/>
        </w:rPr>
        <w:lastRenderedPageBreak/>
        <w:t>而且作为虔诚的操练，为悔罪者提供了一个舞台和机会，使他们能在上帝面前表达并见证自己悔改的全部真诚与深度——而唯有这种悔改本身才能真正使祂满意。</w:t>
      </w:r>
      <w:r>
        <w:rPr>
          <w:rStyle w:val="FootnoteReference"/>
        </w:rPr>
        <w:footnoteReference w:id="1422"/>
      </w:r>
      <w:r w:rsidRPr="006A21F9">
        <w:rPr>
          <w:lang w:val="ru-RU"/>
        </w:rPr>
        <w:t xml:space="preserve"> 因此，特土良在论及忏悔的必要性时—— 这种忏悔在早期教会中是公开进行的，并为罪人规定了不同程度的补赎——他这样说道：“赎罪与忏悔（在上述意义上）成正比，忏悔孕育出悔改，而悔改则能平息上帝的愤怒。”</w:t>
      </w:r>
      <w:r>
        <w:rPr>
          <w:rStyle w:val="FootnoteReference"/>
        </w:rPr>
        <w:footnoteReference w:id="1423"/>
      </w:r>
      <w:r w:rsidRPr="006A21F9">
        <w:rPr>
          <w:lang w:val="ru-RU"/>
        </w:rPr>
        <w:t xml:space="preserve"> 圣基普里安劝诫那些跌倒的人说：“让我们全心全意归向主，以真实的悲痛表达对罪的悔改，祈求上帝的怜悯。愿灵魂在他面前谦卑，愿痛悔能使他满意（</w:t>
      </w:r>
      <w:r w:rsidRPr="001E4083">
        <w:t>illi</w:t>
      </w:r>
      <w:r w:rsidRPr="0097554A">
        <w:rPr>
          <w:lang w:val="ru-RU"/>
        </w:rPr>
        <w:t xml:space="preserve"> </w:t>
      </w:r>
      <w:r w:rsidRPr="001E4083">
        <w:t>moestitia</w:t>
      </w:r>
      <w:r w:rsidRPr="0097554A">
        <w:rPr>
          <w:lang w:val="ru-RU"/>
        </w:rPr>
        <w:t xml:space="preserve"> </w:t>
      </w:r>
      <w:r w:rsidRPr="001E4083">
        <w:t>satisfaciat</w:t>
      </w:r>
      <w:r w:rsidRPr="006A21F9">
        <w:rPr>
          <w:lang w:val="ru-RU"/>
        </w:rPr>
        <w:t>），愿一切希望都寄托于他。 我们应当如何祈求祂，祂自己曾说：</w:t>
      </w:r>
      <w:r w:rsidRPr="006A21F9">
        <w:rPr>
          <w:i/>
          <w:iCs/>
          <w:lang w:val="ru-RU"/>
        </w:rPr>
        <w:t>‘你们要全心归向我，禁食、哀哭、痛哭。要撕裂你们的心，而不是你们的衣服</w:t>
      </w:r>
      <w:r w:rsidRPr="006A21F9">
        <w:rPr>
          <w:lang w:val="ru-RU"/>
        </w:rPr>
        <w:t>。’（约珥书 2:12-13） 让我们全心全意地归向主：通过禁食、哭泣和哀号，来平息我们的罪过和对祂的冒犯，正如祂亲自所劝诫的那样……献上完全的悔改，用你们痛悔、哀号的灵魂来证明你们的悲伤…… 唯有能使上帝满意才算真正的悔改；凡在罪中拒绝悔改者，便是关闭了得蒙宽恕之门。”</w:t>
      </w:r>
      <w:r>
        <w:rPr>
          <w:rStyle w:val="FootnoteReference"/>
        </w:rPr>
        <w:footnoteReference w:id="1424"/>
      </w:r>
      <w:r w:rsidRPr="006A21F9">
        <w:rPr>
          <w:lang w:val="ru-RU"/>
        </w:rPr>
        <w:t xml:space="preserve"> 同样，福者奥古斯丁追随圣安布罗斯的脚步，</w:t>
      </w:r>
      <w:r>
        <w:rPr>
          <w:rStyle w:val="FootnoteReference"/>
        </w:rPr>
        <w:footnoteReference w:id="1425"/>
      </w:r>
      <w:r w:rsidRPr="006A21F9">
        <w:rPr>
          <w:lang w:val="ru-RU"/>
        </w:rPr>
        <w:t xml:space="preserve"> 指出，悔改的罪人正是通过悔改的眼泪，以破碎且谦卑的心为祭，来使上帝因自己的罪而满意。</w:t>
      </w:r>
      <w:r>
        <w:rPr>
          <w:rStyle w:val="FootnoteReference"/>
        </w:rPr>
        <w:footnoteReference w:id="1426"/>
      </w:r>
    </w:p>
    <w:p w14:paraId="71BE989B" w14:textId="77777777" w:rsidR="00BE1885" w:rsidRPr="006A21F9" w:rsidRDefault="00BE1885" w:rsidP="00BE1885">
      <w:pPr>
        <w:rPr>
          <w:lang w:val="ru-RU"/>
        </w:rPr>
      </w:pPr>
    </w:p>
    <w:p w14:paraId="37F16912" w14:textId="77777777" w:rsidR="00BE1885" w:rsidRPr="006A21F9" w:rsidRDefault="00BE1885" w:rsidP="00BE1885">
      <w:pPr>
        <w:pStyle w:val="Heading5"/>
        <w:rPr>
          <w:lang w:val="ru-RU"/>
        </w:rPr>
      </w:pPr>
      <w:bookmarkStart w:id="896" w:name="_Toc133142997"/>
      <w:bookmarkStart w:id="897" w:name="_Toc133166354"/>
      <w:bookmarkStart w:id="898" w:name="_Toc182221564"/>
      <w:bookmarkStart w:id="899" w:name="_Toc238453131"/>
      <w:bookmarkStart w:id="900" w:name="_Toc238453931"/>
      <w:bookmarkStart w:id="901" w:name="_Toc238576591"/>
      <w:r w:rsidRPr="006A21F9">
        <w:rPr>
          <w:lang w:val="ru-RU"/>
        </w:rPr>
        <w:t>§228. 罗马教会关于赎罪券教义的不公正性</w:t>
      </w:r>
      <w:bookmarkEnd w:id="896"/>
      <w:bookmarkEnd w:id="897"/>
      <w:bookmarkEnd w:id="898"/>
      <w:bookmarkEnd w:id="899"/>
      <w:bookmarkEnd w:id="900"/>
      <w:bookmarkEnd w:id="901"/>
    </w:p>
    <w:p w14:paraId="4358ADA2" w14:textId="77777777" w:rsidR="00BE1885" w:rsidRPr="006A21F9" w:rsidRDefault="00BE1885" w:rsidP="00BE1885">
      <w:pPr>
        <w:ind w:firstLine="708"/>
        <w:rPr>
          <w:lang w:val="ru-RU"/>
        </w:rPr>
      </w:pPr>
      <w:r w:rsidRPr="006A21F9">
        <w:rPr>
          <w:lang w:val="ru-RU"/>
        </w:rPr>
        <w:t>随着罗马教会关于补赎（作为满足天主公义的暂时惩罚）的教义的垮台，该教会关于赎罪券（宽免或宽恕）的教义也必然随之垮台。 该教义的主要特征如下：</w:t>
      </w:r>
      <w:r w:rsidRPr="006F72D5">
        <w:rPr>
          <w:b/>
          <w:bCs/>
        </w:rPr>
        <w:t>I</w:t>
      </w:r>
      <w:r w:rsidRPr="006F72D5">
        <w:rPr>
          <w:b/>
          <w:bCs/>
          <w:lang w:val="ru-RU"/>
        </w:rPr>
        <w:t>）</w:t>
      </w:r>
      <w:r w:rsidRPr="006A21F9">
        <w:rPr>
          <w:lang w:val="ru-RU"/>
        </w:rPr>
        <w:t>在忏悔圣事中，上帝虽然赦免了悔罪者的罪过及其因罪所受的永恒惩罚，却并不总是赦免暂时的惩罚；这些惩罚无论是由神父（在补赎中）施加的，还是未被施加的，罪人无论是在 无论是在尘世，还是死后在炼狱中，以满足上帝的公义；</w:t>
      </w:r>
      <w:r w:rsidRPr="006F72D5">
        <w:rPr>
          <w:b/>
          <w:bCs/>
        </w:rPr>
        <w:t>II</w:t>
      </w:r>
      <w:r w:rsidRPr="006F72D5">
        <w:rPr>
          <w:b/>
          <w:bCs/>
          <w:lang w:val="ru-RU"/>
        </w:rPr>
        <w:t xml:space="preserve">) </w:t>
      </w:r>
      <w:r w:rsidRPr="006A21F9">
        <w:rPr>
          <w:lang w:val="ru-RU"/>
        </w:rPr>
        <w:t>但由于人本软弱，自身力量不足以达成此目的，因此这些暂时的惩罚可以被免除，并在永恒公义的眼中</w:t>
      </w:r>
      <w:r w:rsidRPr="006A21F9">
        <w:rPr>
          <w:lang w:val="ru-RU"/>
        </w:rPr>
        <w:lastRenderedPageBreak/>
        <w:t xml:space="preserve">，由构成教会宝库的救主基督和诸圣人的丰盛功德所替代； </w:t>
      </w:r>
      <w:r w:rsidRPr="006F72D5">
        <w:rPr>
          <w:b/>
          <w:bCs/>
        </w:rPr>
        <w:t>III</w:t>
      </w:r>
      <w:r w:rsidRPr="006F72D5">
        <w:rPr>
          <w:b/>
          <w:bCs/>
          <w:lang w:val="ru-RU"/>
        </w:rPr>
        <w:t>）</w:t>
      </w:r>
      <w:r w:rsidRPr="006A21F9">
        <w:rPr>
          <w:lang w:val="ru-RU"/>
        </w:rPr>
        <w:t>进行这种替代，从而使不仅是活着的，而且是已故的罪人从暂时的惩罚中获得解脱，即授予赎罪券的权柄，属于教会。</w:t>
      </w:r>
      <w:r>
        <w:rPr>
          <w:rStyle w:val="FootnoteReference"/>
        </w:rPr>
        <w:footnoteReference w:id="1427"/>
      </w:r>
    </w:p>
    <w:p w14:paraId="3C09EE61"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我们已经看到了第一个观点的不合理之处：它违背了基督教关于满足上帝公义和罪人称义的教义，违背了整个古代教会的教义，甚至违背了对上帝公义以及罪的宽恕或赦免的基本理解。在此只需指出：</w:t>
      </w:r>
    </w:p>
    <w:p w14:paraId="640AC080" w14:textId="77777777" w:rsidR="00BE1885" w:rsidRPr="006A21F9" w:rsidRDefault="00BE1885" w:rsidP="00BE1885">
      <w:pPr>
        <w:ind w:firstLine="708"/>
        <w:rPr>
          <w:lang w:val="ru-RU"/>
        </w:rPr>
      </w:pPr>
      <w:r w:rsidRPr="006A21F9">
        <w:rPr>
          <w:b/>
          <w:bCs/>
          <w:lang w:val="ru-RU"/>
        </w:rPr>
        <w:t xml:space="preserve">1) </w:t>
      </w:r>
      <w:r w:rsidRPr="006A21F9">
        <w:rPr>
          <w:lang w:val="ru-RU"/>
        </w:rPr>
        <w:t>如果补赎并非悔改的罪人为了满足上帝的公义而必须承受的暂时性惩罚，那么就没有必要将其解除，或者更准确地说，就没有必要在上帝面前用救主基督和诸圣过剩的功德来取代它们。因此，赎罪券的教义是建立在沙土之上的。</w:t>
      </w:r>
    </w:p>
    <w:p w14:paraId="0B87D05C" w14:textId="77777777" w:rsidR="00BE1885" w:rsidRPr="006A21F9" w:rsidRDefault="00BE1885" w:rsidP="00BE1885">
      <w:pPr>
        <w:ind w:firstLine="708"/>
        <w:rPr>
          <w:lang w:val="ru-RU"/>
        </w:rPr>
      </w:pPr>
      <w:r w:rsidRPr="006A21F9">
        <w:rPr>
          <w:b/>
          <w:bCs/>
          <w:lang w:val="ru-RU"/>
        </w:rPr>
        <w:t>2)</w:t>
      </w:r>
      <w:r w:rsidRPr="006A21F9">
        <w:rPr>
          <w:lang w:val="ru-RU"/>
        </w:rPr>
        <w:t xml:space="preserve"> 反之，若补赎仅是父性的惩罚，其目的在于治愈灵性疾病：那么，它们作为疗法，可以根据受治者的具体状况予以解除、减轻或替换为其他疗法，正如圣公会议的规则所规定的那样，也正如东正教会迄今为止所做的那样。 而若在不顾及受治者道德 状况的情况下解除补赎，不加区分地向罪人给予宽恕——无论他们是否已悔改——这就意味着滥用权力，反而会损害罪人自身。</w:t>
      </w:r>
    </w:p>
    <w:p w14:paraId="74511570" w14:textId="77777777" w:rsidR="00BE1885" w:rsidRPr="006A21F9" w:rsidRDefault="00BE1885" w:rsidP="00BE1885">
      <w:pPr>
        <w:ind w:firstLine="708"/>
        <w:rPr>
          <w:lang w:val="ru-RU"/>
        </w:rPr>
      </w:pPr>
      <w:r w:rsidRPr="006A21F9">
        <w:rPr>
          <w:b/>
          <w:bCs/>
          <w:lang w:val="ru-RU"/>
        </w:rPr>
        <w:t xml:space="preserve">3) </w:t>
      </w:r>
      <w:r w:rsidRPr="006A21F9">
        <w:rPr>
          <w:lang w:val="ru-RU"/>
        </w:rPr>
        <w:t>如果补赎作为一种“医治性的惩罚”，其作用仅限于今生——即罪人尚能得到医治并改过自新的时期——而不延伸至来世：</w:t>
      </w:r>
      <w:r>
        <w:rPr>
          <w:rStyle w:val="FootnoteReference"/>
        </w:rPr>
        <w:footnoteReference w:id="1428"/>
      </w:r>
      <w:r w:rsidRPr="006A21F9">
        <w:rPr>
          <w:lang w:val="ru-RU"/>
        </w:rPr>
        <w:t xml:space="preserve"> 那么，为了使死者脱离假想中的炼狱而授予赎罪券，便完全是多余的。</w:t>
      </w:r>
    </w:p>
    <w:p w14:paraId="65B0567B" w14:textId="77777777" w:rsidR="00BE1885" w:rsidRPr="006A21F9" w:rsidRDefault="00BE1885" w:rsidP="00BE1885">
      <w:pPr>
        <w:ind w:firstLine="708"/>
        <w:rPr>
          <w:lang w:val="ru-RU"/>
        </w:rPr>
      </w:pPr>
      <w:r w:rsidRPr="006A21F9">
        <w:rPr>
          <w:b/>
          <w:bCs/>
          <w:lang w:val="ru-RU"/>
        </w:rPr>
        <w:t>4)</w:t>
      </w:r>
      <w:r w:rsidRPr="006A21F9">
        <w:rPr>
          <w:lang w:val="ru-RU"/>
        </w:rPr>
        <w:t xml:space="preserve"> 只能赦免那些已加诸于某人身上的惩罚；但若要赦免罪人未被加诸其身的惩罚，或是虽被加诸其身却非由我们施加、而是由上帝亲自施加的惩罚——例如在假定的炼狱中——这从一方面来说是奇怪的，从另一方面来说则是违法的。</w:t>
      </w:r>
    </w:p>
    <w:p w14:paraId="38F2A2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在探讨第二个观点时，应当指出：</w:t>
      </w:r>
    </w:p>
    <w:p w14:paraId="4F63E335" w14:textId="77777777" w:rsidR="00BE1885" w:rsidRPr="006A21F9" w:rsidRDefault="00BE1885" w:rsidP="00BE1885">
      <w:pPr>
        <w:ind w:firstLine="708"/>
        <w:rPr>
          <w:lang w:val="ru-RU"/>
        </w:rPr>
      </w:pPr>
      <w:r w:rsidRPr="006A21F9">
        <w:rPr>
          <w:b/>
          <w:bCs/>
          <w:lang w:val="ru-RU"/>
        </w:rPr>
        <w:t>1)</w:t>
      </w:r>
      <w:r w:rsidRPr="006A21F9">
        <w:rPr>
          <w:lang w:val="ru-RU"/>
        </w:rPr>
        <w:t xml:space="preserve"> 救主的功德确实是无穷无尽的，构成了源源不绝的恩典宝库，这恩典使罪人称义并得救。 但这些功德只有在人们具备信仰、对罪过真诚悔改并行善——即信仰与悔改的果实——或者至少怀有坚定改过自新、今后过圣洁生活的意愿（§§197、 198），正如东正教会的牧者们在忏悔圣事中赦免罪人时所做的那样（§224）。 但若未待罪人自身履行上述条件，便将救主的功德归于罪人，并凭借这些功德使他们免除因罪所受的惩罚——尽管这些惩罚是暂时的，但却是上帝依据其公义亲自加诸罪人身上的——简言之，向人们授予赎罪券，这完全是违法之举。</w:t>
      </w:r>
    </w:p>
    <w:p w14:paraId="46104889" w14:textId="77777777" w:rsidR="00BE1885" w:rsidRPr="006A21F9" w:rsidRDefault="00BE1885" w:rsidP="00BE1885">
      <w:pPr>
        <w:ind w:firstLine="708"/>
        <w:rPr>
          <w:lang w:val="ru-RU"/>
        </w:rPr>
      </w:pPr>
      <w:r w:rsidRPr="006A21F9">
        <w:rPr>
          <w:b/>
          <w:bCs/>
          <w:lang w:val="ru-RU"/>
        </w:rPr>
        <w:t>2)</w:t>
      </w:r>
      <w:r w:rsidRPr="006A21F9">
        <w:rPr>
          <w:lang w:val="ru-RU"/>
        </w:rPr>
        <w:t xml:space="preserve"> 圣徒的功德，无论多么伟大，绝不能被视为超出应尽之责、过剩或对他们自身而言多余的，更不能归于他人——即罪人——以使他们在上帝公义的眼中得以称义。 因为，首先，圣徒的一切功绩并非完全属于他们自己，而是依靠上帝的恩典完成的，这些功绩本身在永恒公义的审判面前，其价值源于基督的功绩。 其次，那引导人进入生命的福音律法诫命，其范围是无边无际的（诗篇118:96），因此，无论人如何践行，其中总会有许多尚未完全遵行的部分。 </w:t>
      </w:r>
      <w:r w:rsidRPr="006A21F9">
        <w:rPr>
          <w:i/>
          <w:iCs/>
          <w:lang w:val="ru-RU"/>
        </w:rPr>
        <w:t>“你们要完全，像你们的天父完全</w:t>
      </w:r>
      <w:r w:rsidRPr="006A21F9">
        <w:rPr>
          <w:lang w:val="ru-RU"/>
        </w:rPr>
        <w:t>一样”（太5:48）：这就是基督徒被召唤并应当追求的目标！正因如此</w:t>
      </w:r>
      <w:r w:rsidRPr="006A21F9">
        <w:rPr>
          <w:lang w:val="ru-RU"/>
        </w:rPr>
        <w:lastRenderedPageBreak/>
        <w:t>，像圣使徒保罗那样的伟人，也不认为自己完全完美，并说：</w:t>
      </w:r>
      <w:r w:rsidRPr="006A21F9">
        <w:rPr>
          <w:i/>
          <w:iCs/>
          <w:lang w:val="ru-RU"/>
        </w:rPr>
        <w:t>“我不以为自己已经得着了； 而是忘记背后，努力面前，向着标竿直跑，要得神在基督耶稣里从上面来的奖赏</w:t>
      </w:r>
      <w:r w:rsidRPr="006A21F9">
        <w:rPr>
          <w:lang w:val="ru-RU"/>
        </w:rPr>
        <w:t>（腓立比书 3:13-14）。若能超越应尽之责，便意味着达到了比基督信仰所要求的更高的完美境界。 第三，必须记住</w:t>
      </w:r>
      <w:r w:rsidRPr="006A21F9">
        <w:rPr>
          <w:i/>
          <w:iCs/>
          <w:lang w:val="ru-RU"/>
        </w:rPr>
        <w:t>，“在我父的家里有许多住处</w:t>
      </w:r>
      <w:r w:rsidRPr="006A21F9">
        <w:rPr>
          <w:lang w:val="ru-RU"/>
        </w:rPr>
        <w:t>”（约14:2）。一个受洗后不久便离世的婴孩，纯洁无辜：他将享有某种程度的福乐；一个成年人，曾以行为彰显信仰并结出美善的果实：他将获得另一种奖赏； 一位终其一生致力于斋戒、贞洁、自愿贫穷和极度自卑的苦修者归于上帝：对于这样的人，还有另一种更高层次的福乐。 因此，无论谁行了何种善行，无论在世上立下了何种功绩——所有这些功绩都将获得应有的、相称的奖赏，绝不能说它们对义人本身是多余的、过剩的或无益的。 第四，从上帝曾为义人的缘故宽恕罪人且始终乐意宽恕罪人这一点（创世记18:33），不应推断</w:t>
      </w:r>
      <w:r>
        <w:rPr>
          <w:rStyle w:val="FootnoteReference"/>
        </w:rPr>
        <w:footnoteReference w:id="1429"/>
      </w:r>
      <w:r w:rsidRPr="006A21F9">
        <w:rPr>
          <w:lang w:val="ru-RU"/>
        </w:rPr>
        <w:t xml:space="preserve"> ，仿佛祂宽恕前者是因为后者过多的功德，满足于这些功德，并将它们归于罪人，而非出于其他原因。 义人乃是祂真正的、蒙祂所爱的儿女和朋友（约15:14-15）；他们的一切道路在祂眼中都是美善的（诗1:6）；他们的一切愿望在祂面前都是美好的（箴11:23）；他们的一切恳求和祷告都令祂喜悦（箴15:29）。 正因着祂对这些蒙悦纳之人的这份爱，尤其是因着他们为他人向祂宝座所献上的代求与恳求——这些代求常带着如此 的力量，以致他们自己，如同摩西和保罗一般，甚至愿为邻舍的缘故被剥夺神的国（出埃及记 32:32）； （罗9:3），主也宽恕罪人——因着那些真正蒙祂喜悦的挚爱之人的恳求，祂宽恕了祂那些犯罪的儿女； 显然，祂对这两类人施以怜悯，是出于祂无尽的仁慈，而非出于公义——仿佛后者的丰盛功德足以赎清前者的罪孽。</w:t>
      </w:r>
    </w:p>
    <w:p w14:paraId="79BB9944" w14:textId="77777777" w:rsidR="00BE1885" w:rsidRPr="006A21F9" w:rsidRDefault="00BE1885" w:rsidP="00BE1885">
      <w:pPr>
        <w:ind w:firstLine="708"/>
        <w:rPr>
          <w:lang w:val="ru-RU"/>
        </w:rPr>
      </w:pPr>
      <w:r w:rsidRPr="006A21F9">
        <w:rPr>
          <w:b/>
          <w:bCs/>
          <w:lang w:val="ru-RU"/>
        </w:rPr>
        <w:t>3)</w:t>
      </w:r>
      <w:r w:rsidRPr="006A21F9">
        <w:rPr>
          <w:lang w:val="ru-RU"/>
        </w:rPr>
        <w:t xml:space="preserve"> 具体而言——关于补赎。即使假设圣徒确实拥有过剩的功德，且这些功德连同救主的功德，可以归算给罪人以使他们免于上帝公义所规定的惩罚，这或许是公正的； 但既然补赎并非为满足上帝公义而加诸罪人的惩罚，而是治愈其灵性疾病的疗愈手段： 因此，不可用上述功德代替补赎，也不应不公正地因这些功德而向罪人授予赎罪券，更不应在这些功德尚未产生有益效果之前，便解除对他们的属灵医治。</w:t>
      </w:r>
    </w:p>
    <w:p w14:paraId="2CF3BC51" w14:textId="77777777" w:rsidR="00BE1885" w:rsidRPr="006A21F9" w:rsidRDefault="00BE1885" w:rsidP="00BE1885">
      <w:pPr>
        <w:rPr>
          <w:lang w:val="ru-RU"/>
        </w:rPr>
      </w:pPr>
      <w:r w:rsidRPr="006A21F9">
        <w:rPr>
          <w:lang w:val="ru-RU"/>
        </w:rPr>
        <w:tab/>
      </w:r>
      <w:r>
        <w:rPr>
          <w:b/>
          <w:bCs/>
        </w:rPr>
        <w:t>III</w:t>
      </w:r>
      <w:r w:rsidRPr="006A21F9">
        <w:rPr>
          <w:b/>
          <w:bCs/>
          <w:lang w:val="ru-RU"/>
        </w:rPr>
        <w:t>.</w:t>
      </w:r>
      <w:r w:rsidRPr="006A21F9">
        <w:rPr>
          <w:lang w:val="ru-RU"/>
        </w:rPr>
        <w:t xml:space="preserve"> 拉丁教徒将其最后一个观点的依据置于：</w:t>
      </w:r>
      <w:r w:rsidRPr="006A21F9">
        <w:rPr>
          <w:b/>
          <w:bCs/>
          <w:lang w:val="ru-RU"/>
        </w:rPr>
        <w:t>a)</w:t>
      </w:r>
      <w:r w:rsidRPr="006A21F9">
        <w:rPr>
          <w:lang w:val="ru-RU"/>
        </w:rPr>
        <w:t xml:space="preserve"> 救主对使徒彼得所说的话：</w:t>
      </w:r>
      <w:r w:rsidRPr="006A21F9">
        <w:rPr>
          <w:i/>
          <w:iCs/>
          <w:lang w:val="ru-RU"/>
        </w:rPr>
        <w:t>“你在地上所捆绑的，在天上也要捆绑</w:t>
      </w:r>
      <w:r w:rsidRPr="006A21F9">
        <w:rPr>
          <w:lang w:val="ru-RU"/>
        </w:rPr>
        <w:t xml:space="preserve">”（太16:19），以及 </w:t>
      </w:r>
      <w:r w:rsidRPr="006A21F9">
        <w:rPr>
          <w:b/>
          <w:bCs/>
          <w:lang w:val="ru-RU"/>
        </w:rPr>
        <w:t>b)</w:t>
      </w:r>
      <w:r w:rsidRPr="006A21F9">
        <w:rPr>
          <w:lang w:val="ru-RU"/>
        </w:rPr>
        <w:t xml:space="preserve"> 古代教会的先例。</w:t>
      </w:r>
      <w:r>
        <w:rPr>
          <w:rStyle w:val="FootnoteReference"/>
        </w:rPr>
        <w:footnoteReference w:id="1430"/>
      </w:r>
      <w:r w:rsidRPr="006A21F9">
        <w:rPr>
          <w:lang w:val="ru-RU"/>
        </w:rPr>
        <w:t xml:space="preserve"> 对此，我们作出如下回应：</w:t>
      </w:r>
    </w:p>
    <w:p w14:paraId="1D8C3796" w14:textId="77777777" w:rsidR="00BE1885" w:rsidRPr="006A21F9" w:rsidRDefault="00BE1885" w:rsidP="00BE1885">
      <w:pPr>
        <w:ind w:firstLine="708"/>
        <w:rPr>
          <w:lang w:val="ru-RU"/>
        </w:rPr>
      </w:pPr>
      <w:r w:rsidRPr="009E63DF">
        <w:rPr>
          <w:b/>
          <w:bCs/>
          <w:lang w:val="ru-RU"/>
        </w:rPr>
        <w:t>1</w:t>
      </w:r>
      <w:r w:rsidRPr="006A21F9">
        <w:rPr>
          <w:b/>
          <w:bCs/>
          <w:lang w:val="ru-RU"/>
        </w:rPr>
        <w:t>)</w:t>
      </w:r>
      <w:r w:rsidRPr="006A21F9">
        <w:rPr>
          <w:lang w:val="ru-RU"/>
        </w:rPr>
        <w:t xml:space="preserve"> 诚然，使徒彼得与其他使徒及所有教会牧者一样[(马太福音 18:18)；(约翰福音 20:22-23)]，获得了赦免罪人、使他们脱离罪孽及罪罚的神圣权柄。但是：</w:t>
      </w:r>
    </w:p>
    <w:p w14:paraId="273D25E6"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这只能是奉耶稣基督的名，或凭祂独一无二的功绩而行——他们正是从祂那里领受了这权柄，而祂在授予权柄时曾对他们说：</w:t>
      </w:r>
      <w:r w:rsidRPr="006A21F9">
        <w:rPr>
          <w:i/>
          <w:iCs/>
          <w:lang w:val="ru-RU"/>
        </w:rPr>
        <w:t>“父怎样差遣了我，我也照样差遣你们……你们领受圣灵吧。” “你们赦免谁的罪，谁的罪就得赦免；你们留下谁的罪，谁的罪就留下</w:t>
      </w:r>
      <w:r w:rsidRPr="006A21F9">
        <w:rPr>
          <w:lang w:val="ru-RU"/>
        </w:rPr>
        <w:t>”（约20:21-23）。至于上帝圣徒的功德，这里连最微小的暗示都没有。因此，教会牧者根本无权基于义人某种超出应尽义务的功德来赦免罪人。</w:t>
      </w:r>
    </w:p>
    <w:p w14:paraId="6FE3A911"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唯有在忏悔圣事之中，或通过忏悔圣事，且须以忏悔者自身满足特定条件为前提。因为，首先，据拉丁</w:t>
      </w:r>
      <w:r w:rsidRPr="006A21F9">
        <w:rPr>
          <w:lang w:val="ru-RU"/>
        </w:rPr>
        <w:lastRenderedPageBreak/>
        <w:t>教徒自己的承认，忏悔圣事正是建立在救主上述话语之上的； 其次，教会牧者唯有藉着圣灵的恩典（</w:t>
      </w:r>
      <w:r w:rsidRPr="006A21F9">
        <w:rPr>
          <w:i/>
          <w:iCs/>
          <w:lang w:val="ru-RU"/>
        </w:rPr>
        <w:t>“你们领受圣灵吧……你们赦免谁的罪，谁的罪就得赦免……”</w:t>
      </w:r>
      <w:r w:rsidRPr="006A21F9">
        <w:rPr>
          <w:lang w:val="ru-RU"/>
        </w:rPr>
        <w:t>），才能赦免罪人的罪过及其应受的惩罚；这种恩典通常通过圣事传达，特别是为了赦免悔改的基督徒，则通过告解圣事传达。 因此，对于那些未参与告解圣事的人，或者虽参与了但未满足必要条件且未真正悔改的人，教会牧者无权赦免其罪过或因罪所受的惩罚，也无权不加区分地向所有求告者授予大赦。</w:t>
      </w:r>
    </w:p>
    <w:p w14:paraId="0BD9DA14"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更何况，当亡者已无法领受忏悔圣事并履行忏悔者所应履行的条件时，教会的牧者无权凭借自己的权柄，为亡者授予大赦，并赦免他们的罪过及在（所谓的）炼狱中所受的惩罚。 如今，连拉丁人自己也承认，教会不能将其赦免权延伸至亡者的灵魂，并且在救主的那条诫命——“你们在地上赦免谁，天上就赦免谁”中，“在地上”一词既指赦免者，也指被赦免者。</w:t>
      </w:r>
      <w:r>
        <w:rPr>
          <w:rStyle w:val="FootnoteReference"/>
        </w:rPr>
        <w:footnoteReference w:id="1431"/>
      </w:r>
      <w:r w:rsidRPr="006A21F9">
        <w:rPr>
          <w:lang w:val="ru-RU"/>
        </w:rPr>
        <w:t xml:space="preserve"> 因此，他们将大祭司授予赎罪券并惠及炼狱中亡者的权利，仅基于以下推理： “一切为亡者所做的祈祷、无血祭的奉献、施舍及其他善行，对亡者都有益处：那么，耶稣基督和诸圣那过剩的功德——以‘代祷’（</w:t>
      </w:r>
      <w:r w:rsidRPr="001E4083">
        <w:t>per</w:t>
      </w:r>
      <w:r w:rsidRPr="0097554A">
        <w:rPr>
          <w:lang w:val="ru-RU"/>
        </w:rPr>
        <w:t xml:space="preserve"> </w:t>
      </w:r>
      <w:r w:rsidRPr="001E4083">
        <w:t>modum</w:t>
      </w:r>
      <w:r w:rsidRPr="0097554A">
        <w:rPr>
          <w:lang w:val="ru-RU"/>
        </w:rPr>
        <w:t xml:space="preserve"> </w:t>
      </w:r>
      <w:r w:rsidRPr="001E4083">
        <w:t>suffragii</w:t>
      </w:r>
      <w:r w:rsidRPr="006A21F9">
        <w:rPr>
          <w:lang w:val="ru-RU"/>
        </w:rPr>
        <w:t>）的方式，即通过教宗将这些功德呈献给天主——为何不能对他们有益呢？”</w:t>
      </w:r>
      <w:r>
        <w:rPr>
          <w:rStyle w:val="FootnoteReference"/>
        </w:rPr>
        <w:footnoteReference w:id="1432"/>
      </w:r>
      <w:r w:rsidRPr="006A21F9">
        <w:rPr>
          <w:lang w:val="ru-RU"/>
        </w:rPr>
        <w:t xml:space="preserve"> 因此，凭借天主无尽的仁慈，救主的功德也能对亡者产生有益的影响：正因这些功德，生者为亡者献上的祈祷、施舍，尤其是无血牺牲的奉献，都对亡者有益。 但 由此仅能推导出：罗马主教与教会中所有其他牧者一样，凭借救主的功德，既能够也应当为亡者祈祷——特别是在举行圣礼时——寄望于上帝的仁慈，并将是否垂听这些祈祷、 决定是否赦免罪人的惩罚，绝不意味着教皇有权自行决定授予赎罪券，以使基督徒的灵魂从炼狱中获释。</w:t>
      </w:r>
    </w:p>
    <w:p w14:paraId="3F8FF021" w14:textId="77777777" w:rsidR="00BE1885" w:rsidRPr="006A21F9" w:rsidRDefault="00BE1885" w:rsidP="00BE1885">
      <w:pPr>
        <w:ind w:firstLine="708"/>
        <w:rPr>
          <w:lang w:val="ru-RU"/>
        </w:rPr>
      </w:pPr>
      <w:r w:rsidRPr="006A21F9">
        <w:rPr>
          <w:b/>
          <w:bCs/>
          <w:lang w:val="ru-RU"/>
        </w:rPr>
        <w:t>2)</w:t>
      </w:r>
      <w:r w:rsidRPr="006A21F9">
        <w:rPr>
          <w:lang w:val="ru-RU"/>
        </w:rPr>
        <w:t xml:space="preserve"> 罗马神学家援引古代教会的先例，断言：</w:t>
      </w:r>
      <w:r>
        <w:rPr>
          <w:rStyle w:val="FootnoteReference"/>
        </w:rPr>
        <w:footnoteReference w:id="1433"/>
      </w:r>
      <w:r w:rsidRPr="006A21F9">
        <w:rPr>
          <w:lang w:val="ru-RU"/>
        </w:rPr>
        <w:t xml:space="preserve"> </w:t>
      </w:r>
    </w:p>
    <w:p w14:paraId="0FFC0B0A" w14:textId="77777777" w:rsidR="00BE1885" w:rsidRPr="006A21F9" w:rsidRDefault="00BE1885" w:rsidP="00BE1885">
      <w:pPr>
        <w:ind w:firstLine="708"/>
        <w:rPr>
          <w:lang w:val="ru-RU"/>
        </w:rPr>
      </w:pPr>
      <w:r w:rsidRPr="006A21F9">
        <w:rPr>
          <w:b/>
          <w:bCs/>
          <w:lang w:val="ru-RU"/>
        </w:rPr>
        <w:t xml:space="preserve">a) </w:t>
      </w:r>
      <w:r w:rsidRPr="006A21F9">
        <w:rPr>
          <w:lang w:val="ru-RU"/>
        </w:rPr>
        <w:t>“使徒保罗曾向一位罪人授予赎罪券，并使其免除暂时的惩罚。” 但正如我们之前指出的，圣保罗对这位罪人施加斋戒，其实是为了他的道德痊愈，使他的灵魂得救，而非为了满足上帝的公义；当斋戒发挥作用且罪人真正悔改时，他就解除了这一斋戒（林后2:6-7）。 因此，这里根本不可能存在罗马意义上的赎罪券。</w:t>
      </w:r>
    </w:p>
    <w:p w14:paraId="53404B6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“在特土良和基普里安的时代，教会常应殉道者和坚信者的恳求，宽恕那些背离信仰的人，免除他们应得的补赎或惩罚，从而彰显了其授予赦罪的权柄。” 诚然，当时各教会的领袖们非常尊敬这些圣徒殉道者，出于对他们代祷的敬重，有时会接纳背离信仰者；但这绝非因为他们将殉道者过剩的功德归于背离信仰者：因为即便是通过殉道者的代祷，宽恕罪人的必要条件仍是他们的悔改与改过。 “或许主，”曾对此主题进行详细论述的圣基普里安说，“或许会因殉道者的祈祷，通过司铎的代祷，仁慈地宽恕罪人，但仅限于那些悔改、努力、祈求的人，</w:t>
      </w:r>
      <w:r>
        <w:rPr>
          <w:rStyle w:val="FootnoteReference"/>
        </w:rPr>
        <w:footnoteReference w:id="1434"/>
      </w:r>
      <w:r w:rsidRPr="006A21F9">
        <w:rPr>
          <w:lang w:val="ru-RU"/>
        </w:rPr>
        <w:t xml:space="preserve"> ——</w:t>
      </w:r>
      <w:r w:rsidRPr="006A21F9">
        <w:rPr>
          <w:lang w:val="ru-RU"/>
        </w:rPr>
        <w:lastRenderedPageBreak/>
        <w:t>即那些全心全意祈祷、以真挚的哭泣和忏悔之泪痛哭，并通过持续的善行促使主施予宽恕的人。”</w:t>
      </w:r>
      <w:r>
        <w:rPr>
          <w:rStyle w:val="FootnoteReference"/>
        </w:rPr>
        <w:footnoteReference w:id="1435"/>
      </w:r>
      <w:r w:rsidRPr="006A21F9">
        <w:rPr>
          <w:lang w:val="ru-RU"/>
        </w:rPr>
        <w:t xml:space="preserve"> 与此同时，圣父多次劝诫那些堕落的人，不要依赖殉道者的代祷，而要全心全意地转向上帝，亲自恳求祂，以真诚的悔改和改过自新的生活来平息祂的愤怒，</w:t>
      </w:r>
      <w:r>
        <w:rPr>
          <w:rStyle w:val="FootnoteReference"/>
        </w:rPr>
        <w:footnoteReference w:id="1436"/>
      </w:r>
      <w:r w:rsidRPr="006A21F9">
        <w:rPr>
          <w:lang w:val="ru-RU"/>
        </w:rPr>
        <w:t xml:space="preserve"> 因为如果没有这个条件，殉道者对他们无能为力，无法像奴仆一样， 赦免那位曾冒犯主本人的人，</w:t>
      </w:r>
      <w:r>
        <w:rPr>
          <w:rStyle w:val="FootnoteReference"/>
        </w:rPr>
        <w:footnoteReference w:id="1437"/>
      </w:r>
      <w:r w:rsidRPr="006A21F9">
        <w:rPr>
          <w:lang w:val="ru-RU"/>
        </w:rPr>
        <w:t xml:space="preserve"> 他们也不能违背上帝的旨意和《福音》，在道德上为任何不配的人代求，</w:t>
      </w:r>
      <w:r>
        <w:rPr>
          <w:rStyle w:val="FootnoteReference"/>
        </w:rPr>
        <w:footnoteReference w:id="1438"/>
      </w:r>
      <w:r w:rsidRPr="006A21F9">
        <w:rPr>
          <w:lang w:val="ru-RU"/>
        </w:rPr>
        <w:t xml:space="preserve"> 并且，当他们的代求是公正的，且能由神父按照上帝的旨意予以履行时，才会被接纳。</w:t>
      </w:r>
      <w:r>
        <w:rPr>
          <w:rStyle w:val="FootnoteReference"/>
        </w:rPr>
        <w:footnoteReference w:id="1439"/>
      </w:r>
      <w:r w:rsidRPr="006A21F9">
        <w:rPr>
          <w:lang w:val="ru-RU"/>
        </w:rPr>
        <w:t xml:space="preserve"> 另一方面——请求殉道者和信徒们自己关注每个罪人的个人功德，谨慎权衡其意图，评估罪行的性质与程度，</w:t>
      </w:r>
      <w:r>
        <w:rPr>
          <w:rStyle w:val="FootnoteReference"/>
        </w:rPr>
        <w:footnoteReference w:id="1440"/>
      </w:r>
      <w:r w:rsidRPr="006A21F9">
        <w:rPr>
          <w:lang w:val="ru-RU"/>
        </w:rPr>
        <w:t xml:space="preserve"> 并仅为真正悔改并求得上帝宽恕的人代祷。</w:t>
      </w:r>
      <w:r>
        <w:rPr>
          <w:rStyle w:val="FootnoteReference"/>
        </w:rPr>
        <w:footnoteReference w:id="1441"/>
      </w:r>
      <w:r w:rsidRPr="006A21F9">
        <w:rPr>
          <w:lang w:val="ru-RU"/>
        </w:rPr>
        <w:t xml:space="preserve"> 因此，当古代教会根据殉道者和信德捍卫者的代祷而赦免罪人时，是尊重后者作为完全值得信赖之人</w:t>
      </w:r>
      <w:r w:rsidRPr="001E4083">
        <w:t>所作的</w:t>
      </w:r>
      <w:r w:rsidRPr="006A21F9">
        <w:rPr>
          <w:lang w:val="ru-RU"/>
        </w:rPr>
        <w:t>见证——即前者的悔改与归信确属真诚——而非因为将圣殉道者过剩的功德归于罪人而予以赦免。</w:t>
      </w:r>
    </w:p>
    <w:p w14:paraId="649AC22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“早期教会虽对罪人施加补赎或临时惩罚，但常予以减轻，即给予赦免，这从安基拉大公会议的规则及其他文献中可见一斑。” 但为什么 会减轻惩罚呢？唯一的原因在于忏悔者的道德状态——因为教会将补赎视为灵性疗法，认为对于受治疗者而言，或减轻、或改变、或增加、甚至完全取消这种疗法都是必要且有益的——而绝非将义人的功德归于罪人。 只需阅读上述安基拉大公会议的条例便知：“主教们应有权在考察悔改情况后，出于仁爱之心，延长悔改期限。 最重要的是要考察受试探之前和之后的生活状况，并据此衡量仁爱之度”（第5条；注7）。 第一届尼西亚大公会议、</w:t>
      </w:r>
      <w:r>
        <w:rPr>
          <w:rStyle w:val="FootnoteReference"/>
        </w:rPr>
        <w:footnoteReference w:id="1442"/>
      </w:r>
      <w:r w:rsidRPr="006A21F9">
        <w:rPr>
          <w:lang w:val="ru-RU"/>
        </w:rPr>
        <w:t xml:space="preserve"> 圣大巴西尔、</w:t>
      </w:r>
      <w:r>
        <w:rPr>
          <w:rStyle w:val="FootnoteReference"/>
        </w:rPr>
        <w:footnoteReference w:id="1443"/>
      </w:r>
      <w:r w:rsidRPr="006A21F9">
        <w:rPr>
          <w:lang w:val="ru-RU"/>
        </w:rPr>
        <w:t xml:space="preserve"> 圣尼西亚的格里高利</w:t>
      </w:r>
      <w:r>
        <w:rPr>
          <w:rStyle w:val="FootnoteReference"/>
        </w:rPr>
        <w:footnoteReference w:id="1444"/>
      </w:r>
      <w:r w:rsidRPr="006A21F9">
        <w:rPr>
          <w:lang w:val="ru-RU"/>
        </w:rPr>
        <w:t xml:space="preserve"> 以及其他人也证实了这一点。</w:t>
      </w:r>
      <w:r>
        <w:rPr>
          <w:rStyle w:val="FootnoteReference"/>
        </w:rPr>
        <w:footnoteReference w:id="1445"/>
      </w:r>
      <w:r w:rsidRPr="006A21F9">
        <w:rPr>
          <w:lang w:val="ru-RU"/>
        </w:rPr>
        <w:t xml:space="preserve"> 值得注意的是，在古代，对悔改的罪人给予宽恕并非一蹴而就，也不是在施加补赎之后立即给予（相反，如今在罗马教会中，尤其是禧年庆典期间，有时甚至在惩罚尚未施加之前就给予赦免）， 而是在经过相当长的一段时间之后，在这段时间里，罪人已经充分体会到了自己罪孽和惩罚的沉重，并</w:t>
      </w:r>
      <w:r w:rsidRPr="006A21F9">
        <w:rPr>
          <w:lang w:val="ru-RU"/>
        </w:rPr>
        <w:lastRenderedPageBreak/>
        <w:t>已悔改。</w:t>
      </w:r>
      <w:r>
        <w:rPr>
          <w:rStyle w:val="FootnoteReference"/>
        </w:rPr>
        <w:footnoteReference w:id="1446"/>
      </w:r>
      <w:r w:rsidRPr="006A21F9">
        <w:rPr>
          <w:lang w:val="ru-RU"/>
        </w:rPr>
        <w:t xml:space="preserve"> 同样值得注意的是，当受绝罚者面临死亡威胁时，古代大公会议和教父们会赦免他们的教会惩罚，允许他们领受圣体圣事；而一旦危险过去，又会要求他们继续履行先前规定的补赎。</w:t>
      </w:r>
      <w:r>
        <w:rPr>
          <w:rStyle w:val="FootnoteReference"/>
        </w:rPr>
        <w:footnoteReference w:id="1447"/>
      </w:r>
      <w:r w:rsidRPr="006A21F9">
        <w:rPr>
          <w:lang w:val="ru-RU"/>
        </w:rPr>
        <w:t xml:space="preserve"> 这无疑表明，古代教会并不将补赎视为对上帝公义的补偿——这种补偿本可轻易被救主和圣徒的功德所取代——而是将其视为矫正措施，而唯一能使人免于补赎的条件，就是罪人真正悔改。</w:t>
      </w:r>
    </w:p>
    <w:p w14:paraId="20165FE8" w14:textId="77777777" w:rsidR="00BE1885" w:rsidRPr="006A21F9" w:rsidRDefault="00BE1885" w:rsidP="00BE1885">
      <w:pPr>
        <w:rPr>
          <w:lang w:val="ru-RU"/>
        </w:rPr>
      </w:pPr>
      <w:r w:rsidRPr="006A21F9">
        <w:rPr>
          <w:lang w:val="ru-RU"/>
        </w:rPr>
        <w:tab/>
        <w:t>因此，赎罪券既在圣经中，也在圣传中，都没有丝毫依据，作为罗马教会的教义，对基督徒的生活是有害的： 它们动摇了对罪过的真诚悔改，不加区分地剥夺了罪人治愈其灵性疾病所必需的疗愈手段，并且通过以与上帝及教会和解的轻松性来迷惑民众，助长了且可能继续助长普遍的道德败坏。</w:t>
      </w:r>
      <w:r>
        <w:rPr>
          <w:rStyle w:val="FootnoteReference"/>
        </w:rPr>
        <w:footnoteReference w:id="1448"/>
      </w:r>
      <w:r w:rsidRPr="006A21F9">
        <w:rPr>
          <w:lang w:val="ru-RU"/>
        </w:rPr>
        <w:t xml:space="preserve"> 更不用说罗马教会高层在分发赎罪券时曾发生过、且随时可能发生的各种滥用职权的行为。</w:t>
      </w:r>
      <w:r>
        <w:rPr>
          <w:rStyle w:val="FootnoteReference"/>
        </w:rPr>
        <w:footnoteReference w:id="1449"/>
      </w:r>
    </w:p>
    <w:p w14:paraId="1569FAAF" w14:textId="77777777" w:rsidR="00BE1885" w:rsidRPr="006A21F9" w:rsidRDefault="00BE1885" w:rsidP="00BE1885">
      <w:pPr>
        <w:rPr>
          <w:lang w:val="ru-RU"/>
        </w:rPr>
      </w:pPr>
      <w:r w:rsidRPr="006A21F9">
        <w:rPr>
          <w:lang w:val="ru-RU"/>
        </w:rPr>
        <w:tab/>
      </w:r>
    </w:p>
    <w:p w14:paraId="1DC2D648" w14:textId="77777777" w:rsidR="00BE1885" w:rsidRPr="006A21F9" w:rsidRDefault="00BE1885" w:rsidP="00BE1885">
      <w:pPr>
        <w:pStyle w:val="Heading4"/>
        <w:rPr>
          <w:lang w:val="ru-RU"/>
        </w:rPr>
      </w:pPr>
      <w:bookmarkStart w:id="902" w:name="_Toc133142614"/>
      <w:bookmarkStart w:id="903" w:name="_Toc133142998"/>
      <w:bookmarkStart w:id="904" w:name="_Toc133166355"/>
      <w:bookmarkStart w:id="905" w:name="_Toc182221565"/>
      <w:bookmarkStart w:id="906" w:name="_Toc238453132"/>
      <w:bookmarkStart w:id="907" w:name="_Toc238453932"/>
      <w:bookmarkStart w:id="908" w:name="_Toc238454334"/>
      <w:bookmarkStart w:id="909" w:name="_Toc238466416"/>
      <w:bookmarkStart w:id="910" w:name="_Toc238576592"/>
      <w:r w:rsidRPr="006A21F9">
        <w:rPr>
          <w:bCs/>
          <w:lang w:val="ru-RU"/>
        </w:rPr>
        <w:t>5.</w:t>
      </w:r>
      <w:r w:rsidRPr="006A21F9">
        <w:rPr>
          <w:lang w:val="ru-RU"/>
        </w:rPr>
        <w:t xml:space="preserve"> 关于傅油圣事</w:t>
      </w:r>
      <w:bookmarkEnd w:id="902"/>
      <w:bookmarkEnd w:id="903"/>
      <w:bookmarkEnd w:id="904"/>
      <w:bookmarkEnd w:id="905"/>
      <w:bookmarkEnd w:id="906"/>
      <w:bookmarkEnd w:id="907"/>
      <w:bookmarkEnd w:id="908"/>
      <w:bookmarkEnd w:id="909"/>
      <w:bookmarkEnd w:id="910"/>
    </w:p>
    <w:p w14:paraId="56A33F4D" w14:textId="77777777" w:rsidR="00BE1885" w:rsidRPr="006A21F9" w:rsidRDefault="00BE1885" w:rsidP="00BE1885">
      <w:pPr>
        <w:rPr>
          <w:lang w:val="ru-RU"/>
        </w:rPr>
      </w:pPr>
      <w:r w:rsidRPr="006A21F9">
        <w:rPr>
          <w:lang w:val="ru-RU"/>
        </w:rPr>
        <w:tab/>
      </w:r>
    </w:p>
    <w:p w14:paraId="4FC06130" w14:textId="77777777" w:rsidR="00BE1885" w:rsidRPr="006A21F9" w:rsidRDefault="00BE1885" w:rsidP="00BE1885">
      <w:pPr>
        <w:pStyle w:val="Heading5"/>
        <w:rPr>
          <w:lang w:val="ru-RU"/>
        </w:rPr>
      </w:pPr>
      <w:bookmarkStart w:id="911" w:name="_Toc133142999"/>
      <w:bookmarkStart w:id="912" w:name="_Toc133166356"/>
      <w:bookmarkStart w:id="913" w:name="_Toc182221566"/>
      <w:bookmarkStart w:id="914" w:name="_Toc238453133"/>
      <w:bookmarkStart w:id="915" w:name="_Toc238453933"/>
      <w:bookmarkStart w:id="916" w:name="_Toc238576593"/>
      <w:r w:rsidRPr="006A21F9">
        <w:rPr>
          <w:lang w:val="ru-RU"/>
        </w:rPr>
        <w:t>§229. 与前文的关联、关于傅油圣事的概念及其名称</w:t>
      </w:r>
      <w:bookmarkEnd w:id="911"/>
      <w:bookmarkEnd w:id="912"/>
      <w:bookmarkEnd w:id="913"/>
      <w:bookmarkEnd w:id="914"/>
      <w:bookmarkEnd w:id="915"/>
      <w:bookmarkEnd w:id="916"/>
    </w:p>
    <w:p w14:paraId="225D3DB7" w14:textId="77777777" w:rsidR="00BE1885" w:rsidRPr="006A21F9" w:rsidRDefault="00BE1885" w:rsidP="00BE1885">
      <w:pPr>
        <w:ind w:firstLine="708"/>
        <w:rPr>
          <w:lang w:val="ru-RU"/>
        </w:rPr>
      </w:pPr>
      <w:r w:rsidRPr="006A21F9">
        <w:rPr>
          <w:lang w:val="ru-RU"/>
        </w:rPr>
        <w:t>忏悔圣事作为一种充满恩典的医治，是为所有基督徒而设的，但仅用于治愈他们灵性的疾病。傅油圣事则是另一种救赎性的医治，专为身体患病的基督徒而设，其目的不仅在于治愈他们的灵性疾病，更在于治愈他们的肉体疾病。</w:t>
      </w:r>
    </w:p>
    <w:p w14:paraId="6E154FB3" w14:textId="77777777" w:rsidR="00BE1885" w:rsidRPr="006A21F9" w:rsidRDefault="00BE1885" w:rsidP="00BE1885">
      <w:pPr>
        <w:rPr>
          <w:lang w:val="ru-RU"/>
        </w:rPr>
      </w:pPr>
      <w:r w:rsidRPr="006A21F9">
        <w:rPr>
          <w:lang w:val="ru-RU"/>
        </w:rPr>
        <w:tab/>
        <w:t>东正教会对傅油圣事给出了这样的定义：“傅油圣事是一种圣事，在其中，通过用圣油涂抹病人的身体，召唤上帝的恩典降临于病人，治愈其心灵和身体的病痛”（《简明基督教教理问答》第1卷，第10条）。</w:t>
      </w:r>
    </w:p>
    <w:p w14:paraId="429F6509" w14:textId="77777777" w:rsidR="00BE1885" w:rsidRPr="006A21F9" w:rsidRDefault="00BE1885" w:rsidP="00BE1885">
      <w:pPr>
        <w:rPr>
          <w:lang w:val="ru-RU"/>
        </w:rPr>
      </w:pPr>
      <w:r w:rsidRPr="006A21F9">
        <w:rPr>
          <w:lang w:val="ru-RU"/>
        </w:rPr>
        <w:tab/>
        <w:t>自古以来，这一圣礼在东正教会中被称为“圣油”（елеем），</w:t>
      </w:r>
      <w:r>
        <w:rPr>
          <w:rStyle w:val="FootnoteReference"/>
        </w:rPr>
        <w:footnoteReference w:id="1450"/>
      </w:r>
      <w:r w:rsidRPr="006A21F9">
        <w:rPr>
          <w:lang w:val="ru-RU"/>
        </w:rPr>
        <w:t xml:space="preserve"> “圣油”（святым елеем），</w:t>
      </w:r>
      <w:r>
        <w:rPr>
          <w:rStyle w:val="FootnoteReference"/>
        </w:rPr>
        <w:footnoteReference w:id="1451"/>
      </w:r>
      <w:r w:rsidRPr="006A21F9">
        <w:rPr>
          <w:lang w:val="ru-RU"/>
        </w:rPr>
        <w:t xml:space="preserve"> “与祈祷结合的圣油”（елеем, соединенным с молитвой）；</w:t>
      </w:r>
      <w:r>
        <w:rPr>
          <w:rStyle w:val="FootnoteReference"/>
        </w:rPr>
        <w:footnoteReference w:id="1452"/>
      </w:r>
      <w:r w:rsidRPr="006A21F9">
        <w:rPr>
          <w:lang w:val="ru-RU"/>
        </w:rPr>
        <w:t xml:space="preserve"> 在我国则称为“圣油礼”（елеосвящением）、“圣油涂抹”（елеопомазанием），有时在口语中也称为“主教会议”（соборованием），因为该礼仪通常由主教团共同举行。 罗马教会本身赋予圣油礼的名称，如：临终傅油、</w:t>
      </w:r>
      <w:r>
        <w:rPr>
          <w:rStyle w:val="FootnoteReference"/>
        </w:rPr>
        <w:footnoteReference w:id="1453"/>
      </w:r>
      <w:r w:rsidRPr="006A21F9">
        <w:rPr>
          <w:lang w:val="ru-RU"/>
        </w:rPr>
        <w:t xml:space="preserve"> 临终者或垂死者的圣事、</w:t>
      </w:r>
      <w:r>
        <w:rPr>
          <w:rStyle w:val="FootnoteReference"/>
        </w:rPr>
        <w:footnoteReference w:id="1454"/>
      </w:r>
      <w:r w:rsidRPr="006A21F9">
        <w:rPr>
          <w:lang w:val="ru-RU"/>
        </w:rPr>
        <w:t xml:space="preserve"> 等，均属后世所创，且如我们将看到的，并不完全准确。</w:t>
      </w:r>
    </w:p>
    <w:p w14:paraId="77F3F065" w14:textId="77777777" w:rsidR="00BE1885" w:rsidRPr="006A21F9" w:rsidRDefault="00BE1885" w:rsidP="00BE1885">
      <w:pPr>
        <w:rPr>
          <w:lang w:val="ru-RU"/>
        </w:rPr>
      </w:pPr>
    </w:p>
    <w:p w14:paraId="645A42A2" w14:textId="77777777" w:rsidR="00BE1885" w:rsidRPr="006A21F9" w:rsidRDefault="00BE1885" w:rsidP="00BE1885">
      <w:pPr>
        <w:pStyle w:val="Heading5"/>
        <w:rPr>
          <w:lang w:val="ru-RU"/>
        </w:rPr>
      </w:pPr>
      <w:bookmarkStart w:id="917" w:name="_Toc133143000"/>
      <w:bookmarkStart w:id="918" w:name="_Toc133166357"/>
      <w:bookmarkStart w:id="919" w:name="_Toc182221567"/>
      <w:bookmarkStart w:id="920" w:name="_Toc238453134"/>
      <w:bookmarkStart w:id="921" w:name="_Toc238453934"/>
      <w:bookmarkStart w:id="922" w:name="_Toc238576594"/>
      <w:r w:rsidRPr="006A21F9">
        <w:rPr>
          <w:lang w:val="ru-RU"/>
        </w:rPr>
        <w:t>§230. 圣油圣事的 divine 设立及其有效性</w:t>
      </w:r>
      <w:bookmarkEnd w:id="917"/>
      <w:bookmarkEnd w:id="918"/>
      <w:bookmarkEnd w:id="919"/>
      <w:bookmarkEnd w:id="920"/>
      <w:bookmarkEnd w:id="921"/>
      <w:bookmarkEnd w:id="922"/>
    </w:p>
    <w:p w14:paraId="75BB2913"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圣使徒雅各在《圣经》中非常明确地谈到了傅油圣事，当他教导基督徒时说：</w:t>
      </w:r>
      <w:r w:rsidRPr="006A21F9">
        <w:rPr>
          <w:i/>
          <w:iCs/>
          <w:lang w:val="ru-RU"/>
        </w:rPr>
        <w:t>“你们中间若有受苦的，就当祷告。” “有人喜乐，就当歌颂诗篇</w:t>
      </w:r>
      <w:r w:rsidRPr="006A21F9">
        <w:rPr>
          <w:lang w:val="ru-RU"/>
        </w:rPr>
        <w:t>”，紧接着又说：</w:t>
      </w:r>
      <w:r w:rsidRPr="006A21F9">
        <w:rPr>
          <w:i/>
          <w:iCs/>
          <w:lang w:val="ru-RU"/>
        </w:rPr>
        <w:t>“你们中间有谁患病，就当请教会的长老来，让他们为他祷</w:t>
      </w:r>
      <w:r w:rsidRPr="006A21F9">
        <w:rPr>
          <w:i/>
          <w:iCs/>
          <w:lang w:val="ru-RU"/>
        </w:rPr>
        <w:lastRenderedPageBreak/>
        <w:t>告，并奉主的名用圣油抹他。 信心的祈祷必能医治病人，主必使他痊愈；若他犯了罪，也必蒙赦免</w:t>
      </w:r>
      <w:r w:rsidRPr="006A21F9">
        <w:rPr>
          <w:lang w:val="ru-RU"/>
        </w:rPr>
        <w:t>（雅各书5:14-15）。从这些话语中，既揭示了圣油礼的神圣设立，也彰显了它作为圣礼的真实性。</w:t>
      </w:r>
    </w:p>
    <w:p w14:paraId="2823B125" w14:textId="77777777" w:rsidR="00BE1885" w:rsidRPr="006A21F9" w:rsidRDefault="00BE1885" w:rsidP="00BE1885">
      <w:pPr>
        <w:ind w:firstLine="708"/>
        <w:rPr>
          <w:lang w:val="ru-RU"/>
        </w:rPr>
      </w:pPr>
      <w:r w:rsidRPr="006A21F9">
        <w:rPr>
          <w:b/>
          <w:bCs/>
          <w:lang w:val="ru-RU"/>
        </w:rPr>
        <w:t>1.</w:t>
      </w:r>
      <w:r w:rsidRPr="006A21F9">
        <w:rPr>
          <w:lang w:val="ru-RU"/>
        </w:rPr>
        <w:t xml:space="preserve"> 神的设立。因为一方面，从上下文来看，很明显使徒所说的傅油并非某种基督徒此前未曾知晓的新事物，而是向他们指出这种治疗手段——它早已存在且在他们中间广为人知——并吩咐他们在患病时使用它。 另一方面，毫无疑问，圣使徒们并非凭自己宣讲（加拉太书 1:11-12），而是仅教导主耶稣所吩咐的（马太福音 28:20），以及圣灵所启示的（约翰福音 16:13）； 众所周知，他们自称是基督的仆人，只是建造者，而非上帝圣礼的设立者（林前4:1）。 因此，圣使徒雅各在此吩咐基督徒的“按手祷告”，作为治愈身体和心灵疾病的奥秘疗法，实乃由我们主耶稣基督和圣灵亲自所吩咐的。 至于主究竟是在何时设立这一圣礼的，我们在圣经中并未找到明确记载：因为祂在世上所教导和所行的许多事，都没有写在经上（约21:25）。 但最自然的推断是，这一圣礼，正如另外两个（洗礼和悔改）——通过它们赦免罪孽——是主在复活之后设立的，那时祂已被赐予</w:t>
      </w:r>
      <w:r w:rsidRPr="006A21F9">
        <w:rPr>
          <w:i/>
          <w:iCs/>
          <w:lang w:val="ru-RU"/>
        </w:rPr>
        <w:t>天上地下一切的权柄</w:t>
      </w:r>
      <w:r w:rsidRPr="006A21F9">
        <w:rPr>
          <w:lang w:val="ru-RU"/>
        </w:rPr>
        <w:t xml:space="preserve"> （马太福音28:18），并且</w:t>
      </w:r>
      <w:r w:rsidRPr="006A21F9">
        <w:rPr>
          <w:i/>
          <w:iCs/>
          <w:lang w:val="ru-RU"/>
        </w:rPr>
        <w:t>在随后的四十天里向使徒们显现，讲论神的国</w:t>
      </w:r>
      <w:r w:rsidRPr="006A21F9">
        <w:rPr>
          <w:lang w:val="ru-RU"/>
        </w:rPr>
        <w:t>（使徒行传1:3），即关于祂的圣教会之架构，而圣礼正是其最本质的组成部分。</w:t>
      </w:r>
    </w:p>
    <w:p w14:paraId="7C4F9A00" w14:textId="77777777" w:rsidR="00BE1885" w:rsidRPr="006A21F9" w:rsidRDefault="00BE1885" w:rsidP="00BE1885">
      <w:pPr>
        <w:ind w:firstLine="708"/>
        <w:rPr>
          <w:lang w:val="ru-RU"/>
        </w:rPr>
      </w:pPr>
      <w:r w:rsidRPr="006A21F9">
        <w:rPr>
          <w:b/>
          <w:bCs/>
          <w:lang w:val="ru-RU"/>
        </w:rPr>
        <w:t>2.</w:t>
      </w:r>
      <w:r w:rsidRPr="006A21F9">
        <w:rPr>
          <w:lang w:val="ru-RU"/>
        </w:rPr>
        <w:t xml:space="preserve"> 有效性，如同圣礼一样。因为除了神的设立——这是任何基督教圣礼的首要必要特征之外， 圣油礼在使徒所阐述的话语中还具备另外两个特征：感性标志——伴随祷告用圣油膏抹病人，以及与这一感性标志相联结的超感性恩典作用——赦免罪过与医治疾病。 然而，若像那些思想谬误者所推测的那样，</w:t>
      </w:r>
      <w:r>
        <w:rPr>
          <w:rStyle w:val="FootnoteReference"/>
        </w:rPr>
        <w:footnoteReference w:id="1455"/>
      </w:r>
      <w:r w:rsidRPr="006A21F9">
        <w:rPr>
          <w:lang w:val="ru-RU"/>
        </w:rPr>
        <w:t xml:space="preserve"> 认为圣雅各在此谈论的不过是治疗疾病的普通医疗手段，或是非凡的医治恩赐，这完全是不公正的。</w:t>
      </w:r>
    </w:p>
    <w:p w14:paraId="14D3EFBC" w14:textId="77777777" w:rsidR="00BE1885" w:rsidRPr="006A21F9" w:rsidRDefault="00BE1885" w:rsidP="00BE1885">
      <w:pPr>
        <w:rPr>
          <w:lang w:val="ru-RU"/>
        </w:rPr>
      </w:pPr>
      <w:r w:rsidRPr="006A21F9">
        <w:rPr>
          <w:lang w:val="ru-RU"/>
        </w:rPr>
        <w:tab/>
        <w:t>第一种观点是不公正的：因为</w:t>
      </w:r>
      <w:r w:rsidRPr="006A21F9">
        <w:rPr>
          <w:b/>
          <w:bCs/>
          <w:lang w:val="ru-RU"/>
        </w:rPr>
        <w:t>——a)</w:t>
      </w:r>
      <w:r w:rsidRPr="006A21F9">
        <w:rPr>
          <w:lang w:val="ru-RU"/>
        </w:rPr>
        <w:t xml:space="preserve"> 无论圣油的治愈力量有多大，都不能将其称为治疗疾病的万能良药，而圣使徒所说的却是普遍性的：“你们中间若有患病的，就……”； </w:t>
      </w:r>
      <w:r w:rsidRPr="006A21F9">
        <w:rPr>
          <w:b/>
          <w:bCs/>
          <w:lang w:val="ru-RU"/>
        </w:rPr>
        <w:t>b)</w:t>
      </w:r>
      <w:r w:rsidRPr="006A21F9">
        <w:rPr>
          <w:lang w:val="ru-RU"/>
        </w:rPr>
        <w:t xml:space="preserve"> 若将涂抹病人的圣油视为普通疗法，最自然的做法本应由其家人、朋友，或是《圣经》未禁止求助的任何医生（《德训篇》38:1-5）来实施，而圣使徒却明确吩咐：“当请教会的长老……”； </w:t>
      </w:r>
      <w:r w:rsidRPr="006A21F9">
        <w:rPr>
          <w:b/>
          <w:bCs/>
          <w:lang w:val="ru-RU"/>
        </w:rPr>
        <w:t>c)</w:t>
      </w:r>
      <w:r w:rsidRPr="006A21F9">
        <w:rPr>
          <w:lang w:val="ru-RU"/>
        </w:rPr>
        <w:t xml:space="preserve"> 随后，使徒将治愈的力量归因于的不只是圣油，而是主要归因于神职人员的祈祷：“ ”他们当为他祈祷，“</w:t>
      </w:r>
      <w:r>
        <w:rPr>
          <w:rStyle w:val="FootnoteReference"/>
        </w:rPr>
        <w:footnoteReference w:id="1456"/>
      </w:r>
      <w:r w:rsidRPr="006A21F9">
        <w:rPr>
          <w:lang w:val="ru-RU"/>
        </w:rPr>
        <w:t xml:space="preserve"> ”奉主之名用圣油膏抹他，信心的祈祷必拯救病人，主必使他痊愈； </w:t>
      </w:r>
      <w:r w:rsidRPr="006A21F9">
        <w:rPr>
          <w:b/>
          <w:bCs/>
          <w:lang w:val="ru-RU"/>
        </w:rPr>
        <w:t>d)</w:t>
      </w:r>
      <w:r w:rsidRPr="006A21F9">
        <w:rPr>
          <w:lang w:val="ru-RU"/>
        </w:rPr>
        <w:t xml:space="preserve"> 最后，疾病的治愈与罪的赦免相伴而行：若他犯了罪，罪必得赦免，而这一点，毫无疑问，任何自然疗法都无法赐予。</w:t>
      </w:r>
    </w:p>
    <w:p w14:paraId="21A0AAFB" w14:textId="77777777" w:rsidR="00BE1885" w:rsidRPr="006A21F9" w:rsidRDefault="00BE1885" w:rsidP="00BE1885">
      <w:pPr>
        <w:rPr>
          <w:lang w:val="ru-RU"/>
        </w:rPr>
      </w:pPr>
      <w:r w:rsidRPr="006A21F9">
        <w:rPr>
          <w:lang w:val="ru-RU"/>
        </w:rPr>
        <w:tab/>
        <w:t>最后这一观点也是不公正的。</w:t>
      </w:r>
      <w:r w:rsidRPr="006A21F9">
        <w:rPr>
          <w:b/>
          <w:bCs/>
          <w:lang w:val="ru-RU"/>
        </w:rPr>
        <w:t>因为——a）</w:t>
      </w:r>
      <w:r w:rsidRPr="006A21F9">
        <w:rPr>
          <w:lang w:val="ru-RU"/>
        </w:rPr>
        <w:t xml:space="preserve">如救主和使徒们的生平所示，行神迹医治的恩赐从未与特定的感官标志绑定过 </w:t>
      </w:r>
      <w:r w:rsidRPr="009933FF">
        <w:rPr>
          <w:lang w:val="ru-RU"/>
        </w:rPr>
        <w:t>[</w:t>
      </w:r>
      <w:r w:rsidRPr="006A21F9">
        <w:rPr>
          <w:lang w:val="ru-RU"/>
        </w:rPr>
        <w:t>(约 5:8-9</w:t>
      </w:r>
      <w:r w:rsidRPr="009E63DF">
        <w:rPr>
          <w:lang w:val="ru-RU"/>
        </w:rPr>
        <w:t>)</w:t>
      </w:r>
      <w:r w:rsidRPr="006A21F9">
        <w:rPr>
          <w:lang w:val="ru-RU"/>
        </w:rPr>
        <w:t>；</w:t>
      </w:r>
      <w:r w:rsidRPr="009E63DF">
        <w:rPr>
          <w:lang w:val="ru-RU"/>
        </w:rPr>
        <w:t>(</w:t>
      </w:r>
      <w:r w:rsidRPr="006A21F9">
        <w:rPr>
          <w:lang w:val="ru-RU"/>
        </w:rPr>
        <w:t>路 4:40</w:t>
      </w:r>
      <w:r w:rsidRPr="009E63DF">
        <w:rPr>
          <w:lang w:val="ru-RU"/>
        </w:rPr>
        <w:t>)</w:t>
      </w:r>
      <w:r w:rsidRPr="006A21F9">
        <w:rPr>
          <w:lang w:val="ru-RU"/>
        </w:rPr>
        <w:t xml:space="preserve">； </w:t>
      </w:r>
      <w:r w:rsidRPr="009E63DF">
        <w:rPr>
          <w:lang w:val="ru-RU"/>
        </w:rPr>
        <w:t>(</w:t>
      </w:r>
      <w:r w:rsidRPr="006A21F9">
        <w:rPr>
          <w:lang w:val="ru-RU"/>
        </w:rPr>
        <w:t>《马可福音》16:18</w:t>
      </w:r>
      <w:r w:rsidRPr="009E63DF">
        <w:rPr>
          <w:lang w:val="ru-RU"/>
        </w:rPr>
        <w:t>)</w:t>
      </w:r>
      <w:r w:rsidRPr="006A21F9">
        <w:rPr>
          <w:lang w:val="ru-RU"/>
        </w:rPr>
        <w:t>；</w:t>
      </w:r>
      <w:r w:rsidRPr="009E63DF">
        <w:rPr>
          <w:lang w:val="ru-RU"/>
        </w:rPr>
        <w:t>(</w:t>
      </w:r>
      <w:r w:rsidRPr="006A21F9">
        <w:rPr>
          <w:lang w:val="ru-RU"/>
        </w:rPr>
        <w:t>《使徒行传》3:6</w:t>
      </w:r>
      <w:r w:rsidRPr="009E63DF">
        <w:rPr>
          <w:lang w:val="ru-RU"/>
        </w:rPr>
        <w:t>)</w:t>
      </w:r>
      <w:r w:rsidRPr="006A21F9">
        <w:rPr>
          <w:lang w:val="ru-RU"/>
        </w:rPr>
        <w:t>；</w:t>
      </w:r>
      <w:r w:rsidRPr="009E63DF">
        <w:rPr>
          <w:lang w:val="ru-RU"/>
        </w:rPr>
        <w:t>(</w:t>
      </w:r>
      <w:r w:rsidRPr="006A21F9">
        <w:rPr>
          <w:lang w:val="ru-RU"/>
        </w:rPr>
        <w:t>《使徒行传》28:8-9)</w:t>
      </w:r>
      <w:r w:rsidRPr="009E63DF">
        <w:rPr>
          <w:lang w:val="ru-RU"/>
        </w:rPr>
        <w:t>]</w:t>
      </w:r>
      <w:r w:rsidRPr="006A21F9">
        <w:rPr>
          <w:lang w:val="ru-RU"/>
        </w:rPr>
        <w:t xml:space="preserve">，而圣雅各则指出了一个特定的标志——圣油； </w:t>
      </w:r>
      <w:r w:rsidRPr="006A21F9">
        <w:rPr>
          <w:b/>
          <w:bCs/>
          <w:lang w:val="ru-RU"/>
        </w:rPr>
        <w:t>b)</w:t>
      </w:r>
      <w:r w:rsidRPr="006A21F9">
        <w:rPr>
          <w:lang w:val="ru-RU"/>
        </w:rPr>
        <w:t xml:space="preserve"> 拥有这一非凡恩赐的人只能医治疾病，却无权赦免罪孽——这一权柄是救主仅赐予使徒及其继任者的；而圣雅各在此将赦罪与医治疾病结合在一起； </w:t>
      </w:r>
      <w:r w:rsidRPr="006A21F9">
        <w:rPr>
          <w:b/>
          <w:bCs/>
          <w:lang w:val="ru-RU"/>
        </w:rPr>
        <w:t xml:space="preserve">c) </w:t>
      </w:r>
      <w:r w:rsidRPr="006A21F9">
        <w:rPr>
          <w:lang w:val="ru-RU"/>
        </w:rPr>
        <w:t>在使徒时代，各行各业、各种身份的信徒都拥有超自然的恩赐，包括医治的恩赐（参见《哥林多前书》</w:t>
      </w:r>
      <w:r w:rsidRPr="006A21F9">
        <w:rPr>
          <w:lang w:val="ru-RU"/>
        </w:rPr>
        <w:lastRenderedPageBreak/>
        <w:t>12:7-12等）； 因此，若要寻求奇妙的疾病医治，理应直接求助于那些拥有此恩赐的人，无论其身份如何；而圣雅各却吩咐，进行傅油礼时只能请教会的长老…… 显然，这里所谈的并非神迹般的治愈，而是教会礼仪之一；根据使徒的教导，确实并非所有信徒都能施行此礼（希伯来书 5:4），而只有被拣选的教会事奉者（以弗所书 4:11-12），特别是长老 （使徒行传 20:17-18）。</w:t>
      </w:r>
    </w:p>
    <w:p w14:paraId="2BCC350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毫无疑问，自使徒时代起，圣油礼就在教会中施行：因为教会不可能忘记，更不可能违背使徒如此明确传授、对信徒如此救赎的诫命。 此外，还保留着一些古代教父的见证，他们或仅根据圣使徒雅各的话提及傅油礼，或通过某些特征将傅油礼指认为一种特殊的圣礼，甚至直接称其为圣礼。</w:t>
      </w:r>
    </w:p>
    <w:p w14:paraId="541C13B4" w14:textId="77777777" w:rsidR="00BE1885" w:rsidRPr="006A21F9" w:rsidRDefault="00BE1885" w:rsidP="00BE1885">
      <w:pPr>
        <w:rPr>
          <w:lang w:val="ru-RU"/>
        </w:rPr>
      </w:pPr>
      <w:r w:rsidRPr="006A21F9">
        <w:rPr>
          <w:lang w:val="ru-RU"/>
        </w:rPr>
        <w:tab/>
        <w:t>属于第一类的有以下见证：</w:t>
      </w:r>
    </w:p>
    <w:p w14:paraId="542CD461" w14:textId="77777777" w:rsidR="00BE1885" w:rsidRPr="006A21F9" w:rsidRDefault="00BE1885" w:rsidP="00BE1885">
      <w:pPr>
        <w:rPr>
          <w:lang w:val="ru-RU"/>
        </w:rPr>
      </w:pPr>
      <w:r w:rsidRPr="006A21F9">
        <w:rPr>
          <w:lang w:val="ru-RU"/>
        </w:rPr>
        <w:tab/>
        <w:t xml:space="preserve">奥利金。他在列举了各种赦罪的途径——如洗礼、殉道、对上帝的虔诚之爱等——之后，继续写道： “还有第七种，虽说沉重而艰难，即通过悔改赦免罪孽：当罪人以眼泪洗涤自己的床榻，眼泪日夜成为他的食物（诗篇41:4），并且他不羞于在主的祭司面前认罪并求医治，正如那位说过的话： ‘我说：“我要向主承认我的过犯”，你就赦免了我罪孽的罪责。’随后他又补充道：‘这正应验了使徒雅各所说的话： </w:t>
      </w:r>
      <w:r w:rsidRPr="006A21F9">
        <w:rPr>
          <w:i/>
          <w:iCs/>
          <w:lang w:val="ru-RU"/>
        </w:rPr>
        <w:t>“你们中间有谁患病呢？让他请教会的长老来，让他们奉主的名用圣油为他抹油祷告。信心的祷告必使病人痊愈，主必使他起来；他若犯了罪，也必蒙赦免</w:t>
      </w:r>
      <w:r w:rsidRPr="006A21F9">
        <w:rPr>
          <w:lang w:val="ru-RU"/>
        </w:rPr>
        <w:t>（雅各书5:14-15）。”</w:t>
      </w:r>
      <w:r>
        <w:rPr>
          <w:rStyle w:val="FootnoteReference"/>
        </w:rPr>
        <w:footnoteReference w:id="1457"/>
      </w:r>
      <w:r w:rsidRPr="006A21F9">
        <w:rPr>
          <w:lang w:val="ru-RU"/>
        </w:rPr>
        <w:t xml:space="preserve"> 奥利金在此似乎并未将傅油礼与忏悔分开，而是将二者紧接其后地提及；但这无疑是因为，在古代，傅油礼与如今一样，是在忏悔之后进行的，二者几乎密不可分。</w:t>
      </w:r>
    </w:p>
    <w:p w14:paraId="56DC6DF8" w14:textId="77777777" w:rsidR="00BE1885" w:rsidRPr="006A21F9" w:rsidRDefault="00BE1885" w:rsidP="00BE1885">
      <w:pPr>
        <w:rPr>
          <w:lang w:val="ru-RU"/>
        </w:rPr>
      </w:pPr>
      <w:r w:rsidRPr="006A21F9">
        <w:rPr>
          <w:lang w:val="ru-RU"/>
        </w:rPr>
        <w:tab/>
        <w:t>圣金口若望。他将作为属灵父亲的司祭与世俗父母相比较，说道： “这些人甚至无法保护自己的子女免于肉体之死，甚至不总能将侵入其躯体的疾病驱逐出去；相反，那些人却常常拯救本该灭亡的病痛灵魂，时而使他们经历温和的惩戒，时而在堕落的最初阶段便加以阻止，不仅通过教导和劝诫，还借助祷告的帮助。 因为他们不仅在使我们重生之时，而且在重生之后，都拥有赦免罪孽的权柄，正如经上所记：</w:t>
      </w:r>
      <w:r w:rsidRPr="006A21F9">
        <w:rPr>
          <w:i/>
          <w:iCs/>
          <w:lang w:val="ru-RU"/>
        </w:rPr>
        <w:t>‘你们中间若有患病的，应当请教会的长老来，让他们奉主的名用圣油为他抹油，并为他祷告。’ 凭着信心的祷告必能医治病人，主必使他痊愈；若他犯了罪，也必蒙赦免</w:t>
      </w:r>
      <w:r w:rsidRPr="006A21F9">
        <w:rPr>
          <w:lang w:val="ru-RU"/>
        </w:rPr>
        <w:t>（雅各书 5:14-15）。 从上下文的关联来看，加上圣父此前已就告解圣事以及司铎捆绑与释放的权柄，详细而周全地论述过 ，并为此引用了经文——[(约20:23); （马太福音 18:18）]——我们可以推断，他在此所谈论的正是仅为病人施行的大油圣事。</w:t>
      </w:r>
      <w:r>
        <w:rPr>
          <w:rStyle w:val="FootnoteReference"/>
        </w:rPr>
        <w:footnoteReference w:id="1458"/>
      </w:r>
    </w:p>
    <w:p w14:paraId="6173B00A" w14:textId="77777777" w:rsidR="00BE1885" w:rsidRPr="006A21F9" w:rsidRDefault="00BE1885" w:rsidP="00BE1885">
      <w:pPr>
        <w:rPr>
          <w:lang w:val="ru-RU"/>
        </w:rPr>
      </w:pPr>
      <w:r w:rsidRPr="006A21F9">
        <w:rPr>
          <w:lang w:val="ru-RU"/>
        </w:rPr>
        <w:tab/>
        <w:t>耶路撒冷的圣西里尔。为抵御巫术，他给予如下教导：“当你身体的某一部位患病时，如果你相信以下这些话： ‘主’、‘撒巴奥’以及圣经中归于上帝、符合祂本性的其他称谓：那么你就诵念这些话语，为自己祈祷。你的做法将远胜于他们（即求助于巫术的人）：因为你所归荣耀的不是污秽之灵，而是上帝。 此外，我还想提醒你《圣经》中的另一段话：“你们中间若有患病的，应当请教会的长老来，他们要奉主的名用圣油抹他，并为他祷告……等等。”</w:t>
      </w:r>
      <w:r>
        <w:rPr>
          <w:rStyle w:val="FootnoteReference"/>
        </w:rPr>
        <w:footnoteReference w:id="1459"/>
      </w:r>
      <w:r w:rsidRPr="006A21F9">
        <w:rPr>
          <w:lang w:val="ru-RU"/>
        </w:rPr>
        <w:t xml:space="preserve"> </w:t>
      </w:r>
      <w:r w:rsidRPr="006A21F9">
        <w:rPr>
          <w:lang w:val="ru-RU"/>
        </w:rPr>
        <w:lastRenderedPageBreak/>
        <w:t>值得注意的是，这位圣父仅仅提到了圣油涂抹作为基督徒患病时应求助的手段，因此，这表明该手段在教会中是众所周知的，并且确实被使用过。</w:t>
      </w:r>
    </w:p>
    <w:p w14:paraId="2E354D85" w14:textId="77777777" w:rsidR="00BE1885" w:rsidRPr="006A21F9" w:rsidRDefault="00BE1885" w:rsidP="00BE1885">
      <w:pPr>
        <w:rPr>
          <w:lang w:val="ru-RU"/>
        </w:rPr>
      </w:pPr>
      <w:r w:rsidRPr="006A21F9">
        <w:rPr>
          <w:lang w:val="ru-RU"/>
        </w:rPr>
        <w:tab/>
        <w:t>属于第二类、更为明确的证据包括以下话语：</w:t>
      </w:r>
    </w:p>
    <w:p w14:paraId="4DEBB1A5" w14:textId="77777777" w:rsidR="00BE1885" w:rsidRPr="006A21F9" w:rsidRDefault="00BE1885" w:rsidP="00BE1885">
      <w:pPr>
        <w:rPr>
          <w:lang w:val="ru-RU"/>
        </w:rPr>
      </w:pPr>
      <w:r w:rsidRPr="006A21F9">
        <w:rPr>
          <w:lang w:val="ru-RU"/>
        </w:rPr>
        <w:tab/>
        <w:t>安提阿的长老维克多（5世纪），他在阐释《福音书》中关于使徒的记载：</w:t>
      </w:r>
      <w:r w:rsidRPr="006A21F9">
        <w:rPr>
          <w:i/>
          <w:iCs/>
          <w:lang w:val="ru-RU"/>
        </w:rPr>
        <w:t>“他们又用油抹了许多病人，使他们痊愈</w:t>
      </w:r>
      <w:r w:rsidRPr="006A21F9">
        <w:rPr>
          <w:lang w:val="ru-RU"/>
        </w:rPr>
        <w:t>”（《马可福音》6:13）时指出： “使徒雅各在他被收录为正典的书信中所说的，与这一事实并无二致：因为他写道：‘你们中间若有患病的……’ 圣油能医治疾病，也是光明与喜乐的源泉。因此，用于涂抹的圣油既象征着来自上帝的恩典，也象征着疾病的医治，以及心灵的启迪。因为众所周知，一切皆由祷告成就，而圣油仅是成就之事的象征。”</w:t>
      </w:r>
      <w:r>
        <w:rPr>
          <w:rStyle w:val="FootnoteReference"/>
        </w:rPr>
        <w:footnoteReference w:id="1460"/>
      </w:r>
    </w:p>
    <w:p w14:paraId="660AE7F9" w14:textId="77777777" w:rsidR="00BE1885" w:rsidRPr="006A21F9" w:rsidRDefault="00BE1885" w:rsidP="00BE1885">
      <w:pPr>
        <w:rPr>
          <w:lang w:val="ru-RU"/>
        </w:rPr>
      </w:pPr>
      <w:r w:rsidRPr="006A21F9">
        <w:rPr>
          <w:lang w:val="ru-RU"/>
        </w:rPr>
        <w:tab/>
        <w:t>凯撒利亚，同样是五世纪的作家。他在一篇讲道中如此教导基督徒：“每当患上任何疾病时，让病人领受基督的圣体和圣血，并用圣油涂抹自己的身体，以便圣经的话语在我们身上应验：‘你们中间若有谁……’ 看哪，弟兄们，凡在患病时求助于教会的人，都将蒙恩获得身体的健康和罪的赦免。”</w:t>
      </w:r>
      <w:r>
        <w:rPr>
          <w:rStyle w:val="FootnoteReference"/>
        </w:rPr>
        <w:footnoteReference w:id="1461"/>
      </w:r>
    </w:p>
    <w:p w14:paraId="4B721DEA" w14:textId="77777777" w:rsidR="00BE1885" w:rsidRPr="006A21F9" w:rsidRDefault="00BE1885" w:rsidP="00BE1885">
      <w:pPr>
        <w:rPr>
          <w:lang w:val="ru-RU"/>
        </w:rPr>
      </w:pPr>
      <w:r w:rsidRPr="006A21F9">
        <w:rPr>
          <w:lang w:val="ru-RU"/>
        </w:rPr>
        <w:tab/>
        <w:t>最后，他们直接将傅油礼称为圣事：</w:t>
      </w:r>
    </w:p>
    <w:p w14:paraId="73F26768" w14:textId="77777777" w:rsidR="00BE1885" w:rsidRPr="006A21F9" w:rsidRDefault="00BE1885" w:rsidP="00BE1885">
      <w:pPr>
        <w:rPr>
          <w:lang w:val="ru-RU"/>
        </w:rPr>
      </w:pPr>
      <w:r w:rsidRPr="006A21F9">
        <w:rPr>
          <w:lang w:val="ru-RU"/>
        </w:rPr>
        <w:tab/>
        <w:t>教宗英诺森一世（5世纪）。在回答“如何理解使徒雅各的话：‘你们中间若有患病的……’等”这一问题时，他说：“毫无疑问，这指的是患病的信徒，他们可以接受圣油的傅油礼。” 随后，在解答另一个问题——主教能否施行此涂油礼时，他继续说道：“对于主教能否施行长老无疑能够施行之事，没有理由表示怀疑。使徒之所以提到长老，是因为主教因事务繁忙，无法探访所有的病人…… 正在接受（教会）忏悔的人不得领受此涂油礼：因为这是圣事。既然有人被禁止领受其他圣事，又怎能仅允许其领受这一项呢？”</w:t>
      </w:r>
      <w:r>
        <w:rPr>
          <w:rStyle w:val="FootnoteReference"/>
        </w:rPr>
        <w:footnoteReference w:id="1462"/>
      </w:r>
    </w:p>
    <w:p w14:paraId="3575F2F9" w14:textId="77777777" w:rsidR="00BE1885" w:rsidRPr="006A21F9" w:rsidRDefault="00BE1885" w:rsidP="00BE1885">
      <w:pPr>
        <w:rPr>
          <w:lang w:val="ru-RU"/>
        </w:rPr>
      </w:pPr>
      <w:r w:rsidRPr="006A21F9">
        <w:rPr>
          <w:lang w:val="ru-RU"/>
        </w:rPr>
        <w:tab/>
        <w:t>圣格里高利《双语集》。 在《圣事之书》中，他详细阐述了傅油礼的完整仪式，包括所有的祷文和圣歌。在此，当用圣油为病人傅油时，神父除其他祷词外，还会说：“我奉圣父、圣子及圣灵之名，用圣油为你傅油，愿污秽之灵不藏于你…… 但愿基督上帝与圣灵的大能常驻于你，使你借着施行此圣事（</w:t>
      </w:r>
      <w:r w:rsidRPr="001E4083">
        <w:t>mysterii</w:t>
      </w:r>
      <w:r w:rsidRPr="006A21F9">
        <w:rPr>
          <w:lang w:val="ru-RU"/>
        </w:rPr>
        <w:t>）——借着圣油的涂抹和我们的祈祷，在圣三一的大能中得医治，有幸重获往昔的完全健康。”</w:t>
      </w:r>
      <w:r>
        <w:rPr>
          <w:rStyle w:val="FootnoteReference"/>
        </w:rPr>
        <w:footnoteReference w:id="1463"/>
      </w:r>
    </w:p>
    <w:p w14:paraId="08F70D68" w14:textId="77777777" w:rsidR="00BE1885" w:rsidRPr="006A21F9" w:rsidRDefault="00BE1885" w:rsidP="00BE1885">
      <w:pPr>
        <w:rPr>
          <w:lang w:val="ru-RU"/>
        </w:rPr>
      </w:pPr>
      <w:r w:rsidRPr="006A21F9">
        <w:rPr>
          <w:lang w:val="ru-RU"/>
        </w:rPr>
        <w:tab/>
        <w:t>必须补充说明的是，不仅自九世纪起脱离东正教会的拉丁派，就连早在五世纪就被第三和第四次大公会议开除教籍的聂斯托里派和一性论派，</w:t>
      </w:r>
      <w:r>
        <w:rPr>
          <w:rStyle w:val="FootnoteReference"/>
        </w:rPr>
        <w:footnoteReference w:id="1464"/>
      </w:r>
      <w:r w:rsidRPr="006A21F9">
        <w:rPr>
          <w:lang w:val="ru-RU"/>
        </w:rPr>
        <w:t xml:space="preserve"> ，也都将圣油礼列为诸圣礼之一。</w:t>
      </w:r>
    </w:p>
    <w:p w14:paraId="08CA052F" w14:textId="77777777" w:rsidR="00BE1885" w:rsidRPr="006A21F9" w:rsidRDefault="00BE1885" w:rsidP="00BE1885">
      <w:pPr>
        <w:rPr>
          <w:lang w:val="ru-RU"/>
        </w:rPr>
      </w:pPr>
    </w:p>
    <w:p w14:paraId="49358A9B" w14:textId="77777777" w:rsidR="00BE1885" w:rsidRPr="006A21F9" w:rsidRDefault="00BE1885" w:rsidP="00BE1885">
      <w:pPr>
        <w:pStyle w:val="Heading5"/>
        <w:rPr>
          <w:lang w:val="ru-RU"/>
        </w:rPr>
      </w:pPr>
      <w:bookmarkStart w:id="923" w:name="_Toc133143001"/>
      <w:bookmarkStart w:id="924" w:name="_Toc133166358"/>
      <w:bookmarkStart w:id="925" w:name="_Toc182221568"/>
      <w:bookmarkStart w:id="926" w:name="_Toc238453135"/>
      <w:bookmarkStart w:id="927" w:name="_Toc238453935"/>
      <w:bookmarkStart w:id="928" w:name="_Toc238576595"/>
      <w:r w:rsidRPr="006A21F9">
        <w:rPr>
          <w:bCs/>
          <w:lang w:val="ru-RU"/>
        </w:rPr>
        <w:t>§231.</w:t>
      </w:r>
      <w:r w:rsidRPr="006A21F9">
        <w:rPr>
          <w:lang w:val="ru-RU"/>
        </w:rPr>
        <w:t xml:space="preserve"> 圣油圣事可由谁授予，又可授予谁？</w:t>
      </w:r>
      <w:bookmarkEnd w:id="923"/>
      <w:bookmarkEnd w:id="924"/>
      <w:bookmarkEnd w:id="925"/>
      <w:bookmarkEnd w:id="926"/>
      <w:bookmarkEnd w:id="927"/>
      <w:bookmarkEnd w:id="928"/>
    </w:p>
    <w:p w14:paraId="26132E6F" w14:textId="77777777" w:rsidR="00BE1885" w:rsidRPr="006A21F9" w:rsidRDefault="00BE1885" w:rsidP="00BE1885">
      <w:pPr>
        <w:ind w:firstLine="708"/>
        <w:rPr>
          <w:lang w:val="ru-RU"/>
        </w:rPr>
      </w:pPr>
      <w:r w:rsidRPr="006A21F9">
        <w:rPr>
          <w:lang w:val="ru-RU"/>
        </w:rPr>
        <w:t>圣使徒雅各用同样的言辞，既见证了圣油圣事的 divine 设立及其真实性，也明确指出了可以接受此圣事的人以及施行圣事的人。</w:t>
      </w:r>
    </w:p>
    <w:p w14:paraId="48E90ECC" w14:textId="77777777" w:rsidR="00BE1885" w:rsidRPr="006A21F9" w:rsidRDefault="00BE1885" w:rsidP="00BE1885">
      <w:pPr>
        <w:ind w:firstLine="708"/>
        <w:rPr>
          <w:lang w:val="ru-RU"/>
        </w:rPr>
      </w:pPr>
      <w:r w:rsidRPr="006A21F9">
        <w:rPr>
          <w:b/>
          <w:bCs/>
          <w:lang w:val="ru-RU"/>
        </w:rPr>
        <w:t>1.</w:t>
      </w:r>
      <w:r w:rsidRPr="006A21F9">
        <w:rPr>
          <w:lang w:val="ru-RU"/>
        </w:rPr>
        <w:t xml:space="preserve"> 关于第一类人，圣雅各布这样说道：“你们中间若有患病（</w:t>
      </w:r>
      <w:r w:rsidRPr="001E4083">
        <w:t>ασθενεί</w:t>
      </w:r>
      <w:r w:rsidRPr="006A21F9">
        <w:rPr>
          <w:lang w:val="ru-RU"/>
        </w:rPr>
        <w:t>）的……”，随后又说：“信德的祈祷必能救那患病（</w:t>
      </w:r>
      <w:r w:rsidRPr="001E4083">
        <w:t>κάμνοντα</w:t>
      </w:r>
      <w:r w:rsidRPr="006A21F9">
        <w:rPr>
          <w:lang w:val="ru-RU"/>
        </w:rPr>
        <w:t xml:space="preserve">）的人。” </w:t>
      </w:r>
      <w:r w:rsidRPr="006A21F9">
        <w:rPr>
          <w:lang w:val="ru-RU"/>
        </w:rPr>
        <w:lastRenderedPageBreak/>
        <w:t>因此，圣油圣事专为患病的基督徒而设，特别是那些重病、受苦、力竭之人，正如使徒所用的词语所表明的那样。</w:t>
      </w:r>
      <w:r>
        <w:rPr>
          <w:rStyle w:val="FootnoteReference"/>
        </w:rPr>
        <w:footnoteReference w:id="1465"/>
      </w:r>
      <w:r w:rsidRPr="006A21F9">
        <w:rPr>
          <w:lang w:val="ru-RU"/>
        </w:rPr>
        <w:t xml:space="preserve"> 但另一方面，若仅将此理解为临终者或已处于濒死状态的病人，则未免过于极端；因为使徒所引用的这些词语，无论是根据希腊语中的普遍用法，还是根据圣经中的用法 [(太 10:8</w:t>
      </w:r>
      <w:r w:rsidRPr="009933FF">
        <w:rPr>
          <w:lang w:val="ru-RU"/>
        </w:rPr>
        <w:t>)</w:t>
      </w:r>
      <w:r w:rsidRPr="006A21F9">
        <w:rPr>
          <w:lang w:val="ru-RU"/>
        </w:rPr>
        <w:t>；(太 25:36-39)； (路4:40</w:t>
      </w:r>
      <w:r w:rsidRPr="009933FF">
        <w:rPr>
          <w:lang w:val="ru-RU"/>
        </w:rPr>
        <w:t>)</w:t>
      </w:r>
      <w:r w:rsidRPr="006A21F9">
        <w:rPr>
          <w:lang w:val="ru-RU"/>
        </w:rPr>
        <w:t>；(路7:10</w:t>
      </w:r>
      <w:r w:rsidRPr="009933FF">
        <w:rPr>
          <w:lang w:val="ru-RU"/>
        </w:rPr>
        <w:t>)</w:t>
      </w:r>
      <w:r w:rsidRPr="006A21F9">
        <w:rPr>
          <w:lang w:val="ru-RU"/>
        </w:rPr>
        <w:t>；(路9:2)；(约4:46</w:t>
      </w:r>
      <w:r w:rsidRPr="009933FF">
        <w:rPr>
          <w:lang w:val="ru-RU"/>
        </w:rPr>
        <w:t>)</w:t>
      </w:r>
      <w:r w:rsidRPr="006A21F9">
        <w:rPr>
          <w:lang w:val="ru-RU"/>
        </w:rPr>
        <w:t>；</w:t>
      </w:r>
      <w:r w:rsidRPr="006A21F9">
        <w:rPr>
          <w:rFonts w:cs="Cambria Math"/>
          <w:lang w:val="ru-RU"/>
        </w:rPr>
        <w:t xml:space="preserve"> </w:t>
      </w:r>
      <w:r w:rsidRPr="006A21F9">
        <w:rPr>
          <w:lang w:val="ru-RU"/>
        </w:rPr>
        <w:t>(约5:3</w:t>
      </w:r>
      <w:r w:rsidRPr="009933FF">
        <w:rPr>
          <w:lang w:val="ru-RU"/>
        </w:rPr>
        <w:t>)</w:t>
      </w:r>
      <w:r w:rsidRPr="006A21F9">
        <w:rPr>
          <w:lang w:val="ru-RU"/>
        </w:rPr>
        <w:t>；(约11:1)等]，所指的不仅是临终者，而是泛指重病患者，因此也包括那些仍有康复希望的人。 因此，罗马教会将傅油圣事仅作为临终祝福授予那些已濒临死亡的病人，并因此将其称为“最后的傅油”、“临终者圣事”或“垂死者的圣事”，这种做法是不公正的：据拉丁教徒自己的承认，这一习俗最早出现于十二世纪。</w:t>
      </w:r>
      <w:r>
        <w:rPr>
          <w:rStyle w:val="FootnoteReference"/>
        </w:rPr>
        <w:footnoteReference w:id="1466"/>
      </w:r>
    </w:p>
    <w:p w14:paraId="2FE983F9" w14:textId="77777777" w:rsidR="00BE1885" w:rsidRPr="006A21F9" w:rsidRDefault="00BE1885" w:rsidP="00BE1885">
      <w:pPr>
        <w:ind w:firstLine="708"/>
        <w:rPr>
          <w:lang w:val="ru-RU"/>
        </w:rPr>
      </w:pPr>
      <w:r w:rsidRPr="006A21F9">
        <w:rPr>
          <w:b/>
          <w:bCs/>
          <w:lang w:val="ru-RU"/>
        </w:rPr>
        <w:t>2.</w:t>
      </w:r>
      <w:r w:rsidRPr="006A21F9">
        <w:rPr>
          <w:lang w:val="ru-RU"/>
        </w:rPr>
        <w:t xml:space="preserve"> 使徒明确指出，施行傅油圣事的应是长老：“当请教会的长老来……”这无疑并不意味着主教——作为使徒的直接继承人，且是恩典之礼的首要施予者——无权施行傅油圣事； 但圣雅各之所以仅提及长老，正如</w:t>
      </w:r>
      <w:r w:rsidRPr="001E4083">
        <w:t>教宗英诺森一世所</w:t>
      </w:r>
      <w:r w:rsidRPr="006A21F9">
        <w:rPr>
          <w:lang w:val="ru-RU"/>
        </w:rPr>
        <w:t>指出的，是因为“主教们因其他事务缠身，无法探访所有的病弱者。”</w:t>
      </w:r>
      <w:r>
        <w:rPr>
          <w:rStyle w:val="FootnoteReference"/>
        </w:rPr>
        <w:footnoteReference w:id="1467"/>
      </w:r>
      <w:r w:rsidRPr="006A21F9">
        <w:rPr>
          <w:lang w:val="ru-RU"/>
        </w:rPr>
        <w:t xml:space="preserve"> 根据东正教会的古老礼仪，主持傅油圣事的长老人数通常定为七人。</w:t>
      </w:r>
      <w:r>
        <w:rPr>
          <w:rStyle w:val="FootnoteReference"/>
        </w:rPr>
        <w:footnoteReference w:id="1468"/>
      </w:r>
      <w:r w:rsidRPr="006A21F9">
        <w:rPr>
          <w:lang w:val="ru-RU"/>
        </w:rPr>
        <w:t xml:space="preserve"> 但由于使徒并未明确规定这一数字，且该数字与圣事的本质无关：因此，根据具体情况，有时由更多神父主持圣事，有时则由较少的神父主持——少至三人，甚至仅一人。</w:t>
      </w:r>
      <w:r>
        <w:rPr>
          <w:rStyle w:val="FootnoteReference"/>
        </w:rPr>
        <w:footnoteReference w:id="1469"/>
      </w:r>
      <w:r w:rsidRPr="006A21F9">
        <w:rPr>
          <w:lang w:val="ru-RU"/>
        </w:rPr>
        <w:t xml:space="preserve"> 罗马教会在此处也背离了东正教会，毫无依据地将圣油礼中圣油的祝圣权仅授予主教，</w:t>
      </w:r>
      <w:r>
        <w:rPr>
          <w:rStyle w:val="FootnoteReference"/>
        </w:rPr>
        <w:footnoteReference w:id="1470"/>
      </w:r>
      <w:r w:rsidRPr="006A21F9">
        <w:rPr>
          <w:lang w:val="ru-RU"/>
        </w:rPr>
        <w:t xml:space="preserve"> 而使徒在论及圣油礼时，始终提及的是教会中的长老，甚至未曾提及主教。</w:t>
      </w:r>
    </w:p>
    <w:p w14:paraId="2C78B575" w14:textId="77777777" w:rsidR="00BE1885" w:rsidRPr="006A21F9" w:rsidRDefault="00BE1885" w:rsidP="00BE1885">
      <w:pPr>
        <w:rPr>
          <w:lang w:val="ru-RU"/>
        </w:rPr>
      </w:pPr>
    </w:p>
    <w:p w14:paraId="2DD626B7" w14:textId="77777777" w:rsidR="00BE1885" w:rsidRPr="006A21F9" w:rsidRDefault="00BE1885" w:rsidP="00BE1885">
      <w:pPr>
        <w:pStyle w:val="Heading5"/>
        <w:rPr>
          <w:lang w:val="ru-RU"/>
        </w:rPr>
      </w:pPr>
      <w:bookmarkStart w:id="929" w:name="_Toc133143002"/>
      <w:bookmarkStart w:id="930" w:name="_Toc133166359"/>
      <w:bookmarkStart w:id="931" w:name="_Toc182221569"/>
      <w:bookmarkStart w:id="932" w:name="_Toc238453136"/>
      <w:bookmarkStart w:id="933" w:name="_Toc238453936"/>
      <w:bookmarkStart w:id="934" w:name="_Toc238576596"/>
      <w:r w:rsidRPr="006A21F9">
        <w:rPr>
          <w:bCs/>
          <w:lang w:val="ru-RU"/>
        </w:rPr>
        <w:t>§232.</w:t>
      </w:r>
      <w:r w:rsidRPr="006A21F9">
        <w:rPr>
          <w:lang w:val="ru-RU"/>
        </w:rPr>
        <w:t xml:space="preserve"> 傅油圣事的可见方面及其不可见的、充满恩典的功效</w:t>
      </w:r>
      <w:bookmarkEnd w:id="929"/>
      <w:bookmarkEnd w:id="930"/>
      <w:bookmarkEnd w:id="931"/>
      <w:bookmarkEnd w:id="932"/>
      <w:bookmarkEnd w:id="933"/>
      <w:bookmarkEnd w:id="934"/>
    </w:p>
    <w:p w14:paraId="0B9812D3"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圣使徒用以下话语指明了傅油圣事的可见方面：“要为他祈祷，奉主的名用圣油膏抹他。”也就是说，这包括：</w:t>
      </w:r>
    </w:p>
    <w:p w14:paraId="6416E20C" w14:textId="77777777" w:rsidR="00BE1885" w:rsidRPr="006A21F9" w:rsidRDefault="00BE1885" w:rsidP="00BE1885">
      <w:pPr>
        <w:ind w:firstLine="708"/>
        <w:rPr>
          <w:lang w:val="ru-RU"/>
        </w:rPr>
      </w:pPr>
      <w:r w:rsidRPr="006A21F9">
        <w:rPr>
          <w:b/>
          <w:bCs/>
          <w:lang w:val="ru-RU"/>
        </w:rPr>
        <w:t xml:space="preserve">1) </w:t>
      </w:r>
      <w:r w:rsidRPr="006A21F9">
        <w:rPr>
          <w:lang w:val="ru-RU"/>
        </w:rPr>
        <w:t>用圣油或植物油为病人傅油。该圣油须在施行圣事前由神职人员预先祝圣。随后，他们依次七次，以十字形在病人的额头、鼻孔、脸颊、嘴唇、胸口及双手两侧傅油。</w:t>
      </w:r>
    </w:p>
    <w:p w14:paraId="5CEAC571" w14:textId="77777777" w:rsidR="00BE1885" w:rsidRPr="006A21F9" w:rsidRDefault="00BE1885" w:rsidP="00BE1885">
      <w:pPr>
        <w:ind w:firstLine="708"/>
        <w:rPr>
          <w:lang w:val="ru-RU"/>
        </w:rPr>
      </w:pPr>
      <w:r w:rsidRPr="006A21F9">
        <w:rPr>
          <w:b/>
          <w:bCs/>
          <w:lang w:val="ru-RU"/>
        </w:rPr>
        <w:t>2)</w:t>
      </w:r>
      <w:r w:rsidRPr="006A21F9">
        <w:rPr>
          <w:lang w:val="ru-RU"/>
        </w:rPr>
        <w:t xml:space="preserve"> 神职人员在为病人涂油时诵念的信德祷文。根据东正教会的礼仪规定，其内容如下： “圣父啊，灵魂与肉身的医治者，祢差遣了祢的独生子、我们的主耶稣基督，祂医治一切疾病，拯救人脱离死亡；求祢也医治祢的仆人 [或：祢的仆人]某某，使他[或她]脱离缠绕其身、困扰其魂的疾病，并藉着祢基督的恩典使他[或她]复活”等等。</w:t>
      </w:r>
    </w:p>
    <w:p w14:paraId="35A56D2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圣油礼所带来的无形而充满恩典的功效如下：</w:t>
      </w:r>
    </w:p>
    <w:p w14:paraId="26591044" w14:textId="77777777" w:rsidR="00BE1885" w:rsidRPr="006A21F9" w:rsidRDefault="00BE1885" w:rsidP="00BE1885">
      <w:pPr>
        <w:ind w:firstLine="708"/>
        <w:rPr>
          <w:lang w:val="ru-RU"/>
        </w:rPr>
      </w:pPr>
      <w:r w:rsidRPr="006A21F9">
        <w:rPr>
          <w:b/>
          <w:bCs/>
          <w:lang w:val="ru-RU"/>
        </w:rPr>
        <w:t>1)</w:t>
      </w:r>
      <w:r w:rsidRPr="006A21F9">
        <w:rPr>
          <w:lang w:val="ru-RU"/>
        </w:rPr>
        <w:t xml:space="preserve"> 治愈身体的疾病。圣油礼正是为身体有病的人设立的：因此，治愈身体的疾病正是这一圣礼所结出的第一颗恩典之果，正如使徒所言：</w:t>
      </w:r>
      <w:r w:rsidRPr="006A21F9">
        <w:rPr>
          <w:i/>
          <w:iCs/>
          <w:lang w:val="ru-RU"/>
        </w:rPr>
        <w:t>“你们中间若有患病的，让他</w:t>
      </w:r>
      <w:r w:rsidRPr="006A21F9">
        <w:rPr>
          <w:lang w:val="ru-RU"/>
        </w:rPr>
        <w:t xml:space="preserve">请……”，随后又说： </w:t>
      </w:r>
      <w:r w:rsidRPr="006A21F9">
        <w:rPr>
          <w:i/>
          <w:iCs/>
          <w:lang w:val="ru-RU"/>
        </w:rPr>
        <w:t>“信心的祈祷 必能医治</w:t>
      </w:r>
      <w:r w:rsidRPr="006A21F9">
        <w:rPr>
          <w:lang w:val="ru-RU"/>
        </w:rPr>
        <w:t>（</w:t>
      </w:r>
      <w:r w:rsidRPr="001E4083">
        <w:t>σώσει</w:t>
      </w:r>
      <w:r w:rsidRPr="006A21F9">
        <w:rPr>
          <w:lang w:val="ru-RU"/>
        </w:rPr>
        <w:t>）</w:t>
      </w:r>
      <w:r w:rsidRPr="006A21F9">
        <w:rPr>
          <w:i/>
          <w:iCs/>
          <w:lang w:val="ru-RU"/>
        </w:rPr>
        <w:t>那患病的人，主必使他</w:t>
      </w:r>
      <w:r w:rsidRPr="006A21F9">
        <w:rPr>
          <w:lang w:val="ru-RU"/>
        </w:rPr>
        <w:t>（</w:t>
      </w:r>
      <w:r w:rsidRPr="001E4083">
        <w:t>έγερεϊ</w:t>
      </w:r>
      <w:r w:rsidRPr="006A21F9">
        <w:rPr>
          <w:lang w:val="ru-RU"/>
        </w:rPr>
        <w:t>）起来”（雅各书5:14-</w:t>
      </w:r>
      <w:r w:rsidRPr="006A21F9">
        <w:rPr>
          <w:lang w:val="ru-RU"/>
        </w:rPr>
        <w:lastRenderedPageBreak/>
        <w:t>15）。圣油礼的功效是否总能显现？确实并非总是如此。</w:t>
      </w:r>
      <w:r w:rsidRPr="006A21F9">
        <w:rPr>
          <w:b/>
          <w:bCs/>
          <w:lang w:val="ru-RU"/>
        </w:rPr>
        <w:t>但是——a）</w:t>
      </w:r>
      <w:r w:rsidRPr="006A21F9">
        <w:rPr>
          <w:lang w:val="ru-RU"/>
        </w:rPr>
        <w:t>有时确实会发生，病人会逐渐完全康复，并从病榻上起身。 更常见的是</w:t>
      </w:r>
      <w:r w:rsidRPr="006A21F9">
        <w:rPr>
          <w:b/>
          <w:bCs/>
          <w:lang w:val="ru-RU"/>
        </w:rPr>
        <w:t>——b)</w:t>
      </w:r>
      <w:r w:rsidRPr="006A21F9">
        <w:rPr>
          <w:lang w:val="ru-RU"/>
        </w:rPr>
        <w:t xml:space="preserve"> 病危者至少能从疾病中获得暂时的缓解，或得到力量与鼓舞以承受病痛——而这也正是傅油圣事的宗旨：因为动词</w:t>
      </w:r>
      <w:r w:rsidRPr="0097554A">
        <w:rPr>
          <w:lang w:val="ru-RU"/>
        </w:rPr>
        <w:t>“</w:t>
      </w:r>
      <w:r w:rsidRPr="001E4083">
        <w:t>εγείρω</w:t>
      </w:r>
      <w:r w:rsidRPr="006A21F9">
        <w:rPr>
          <w:lang w:val="ru-RU"/>
        </w:rPr>
        <w:t>”不仅意味着“扶起”，还意味着“激励”、“鼓舞”和“坚固”。</w:t>
      </w:r>
      <w:r>
        <w:rPr>
          <w:rStyle w:val="FootnoteReference"/>
        </w:rPr>
        <w:footnoteReference w:id="1471"/>
      </w:r>
      <w:r w:rsidRPr="006A21F9">
        <w:rPr>
          <w:lang w:val="ru-RU"/>
        </w:rPr>
        <w:t xml:space="preserve"> 有时</w:t>
      </w:r>
      <w:r w:rsidRPr="006A21F9">
        <w:rPr>
          <w:b/>
          <w:bCs/>
          <w:lang w:val="ru-RU"/>
        </w:rPr>
        <w:t>——c)</w:t>
      </w:r>
      <w:r w:rsidRPr="006A21F9">
        <w:rPr>
          <w:lang w:val="ru-RU"/>
        </w:rPr>
        <w:t xml:space="preserve"> 接受傅油圣事的人并未因此获得疾病的医治，这或许与接受圣体圣事的人一样，他们本应从中获得救赎的果实，却只为自己招致定罪而吃喝（林前11:29）， ——即因自身不配、缺乏对主耶稣的活泼信心，以及心肠刚硬。最后</w:t>
      </w:r>
      <w:r w:rsidRPr="006A21F9">
        <w:rPr>
          <w:b/>
          <w:bCs/>
          <w:lang w:val="ru-RU"/>
        </w:rPr>
        <w:t>——d)</w:t>
      </w:r>
      <w:r w:rsidRPr="006A21F9">
        <w:rPr>
          <w:lang w:val="ru-RU"/>
        </w:rPr>
        <w:t xml:space="preserve"> 若期望或要求人每当蒙受傅油圣礼时，其疾病便立即痊愈，这无异于要求他永不死亡： 而这违背了我们得蒙复原的计划本身——根据该计划，我们必须脱去这有罪的、必死的身体，以便日后在坟墓彼岸，穿上不朽的身体。 因此，在接受圣油圣事时，每位患病者都应全然顺服于主的旨意，因为主比我们更清楚，该向谁赐下治愈疾病、延长生命的恩典，又该在适当时机结束谁的生命（《智慧书》4:11）。</w:t>
      </w:r>
    </w:p>
    <w:p w14:paraId="41D1C2CA" w14:textId="77777777" w:rsidR="00BE1885" w:rsidRPr="006A21F9" w:rsidRDefault="00BE1885" w:rsidP="00BE1885">
      <w:pPr>
        <w:ind w:firstLine="708"/>
        <w:rPr>
          <w:lang w:val="ru-RU"/>
        </w:rPr>
      </w:pPr>
      <w:r w:rsidRPr="006A21F9">
        <w:rPr>
          <w:b/>
          <w:bCs/>
          <w:lang w:val="ru-RU"/>
        </w:rPr>
        <w:t>2)</w:t>
      </w:r>
      <w:r w:rsidRPr="006A21F9">
        <w:rPr>
          <w:lang w:val="ru-RU"/>
        </w:rPr>
        <w:t xml:space="preserve"> 治愈心灵的疾病。在论及圣油礼对病人的第一种直接作用——治愈其肉体疾病之后，圣雅各布补充道：</w:t>
      </w:r>
      <w:r w:rsidRPr="006A21F9">
        <w:rPr>
          <w:i/>
          <w:iCs/>
          <w:lang w:val="ru-RU"/>
        </w:rPr>
        <w:t>如果他犯了罪，他的罪也将得到宽恕</w:t>
      </w:r>
      <w:r w:rsidRPr="006A21F9">
        <w:rPr>
          <w:lang w:val="ru-RU"/>
        </w:rPr>
        <w:t>。 通过“若犯了罪”这一条件性表述，使徒显然假定病人在领受圣油礼之前，已经通过另一种洗净罪过的手段——忏悔圣事——得到了净化；否则，使徒无法将病人视为无罪之人（《约翰一书》1:8-10）。 时至今日，在东正教会中，每位接受圣油礼的人，都必须事先通过向属灵导师忏悔，将自己从罪中洁净出来。</w:t>
      </w:r>
      <w:r>
        <w:rPr>
          <w:rStyle w:val="FootnoteReference"/>
        </w:rPr>
        <w:footnoteReference w:id="1472"/>
      </w:r>
      <w:r w:rsidRPr="006A21F9">
        <w:rPr>
          <w:lang w:val="ru-RU"/>
        </w:rPr>
        <w:t xml:space="preserve"> 但由于在重病期间——通常此时才会求领傅油圣事——人往往因身心俱疲，无法对罪过怀有真实而彻底的悔改，也无法满足忏悔者为获得罪赦所应具备的各项条件； 因为有些罪过，由于身体虚弱，他可能无法完全忏悔；而另一些罪过，则可能因遗忘而完全未能忏悔； 因为某些罪过——尤其是重罪——即使在忏悔之后，仍会强烈地折磨病人的良心：因此，仁慈的主正是为了这类病人，在傅油圣事中赐予了特殊的医治，以治愈他们心灵的软弱。 此时，整个圣职人员团体代表垂危的病人站在主面前，以全教会之名，凭着信德的祈祷恳求至仁慈的主，赐予这软弱之人罪的赦免，并洁净其良知，使其免于一切污秽。“我们向祢祈祷，”他们在祷文中呼求，“并在此时恳求： 求祢垂听我们的祈求并接纳它，如同向祢献上的香炉一般；求祢眷顾祢的仆人；倘若他曾以言语、行为、意念，或在昼或夜，或因祭司誓言，或因自咒而犯罪…… 我们恳求祢，众人一同向祢祈求：上帝啊，求祢宽恕、赦免、赦免，不计较他的不法之举与罪过，无论是在明知或无知中犯下的……”等等。</w:t>
      </w:r>
      <w:r>
        <w:rPr>
          <w:rStyle w:val="FootnoteReference"/>
        </w:rPr>
        <w:footnoteReference w:id="1473"/>
      </w:r>
      <w:r w:rsidRPr="006A21F9">
        <w:rPr>
          <w:lang w:val="ru-RU"/>
        </w:rPr>
        <w:t xml:space="preserve"> 因此，通过圣油礼（该圣礼原本专为重病患者设立）所获得的罪赦，无非是对告解圣事中罪赦的补充， ——这种补充并非源于告解本身不足以赦免一切罪过，而是源于病患无力充分且完整地利用这一救赎的良药。</w:t>
      </w:r>
    </w:p>
    <w:p w14:paraId="272AA12B" w14:textId="77777777" w:rsidR="00BE1885" w:rsidRPr="006A21F9" w:rsidRDefault="00BE1885" w:rsidP="00BE1885">
      <w:pPr>
        <w:rPr>
          <w:lang w:val="ru-RU"/>
        </w:rPr>
      </w:pPr>
      <w:r w:rsidRPr="006A21F9">
        <w:rPr>
          <w:lang w:val="ru-RU"/>
        </w:rPr>
        <w:lastRenderedPageBreak/>
        <w:tab/>
        <w:t>至于罗马天主教徒的教义，他们主要将傅油圣事视为对病人的临终劝勉，旨在坚固其灵魂以抵御死亡的恐怖 ，</w:t>
      </w:r>
      <w:r>
        <w:rPr>
          <w:rStyle w:val="FootnoteReference"/>
        </w:rPr>
        <w:footnoteReference w:id="1474"/>
      </w:r>
      <w:r w:rsidRPr="006A21F9">
        <w:rPr>
          <w:lang w:val="ru-RU"/>
        </w:rPr>
        <w:t xml:space="preserve"> ，这种教义完全是武断的。 无论是圣使徒雅各关于傅油礼的诫命，还是东正教教会自古沿用的傅油礼仪，抑或是西方教会本身由教宗格里高利大帝所阐述的古老礼仪， 都没有丝毫关于给临终病人临终告诫的暗示，而仅提及治愈其疾病、赦免其罪孽。 不仅如此：众所周知，古代普世教会认为，对信徒而言，这种临终劝勉并非圣油礼——正如后来罗马教会所认为的那样——而是主圣体圣血圣事，以及在此之前进行的忏悔圣事。 证据可见于圣大公会议的规条</w:t>
      </w:r>
      <w:r>
        <w:rPr>
          <w:rStyle w:val="FootnoteReference"/>
        </w:rPr>
        <w:footnoteReference w:id="1475"/>
      </w:r>
      <w:r w:rsidRPr="006A21F9">
        <w:rPr>
          <w:lang w:val="ru-RU"/>
        </w:rPr>
        <w:t xml:space="preserve"> 以及圣教父们的著作</w:t>
      </w:r>
      <w:r>
        <w:rPr>
          <w:rStyle w:val="FootnoteReference"/>
        </w:rPr>
        <w:footnoteReference w:id="1476"/>
      </w:r>
      <w:r w:rsidRPr="006A21F9">
        <w:rPr>
          <w:lang w:val="ru-RU"/>
        </w:rPr>
        <w:t xml:space="preserve"> 。倘若有时将“傅油圣事”称为“临终临别”（正如我们有时所称的那样），那也仅限于以下情况：即当主不愿使病人从病榻上康复，而他很快便离世之时。 但即便在这些情况下，傅油圣事之所以可以被称为对病人的“临终告别”，并非因其本身或本质如此，而是因为它通常与忏悔圣事和圣体圣事一同施予病人，而后两者才真正构成了通往来世的临终告别。</w:t>
      </w:r>
    </w:p>
    <w:p w14:paraId="2975A3AC" w14:textId="77777777" w:rsidR="00BE1885" w:rsidRPr="006A21F9" w:rsidRDefault="00BE1885" w:rsidP="00BE1885">
      <w:pPr>
        <w:rPr>
          <w:lang w:val="ru-RU"/>
        </w:rPr>
      </w:pPr>
    </w:p>
    <w:p w14:paraId="2114C80A" w14:textId="77777777" w:rsidR="00BE1885" w:rsidRPr="006A21F9" w:rsidRDefault="00BE1885" w:rsidP="00BE1885">
      <w:pPr>
        <w:pStyle w:val="Heading4"/>
        <w:rPr>
          <w:lang w:val="ru-RU"/>
        </w:rPr>
      </w:pPr>
      <w:bookmarkStart w:id="935" w:name="_Toc133142615"/>
      <w:bookmarkStart w:id="936" w:name="_Toc133143003"/>
      <w:bookmarkStart w:id="937" w:name="_Toc133166360"/>
      <w:bookmarkStart w:id="938" w:name="_Toc182221570"/>
      <w:bookmarkStart w:id="939" w:name="_Toc238453137"/>
      <w:bookmarkStart w:id="940" w:name="_Toc238453937"/>
      <w:bookmarkStart w:id="941" w:name="_Toc238454335"/>
      <w:bookmarkStart w:id="942" w:name="_Toc238466417"/>
      <w:bookmarkStart w:id="943" w:name="_Toc238576597"/>
      <w:r w:rsidRPr="006A21F9">
        <w:rPr>
          <w:bCs/>
          <w:lang w:val="ru-RU"/>
        </w:rPr>
        <w:t>6.</w:t>
      </w:r>
      <w:r w:rsidRPr="006A21F9">
        <w:rPr>
          <w:lang w:val="ru-RU"/>
        </w:rPr>
        <w:t xml:space="preserve"> 关于婚姻</w:t>
      </w:r>
      <w:r w:rsidRPr="001E4083">
        <w:t>圣事</w:t>
      </w:r>
      <w:bookmarkEnd w:id="935"/>
      <w:bookmarkEnd w:id="936"/>
      <w:bookmarkEnd w:id="937"/>
      <w:bookmarkEnd w:id="938"/>
      <w:bookmarkEnd w:id="939"/>
      <w:bookmarkEnd w:id="940"/>
      <w:bookmarkEnd w:id="941"/>
      <w:bookmarkEnd w:id="942"/>
      <w:bookmarkEnd w:id="943"/>
    </w:p>
    <w:p w14:paraId="354AF735" w14:textId="77777777" w:rsidR="00BE1885" w:rsidRPr="006A21F9" w:rsidRDefault="00BE1885" w:rsidP="00BE1885">
      <w:pPr>
        <w:rPr>
          <w:lang w:val="ru-RU"/>
        </w:rPr>
      </w:pPr>
    </w:p>
    <w:p w14:paraId="17FA8259" w14:textId="77777777" w:rsidR="00BE1885" w:rsidRPr="006A21F9" w:rsidRDefault="00BE1885" w:rsidP="00BE1885">
      <w:pPr>
        <w:pStyle w:val="Heading5"/>
        <w:rPr>
          <w:lang w:val="ru-RU"/>
        </w:rPr>
      </w:pPr>
      <w:bookmarkStart w:id="944" w:name="_Toc133143004"/>
      <w:bookmarkStart w:id="945" w:name="_Toc133166361"/>
      <w:bookmarkStart w:id="946" w:name="_Toc182221571"/>
      <w:bookmarkStart w:id="947" w:name="_Toc238453138"/>
      <w:bookmarkStart w:id="948" w:name="_Toc238453938"/>
      <w:bookmarkStart w:id="949" w:name="_Toc238576598"/>
      <w:r w:rsidRPr="006A21F9">
        <w:rPr>
          <w:bCs/>
          <w:lang w:val="ru-RU"/>
        </w:rPr>
        <w:t>§233.</w:t>
      </w:r>
      <w:r w:rsidRPr="006A21F9">
        <w:rPr>
          <w:lang w:val="ru-RU"/>
        </w:rPr>
        <w:t xml:space="preserve"> 与前文的关联；婚姻作为上帝的设立及其目的；婚姻作为圣事的概念及其名称</w:t>
      </w:r>
      <w:bookmarkEnd w:id="944"/>
      <w:bookmarkEnd w:id="945"/>
      <w:bookmarkEnd w:id="946"/>
      <w:bookmarkEnd w:id="947"/>
      <w:bookmarkEnd w:id="948"/>
      <w:bookmarkEnd w:id="949"/>
    </w:p>
    <w:p w14:paraId="00675EDC" w14:textId="77777777" w:rsidR="00BE1885" w:rsidRPr="006A21F9" w:rsidRDefault="00BE1885" w:rsidP="00BE1885">
      <w:pPr>
        <w:ind w:firstLine="708"/>
        <w:rPr>
          <w:lang w:val="ru-RU"/>
        </w:rPr>
      </w:pPr>
      <w:r w:rsidRPr="006A21F9">
        <w:rPr>
          <w:b/>
          <w:bCs/>
          <w:lang w:val="ru-RU"/>
        </w:rPr>
        <w:t>1.</w:t>
      </w:r>
      <w:r w:rsidRPr="006A21F9">
        <w:rPr>
          <w:lang w:val="ru-RU"/>
        </w:rPr>
        <w:t xml:space="preserve"> 东正教会的三个圣事：洗礼、坚振礼、圣体圣事——是为所有人设立的，以便每个人都能成为基督徒，进而精进于基督教的虔诚，并获得永恒的救赎。 另外两个圣事：忏悔和傅油——是为所有基督徒设立的，如同两种救赎的良药，一种治愈心灵的疾病，另一种治愈身体的疾病，同时也治愈心灵的疾病。 此外，还有两个由主设立的圣事，虽然并非面向所有人，也非对每个人都强制要求，虽然并非直接针对每位教会成员，但对于教会的整体目标、其存续与繁荣而言却是必不可少的。 它们是：</w:t>
      </w:r>
      <w:r w:rsidRPr="006A21F9">
        <w:rPr>
          <w:b/>
          <w:bCs/>
          <w:lang w:val="ru-RU"/>
        </w:rPr>
        <w:t>a）</w:t>
      </w:r>
      <w:r w:rsidRPr="006A21F9">
        <w:rPr>
          <w:lang w:val="ru-RU"/>
        </w:rPr>
        <w:t xml:space="preserve">婚姻圣事，赋予特定人士恩典，使其能自然生育子女——即未来的教会子民；以及 </w:t>
      </w:r>
      <w:r w:rsidRPr="006A21F9">
        <w:rPr>
          <w:b/>
          <w:bCs/>
          <w:lang w:val="ru-RU"/>
        </w:rPr>
        <w:t>b）</w:t>
      </w:r>
      <w:r w:rsidRPr="006A21F9">
        <w:rPr>
          <w:lang w:val="ru-RU"/>
        </w:rPr>
        <w:t>司铎圣事，同样赋予特定人士恩典，使其能以超自然的方式孕育教会子民，并培育他们走向永恒的生命。</w:t>
      </w:r>
      <w:r>
        <w:rPr>
          <w:rStyle w:val="FootnoteReference"/>
        </w:rPr>
        <w:footnoteReference w:id="1477"/>
      </w:r>
    </w:p>
    <w:p w14:paraId="18AEDF30" w14:textId="77777777" w:rsidR="00BE1885" w:rsidRPr="006A21F9" w:rsidRDefault="00BE1885" w:rsidP="00BE1885">
      <w:pPr>
        <w:ind w:firstLine="708"/>
        <w:rPr>
          <w:lang w:val="ru-RU"/>
        </w:rPr>
      </w:pPr>
      <w:r w:rsidRPr="006A21F9">
        <w:rPr>
          <w:b/>
          <w:bCs/>
          <w:lang w:val="ru-RU"/>
        </w:rPr>
        <w:t>2.</w:t>
      </w:r>
      <w:r w:rsidRPr="006A21F9">
        <w:rPr>
          <w:lang w:val="ru-RU"/>
        </w:rPr>
        <w:t xml:space="preserve"> 婚姻可以从两个方面来理解：一是作为自然法则或上帝的定规；二是作为新约教会的圣礼，如今——在人类堕落之前——这一圣礼使该法则得以成圣。 鉴于我们旨在阐述后一种意义上的婚姻教义，但为了区分概念，我们认为有必要先简要谈谈作为上帝设立的婚姻及其目的。</w:t>
      </w:r>
    </w:p>
    <w:p w14:paraId="07B4EFF0" w14:textId="77777777" w:rsidR="00BE1885" w:rsidRPr="006A21F9" w:rsidRDefault="00BE1885" w:rsidP="00BE1885">
      <w:pPr>
        <w:rPr>
          <w:lang w:val="ru-RU"/>
        </w:rPr>
      </w:pPr>
      <w:r w:rsidRPr="006A21F9">
        <w:rPr>
          <w:lang w:val="ru-RU"/>
        </w:rPr>
        <w:tab/>
        <w:t>婚姻无疑是上帝的设立，是造物主在人类本性中所设立的法则，随后又在超自然的启示中得到了确认和阐明。圣经作者在叙述人类始祖的起源时，</w:t>
      </w:r>
      <w:r w:rsidRPr="006A21F9">
        <w:rPr>
          <w:i/>
          <w:iCs/>
          <w:lang w:val="ru-RU"/>
        </w:rPr>
        <w:t>如此</w:t>
      </w:r>
      <w:r w:rsidRPr="006A21F9">
        <w:rPr>
          <w:lang w:val="ru-RU"/>
        </w:rPr>
        <w:t>见证道：</w:t>
      </w:r>
      <w:r w:rsidRPr="006A21F9">
        <w:rPr>
          <w:i/>
          <w:iCs/>
          <w:lang w:val="ru-RU"/>
        </w:rPr>
        <w:t xml:space="preserve">“上帝就照着自己的形像造人，乃是照着上帝的形像造男造女； </w:t>
      </w:r>
      <w:r w:rsidRPr="006A21F9">
        <w:rPr>
          <w:i/>
          <w:iCs/>
          <w:lang w:val="ru-RU"/>
        </w:rPr>
        <w:lastRenderedPageBreak/>
        <w:t>造男造女。上帝就赐福给他们，又对他们说：‘要生养众多，遍满地面</w:t>
      </w:r>
      <w:r w:rsidRPr="006A21F9">
        <w:rPr>
          <w:lang w:val="ru-RU"/>
        </w:rPr>
        <w:t xml:space="preserve">。’（创世记1:27-28）在进一步讲述起源时，特别是关于第一位妻子 </w:t>
      </w:r>
      <w:r w:rsidRPr="001E4083">
        <w:t>及其被</w:t>
      </w:r>
      <w:r w:rsidRPr="006A21F9">
        <w:rPr>
          <w:lang w:val="ru-RU"/>
        </w:rPr>
        <w:t xml:space="preserve">带到亚当身边的事，经文记载道： </w:t>
      </w:r>
      <w:r w:rsidRPr="006A21F9">
        <w:rPr>
          <w:i/>
          <w:iCs/>
          <w:lang w:val="ru-RU"/>
        </w:rPr>
        <w:t>耶和华上帝就用从亚当身上取下的肋骨造了一个女人，领她到那人跟前。亚当</w:t>
      </w:r>
      <w:r w:rsidRPr="006A21F9">
        <w:rPr>
          <w:lang w:val="ru-RU"/>
        </w:rPr>
        <w:t>在上帝之灵的启示下（太19:4-6）</w:t>
      </w:r>
      <w:r w:rsidRPr="006A21F9">
        <w:rPr>
          <w:i/>
          <w:iCs/>
          <w:lang w:val="ru-RU"/>
        </w:rPr>
        <w:t>说</w:t>
      </w:r>
      <w:r w:rsidRPr="006A21F9">
        <w:rPr>
          <w:lang w:val="ru-RU"/>
        </w:rPr>
        <w:t>：</w:t>
      </w:r>
      <w:r w:rsidRPr="006A21F9">
        <w:rPr>
          <w:i/>
          <w:iCs/>
          <w:lang w:val="ru-RU"/>
        </w:rPr>
        <w:t>“看哪，这是我骨中的骨，肉中的肉；她要称为‘妻子’，因为她是从丈夫身上取出来的。” 因此，人要离开父母，与妻子连合，二人成为一体</w:t>
      </w:r>
      <w:r w:rsidRPr="006A21F9">
        <w:rPr>
          <w:lang w:val="ru-RU"/>
        </w:rPr>
        <w:t>（创世记2:22-24）。这一切都发生在世界之初，人类尚处于无罪之日。 洪水之后，尽管人类已经处于堕落的状态，但上帝仍像起初一样，再次以祂的祝福确立了婚姻律法：</w:t>
      </w:r>
      <w:r w:rsidRPr="006A21F9">
        <w:rPr>
          <w:i/>
          <w:iCs/>
          <w:lang w:val="ru-RU"/>
        </w:rPr>
        <w:t>上帝就赐福给挪亚和他的儿子们，对他们说：“要生养众多，遍满地面。</w:t>
      </w:r>
      <w:r w:rsidRPr="006A21F9">
        <w:rPr>
          <w:lang w:val="ru-RU"/>
        </w:rPr>
        <w:t>”（《创世记》9:1；参见《创世记》7章）。 在摩西所颁布的律法中，我们发现有严格的规定，以维护婚姻联盟的神圣不可侵犯性——这一联盟是由上帝所确立并赐福的 [(利未记 20:10)；(申命记 7:14</w:t>
      </w:r>
      <w:r w:rsidRPr="009933FF">
        <w:rPr>
          <w:lang w:val="ru-RU"/>
        </w:rPr>
        <w:t>)</w:t>
      </w:r>
      <w:r w:rsidRPr="006A21F9">
        <w:rPr>
          <w:lang w:val="ru-RU"/>
        </w:rPr>
        <w:t>；(申命记 22:22</w:t>
      </w:r>
      <w:r w:rsidRPr="009933FF">
        <w:rPr>
          <w:lang w:val="ru-RU"/>
        </w:rPr>
        <w:t>)</w:t>
      </w:r>
      <w:r w:rsidRPr="006A21F9">
        <w:rPr>
          <w:lang w:val="ru-RU"/>
        </w:rPr>
        <w:t>；(申命记 28:11)；引自 （玛拉基书 2:14-16）]。在新约中，救主基督亲自证实了这一真理：当法利赛人问他“无论什么缘故都可以休妻吗”时，他回答说：</w:t>
      </w:r>
      <w:r w:rsidRPr="006A21F9">
        <w:rPr>
          <w:i/>
          <w:iCs/>
          <w:lang w:val="ru-RU"/>
        </w:rPr>
        <w:t>“你们没有读过吗？起初造人的，是造男造女的。 又说：‘因此，人要离开父母，与妻子连合，二人成为一体；这样，他们不再是两个人，而是一体了。所以，神所配合的，人不可分开</w:t>
      </w:r>
      <w:r w:rsidRPr="006A21F9">
        <w:rPr>
          <w:lang w:val="ru-RU"/>
        </w:rPr>
        <w:t>。’（马太福音 19:4-6）。 更早之前——当祂亲临加利利的迦拿婚宴，甚至在那里行了祂的第一个神迹时（约2:1）。圣使徒们也见证了同样的真理。 圣保罗在某处说：</w:t>
      </w:r>
      <w:r w:rsidRPr="006A21F9">
        <w:rPr>
          <w:i/>
          <w:iCs/>
          <w:lang w:val="ru-RU"/>
        </w:rPr>
        <w:t>“丈夫不是为妻子而造的，而是妻子为丈夫而造的……不过，在主里面，没有丈夫没有妻子，也没有妻子没有丈夫。因为妻子是出于丈夫，丈夫也是通过妻子；但这一切都是出于神</w:t>
      </w:r>
      <w:r w:rsidRPr="006A21F9">
        <w:rPr>
          <w:lang w:val="ru-RU"/>
        </w:rPr>
        <w:t>”（林前11:9-12）。 在另一处，他指出：</w:t>
      </w:r>
      <w:r w:rsidRPr="006A21F9">
        <w:rPr>
          <w:i/>
          <w:iCs/>
          <w:lang w:val="ru-RU"/>
        </w:rPr>
        <w:t>“将自己的女儿嫁出去的人，是行善的</w:t>
      </w:r>
      <w:r w:rsidRPr="006A21F9">
        <w:rPr>
          <w:lang w:val="ru-RU"/>
        </w:rPr>
        <w:t>”（《哥林多前书》7:38）。在第三处，他谴责了那些因轻视婚姻而禁止人结婚的假教师（《提摩太前书》4:1-3）。 继圣使徒之后，教会的圣父们和教师们也宣讲并捍卫了婚姻的神圣制度与圣洁：爱任纽、亚历山大的克利门特、梅福迪乌斯、特土良、约翰·金口、奥古斯丁以及许多其他人，</w:t>
      </w:r>
      <w:r>
        <w:rPr>
          <w:rStyle w:val="FootnoteReference"/>
        </w:rPr>
        <w:footnoteReference w:id="1478"/>
      </w:r>
      <w:r w:rsidRPr="006A21F9">
        <w:rPr>
          <w:lang w:val="ru-RU"/>
        </w:rPr>
        <w:t xml:space="preserve"> 反对梅南德的追随者，</w:t>
      </w:r>
      <w:r>
        <w:rPr>
          <w:rStyle w:val="FootnoteReference"/>
        </w:rPr>
        <w:footnoteReference w:id="1479"/>
      </w:r>
      <w:r w:rsidRPr="006A21F9">
        <w:rPr>
          <w:lang w:val="ru-RU"/>
        </w:rPr>
        <w:t xml:space="preserve"> 萨图尔尼努斯、 卡波克拉特、瓦西里德，</w:t>
      </w:r>
      <w:r>
        <w:rPr>
          <w:rStyle w:val="FootnoteReference"/>
        </w:rPr>
        <w:footnoteReference w:id="1480"/>
      </w:r>
      <w:r w:rsidRPr="006A21F9">
        <w:rPr>
          <w:lang w:val="ru-RU"/>
        </w:rPr>
        <w:t xml:space="preserve"> 马基昂，</w:t>
      </w:r>
      <w:r>
        <w:rPr>
          <w:rStyle w:val="FootnoteReference"/>
        </w:rPr>
        <w:footnoteReference w:id="1481"/>
      </w:r>
      <w:r w:rsidRPr="006A21F9">
        <w:rPr>
          <w:lang w:val="ru-RU"/>
        </w:rPr>
        <w:t xml:space="preserve"> 反对禁欲派，</w:t>
      </w:r>
      <w:r>
        <w:rPr>
          <w:rStyle w:val="FootnoteReference"/>
        </w:rPr>
        <w:footnoteReference w:id="1482"/>
      </w:r>
      <w:r w:rsidRPr="006A21F9">
        <w:rPr>
          <w:lang w:val="ru-RU"/>
        </w:rPr>
        <w:t xml:space="preserve"> 反对摩尼教徒</w:t>
      </w:r>
      <w:r>
        <w:rPr>
          <w:rStyle w:val="FootnoteReference"/>
        </w:rPr>
        <w:footnoteReference w:id="1483"/>
      </w:r>
      <w:r w:rsidRPr="006A21F9">
        <w:rPr>
          <w:lang w:val="ru-RU"/>
        </w:rPr>
        <w:t xml:space="preserve"> 及其他异端分子，</w:t>
      </w:r>
      <w:r>
        <w:rPr>
          <w:rStyle w:val="FootnoteReference"/>
        </w:rPr>
        <w:footnoteReference w:id="1484"/>
      </w:r>
      <w:r w:rsidRPr="006A21F9">
        <w:rPr>
          <w:lang w:val="ru-RU"/>
        </w:rPr>
        <w:t xml:space="preserve"> 这些人否定婚姻，将其归咎于魔鬼，并称其为基督徒不配有的状态。</w:t>
      </w:r>
    </w:p>
    <w:p w14:paraId="43656E36" w14:textId="77777777" w:rsidR="00BE1885" w:rsidRPr="006A21F9" w:rsidRDefault="00BE1885" w:rsidP="00BE1885">
      <w:pPr>
        <w:rPr>
          <w:lang w:val="ru-RU"/>
        </w:rPr>
      </w:pPr>
      <w:r w:rsidRPr="006A21F9">
        <w:rPr>
          <w:lang w:val="ru-RU"/>
        </w:rPr>
        <w:tab/>
        <w:t>上帝设立婚姻的目的有两方面。 首先，是为了繁衍和延续人类，正如上帝亲自赐福给第一对夫妇时所言：摩西记载道</w:t>
      </w:r>
      <w:r w:rsidRPr="006A21F9">
        <w:rPr>
          <w:i/>
          <w:iCs/>
          <w:lang w:val="ru-RU"/>
        </w:rPr>
        <w:t>，上帝造了男人和</w:t>
      </w:r>
      <w:r w:rsidRPr="006A21F9">
        <w:rPr>
          <w:i/>
          <w:iCs/>
          <w:lang w:val="ru-RU"/>
        </w:rPr>
        <w:lastRenderedPageBreak/>
        <w:t>女人，上帝就赐福给他们，对他们说：“要生养众多，遍满地面</w:t>
      </w:r>
      <w:r w:rsidRPr="006A21F9">
        <w:rPr>
          <w:lang w:val="ru-RU"/>
        </w:rPr>
        <w:t>”（创世记1:27-28）。 婚姻的这一目的还包括为上帝的教会生育并繁衍后代，</w:t>
      </w:r>
      <w:r>
        <w:rPr>
          <w:rStyle w:val="FootnoteReference"/>
        </w:rPr>
        <w:footnoteReference w:id="1485"/>
      </w:r>
      <w:r w:rsidRPr="006A21F9">
        <w:rPr>
          <w:lang w:val="ru-RU"/>
        </w:rPr>
        <w:t xml:space="preserve"> ，自起初起，所有的人或整个人类都被召入其中（§168）。其次，夫妻在度过今生时相互扶持：上帝说：</w:t>
      </w:r>
      <w:r w:rsidRPr="006A21F9">
        <w:rPr>
          <w:i/>
          <w:iCs/>
          <w:lang w:val="ru-RU"/>
        </w:rPr>
        <w:t>“人独居不好； 我们要为他造一个与他相配的帮手</w:t>
      </w:r>
      <w:r w:rsidRPr="006A21F9">
        <w:rPr>
          <w:lang w:val="ru-RU"/>
        </w:rPr>
        <w:t>（创世记 2:18）。</w:t>
      </w:r>
      <w:r>
        <w:rPr>
          <w:rStyle w:val="FootnoteReference"/>
        </w:rPr>
        <w:footnoteReference w:id="1486"/>
      </w:r>
      <w:r w:rsidRPr="006A21F9">
        <w:rPr>
          <w:lang w:val="ru-RU"/>
        </w:rPr>
        <w:t xml:space="preserve"> 于是，上帝从亚当的肋骨造出了第一位妻子夏娃，以便在如此自然的合一中，他们能更强烈地感受到彼此的爱，并努力过着不可分割的生活（创世记 2:22-24）。 在人类堕落之后，除了婚姻的这两个目的之外，又增添了第三个目的，即：抑制人类本性中产生的罪恶情欲，并作为对抗感官无序冲动的良药。使徒说，</w:t>
      </w:r>
      <w:r w:rsidRPr="006A21F9">
        <w:rPr>
          <w:i/>
          <w:iCs/>
          <w:lang w:val="ru-RU"/>
        </w:rPr>
        <w:t>人若不接触女人，便是好的。 但， 为避免淫乱，各人应当有自己的妻子</w:t>
      </w:r>
      <w:r w:rsidRPr="006A21F9">
        <w:rPr>
          <w:lang w:val="ru-RU"/>
        </w:rPr>
        <w:t>（林前7:1-2）。 接着又</w:t>
      </w:r>
      <w:r w:rsidRPr="006A21F9">
        <w:rPr>
          <w:i/>
          <w:iCs/>
          <w:lang w:val="ru-RU"/>
        </w:rPr>
        <w:t>说：“至于未婚者和寡妇，我劝他们像我一样保持独身。但如果他们无法自制，就应当结婚；因为结婚总比情欲燃烧要好</w:t>
      </w:r>
      <w:r w:rsidRPr="006A21F9">
        <w:rPr>
          <w:lang w:val="ru-RU"/>
        </w:rPr>
        <w:t>”（林前7:8-9）。古代教会的导师们也明确指出了这一目的。</w:t>
      </w:r>
      <w:r>
        <w:rPr>
          <w:rStyle w:val="FootnoteReference"/>
        </w:rPr>
        <w:footnoteReference w:id="1487"/>
      </w:r>
    </w:p>
    <w:p w14:paraId="2541D71B" w14:textId="77777777" w:rsidR="00BE1885" w:rsidRPr="006A21F9" w:rsidRDefault="00BE1885" w:rsidP="00BE1885">
      <w:pPr>
        <w:ind w:firstLine="708"/>
        <w:rPr>
          <w:lang w:val="ru-RU"/>
        </w:rPr>
      </w:pPr>
      <w:r w:rsidRPr="006A21F9">
        <w:rPr>
          <w:b/>
          <w:bCs/>
          <w:lang w:val="ru-RU"/>
        </w:rPr>
        <w:t>3.</w:t>
      </w:r>
      <w:r w:rsidRPr="006A21F9">
        <w:rPr>
          <w:lang w:val="ru-RU"/>
        </w:rPr>
        <w:t xml:space="preserve"> 为了圣化、提升并巩固婚姻律法——该律法本身因源于上帝且目的纯正而本是圣洁纯净的，但因人类本性的败坏，遭受了罪恶的有害影响，并被沉溺于感官欲望的人们多次歪曲—— ——主耶稣恩准在祂的教会中设立了一项特殊的圣事，即婚姻圣事。所谓婚姻圣事，是指这样一种神圣礼仪：当新婚夫妇在教会面前宣誓彼此忠贞后， 便从上头借着神职人员的祝福，领受神圣的恩典，这恩典使他们的婚姻结合得以成圣，将其提升为基督与教会之间属灵联合的写照，并进而帮助他们蒙福地达成婚姻的一切目标。 在我们这里，这一圣礼还被称为“加冕礼”，因其举行时会将花冠置于新郎和新娘的头上；而在希腊人和拉丁人中，则有其他一些名称。</w:t>
      </w:r>
      <w:r>
        <w:rPr>
          <w:rStyle w:val="FootnoteReference"/>
        </w:rPr>
        <w:footnoteReference w:id="1488"/>
      </w:r>
    </w:p>
    <w:p w14:paraId="69E5E96B" w14:textId="77777777" w:rsidR="00BE1885" w:rsidRPr="006A21F9" w:rsidRDefault="00BE1885" w:rsidP="00BE1885">
      <w:pPr>
        <w:rPr>
          <w:lang w:val="ru-RU"/>
        </w:rPr>
      </w:pPr>
    </w:p>
    <w:p w14:paraId="34389A12" w14:textId="77777777" w:rsidR="00BE1885" w:rsidRPr="006A21F9" w:rsidRDefault="00BE1885" w:rsidP="00BE1885">
      <w:pPr>
        <w:pStyle w:val="Heading5"/>
        <w:rPr>
          <w:lang w:val="ru-RU"/>
        </w:rPr>
      </w:pPr>
      <w:bookmarkStart w:id="950" w:name="_Toc133143005"/>
      <w:bookmarkStart w:id="951" w:name="_Toc133166362"/>
      <w:bookmarkStart w:id="952" w:name="_Toc182221572"/>
      <w:bookmarkStart w:id="953" w:name="_Toc238453139"/>
      <w:bookmarkStart w:id="954" w:name="_Toc238453939"/>
      <w:bookmarkStart w:id="955" w:name="_Toc238576599"/>
      <w:r w:rsidRPr="006A21F9">
        <w:rPr>
          <w:bCs/>
          <w:lang w:val="ru-RU"/>
        </w:rPr>
        <w:t>§234.</w:t>
      </w:r>
      <w:r w:rsidRPr="006A21F9">
        <w:rPr>
          <w:lang w:val="ru-RU"/>
        </w:rPr>
        <w:t xml:space="preserve"> 婚姻圣事的 divine 设立及其有效性</w:t>
      </w:r>
      <w:bookmarkEnd w:id="950"/>
      <w:bookmarkEnd w:id="951"/>
      <w:bookmarkEnd w:id="952"/>
      <w:bookmarkEnd w:id="953"/>
      <w:bookmarkEnd w:id="954"/>
      <w:bookmarkEnd w:id="955"/>
    </w:p>
    <w:p w14:paraId="7A7B631A" w14:textId="77777777" w:rsidR="00BE1885" w:rsidRPr="006A21F9" w:rsidRDefault="00BE1885" w:rsidP="00BE1885">
      <w:pPr>
        <w:ind w:firstLine="708"/>
        <w:rPr>
          <w:lang w:val="ru-RU"/>
        </w:rPr>
      </w:pPr>
      <w:r w:rsidRPr="006A21F9">
        <w:rPr>
          <w:lang w:val="ru-RU"/>
        </w:rPr>
        <w:t>主是在何时、以何种方式设立婚姻圣事的——是在祂出席加利利迦拿的婚宴时（约2:1-11），</w:t>
      </w:r>
      <w:r>
        <w:rPr>
          <w:rStyle w:val="FootnoteReference"/>
        </w:rPr>
        <w:footnoteReference w:id="1489"/>
      </w:r>
      <w:r w:rsidRPr="006A21F9">
        <w:rPr>
          <w:lang w:val="ru-RU"/>
        </w:rPr>
        <w:t xml:space="preserve"> 还是在回应法利赛人提出的那一著名问题时，阐明婚姻的真谛并宣告：</w:t>
      </w:r>
      <w:r w:rsidRPr="006A21F9">
        <w:rPr>
          <w:i/>
          <w:iCs/>
          <w:lang w:val="ru-RU"/>
        </w:rPr>
        <w:t>“神所配合的，人不可分开”</w:t>
      </w:r>
      <w:r w:rsidRPr="006A21F9">
        <w:rPr>
          <w:lang w:val="ru-RU"/>
        </w:rPr>
        <w:t xml:space="preserve"> （马太福音 19:3-12），</w:t>
      </w:r>
      <w:r>
        <w:rPr>
          <w:rStyle w:val="FootnoteReference"/>
        </w:rPr>
        <w:footnoteReference w:id="1490"/>
      </w:r>
      <w:r w:rsidRPr="006A21F9">
        <w:rPr>
          <w:lang w:val="ru-RU"/>
        </w:rPr>
        <w:t xml:space="preserve"> 还是在他复活之后，当</w:t>
      </w:r>
      <w:r w:rsidRPr="006A21F9">
        <w:rPr>
          <w:i/>
          <w:iCs/>
          <w:lang w:val="ru-RU"/>
        </w:rPr>
        <w:t>他在四十天内向门徒显现并讲论神的</w:t>
      </w:r>
      <w:r w:rsidRPr="006A21F9">
        <w:rPr>
          <w:lang w:val="ru-RU"/>
        </w:rPr>
        <w:t xml:space="preserve">国，即关于建立祂的教会的事（使徒行传 </w:t>
      </w:r>
      <w:r w:rsidRPr="006A21F9">
        <w:rPr>
          <w:lang w:val="ru-RU"/>
        </w:rPr>
        <w:lastRenderedPageBreak/>
        <w:t>1:3）， ——福音书中并未提及：</w:t>
      </w:r>
      <w:r w:rsidRPr="006A21F9">
        <w:rPr>
          <w:i/>
          <w:iCs/>
          <w:lang w:val="ru-RU"/>
        </w:rPr>
        <w:t xml:space="preserve">因为耶稣还行了许多别的事，这书上并没有记下来 </w:t>
      </w:r>
      <w:r w:rsidRPr="009933FF">
        <w:rPr>
          <w:lang w:val="ru-RU"/>
        </w:rPr>
        <w:t>[</w:t>
      </w:r>
      <w:r w:rsidRPr="006A21F9">
        <w:rPr>
          <w:lang w:val="ru-RU"/>
        </w:rPr>
        <w:t>(约 20:30</w:t>
      </w:r>
      <w:r w:rsidRPr="009933FF">
        <w:rPr>
          <w:lang w:val="ru-RU"/>
        </w:rPr>
        <w:t>)</w:t>
      </w:r>
      <w:r w:rsidRPr="006A21F9">
        <w:rPr>
          <w:lang w:val="ru-RU"/>
        </w:rPr>
        <w:t>；</w:t>
      </w:r>
      <w:r w:rsidRPr="006A21F9">
        <w:rPr>
          <w:rFonts w:cs="Cambria Math"/>
          <w:lang w:val="ru-RU"/>
        </w:rPr>
        <w:t xml:space="preserve"> </w:t>
      </w:r>
      <w:r w:rsidRPr="006A21F9">
        <w:rPr>
          <w:lang w:val="ru-RU"/>
        </w:rPr>
        <w:t>（约21:25）</w:t>
      </w:r>
      <w:r w:rsidRPr="009933FF">
        <w:rPr>
          <w:lang w:val="ru-RU"/>
        </w:rPr>
        <w:t>]</w:t>
      </w:r>
      <w:r w:rsidRPr="006A21F9">
        <w:rPr>
          <w:lang w:val="ru-RU"/>
        </w:rPr>
        <w:t>。但通过部分使徒书信，尤其是通过神圣的传统，我们毫无疑问地确信，婚姻圣事</w:t>
      </w:r>
      <w:r w:rsidRPr="001E4083">
        <w:t>自</w:t>
      </w:r>
      <w:r w:rsidRPr="006A21F9">
        <w:rPr>
          <w:lang w:val="ru-RU"/>
        </w:rPr>
        <w:t>教会创立</w:t>
      </w:r>
      <w:r w:rsidRPr="001E4083">
        <w:t>之初</w:t>
      </w:r>
      <w:r w:rsidRPr="006A21F9">
        <w:rPr>
          <w:lang w:val="ru-RU"/>
        </w:rPr>
        <w:t>便已存在，因此其渊源可追溯至耶稣基督本人。</w:t>
      </w:r>
    </w:p>
    <w:p w14:paraId="6A95CFFC" w14:textId="77777777" w:rsidR="00BE1885" w:rsidRPr="006A21F9" w:rsidRDefault="00BE1885" w:rsidP="00BE1885">
      <w:pPr>
        <w:rPr>
          <w:lang w:val="ru-RU"/>
        </w:rPr>
      </w:pPr>
      <w:r w:rsidRPr="006A21F9">
        <w:rPr>
          <w:lang w:val="ru-RU"/>
        </w:rPr>
        <w:tab/>
      </w:r>
      <w:r w:rsidRPr="001E4083">
        <w:rPr>
          <w:b/>
          <w:bCs/>
        </w:rPr>
        <w:t>一</w:t>
      </w:r>
      <w:r w:rsidRPr="006A21F9">
        <w:rPr>
          <w:b/>
          <w:bCs/>
          <w:lang w:val="ru-RU"/>
        </w:rPr>
        <w:t>、</w:t>
      </w:r>
      <w:r w:rsidRPr="006A21F9">
        <w:rPr>
          <w:lang w:val="ru-RU"/>
        </w:rPr>
        <w:t>在使徒书信中，我们发现了关于使徒教会中存在婚姻圣事的确凿证据。例如：</w:t>
      </w:r>
    </w:p>
    <w:p w14:paraId="1058D3FC" w14:textId="77777777" w:rsidR="00BE1885" w:rsidRPr="006A21F9" w:rsidRDefault="00BE1885" w:rsidP="00BE1885">
      <w:pPr>
        <w:ind w:firstLine="708"/>
        <w:rPr>
          <w:lang w:val="ru-RU"/>
        </w:rPr>
      </w:pPr>
      <w:r w:rsidRPr="006A21F9">
        <w:rPr>
          <w:b/>
          <w:bCs/>
          <w:lang w:val="ru-RU"/>
        </w:rPr>
        <w:t xml:space="preserve">1) </w:t>
      </w:r>
      <w:r w:rsidRPr="006A21F9">
        <w:rPr>
          <w:lang w:val="ru-RU"/>
        </w:rPr>
        <w:t>在《以弗所书》中，圣使徒保罗在阐述基督徒妻子的职责时说：</w:t>
      </w:r>
      <w:r w:rsidRPr="006A21F9">
        <w:rPr>
          <w:i/>
          <w:iCs/>
          <w:lang w:val="ru-RU"/>
        </w:rPr>
        <w:t>“妻子们，要顺服自己的丈夫，如同顺服主一样；因为丈夫是妻子的头，正如基督是教会的头，祂也是身体的救主。” “但正如教会顺服基督一样，妻子也当在一切事上顺服丈夫</w:t>
      </w:r>
      <w:r w:rsidRPr="006A21F9">
        <w:rPr>
          <w:lang w:val="ru-RU"/>
        </w:rPr>
        <w:t>”（弗5:22-24）。随后，在阐述基督徒丈夫的义务时，他继续说道：</w:t>
      </w:r>
      <w:r w:rsidRPr="006A21F9">
        <w:rPr>
          <w:i/>
          <w:iCs/>
          <w:lang w:val="ru-RU"/>
        </w:rPr>
        <w:t>“丈夫们，要爱你们的妻子，正如基督爱教会，为教会舍己</w:t>
      </w:r>
      <w:r w:rsidRPr="006A21F9">
        <w:rPr>
          <w:lang w:val="ru-RU"/>
        </w:rPr>
        <w:t>”（弗5:25）。 最后，为了阐明这些夫妻义务的根本依据，经文指出了婚姻结合的本质及其在基督教中所具有的意义：</w:t>
      </w:r>
      <w:r w:rsidRPr="006A21F9">
        <w:rPr>
          <w:i/>
          <w:iCs/>
          <w:lang w:val="ru-RU"/>
        </w:rPr>
        <w:t>“因此，人要离开父母，与妻子连合，二人成为一体。 这奥秘是伟大的；我是指着基督和教会说的</w:t>
      </w:r>
      <w:r w:rsidRPr="006A21F9">
        <w:rPr>
          <w:lang w:val="ru-RU"/>
        </w:rPr>
        <w:t>（以弗所书 5:31-32）。 也就是说，圣使徒诫命基督徒的妻子，要像教会顺服基督那样，以同样的程度顺服自己的丈夫；而丈夫也要像基督爱教会那样，以同样的程度爱自己的妻子， ——正因为他们的婚姻结合象征着基督与教会的结合，而在这方面存在着奥秘，且是伟大的奥秘。 既然如此：首先，我们不禁要问：究竟是什么使基督教中两人之间的婚姻结合成为奥秘，且是伟大的奥秘， 又是什么赋予了它如此深远的意义，使婚姻得以升华为基督与教会结合的象征？ 若不假设在新约教会中存在某种特殊的圣礼或神圣仪式——借此，婚姻结合得以被基督的恩典所圣化并铭刻——我们就无法找到令人满意的答案。 另一方面，如果基督教中两人之间的婚姻结合，在其本质上确实是基督与教会结合的神秘象征；而基督与教会的结合无疑充满了恩典与圣洁[（约1:14）； （以弗所书 5:25）]：那么就必须假设，基督教中的婚姻结合也是通过某种圣礼而得到圣化，并充满基督的恩典。 最后，当我们关注使徒在所讨论的经文中向基督徒夫妇所颁布的义务时——妻子要顺服丈夫，如同教会顺服基督一样；丈夫要爱妻子，如同基督爱教会一样—— 倘若在缔结婚姻之初，夫妻双方未能通过特定的圣礼从上主那里领受特殊的恩典，那么无论是妻子还是丈夫，都无法履行这些义务。</w:t>
      </w:r>
    </w:p>
    <w:p w14:paraId="3AC9316E" w14:textId="77777777" w:rsidR="00BE1885" w:rsidRPr="006A21F9" w:rsidRDefault="00BE1885" w:rsidP="00BE1885">
      <w:pPr>
        <w:ind w:firstLine="708"/>
        <w:rPr>
          <w:lang w:val="ru-RU"/>
        </w:rPr>
      </w:pPr>
      <w:r w:rsidRPr="006A21F9">
        <w:rPr>
          <w:b/>
          <w:bCs/>
          <w:lang w:val="ru-RU"/>
        </w:rPr>
        <w:t>2)</w:t>
      </w:r>
      <w:r w:rsidRPr="006A21F9">
        <w:rPr>
          <w:lang w:val="ru-RU"/>
        </w:rPr>
        <w:t xml:space="preserve"> 圣使徒保罗在另一封书信中，论及独身与婚姻的状态时，曾这样说道：</w:t>
      </w:r>
      <w:r w:rsidRPr="006A21F9">
        <w:rPr>
          <w:i/>
          <w:iCs/>
          <w:lang w:val="ru-RU"/>
        </w:rPr>
        <w:t>“妻子只要丈夫活着，就受律法的约束；若丈夫死了，她便在主里自由，可以嫁给谁就嫁给谁”</w:t>
      </w:r>
      <w:r w:rsidRPr="006A21F9">
        <w:rPr>
          <w:lang w:val="ru-RU"/>
        </w:rPr>
        <w:t>（林前7:39）。 “唯在主内”这一表述自然让人联想到：早在使徒时代，基督教婚姻与其他婚姻关系不同，是“在主内”或“奉主之名”缔结的，即属于信仰和教会的事务，因此通过某种可见的圣礼仪式由教会予以圣化并确立。</w:t>
      </w:r>
    </w:p>
    <w:p w14:paraId="537A1C5B" w14:textId="77777777" w:rsidR="00BE1885" w:rsidRPr="006A21F9" w:rsidRDefault="00BE1885" w:rsidP="00BE1885">
      <w:pPr>
        <w:rPr>
          <w:lang w:val="ru-RU"/>
        </w:rPr>
      </w:pPr>
      <w:r w:rsidRPr="006A21F9">
        <w:rPr>
          <w:lang w:val="ru-RU"/>
        </w:rPr>
        <w:tab/>
      </w:r>
      <w:r w:rsidRPr="001E4083">
        <w:rPr>
          <w:b/>
          <w:bCs/>
        </w:rPr>
        <w:t>二</w:t>
      </w:r>
      <w:r w:rsidRPr="006A21F9">
        <w:rPr>
          <w:b/>
          <w:bCs/>
          <w:lang w:val="ru-RU"/>
        </w:rPr>
        <w:t>、</w:t>
      </w:r>
      <w:r w:rsidRPr="006A21F9">
        <w:rPr>
          <w:lang w:val="ru-RU"/>
        </w:rPr>
        <w:t>作为使徒传承守护者的圣父们和教会导师们，对此真理毫无疑义。 他们的见证可分为两类：一类将基督教婚姻视为信仰与教会的事务，由神职人员参与并通过他们的祝福来举行并予以圣化；另一类则甚至直接将其称为传递恩典的圣事。</w:t>
      </w:r>
    </w:p>
    <w:p w14:paraId="0E9EAF45" w14:textId="77777777" w:rsidR="00BE1885" w:rsidRPr="006A21F9" w:rsidRDefault="00BE1885" w:rsidP="00BE1885">
      <w:pPr>
        <w:rPr>
          <w:lang w:val="ru-RU"/>
        </w:rPr>
      </w:pPr>
      <w:r w:rsidRPr="006A21F9">
        <w:rPr>
          <w:lang w:val="ru-RU"/>
        </w:rPr>
        <w:tab/>
        <w:t>第一类见证包括：</w:t>
      </w:r>
    </w:p>
    <w:p w14:paraId="78B6A63B" w14:textId="77777777" w:rsidR="00BE1885" w:rsidRPr="006A21F9" w:rsidRDefault="00BE1885" w:rsidP="00BE1885">
      <w:pPr>
        <w:rPr>
          <w:lang w:val="ru-RU"/>
        </w:rPr>
      </w:pPr>
      <w:r w:rsidRPr="006A21F9">
        <w:rPr>
          <w:lang w:val="ru-RU"/>
        </w:rPr>
        <w:tab/>
        <w:t>圣伊格纳提乌斯·神承者：“结婚的男女应当在主教的祝福下缔结结合——愿婚姻因主而立，而非出于情欲。”</w:t>
      </w:r>
      <w:r>
        <w:rPr>
          <w:rStyle w:val="FootnoteReference"/>
        </w:rPr>
        <w:footnoteReference w:id="1491"/>
      </w:r>
    </w:p>
    <w:p w14:paraId="1214202B" w14:textId="77777777" w:rsidR="00BE1885" w:rsidRPr="006A21F9" w:rsidRDefault="00BE1885" w:rsidP="00BE1885">
      <w:pPr>
        <w:rPr>
          <w:lang w:val="ru-RU"/>
        </w:rPr>
      </w:pPr>
      <w:r w:rsidRPr="006A21F9">
        <w:rPr>
          <w:lang w:val="ru-RU"/>
        </w:rPr>
        <w:lastRenderedPageBreak/>
        <w:tab/>
        <w:t>大圣巴西尔：</w:t>
      </w:r>
      <w:r w:rsidRPr="006A21F9">
        <w:rPr>
          <w:i/>
          <w:iCs/>
          <w:lang w:val="ru-RU"/>
        </w:rPr>
        <w:t>“丈夫们，要爱你们的妻子</w:t>
      </w:r>
      <w:r w:rsidRPr="006A21F9">
        <w:rPr>
          <w:lang w:val="ru-RU"/>
        </w:rPr>
        <w:t>（以弗所书 5:25），尽管你们在缔结婚姻关系时彼此陌生！这自然之结，这经祝福而加诸的轭，愿成为你们——曾彼此疏远者——的联合！”</w:t>
      </w:r>
      <w:r>
        <w:rPr>
          <w:rStyle w:val="FootnoteReference"/>
        </w:rPr>
        <w:footnoteReference w:id="1492"/>
      </w:r>
    </w:p>
    <w:p w14:paraId="2922D97B" w14:textId="77777777" w:rsidR="00BE1885" w:rsidRPr="006A21F9" w:rsidRDefault="00BE1885" w:rsidP="00BE1885">
      <w:pPr>
        <w:rPr>
          <w:lang w:val="ru-RU"/>
        </w:rPr>
      </w:pPr>
      <w:r w:rsidRPr="006A21F9">
        <w:rPr>
          <w:lang w:val="ru-RU"/>
        </w:rPr>
        <w:tab/>
        <w:t>圣格里高利·神学家：“若你尚未与之结合：不要惧怕缔结婚姻；即使在结婚之后，你依然纯洁。我承担责任；我是媒人，我是新郎的引路人。”</w:t>
      </w:r>
      <w:r>
        <w:rPr>
          <w:rStyle w:val="FootnoteReference"/>
        </w:rPr>
        <w:footnoteReference w:id="1493"/>
      </w:r>
    </w:p>
    <w:p w14:paraId="38FDFE94" w14:textId="77777777" w:rsidR="00BE1885" w:rsidRPr="006A21F9" w:rsidRDefault="00BE1885" w:rsidP="00BE1885">
      <w:pPr>
        <w:rPr>
          <w:lang w:val="ru-RU"/>
        </w:rPr>
      </w:pPr>
      <w:r w:rsidRPr="006A21F9">
        <w:rPr>
          <w:lang w:val="ru-RU"/>
        </w:rPr>
        <w:tab/>
        <w:t>圣安布罗斯：“如果婚姻本身必须通过圣袍（</w:t>
      </w:r>
      <w:r w:rsidRPr="001E4083">
        <w:t>velamine</w:t>
      </w:r>
      <w:r w:rsidRPr="006A21F9">
        <w:rPr>
          <w:lang w:val="ru-RU"/>
        </w:rPr>
        <w:t>）和神父的祝福来圣化，那么在信仰不一致的情况下，又怎能称之为婚姻呢？”</w:t>
      </w:r>
      <w:r>
        <w:rPr>
          <w:rStyle w:val="FootnoteReference"/>
        </w:rPr>
        <w:footnoteReference w:id="1494"/>
      </w:r>
    </w:p>
    <w:p w14:paraId="031C44C4" w14:textId="77777777" w:rsidR="00BE1885" w:rsidRPr="006A21F9" w:rsidRDefault="00BE1885" w:rsidP="00BE1885">
      <w:pPr>
        <w:rPr>
          <w:lang w:val="ru-RU"/>
        </w:rPr>
      </w:pPr>
      <w:r w:rsidRPr="006A21F9">
        <w:rPr>
          <w:lang w:val="ru-RU"/>
        </w:rPr>
        <w:tab/>
      </w:r>
      <w:r w:rsidRPr="001E4083">
        <w:t>第四次迦太基大公会议</w:t>
      </w:r>
      <w:r w:rsidRPr="006A21F9">
        <w:rPr>
          <w:lang w:val="ru-RU"/>
        </w:rPr>
        <w:t>（398年）：“新郎和新娘在接受神父祝福时，应由父母或伴郎伴娘陪同；而在接受祝福后，为尊重此祝福，当在当晚保持贞洁。”</w:t>
      </w:r>
      <w:r>
        <w:rPr>
          <w:rStyle w:val="FootnoteReference"/>
        </w:rPr>
        <w:footnoteReference w:id="1495"/>
      </w:r>
    </w:p>
    <w:p w14:paraId="6E86D43D" w14:textId="77777777" w:rsidR="00BE1885" w:rsidRPr="006A21F9" w:rsidRDefault="00BE1885" w:rsidP="00BE1885">
      <w:pPr>
        <w:rPr>
          <w:lang w:val="ru-RU"/>
        </w:rPr>
      </w:pPr>
      <w:r w:rsidRPr="006A21F9">
        <w:rPr>
          <w:lang w:val="ru-RU"/>
        </w:rPr>
        <w:tab/>
        <w:t>同样持此观点的还有：特土良（</w:t>
      </w:r>
      <w:r>
        <w:rPr>
          <w:rStyle w:val="FootnoteReference"/>
        </w:rPr>
        <w:footnoteReference w:id="1496"/>
      </w:r>
      <w:r w:rsidRPr="006A21F9">
        <w:rPr>
          <w:lang w:val="ru-RU"/>
        </w:rPr>
        <w:t xml:space="preserve"> ）、亚历山大的克利门特（</w:t>
      </w:r>
      <w:r>
        <w:rPr>
          <w:rStyle w:val="FootnoteReference"/>
        </w:rPr>
        <w:footnoteReference w:id="1497"/>
      </w:r>
      <w:r w:rsidRPr="006A21F9">
        <w:rPr>
          <w:lang w:val="ru-RU"/>
        </w:rPr>
        <w:t xml:space="preserve"> ）、教宗西里西乌斯（</w:t>
      </w:r>
      <w:r>
        <w:rPr>
          <w:rStyle w:val="FootnoteReference"/>
        </w:rPr>
        <w:footnoteReference w:id="1498"/>
      </w:r>
      <w:r w:rsidRPr="006A21F9">
        <w:rPr>
          <w:lang w:val="ru-RU"/>
        </w:rPr>
        <w:t xml:space="preserve"> ）以及教宗</w:t>
      </w:r>
      <w:r w:rsidRPr="001E4083">
        <w:t>英诺森一世</w:t>
      </w:r>
      <w:r w:rsidRPr="006A21F9">
        <w:rPr>
          <w:lang w:val="ru-RU"/>
        </w:rPr>
        <w:t>。</w:t>
      </w:r>
      <w:r>
        <w:rPr>
          <w:rStyle w:val="FootnoteReference"/>
        </w:rPr>
        <w:footnoteReference w:id="1499"/>
      </w:r>
    </w:p>
    <w:p w14:paraId="45891B7A" w14:textId="77777777" w:rsidR="00BE1885" w:rsidRPr="006A21F9" w:rsidRDefault="00BE1885" w:rsidP="00BE1885">
      <w:pPr>
        <w:rPr>
          <w:lang w:val="ru-RU"/>
        </w:rPr>
      </w:pPr>
      <w:r w:rsidRPr="006A21F9">
        <w:rPr>
          <w:lang w:val="ru-RU"/>
        </w:rPr>
        <w:tab/>
        <w:t>我们还可以找到第二类证据：</w:t>
      </w:r>
    </w:p>
    <w:p w14:paraId="37EFF6B4" w14:textId="77777777" w:rsidR="00BE1885" w:rsidRPr="006A21F9" w:rsidRDefault="00BE1885" w:rsidP="00BE1885">
      <w:pPr>
        <w:rPr>
          <w:lang w:val="ru-RU"/>
        </w:rPr>
      </w:pPr>
      <w:r w:rsidRPr="006A21F9">
        <w:rPr>
          <w:lang w:val="ru-RU"/>
        </w:rPr>
        <w:tab/>
        <w:t>特土良将婚姻与洗礼、坚振和圣餐等圣事并列，他在以下话语中写道：“魔鬼为了歪曲真理，甚至在异教的神秘仪式中模仿神圣的圣事： 他也会给某些人施洗，将其视为自己的追随者，承诺通过洗礼池洗净他们的罪孽，随后在自己追随者的额头上烙下印记，并庄严地举行献饼仪式……甚至在婚礼上设立大祭司。”</w:t>
      </w:r>
      <w:r>
        <w:rPr>
          <w:rStyle w:val="FootnoteReference"/>
        </w:rPr>
        <w:footnoteReference w:id="1500"/>
      </w:r>
    </w:p>
    <w:p w14:paraId="0BD83A00" w14:textId="77777777" w:rsidR="00BE1885" w:rsidRPr="006A21F9" w:rsidRDefault="00BE1885" w:rsidP="00BE1885">
      <w:pPr>
        <w:rPr>
          <w:lang w:val="ru-RU"/>
        </w:rPr>
      </w:pPr>
      <w:r w:rsidRPr="006A21F9">
        <w:rPr>
          <w:lang w:val="ru-RU"/>
        </w:rPr>
        <w:tab/>
        <w:t>圣约翰·金口在反对婚礼上常见的淫秽歌曲和庆典时说：“你为何要当众玷污神圣的婚姻圣事？ 这一切都应当摒弃，要从一开始就教导女儿保持贞洁，并请来神父，通过祈祷和祝福缔结婚姻盟约，使新郎的爱日益深厚，新娘的贞洁得以保全， 更重要的是，让美德之事进入那个家，并将魔鬼的一切诡计驱逐出去，使他们（夫妇）在上帝恩典的结合下，过上美满的生活。”</w:t>
      </w:r>
      <w:r>
        <w:rPr>
          <w:rStyle w:val="FootnoteReference"/>
        </w:rPr>
        <w:footnoteReference w:id="1501"/>
      </w:r>
    </w:p>
    <w:p w14:paraId="0135C6FA" w14:textId="77777777" w:rsidR="00BE1885" w:rsidRPr="006A21F9" w:rsidRDefault="00BE1885" w:rsidP="00BE1885">
      <w:pPr>
        <w:rPr>
          <w:lang w:val="ru-RU"/>
        </w:rPr>
      </w:pPr>
      <w:r w:rsidRPr="006A21F9">
        <w:rPr>
          <w:lang w:val="ru-RU"/>
        </w:rPr>
        <w:tab/>
        <w:t>圣安布罗斯说：“我们承认，婚姻的主宰与守护者是上帝，祂绝不容许他人的床榻遭到玷污。 凡如此行者，便是得罪上帝：因为他违背了祂的律法，背离了祂的恩典。既然得罪了上帝，便丧失了参与天国圣事的资格。”</w:t>
      </w:r>
      <w:r>
        <w:rPr>
          <w:rStyle w:val="FootnoteReference"/>
        </w:rPr>
        <w:footnoteReference w:id="1502"/>
      </w:r>
    </w:p>
    <w:p w14:paraId="071F2869" w14:textId="77777777" w:rsidR="00BE1885" w:rsidRPr="006A21F9" w:rsidRDefault="00BE1885" w:rsidP="00BE1885">
      <w:pPr>
        <w:rPr>
          <w:lang w:val="ru-RU"/>
        </w:rPr>
      </w:pPr>
      <w:r w:rsidRPr="006A21F9">
        <w:rPr>
          <w:lang w:val="ru-RU"/>
        </w:rPr>
        <w:tab/>
        <w:t>圣泽农·维罗尼亚斯说：“两人之间的夫妻之爱，通过这值得尊崇的圣事，将他们结合为一体。”</w:t>
      </w:r>
      <w:r>
        <w:rPr>
          <w:rStyle w:val="FootnoteReference"/>
        </w:rPr>
        <w:footnoteReference w:id="1503"/>
      </w:r>
    </w:p>
    <w:p w14:paraId="515DF17A" w14:textId="77777777" w:rsidR="00BE1885" w:rsidRPr="006A21F9" w:rsidRDefault="00BE1885" w:rsidP="00BE1885">
      <w:pPr>
        <w:rPr>
          <w:lang w:val="ru-RU"/>
        </w:rPr>
      </w:pPr>
      <w:r w:rsidRPr="006A21F9">
        <w:rPr>
          <w:lang w:val="ru-RU"/>
        </w:rPr>
        <w:lastRenderedPageBreak/>
        <w:tab/>
        <w:t>福者奥古斯丁说：“在我们（基督徒）的婚姻中，圣事的圣洁力量胜过母亲的生育能力。”</w:t>
      </w:r>
      <w:r>
        <w:rPr>
          <w:rStyle w:val="FootnoteReference"/>
        </w:rPr>
        <w:footnoteReference w:id="1504"/>
      </w:r>
      <w:r w:rsidRPr="006A21F9">
        <w:rPr>
          <w:lang w:val="ru-RU"/>
        </w:rPr>
        <w:t xml:space="preserve"> “教会所提供的不仅是婚姻的结合，更是圣事。”</w:t>
      </w:r>
      <w:r>
        <w:rPr>
          <w:rStyle w:val="FootnoteReference"/>
        </w:rPr>
        <w:footnoteReference w:id="1505"/>
      </w:r>
    </w:p>
    <w:p w14:paraId="1C05B68B" w14:textId="77777777" w:rsidR="00BE1885" w:rsidRPr="006A21F9" w:rsidRDefault="00BE1885" w:rsidP="00BE1885">
      <w:pPr>
        <w:rPr>
          <w:lang w:val="ru-RU"/>
        </w:rPr>
      </w:pPr>
      <w:r w:rsidRPr="006A21F9">
        <w:rPr>
          <w:lang w:val="ru-RU"/>
        </w:rPr>
        <w:tab/>
        <w:t>此外，除了东正教教会之外，不仅罗马天主教徒，而且自古以来就脱离东正教的各派，如： 科普特人、亚美尼亚人、马龙派、阿比西尼亚人、聂斯托里派，</w:t>
      </w:r>
      <w:r>
        <w:rPr>
          <w:rStyle w:val="FootnoteReference"/>
        </w:rPr>
        <w:footnoteReference w:id="1506"/>
      </w:r>
      <w:r w:rsidRPr="006A21F9">
        <w:rPr>
          <w:lang w:val="ru-RU"/>
        </w:rPr>
        <w:t xml:space="preserve"> ，这清楚地证明，在古代普世教会中，对婚姻圣事的信仰是普遍的、无处不在的。</w:t>
      </w:r>
    </w:p>
    <w:p w14:paraId="2238ACCB" w14:textId="77777777" w:rsidR="00BE1885" w:rsidRPr="006A21F9" w:rsidRDefault="00BE1885" w:rsidP="00BE1885">
      <w:pPr>
        <w:rPr>
          <w:lang w:val="ru-RU"/>
        </w:rPr>
      </w:pPr>
      <w:r w:rsidRPr="006A21F9">
        <w:rPr>
          <w:lang w:val="ru-RU"/>
        </w:rPr>
        <w:tab/>
      </w:r>
    </w:p>
    <w:p w14:paraId="7349A75B" w14:textId="77777777" w:rsidR="00BE1885" w:rsidRPr="006A21F9" w:rsidRDefault="00BE1885" w:rsidP="00BE1885">
      <w:pPr>
        <w:pStyle w:val="Heading5"/>
        <w:rPr>
          <w:lang w:val="ru-RU"/>
        </w:rPr>
      </w:pPr>
      <w:bookmarkStart w:id="956" w:name="_Toc133143006"/>
      <w:bookmarkStart w:id="957" w:name="_Toc133166363"/>
      <w:bookmarkStart w:id="958" w:name="_Toc182221573"/>
      <w:bookmarkStart w:id="959" w:name="_Toc238453140"/>
      <w:bookmarkStart w:id="960" w:name="_Toc238453940"/>
      <w:bookmarkStart w:id="961" w:name="_Toc238576600"/>
      <w:r w:rsidRPr="006A21F9">
        <w:rPr>
          <w:bCs/>
          <w:lang w:val="ru-RU"/>
        </w:rPr>
        <w:t>§235.</w:t>
      </w:r>
      <w:r w:rsidRPr="006A21F9">
        <w:rPr>
          <w:lang w:val="ru-RU"/>
        </w:rPr>
        <w:t xml:space="preserve"> 婚姻圣事的可见方面与不可见行为</w:t>
      </w:r>
      <w:bookmarkEnd w:id="956"/>
      <w:bookmarkEnd w:id="957"/>
      <w:bookmarkEnd w:id="958"/>
      <w:bookmarkEnd w:id="959"/>
      <w:bookmarkEnd w:id="960"/>
      <w:bookmarkEnd w:id="961"/>
    </w:p>
    <w:p w14:paraId="6BA6566D"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婚姻圣事的可见方面包括两个实质性行为。首先，新郎和新娘在教会面前庄严宣誓，表明他们基于自愿的相互合意缔结婚姻，并将终生保持夫妻间的忠诚。 其次，是神父对他们婚姻结合的庄严祝福：神父将冠冕置于新郎头上时，宣告：“上帝的仆人……与上帝的仆女……奉圣父、圣子及圣灵之名结为夫妻”；随后将冠冕置于新娘头上时，重复道： “上帝的仆人……与上帝的仆女……奉圣父、圣子、圣灵之名结合”，最后向上帝诵念简短的祷文：“我们的主上帝，求祢以荣耀与尊贵加冕于他们”，</w:t>
      </w:r>
      <w:r>
        <w:rPr>
          <w:rStyle w:val="FootnoteReference"/>
        </w:rPr>
        <w:footnoteReference w:id="1507"/>
      </w:r>
      <w:r w:rsidRPr="006A21F9">
        <w:rPr>
          <w:lang w:val="ru-RU"/>
        </w:rPr>
        <w:t xml:space="preserve"> ，并三次为二人共同赐福。</w:t>
      </w:r>
    </w:p>
    <w:p w14:paraId="674E83E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通过婚姻圣事赐予新人的恩典所产生的无形作用，总体而言，正如使徒所言，在于使他们的结合成为一个伟大的奥秘，因为它使这种结合成为基督与教会之间神秘结合的写照： “</w:t>
      </w:r>
      <w:r w:rsidRPr="006A21F9">
        <w:rPr>
          <w:i/>
          <w:iCs/>
          <w:lang w:val="ru-RU"/>
        </w:rPr>
        <w:t>这奥秘是伟大的</w:t>
      </w:r>
      <w:r w:rsidRPr="006A21F9">
        <w:rPr>
          <w:lang w:val="ru-RU"/>
        </w:rPr>
        <w:t>，”使徒说</w:t>
      </w:r>
      <w:r w:rsidRPr="006A21F9">
        <w:rPr>
          <w:i/>
          <w:iCs/>
          <w:lang w:val="ru-RU"/>
        </w:rPr>
        <w:t>，“我 是针对基督与教会而言的</w:t>
      </w:r>
      <w:r w:rsidRPr="006A21F9">
        <w:rPr>
          <w:lang w:val="ru-RU"/>
        </w:rPr>
        <w:t>”（弗5:32）。因此，这种恩典具体体现在：</w:t>
      </w:r>
    </w:p>
    <w:p w14:paraId="4A278CA3" w14:textId="77777777" w:rsidR="00BE1885" w:rsidRPr="006A21F9" w:rsidRDefault="00BE1885" w:rsidP="00BE1885">
      <w:pPr>
        <w:ind w:firstLine="708"/>
        <w:rPr>
          <w:lang w:val="ru-RU"/>
        </w:rPr>
      </w:pPr>
      <w:r w:rsidRPr="006A21F9">
        <w:rPr>
          <w:b/>
          <w:bCs/>
          <w:lang w:val="ru-RU"/>
        </w:rPr>
        <w:t>1)</w:t>
      </w:r>
      <w:r w:rsidRPr="006A21F9">
        <w:rPr>
          <w:lang w:val="ru-RU"/>
        </w:rPr>
        <w:t xml:space="preserve"> 它使两人之间的婚姻结合得以成圣，并赋予其灵性——因为基督与教会之间的结合是圣洁且属灵的。正因如此，使徒在论及基督徒婚姻时说： </w:t>
      </w:r>
      <w:r w:rsidRPr="006A21F9">
        <w:rPr>
          <w:i/>
          <w:iCs/>
          <w:lang w:val="ru-RU"/>
        </w:rPr>
        <w:t>“婚姻在众人中当是圣洁的，床第当是无玷污</w:t>
      </w:r>
      <w:r w:rsidRPr="006A21F9">
        <w:rPr>
          <w:lang w:val="ru-RU"/>
        </w:rPr>
        <w:t>的”（希伯来书 13:4），并吩咐基督徒夫妇：</w:t>
      </w:r>
      <w:r w:rsidRPr="006A21F9">
        <w:rPr>
          <w:i/>
          <w:iCs/>
          <w:lang w:val="ru-RU"/>
        </w:rPr>
        <w:t>“因为神的旨意就是要你们圣洁，远避淫行；要你们各人以圣洁、尊贵守住自己的身体</w:t>
      </w:r>
      <w:r w:rsidRPr="006A21F9">
        <w:rPr>
          <w:lang w:val="ru-RU"/>
        </w:rPr>
        <w:t>”（帖撒罗尼迦前书 4:3-4）。 同样，圣金口若望在重申使徒的诫命——基督徒丈夫要爱妻子，基督徒妻子要敬畏丈夫（以弗所书 5:33）——时，补充道：“因为他们各自领受了自己的份。 这就是在基督里的婚姻，是属灵的婚姻和属灵的诞生，不是出于血缘，也不是出于疾病，就像以撒的诞生一样，圣经说：</w:t>
      </w:r>
      <w:r w:rsidRPr="006A21F9">
        <w:rPr>
          <w:i/>
          <w:iCs/>
          <w:lang w:val="ru-RU"/>
        </w:rPr>
        <w:t>‘撒拉的生育能力已经停止了</w:t>
      </w:r>
      <w:r w:rsidRPr="006A21F9">
        <w:rPr>
          <w:lang w:val="ru-RU"/>
        </w:rPr>
        <w:t>’（创世记18:11）。 这种结合既非出于情欲，也非出于肉体，而是全然属灵的，因为在此过程中，灵魂通过一种不可言喻的结合与上帝联合，唯有祂自己知晓这种结合：正因如此，经上才说：</w:t>
      </w:r>
      <w:r w:rsidRPr="006A21F9">
        <w:rPr>
          <w:i/>
          <w:iCs/>
          <w:lang w:val="ru-RU"/>
        </w:rPr>
        <w:t>‘与主联合的，便是与主成为一灵了</w:t>
      </w:r>
      <w:r w:rsidRPr="006A21F9">
        <w:rPr>
          <w:lang w:val="ru-RU"/>
        </w:rPr>
        <w:t>’（林前6:17）。 你看，（使徒）是多么用心，既要使肉体与肉体结合，也要使灵与灵结合。”</w:t>
      </w:r>
      <w:r>
        <w:rPr>
          <w:rStyle w:val="FootnoteReference"/>
        </w:rPr>
        <w:footnoteReference w:id="1508"/>
      </w:r>
    </w:p>
    <w:p w14:paraId="6A4B20E1" w14:textId="77777777" w:rsidR="00BE1885" w:rsidRPr="006A21F9" w:rsidRDefault="00BE1885" w:rsidP="00BE1885">
      <w:pPr>
        <w:ind w:firstLine="708"/>
        <w:rPr>
          <w:lang w:val="ru-RU"/>
        </w:rPr>
      </w:pPr>
      <w:r w:rsidRPr="006A21F9">
        <w:rPr>
          <w:b/>
          <w:bCs/>
          <w:lang w:val="ru-RU"/>
        </w:rPr>
        <w:t>2)</w:t>
      </w:r>
      <w:r w:rsidRPr="006A21F9">
        <w:rPr>
          <w:lang w:val="ru-RU"/>
        </w:rPr>
        <w:t xml:space="preserve"> 它以不可拆散的纽带巩固两人之间的婚姻结合：因为基督与教会的结合也是不可拆散且永恒的（马太福音 28:20）。 至于基督徒的婚姻，更应明白：</w:t>
      </w:r>
      <w:r w:rsidRPr="006A21F9">
        <w:rPr>
          <w:i/>
          <w:iCs/>
          <w:lang w:val="ru-RU"/>
        </w:rPr>
        <w:t>神所配合的，人不可分开</w:t>
      </w:r>
      <w:r w:rsidRPr="006A21F9">
        <w:rPr>
          <w:lang w:val="ru-RU"/>
        </w:rPr>
        <w:t>（太19:6）——</w:t>
      </w:r>
      <w:r w:rsidRPr="006A21F9">
        <w:rPr>
          <w:lang w:val="ru-RU"/>
        </w:rPr>
        <w:lastRenderedPageBreak/>
        <w:t>这配合不仅基于婚姻律法， （这律法）祂早在创世之初就赐予人类，并在旧约启示中予以确认，但主要还是通过祂的恩典，祂借着新约中特殊的圣礼将这恩典赐予新婚夫妇。</w:t>
      </w:r>
    </w:p>
    <w:p w14:paraId="5F394582" w14:textId="77777777" w:rsidR="00BE1885" w:rsidRPr="006A21F9" w:rsidRDefault="00BE1885" w:rsidP="00BE1885">
      <w:pPr>
        <w:ind w:firstLine="708"/>
        <w:rPr>
          <w:lang w:val="ru-RU"/>
        </w:rPr>
      </w:pPr>
      <w:r w:rsidRPr="006A21F9">
        <w:rPr>
          <w:b/>
          <w:bCs/>
          <w:lang w:val="ru-RU"/>
        </w:rPr>
        <w:t>3)</w:t>
      </w:r>
      <w:r w:rsidRPr="006A21F9">
        <w:rPr>
          <w:lang w:val="ru-RU"/>
        </w:rPr>
        <w:t xml:space="preserve"> 最后，它帮助基督徒夫妇在一生中圣洁地履行彼此的义务，效法基督与教会之间至圣联合的高尚典范。 唯有如此，圣使徒的诫命才变得清晰易懂且易于践行：丈夫要爱妻子</w:t>
      </w:r>
      <w:r w:rsidRPr="006A21F9">
        <w:rPr>
          <w:i/>
          <w:iCs/>
          <w:lang w:val="ru-RU"/>
        </w:rPr>
        <w:t>，正如基督爱教会，为教会舍己</w:t>
      </w:r>
      <w:r w:rsidRPr="006A21F9">
        <w:rPr>
          <w:lang w:val="ru-RU"/>
        </w:rPr>
        <w:t>（弗5:25）， 妻子在一切事上顺服丈夫</w:t>
      </w:r>
      <w:r w:rsidRPr="006A21F9">
        <w:rPr>
          <w:i/>
          <w:iCs/>
          <w:lang w:val="ru-RU"/>
        </w:rPr>
        <w:t>，正如教会顺服基督一样</w:t>
      </w:r>
      <w:r w:rsidRPr="006A21F9">
        <w:rPr>
          <w:lang w:val="ru-RU"/>
        </w:rPr>
        <w:t>（以弗所书5:24）。若非蒙上帝特别的恩典加持，人根本无力效法如此崇高的典范。而这种恩典在基督徒夫妇一生中协助他们履行相互义务， 这恩典同时也帮助他们实现婚姻结合的所有目标，即蒙福地生育子女——未来教会的子民，在一切善事上彼此扶持，并使自己远离非法或不受祝福的关系（§233）。</w:t>
      </w:r>
    </w:p>
    <w:p w14:paraId="332C6A0A" w14:textId="77777777" w:rsidR="00BE1885" w:rsidRPr="006A21F9" w:rsidRDefault="00BE1885" w:rsidP="00BE1885">
      <w:pPr>
        <w:rPr>
          <w:lang w:val="ru-RU"/>
        </w:rPr>
      </w:pPr>
      <w:r w:rsidRPr="006A21F9">
        <w:rPr>
          <w:lang w:val="ru-RU"/>
        </w:rPr>
        <w:tab/>
      </w:r>
    </w:p>
    <w:p w14:paraId="49ECC4FE" w14:textId="77777777" w:rsidR="00BE1885" w:rsidRPr="006A21F9" w:rsidRDefault="00BE1885" w:rsidP="00BE1885">
      <w:pPr>
        <w:pStyle w:val="Heading5"/>
        <w:rPr>
          <w:lang w:val="ru-RU"/>
        </w:rPr>
      </w:pPr>
      <w:bookmarkStart w:id="962" w:name="_Toc133143007"/>
      <w:bookmarkStart w:id="963" w:name="_Toc133166364"/>
      <w:bookmarkStart w:id="964" w:name="_Toc182221574"/>
      <w:bookmarkStart w:id="965" w:name="_Toc238453141"/>
      <w:bookmarkStart w:id="966" w:name="_Toc238453941"/>
      <w:bookmarkStart w:id="967" w:name="_Toc238576601"/>
      <w:r w:rsidRPr="006A21F9">
        <w:rPr>
          <w:bCs/>
          <w:lang w:val="ru-RU"/>
        </w:rPr>
        <w:t>§236.</w:t>
      </w:r>
      <w:r w:rsidRPr="006A21F9">
        <w:rPr>
          <w:lang w:val="ru-RU"/>
        </w:rPr>
        <w:t xml:space="preserve"> 谁可以主持婚姻圣事？接受此圣事者需要满足哪些条件？</w:t>
      </w:r>
      <w:bookmarkEnd w:id="962"/>
      <w:bookmarkEnd w:id="963"/>
      <w:bookmarkEnd w:id="964"/>
      <w:bookmarkEnd w:id="965"/>
      <w:bookmarkEnd w:id="966"/>
      <w:bookmarkEnd w:id="967"/>
    </w:p>
    <w:p w14:paraId="1B4E296E"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自基督教诞生之初，主持婚姻圣事（以及所有其他圣事）的权柄便属于教会的牧者——主教和长老。正如我们所见，圣伊格纳提乌斯·神智者曾提及此事，随后特土良、</w:t>
      </w:r>
      <w:r>
        <w:rPr>
          <w:rStyle w:val="FootnoteReference"/>
        </w:rPr>
        <w:footnoteReference w:id="1509"/>
      </w:r>
      <w:r w:rsidRPr="006A21F9">
        <w:rPr>
          <w:lang w:val="ru-RU"/>
        </w:rPr>
        <w:t xml:space="preserve"> 等人也对此有所提及，甚至明确作证： 圣大巴西尔、圣格里高利·神学家、圣约翰·金口、</w:t>
      </w:r>
      <w:r>
        <w:rPr>
          <w:rStyle w:val="FootnoteReference"/>
        </w:rPr>
        <w:footnoteReference w:id="1510"/>
      </w:r>
      <w:r w:rsidRPr="006A21F9">
        <w:rPr>
          <w:lang w:val="ru-RU"/>
        </w:rPr>
        <w:t xml:space="preserve"> 圣安布罗斯、</w:t>
      </w:r>
      <w:r>
        <w:rPr>
          <w:rStyle w:val="FootnoteReference"/>
        </w:rPr>
        <w:footnoteReference w:id="1511"/>
      </w:r>
      <w:r w:rsidRPr="006A21F9">
        <w:rPr>
          <w:lang w:val="ru-RU"/>
        </w:rPr>
        <w:t xml:space="preserve"> 教宗西里西乌斯和教宗英诺森、</w:t>
      </w:r>
      <w:r>
        <w:rPr>
          <w:rStyle w:val="FootnoteReference"/>
        </w:rPr>
        <w:footnoteReference w:id="1512"/>
      </w:r>
      <w:r w:rsidRPr="006A21F9">
        <w:rPr>
          <w:lang w:val="ru-RU"/>
        </w:rPr>
        <w:t xml:space="preserve"> 以及在迦太基召开的全体牧者大公会议。</w:t>
      </w:r>
      <w:r>
        <w:rPr>
          <w:rStyle w:val="FootnoteReference"/>
        </w:rPr>
        <w:footnoteReference w:id="1513"/>
      </w:r>
      <w:r w:rsidRPr="006A21F9">
        <w:rPr>
          <w:lang w:val="ru-RU"/>
        </w:rPr>
        <w:t xml:space="preserve"> 此外，还可以补充：亚历山大的圣提摩太，</w:t>
      </w:r>
      <w:r>
        <w:rPr>
          <w:rStyle w:val="FootnoteReference"/>
        </w:rPr>
        <w:footnoteReference w:id="1514"/>
      </w:r>
      <w:r w:rsidRPr="006A21F9">
        <w:rPr>
          <w:lang w:val="ru-RU"/>
        </w:rPr>
        <w:t xml:space="preserve"> ；圣狄奥多尔·斯图迪特；君士坦丁堡宗主教圣尼基福鲁斯和圣福提乌斯，</w:t>
      </w:r>
      <w:r>
        <w:rPr>
          <w:rStyle w:val="FootnoteReference"/>
        </w:rPr>
        <w:footnoteReference w:id="1515"/>
      </w:r>
      <w:r w:rsidRPr="006A21F9">
        <w:rPr>
          <w:lang w:val="ru-RU"/>
        </w:rPr>
        <w:t xml:space="preserve"> ；等等。</w:t>
      </w:r>
    </w:p>
    <w:p w14:paraId="20981C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根据东正教会的规定，接受婚姻圣事者须满足以下条件：</w:t>
      </w:r>
    </w:p>
    <w:p w14:paraId="06911023" w14:textId="77777777" w:rsidR="00BE1885" w:rsidRPr="006A21F9" w:rsidRDefault="00BE1885" w:rsidP="00BE1885">
      <w:pPr>
        <w:ind w:firstLine="708"/>
        <w:rPr>
          <w:lang w:val="ru-RU"/>
        </w:rPr>
      </w:pPr>
      <w:r w:rsidRPr="006A21F9">
        <w:rPr>
          <w:b/>
          <w:bCs/>
          <w:lang w:val="ru-RU"/>
        </w:rPr>
        <w:t>1)</w:t>
      </w:r>
      <w:r w:rsidRPr="006A21F9">
        <w:rPr>
          <w:lang w:val="ru-RU"/>
        </w:rPr>
        <w:t xml:space="preserve"> 双方均须信奉基督教。因为若不信仰基督，人便无法接受通过圣事传达的上帝之恩典（§197），而且，唯有那些已通过洗礼之门进入基督恩典之国的人（约3:5），才能享有基督恩典之国所赐予的属灵恩赐。因此，基督徒禁止与非信徒（非基督徒）通婚（</w:t>
      </w:r>
      <w:r w:rsidRPr="001E4083">
        <w:t>第四次</w:t>
      </w:r>
      <w:r w:rsidRPr="006A21F9">
        <w:rPr>
          <w:lang w:val="ru-RU"/>
        </w:rPr>
        <w:t>大公会议第14条；</w:t>
      </w:r>
      <w:r w:rsidRPr="001E4083">
        <w:t>第六</w:t>
      </w:r>
      <w:r w:rsidRPr="006A21F9">
        <w:rPr>
          <w:lang w:val="ru-RU"/>
        </w:rPr>
        <w:t>次大公会议第72条）。</w:t>
      </w:r>
    </w:p>
    <w:p w14:paraId="0624C8CA" w14:textId="77777777" w:rsidR="00BE1885" w:rsidRPr="006A21F9" w:rsidRDefault="00BE1885" w:rsidP="00BE1885">
      <w:pPr>
        <w:ind w:firstLine="708"/>
        <w:rPr>
          <w:lang w:val="ru-RU"/>
        </w:rPr>
      </w:pPr>
      <w:r w:rsidRPr="006A21F9">
        <w:rPr>
          <w:b/>
          <w:bCs/>
          <w:lang w:val="ru-RU"/>
        </w:rPr>
        <w:t>2)</w:t>
      </w:r>
      <w:r w:rsidRPr="006A21F9">
        <w:rPr>
          <w:lang w:val="ru-RU"/>
        </w:rPr>
        <w:t xml:space="preserve"> 双方必须信奉东正教，若非双方皆然，至少一方——即新郎或新娘——须信奉东正教。否则，若对作为恩典恩赐施予者的教会本身缺乏信仰，又如何能以真诚的信仰接受东正教神职人员所赐的上帝祝福呢？ 但如果新婚夫妇中哪怕只有一人信奉东正教：那么，为了这一人，上帝的祝福便降临于新婚夫妇的结合之上，因为根据上帝的话语，他们二人此时便成为一体（马太福音19:5）。 </w:t>
      </w:r>
      <w:r w:rsidRPr="006A21F9">
        <w:rPr>
          <w:lang w:val="ru-RU"/>
        </w:rPr>
        <w:lastRenderedPageBreak/>
        <w:t>然而，这一祝福的降临有一个条件，即非东正教的一方今后绝不能以任何方式影响东正教一方的信仰，且他们将要生育的子女必须在东正教信仰中接受教育（拉奥迪卡亚东正教会议第10条第31款；第四次大公会议第14条；第六次大公会议第72条）。</w:t>
      </w:r>
    </w:p>
    <w:p w14:paraId="4C379817" w14:textId="77777777" w:rsidR="00BE1885" w:rsidRPr="006A21F9" w:rsidRDefault="00BE1885" w:rsidP="00BE1885">
      <w:pPr>
        <w:ind w:firstLine="708"/>
        <w:rPr>
          <w:lang w:val="ru-RU"/>
        </w:rPr>
      </w:pPr>
      <w:r w:rsidRPr="006A21F9">
        <w:rPr>
          <w:b/>
          <w:bCs/>
          <w:lang w:val="ru-RU"/>
        </w:rPr>
        <w:t>3)</w:t>
      </w:r>
      <w:r w:rsidRPr="006A21F9">
        <w:rPr>
          <w:lang w:val="ru-RU"/>
        </w:rPr>
        <w:t xml:space="preserve"> 双方必须不在教会法规所规定的血缘及教义亲属关系范围内（第六次大公会议第63、54条；新凯撒利亚会议第2条；大圣巴西尔第23、78、87条；提摩太书第11章）。</w:t>
      </w:r>
    </w:p>
    <w:p w14:paraId="0BD298BA" w14:textId="77777777" w:rsidR="00BE1885" w:rsidRPr="006A21F9" w:rsidRDefault="00BE1885" w:rsidP="00BE1885">
      <w:pPr>
        <w:ind w:firstLine="708"/>
        <w:rPr>
          <w:lang w:val="ru-RU"/>
        </w:rPr>
      </w:pPr>
      <w:r w:rsidRPr="006A21F9">
        <w:rPr>
          <w:b/>
          <w:bCs/>
          <w:lang w:val="ru-RU"/>
        </w:rPr>
        <w:t>3)</w:t>
      </w:r>
      <w:r w:rsidRPr="006A21F9">
        <w:rPr>
          <w:lang w:val="ru-RU"/>
        </w:rPr>
        <w:t xml:space="preserve"> 双方必须自愿同意缔结婚姻。这源于婚姻结合的本质：主说：</w:t>
      </w:r>
      <w:r w:rsidRPr="006A21F9">
        <w:rPr>
          <w:i/>
          <w:iCs/>
          <w:lang w:val="ru-RU"/>
        </w:rPr>
        <w:t>“人要离开父母，与妻子连合，二人成为一体</w:t>
      </w:r>
      <w:r w:rsidRPr="006A21F9">
        <w:rPr>
          <w:lang w:val="ru-RU"/>
        </w:rPr>
        <w:t>”（马太福音19:5）。 这种两人之间的结合，只能基于受爱所驱动的自由意志，绝非出于强迫。因此，教会在新郎新娘举行婚礼前，总会庄严地询问他们：他们是否出于善意且自愿的意愿缔结婚姻。 只有在得到肯定答复后，才会为他们的结合赐福。</w:t>
      </w:r>
      <w:r>
        <w:rPr>
          <w:rStyle w:val="FootnoteReference"/>
        </w:rPr>
        <w:footnoteReference w:id="1516"/>
      </w:r>
    </w:p>
    <w:p w14:paraId="2939E067" w14:textId="77777777" w:rsidR="00BE1885" w:rsidRPr="006A21F9" w:rsidRDefault="00BE1885" w:rsidP="00BE1885">
      <w:pPr>
        <w:rPr>
          <w:lang w:val="ru-RU"/>
        </w:rPr>
      </w:pPr>
    </w:p>
    <w:p w14:paraId="2C62982D" w14:textId="77777777" w:rsidR="00BE1885" w:rsidRPr="006A21F9" w:rsidRDefault="00BE1885" w:rsidP="00BE1885">
      <w:pPr>
        <w:pStyle w:val="Heading5"/>
        <w:rPr>
          <w:lang w:val="ru-RU"/>
        </w:rPr>
      </w:pPr>
      <w:bookmarkStart w:id="968" w:name="_Toc133143008"/>
      <w:bookmarkStart w:id="969" w:name="_Toc133166365"/>
      <w:bookmarkStart w:id="970" w:name="_Toc182221575"/>
      <w:bookmarkStart w:id="971" w:name="_Toc238453142"/>
      <w:bookmarkStart w:id="972" w:name="_Toc238453942"/>
      <w:bookmarkStart w:id="973" w:name="_Toc238576602"/>
      <w:r w:rsidRPr="006A21F9">
        <w:rPr>
          <w:bCs/>
          <w:lang w:val="ru-RU"/>
        </w:rPr>
        <w:t>§237.</w:t>
      </w:r>
      <w:r w:rsidRPr="006A21F9">
        <w:rPr>
          <w:lang w:val="ru-RU"/>
        </w:rPr>
        <w:t xml:space="preserve"> 经圣事圣化之基督教婚姻的特性</w:t>
      </w:r>
      <w:bookmarkEnd w:id="968"/>
      <w:bookmarkEnd w:id="969"/>
      <w:bookmarkEnd w:id="970"/>
      <w:bookmarkEnd w:id="971"/>
      <w:bookmarkEnd w:id="972"/>
      <w:bookmarkEnd w:id="973"/>
    </w:p>
    <w:p w14:paraId="5D74B822" w14:textId="77777777" w:rsidR="00BE1885" w:rsidRPr="006A21F9" w:rsidRDefault="00BE1885" w:rsidP="00BE1885">
      <w:pPr>
        <w:ind w:firstLine="708"/>
        <w:rPr>
          <w:lang w:val="ru-RU"/>
        </w:rPr>
      </w:pPr>
      <w:r w:rsidRPr="006A21F9">
        <w:rPr>
          <w:lang w:val="ru-RU"/>
        </w:rPr>
        <w:t>经圣事圣化的基督教婚姻具有以下特征：</w:t>
      </w:r>
      <w:r w:rsidRPr="006A21F9">
        <w:rPr>
          <w:b/>
          <w:bCs/>
          <w:lang w:val="ru-RU"/>
        </w:rPr>
        <w:t>a）</w:t>
      </w:r>
      <w:r w:rsidRPr="006A21F9">
        <w:rPr>
          <w:lang w:val="ru-RU"/>
        </w:rPr>
        <w:t>一夫一妻制，即基督教婚姻仅为一夫一妻的结合；</w:t>
      </w:r>
      <w:r w:rsidRPr="006A21F9">
        <w:rPr>
          <w:b/>
          <w:bCs/>
          <w:lang w:val="ru-RU"/>
        </w:rPr>
        <w:t>b）</w:t>
      </w:r>
      <w:r w:rsidRPr="006A21F9">
        <w:rPr>
          <w:lang w:val="ru-RU"/>
        </w:rPr>
        <w:t>不可解除性。</w:t>
      </w:r>
    </w:p>
    <w:p w14:paraId="61C8DC9F" w14:textId="77777777" w:rsidR="00BE1885" w:rsidRPr="006A21F9" w:rsidRDefault="00BE1885" w:rsidP="00BE1885">
      <w:pPr>
        <w:ind w:firstLine="708"/>
        <w:rPr>
          <w:lang w:val="ru-RU"/>
        </w:rPr>
      </w:pPr>
      <w:r w:rsidRPr="006A21F9">
        <w:rPr>
          <w:b/>
          <w:bCs/>
          <w:lang w:val="ru-RU"/>
        </w:rPr>
        <w:t>1.</w:t>
      </w:r>
      <w:r w:rsidRPr="006A21F9">
        <w:rPr>
          <w:lang w:val="ru-RU"/>
        </w:rPr>
        <w:t xml:space="preserve"> 基督教坚决禁止一夫多妻制（</w:t>
      </w:r>
      <w:r w:rsidRPr="001E4083">
        <w:t>πολυγαμία</w:t>
      </w:r>
      <w:r w:rsidRPr="006A21F9">
        <w:rPr>
          <w:lang w:val="ru-RU"/>
        </w:rPr>
        <w:t>），并仅通过圣事祝圣两人——一夫一妻（</w:t>
      </w:r>
      <w:r w:rsidRPr="001E4083">
        <w:t>μονογαμία</w:t>
      </w:r>
      <w:r w:rsidRPr="006A21F9">
        <w:rPr>
          <w:lang w:val="ru-RU"/>
        </w:rPr>
        <w:t xml:space="preserve">）——的结合。因为这是造物主在人类本性中设立的最初婚姻法则，当时也由人类始祖在天启的感召下予以阐明。 </w:t>
      </w:r>
      <w:r w:rsidRPr="006A21F9">
        <w:rPr>
          <w:i/>
          <w:iCs/>
          <w:lang w:val="ru-RU"/>
        </w:rPr>
        <w:t>《</w:t>
      </w:r>
      <w:r w:rsidRPr="006A21F9">
        <w:rPr>
          <w:lang w:val="ru-RU"/>
        </w:rPr>
        <w:t>创世记》的作者记载道：</w:t>
      </w:r>
      <w:r w:rsidRPr="006A21F9">
        <w:rPr>
          <w:i/>
          <w:iCs/>
          <w:lang w:val="ru-RU"/>
        </w:rPr>
        <w:t>“神就造人，是照着他的形像造的，乃是照着他的形像造男</w:t>
      </w:r>
      <w:r w:rsidRPr="006A21F9">
        <w:rPr>
          <w:lang w:val="ru-RU"/>
        </w:rPr>
        <w:t>造女”（创世记1:27）。接着</w:t>
      </w:r>
      <w:r w:rsidRPr="006A21F9">
        <w:rPr>
          <w:i/>
          <w:iCs/>
          <w:lang w:val="ru-RU"/>
        </w:rPr>
        <w:t>又说</w:t>
      </w:r>
      <w:r w:rsidRPr="006A21F9">
        <w:rPr>
          <w:lang w:val="ru-RU"/>
        </w:rPr>
        <w:t>：</w:t>
      </w:r>
      <w:r w:rsidRPr="006A21F9">
        <w:rPr>
          <w:i/>
          <w:iCs/>
          <w:lang w:val="ru-RU"/>
        </w:rPr>
        <w:t>“耶和华神用那人身上所取的肋骨，造成一个女人，领她到那人跟前。” 那人说：“看哪，这是我骨中的骨，肉中的肉；她要称为‘妻子’，因为她是从男人身上取出来的。”因此，人要离开父母，与妻子结合，二人便成为一体</w:t>
      </w:r>
      <w:r w:rsidRPr="006A21F9">
        <w:rPr>
          <w:lang w:val="ru-RU"/>
        </w:rPr>
        <w:t>[（创世记2:22-24）；引自 （太19:4-6）]。救主基督亲自证实并阐释了这条律法，他说：</w:t>
      </w:r>
      <w:r w:rsidRPr="006A21F9">
        <w:rPr>
          <w:i/>
          <w:iCs/>
          <w:lang w:val="ru-RU"/>
        </w:rPr>
        <w:t>“起初，造物主造男造女。” 又说：‘因此，人要离开父母，与妻子结合，二人便成为一体</w:t>
      </w:r>
      <w:r w:rsidRPr="006A21F9">
        <w:rPr>
          <w:lang w:val="ru-RU"/>
        </w:rPr>
        <w:t>’（马太福音19:4-5）。圣使徒保罗也向基督徒明确指出了这一律法，他说：</w:t>
      </w:r>
      <w:r w:rsidRPr="006A21F9">
        <w:rPr>
          <w:i/>
          <w:iCs/>
          <w:lang w:val="ru-RU"/>
        </w:rPr>
        <w:t>‘各人当有自己的妻子……妻子不能自主自己的身体，乃是丈夫； 同样，丈夫也不能自主自己的身体，而是由妻子掌管</w:t>
      </w:r>
      <w:r w:rsidRPr="006A21F9">
        <w:rPr>
          <w:lang w:val="ru-RU"/>
        </w:rPr>
        <w:t>（林前7:2-4），并向基督徒夫妇阐明，他们的结合在奥秘中象征着基督与教会的结合（弗5:23及以下）。此后，所有圣父和教会的教师也都这样教导关于婚姻的这一律法。</w:t>
      </w:r>
      <w:r>
        <w:rPr>
          <w:rStyle w:val="FootnoteReference"/>
        </w:rPr>
        <w:footnoteReference w:id="1517"/>
      </w:r>
    </w:p>
    <w:p w14:paraId="71C4ABA8" w14:textId="77777777" w:rsidR="00BE1885" w:rsidRPr="006A21F9" w:rsidRDefault="00BE1885" w:rsidP="00BE1885">
      <w:pPr>
        <w:rPr>
          <w:lang w:val="ru-RU"/>
        </w:rPr>
      </w:pPr>
      <w:r w:rsidRPr="006A21F9">
        <w:rPr>
          <w:lang w:val="ru-RU"/>
        </w:rPr>
        <w:tab/>
        <w:t>不过，虽然圣洁的信仰禁止同时拥有两名或多名妻子（或丈夫），但在配偶中有一方去世的情况下，并不禁止另一方再婚，尽管它更提倡在再婚之前保持贞洁的寡居状态。 圣使徒写道：“</w:t>
      </w:r>
      <w:r w:rsidRPr="006A21F9">
        <w:rPr>
          <w:i/>
          <w:iCs/>
          <w:lang w:val="ru-RU"/>
        </w:rPr>
        <w:t>至于未婚者和寡妇</w:t>
      </w:r>
      <w:r w:rsidRPr="006A21F9">
        <w:rPr>
          <w:lang w:val="ru-RU"/>
        </w:rPr>
        <w:t>，</w:t>
      </w:r>
      <w:r w:rsidRPr="006A21F9">
        <w:rPr>
          <w:i/>
          <w:iCs/>
          <w:lang w:val="ru-RU"/>
        </w:rPr>
        <w:t>我劝他们最好像我一样保持独身。但如果他们无法克制，就让他们结婚；因为 ，结婚总比情欲难耐要好</w:t>
      </w:r>
      <w:r w:rsidRPr="006A21F9">
        <w:rPr>
          <w:lang w:val="ru-RU"/>
        </w:rPr>
        <w:t>”（林前7:8-9）。 此外：</w:t>
      </w:r>
      <w:r w:rsidRPr="006A21F9">
        <w:rPr>
          <w:i/>
          <w:iCs/>
          <w:lang w:val="ru-RU"/>
        </w:rPr>
        <w:t xml:space="preserve">妻子在丈夫活着的时候受律法约束；若丈夫死了，她便在主里自由，可以嫁给谁就嫁给谁。但若她保持现状，便更为有福 </w:t>
      </w:r>
      <w:r w:rsidRPr="006A21F9">
        <w:rPr>
          <w:lang w:val="ru-RU"/>
        </w:rPr>
        <w:t xml:space="preserve">[(林前 7:39-40；另见 (罗 7:2-3)；(提后 5:14)]。 </w:t>
      </w:r>
      <w:r w:rsidRPr="006A21F9">
        <w:rPr>
          <w:lang w:val="ru-RU"/>
        </w:rPr>
        <w:lastRenderedPageBreak/>
        <w:t>同样，圣父们也从未禁止那些愿意再婚的人；</w:t>
      </w:r>
      <w:r>
        <w:rPr>
          <w:rStyle w:val="FootnoteReference"/>
        </w:rPr>
        <w:footnoteReference w:id="1518"/>
      </w:r>
      <w:r w:rsidRPr="006A21F9">
        <w:rPr>
          <w:lang w:val="ru-RU"/>
        </w:rPr>
        <w:t xml:space="preserve"> 但他们仅根据使徒上述的话语，将此视为对人类软弱的一种宽容，以及基督徒完美境界的不足。</w:t>
      </w:r>
      <w:r>
        <w:rPr>
          <w:rStyle w:val="FootnoteReference"/>
        </w:rPr>
        <w:footnoteReference w:id="1519"/>
      </w:r>
      <w:r w:rsidRPr="006A21F9">
        <w:rPr>
          <w:lang w:val="ru-RU"/>
        </w:rPr>
        <w:t xml:space="preserve"> 因此，他们在自己的规则中规定，再婚者有时应进行教会忏悔， 如同未遵守基督徒应有的节制一般，</w:t>
      </w:r>
      <w:r>
        <w:rPr>
          <w:rStyle w:val="FootnoteReference"/>
        </w:rPr>
        <w:footnoteReference w:id="1520"/>
      </w:r>
      <w:r w:rsidRPr="006A21F9">
        <w:rPr>
          <w:lang w:val="ru-RU"/>
        </w:rPr>
        <w:t xml:space="preserve"> 使这种婚姻的仪式以较少的教会庄严形式举行，并取消初婚时所用的某些神圣礼仪，</w:t>
      </w:r>
      <w:r>
        <w:rPr>
          <w:rStyle w:val="FootnoteReference"/>
        </w:rPr>
        <w:footnoteReference w:id="1521"/>
      </w:r>
      <w:r w:rsidRPr="006A21F9">
        <w:rPr>
          <w:lang w:val="ru-RU"/>
        </w:rPr>
        <w:t xml:space="preserve"> 且不允许再婚者担任教会圣职 [(提摩太前书 3:3-12)； (提多书 1:6)]。</w:t>
      </w:r>
      <w:r>
        <w:rPr>
          <w:rStyle w:val="FootnoteReference"/>
        </w:rPr>
        <w:footnoteReference w:id="1522"/>
      </w:r>
      <w:r w:rsidRPr="006A21F9">
        <w:rPr>
          <w:lang w:val="ru-RU"/>
        </w:rPr>
        <w:t xml:space="preserve"> 至于第三次婚姻：根据上述教父们的规则，尽管这在教会中属于不洁，但总比淫乱要好，因此被允许，只是必须接受比再婚者更严厉的忏悔；而第四次婚姻，作为一夫多妻制，则被完全禁止。</w:t>
      </w:r>
      <w:r>
        <w:rPr>
          <w:rStyle w:val="FootnoteReference"/>
        </w:rPr>
        <w:footnoteReference w:id="1523"/>
      </w:r>
    </w:p>
    <w:p w14:paraId="20FA3B74" w14:textId="77777777" w:rsidR="00BE1885" w:rsidRPr="006A21F9" w:rsidRDefault="00BE1885" w:rsidP="00BE1885">
      <w:pPr>
        <w:ind w:firstLine="708"/>
        <w:rPr>
          <w:lang w:val="ru-RU"/>
        </w:rPr>
      </w:pPr>
      <w:r w:rsidRPr="006A21F9">
        <w:rPr>
          <w:b/>
          <w:bCs/>
          <w:lang w:val="ru-RU"/>
        </w:rPr>
        <w:t>2.</w:t>
      </w:r>
      <w:r w:rsidRPr="006A21F9">
        <w:rPr>
          <w:lang w:val="ru-RU"/>
        </w:rPr>
        <w:t xml:space="preserve"> 基督教婚姻的第二个特征——不可解除性，同样源于造物主在人类本性中设立、并由救主基督阐明的原始婚姻法。 当法利赛人问祂：</w:t>
      </w:r>
      <w:r w:rsidRPr="006A21F9">
        <w:rPr>
          <w:i/>
          <w:iCs/>
          <w:lang w:val="ru-RU"/>
        </w:rPr>
        <w:t>“人无论出于什么原因都可以休妻</w:t>
      </w:r>
      <w:r w:rsidRPr="006A21F9">
        <w:rPr>
          <w:lang w:val="ru-RU"/>
        </w:rPr>
        <w:t>吗？”祂回答说：</w:t>
      </w:r>
      <w:r w:rsidRPr="006A21F9">
        <w:rPr>
          <w:i/>
          <w:iCs/>
          <w:lang w:val="ru-RU"/>
        </w:rPr>
        <w:t>“你们没有读过吗？起初，造物主造男造女， 又说：‘因此，人要离开父母，与妻子连合，二人成为一体；这样，他们不再是两个人，而是一体了</w:t>
      </w:r>
      <w:r w:rsidRPr="006A21F9">
        <w:rPr>
          <w:lang w:val="ru-RU"/>
        </w:rPr>
        <w:t>。</w:t>
      </w:r>
      <w:r w:rsidRPr="006A21F9">
        <w:rPr>
          <w:i/>
          <w:iCs/>
          <w:lang w:val="ru-RU"/>
        </w:rPr>
        <w:t>所以，神所配合的，人不可分开</w:t>
      </w:r>
      <w:r w:rsidRPr="006A21F9">
        <w:rPr>
          <w:lang w:val="ru-RU"/>
        </w:rPr>
        <w:t>。</w:t>
      </w:r>
      <w:r w:rsidRPr="006A21F9">
        <w:rPr>
          <w:i/>
          <w:iCs/>
          <w:lang w:val="ru-RU"/>
        </w:rPr>
        <w:t>’</w:t>
      </w:r>
      <w:r w:rsidRPr="006A21F9">
        <w:rPr>
          <w:lang w:val="ru-RU"/>
        </w:rPr>
        <w:t xml:space="preserve"> 当有人反驳说：</w:t>
      </w:r>
      <w:r w:rsidRPr="006A21F9">
        <w:rPr>
          <w:i/>
          <w:iCs/>
          <w:lang w:val="ru-RU"/>
        </w:rPr>
        <w:t>“摩西吩咐给休书休妻”</w:t>
      </w:r>
      <w:r w:rsidRPr="009933FF">
        <w:rPr>
          <w:lang w:val="ru-RU"/>
        </w:rPr>
        <w:t>（太19:7）</w:t>
      </w:r>
      <w:r w:rsidRPr="006A21F9">
        <w:rPr>
          <w:lang w:val="ru-RU"/>
        </w:rPr>
        <w:t>时，主说：</w:t>
      </w:r>
      <w:r w:rsidRPr="006A21F9">
        <w:rPr>
          <w:i/>
          <w:iCs/>
          <w:lang w:val="ru-RU"/>
        </w:rPr>
        <w:t>“摩西因为你们的心硬，才准许你们休妻；起初并不是这样</w:t>
      </w:r>
      <w:r w:rsidRPr="006A21F9">
        <w:rPr>
          <w:lang w:val="ru-RU"/>
        </w:rPr>
        <w:t>”（太19:3-8；参 （可10:2-9）]。随后，当门徒就同一问题向祂请教时，祂指出：</w:t>
      </w:r>
      <w:r w:rsidRPr="006A21F9">
        <w:rPr>
          <w:i/>
          <w:iCs/>
          <w:lang w:val="ru-RU"/>
        </w:rPr>
        <w:t>凡不是因淫乱的缘故休妻而另娶的，就是犯奸淫；娶被休之妻的，也是犯奸淫的</w:t>
      </w:r>
      <w:r w:rsidRPr="006A21F9">
        <w:rPr>
          <w:lang w:val="ru-RU"/>
        </w:rPr>
        <w:t>[（可10:11-12）；引自 （路加福音 16:18）]。主关于婚姻不可解除的教导也由圣使徒们宣讲：</w:t>
      </w:r>
      <w:r w:rsidRPr="006A21F9">
        <w:rPr>
          <w:i/>
          <w:iCs/>
          <w:lang w:val="ru-RU"/>
        </w:rPr>
        <w:t>对于已婚者，我并不吩咐， 而是主吩咐的：妻子不可与丈夫离婚——若离婚，就当守身如玉，或与丈夫和好；丈夫也不可离弃妻子</w:t>
      </w:r>
      <w:r w:rsidRPr="006A21F9">
        <w:rPr>
          <w:lang w:val="ru-RU"/>
        </w:rPr>
        <w:t>（林前7:10-11）。 在另一处经文中也提到：</w:t>
      </w:r>
      <w:r w:rsidRPr="006A21F9">
        <w:rPr>
          <w:i/>
          <w:iCs/>
          <w:lang w:val="ru-RU"/>
        </w:rPr>
        <w:t>已婚妇女因律法与在世的丈夫相系；若丈夫去世，她便从婚姻的律法中得释放。 因此，若丈夫尚在世时她另嫁他人，便被称为淫妇；若丈夫去世，她便脱离了婚姻的律法，再嫁他人便不算淫妇</w:t>
      </w:r>
      <w:r w:rsidRPr="006A21F9">
        <w:rPr>
          <w:lang w:val="ru-RU"/>
        </w:rPr>
        <w:t xml:space="preserve">（罗7:2-3）。 既然救主本人及其使徒关于婚姻不可解除的教导如此明确——即使在配偶中有一方去世之前也是如此——那么，所有教会教师一致宣讲同一真理也就顺理成章了，例如： </w:t>
      </w:r>
      <w:r w:rsidRPr="006A21F9">
        <w:rPr>
          <w:lang w:val="ru-RU"/>
        </w:rPr>
        <w:lastRenderedPageBreak/>
        <w:t>圣殉道者尤斯丁、亚历山大的克利门特、大圣巴西尔、圣约翰·金口、圣埃皮法尼乌斯、亚历山大的圣西里尔以及许多其他人。</w:t>
      </w:r>
      <w:r>
        <w:rPr>
          <w:rStyle w:val="FootnoteReference"/>
        </w:rPr>
        <w:footnoteReference w:id="1524"/>
      </w:r>
    </w:p>
    <w:p w14:paraId="3AC78883" w14:textId="77777777" w:rsidR="00BE1885" w:rsidRPr="006A21F9" w:rsidRDefault="00BE1885" w:rsidP="00BE1885">
      <w:pPr>
        <w:rPr>
          <w:lang w:val="ru-RU"/>
        </w:rPr>
      </w:pPr>
      <w:r w:rsidRPr="006A21F9">
        <w:rPr>
          <w:lang w:val="ru-RU"/>
        </w:rPr>
        <w:tab/>
        <w:t>救主仅指出了一种允许解除婚姻的情况，那就是配偶一方不忠、背叛婚姻盟约：</w:t>
      </w:r>
      <w:r w:rsidRPr="006A21F9">
        <w:rPr>
          <w:i/>
          <w:iCs/>
          <w:lang w:val="ru-RU"/>
        </w:rPr>
        <w:t>凡不是因通奸而休妻，却另娶他人者，就是犯了通奸罪</w:t>
      </w:r>
      <w:r w:rsidRPr="006A21F9">
        <w:rPr>
          <w:lang w:val="ru-RU"/>
        </w:rPr>
        <w:t xml:space="preserve">（马太福音19:9）： </w:t>
      </w:r>
      <w:r w:rsidRPr="006A21F9">
        <w:rPr>
          <w:i/>
          <w:iCs/>
          <w:lang w:val="ru-RU"/>
        </w:rPr>
        <w:t>“凡休妻的，若不是因淫乱的缘故，就是叫她陷在淫乱里了</w:t>
      </w:r>
      <w:r w:rsidRPr="006A21F9">
        <w:rPr>
          <w:lang w:val="ru-RU"/>
        </w:rPr>
        <w:t>”（马太福音 5:32）。 圣公会议和圣父们的规则 也仅指出这一种允许解除婚姻的情况，尽管同时指出，即使在此情况下，夫妻的结合仍可通过和解而保持有效，并保持不可解除的状态。</w:t>
      </w:r>
      <w:r>
        <w:rPr>
          <w:rStyle w:val="FootnoteReference"/>
        </w:rPr>
        <w:footnoteReference w:id="1525"/>
      </w:r>
    </w:p>
    <w:p w14:paraId="13CCEC59" w14:textId="77777777" w:rsidR="00BE1885" w:rsidRPr="006A21F9" w:rsidRDefault="00BE1885" w:rsidP="00BE1885">
      <w:pPr>
        <w:rPr>
          <w:lang w:val="ru-RU"/>
        </w:rPr>
      </w:pPr>
    </w:p>
    <w:p w14:paraId="3793D53E" w14:textId="77777777" w:rsidR="00BE1885" w:rsidRPr="006A21F9" w:rsidRDefault="00BE1885" w:rsidP="00BE1885">
      <w:pPr>
        <w:pStyle w:val="Heading4"/>
        <w:rPr>
          <w:lang w:val="ru-RU"/>
        </w:rPr>
      </w:pPr>
      <w:bookmarkStart w:id="974" w:name="_Toc133142616"/>
      <w:bookmarkStart w:id="975" w:name="_Toc133143009"/>
      <w:bookmarkStart w:id="976" w:name="_Toc133166366"/>
      <w:bookmarkStart w:id="977" w:name="_Toc182221576"/>
      <w:bookmarkStart w:id="978" w:name="_Toc238453143"/>
      <w:bookmarkStart w:id="979" w:name="_Toc238453943"/>
      <w:bookmarkStart w:id="980" w:name="_Toc238454336"/>
      <w:bookmarkStart w:id="981" w:name="_Toc238466418"/>
      <w:bookmarkStart w:id="982" w:name="_Toc238576603"/>
      <w:r w:rsidRPr="006A21F9">
        <w:rPr>
          <w:bCs/>
          <w:lang w:val="ru-RU"/>
        </w:rPr>
        <w:t>7.</w:t>
      </w:r>
      <w:r w:rsidRPr="006A21F9">
        <w:rPr>
          <w:lang w:val="ru-RU"/>
        </w:rPr>
        <w:t xml:space="preserve"> 关于司铎圣事</w:t>
      </w:r>
      <w:bookmarkEnd w:id="974"/>
      <w:bookmarkEnd w:id="975"/>
      <w:bookmarkEnd w:id="976"/>
      <w:bookmarkEnd w:id="977"/>
      <w:bookmarkEnd w:id="978"/>
      <w:bookmarkEnd w:id="979"/>
      <w:bookmarkEnd w:id="980"/>
      <w:bookmarkEnd w:id="981"/>
      <w:bookmarkEnd w:id="982"/>
    </w:p>
    <w:p w14:paraId="3D688D3B" w14:textId="77777777" w:rsidR="00BE1885" w:rsidRPr="006A21F9" w:rsidRDefault="00BE1885" w:rsidP="00BE1885">
      <w:pPr>
        <w:rPr>
          <w:lang w:val="ru-RU"/>
        </w:rPr>
      </w:pPr>
    </w:p>
    <w:p w14:paraId="6EFEE4E0" w14:textId="77777777" w:rsidR="00BE1885" w:rsidRPr="006A21F9" w:rsidRDefault="00BE1885" w:rsidP="00BE1885">
      <w:pPr>
        <w:pStyle w:val="Heading5"/>
        <w:rPr>
          <w:lang w:val="ru-RU"/>
        </w:rPr>
      </w:pPr>
      <w:bookmarkStart w:id="983" w:name="_Toc133143010"/>
      <w:bookmarkStart w:id="984" w:name="_Toc133166367"/>
      <w:bookmarkStart w:id="985" w:name="_Toc182221577"/>
      <w:bookmarkStart w:id="986" w:name="_Toc238453144"/>
      <w:bookmarkStart w:id="987" w:name="_Toc238453944"/>
      <w:bookmarkStart w:id="988" w:name="_Toc238576604"/>
      <w:r w:rsidRPr="006A21F9">
        <w:rPr>
          <w:lang w:val="ru-RU"/>
        </w:rPr>
        <w:t>§238. 与前文的关联；圣职作为教会中由上帝设立的特殊事工（教会等级制度）及其三个等级；关于圣职作为圣事的概念</w:t>
      </w:r>
      <w:bookmarkEnd w:id="983"/>
      <w:bookmarkEnd w:id="984"/>
      <w:bookmarkEnd w:id="985"/>
      <w:bookmarkEnd w:id="986"/>
      <w:bookmarkEnd w:id="987"/>
      <w:bookmarkEnd w:id="988"/>
    </w:p>
    <w:p w14:paraId="439F5A6A" w14:textId="77777777" w:rsidR="00BE1885" w:rsidRPr="006A21F9" w:rsidRDefault="00BE1885" w:rsidP="00BE1885">
      <w:pPr>
        <w:ind w:firstLine="708"/>
        <w:rPr>
          <w:lang w:val="ru-RU"/>
        </w:rPr>
      </w:pPr>
      <w:r w:rsidRPr="006A21F9">
        <w:rPr>
          <w:lang w:val="ru-RU"/>
        </w:rPr>
        <w:t>在迄今阐述圣事教义时，我们曾指出，每一项圣事都只能由教会的牧者——即主教和司铎——来施行并传授给信徒。 但为了使人们能够成为基督教会的神职人员并获得施行圣事的权柄，主还设立了一个特殊的圣事——圣职圣事。</w:t>
      </w:r>
    </w:p>
    <w:p w14:paraId="535C63DB" w14:textId="77777777" w:rsidR="00BE1885" w:rsidRPr="006A21F9" w:rsidRDefault="00BE1885" w:rsidP="00BE1885">
      <w:pPr>
        <w:rPr>
          <w:lang w:val="ru-RU"/>
        </w:rPr>
      </w:pPr>
      <w:r w:rsidRPr="006A21F9">
        <w:rPr>
          <w:lang w:val="ru-RU"/>
        </w:rPr>
        <w:tab/>
        <w:t>“圣职”具有双重含义：一是指教会中一个特殊的群体、一种特殊的侍奉，即所谓的“圣职等级”（神职体系）；二是指一种特殊的圣礼，通过该圣礼，人们被祝圣并委任进入这一侍奉。关于第一层含义的圣职，我们已经探讨过，并看到：</w:t>
      </w:r>
    </w:p>
    <w:p w14:paraId="1A6FB01D"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主亲自设立了圣职体系，即牧者的阶层，</w:t>
      </w:r>
      <w:r>
        <w:rPr>
          <w:rStyle w:val="FootnoteReference"/>
        </w:rPr>
        <w:footnoteReference w:id="1526"/>
      </w:r>
      <w:r w:rsidRPr="006A21F9">
        <w:rPr>
          <w:lang w:val="ru-RU"/>
        </w:rPr>
        <w:t xml:space="preserve"> 祂仅授权这些人成为教会中的教师、圣礼施行者和属灵治理者，绝非将此职分授予所有信徒（§172）； </w:t>
      </w:r>
      <w:r w:rsidRPr="006A21F9">
        <w:rPr>
          <w:b/>
          <w:bCs/>
          <w:lang w:val="ru-RU"/>
        </w:rPr>
        <w:t>b)</w:t>
      </w:r>
      <w:r w:rsidRPr="006A21F9">
        <w:rPr>
          <w:lang w:val="ru-RU"/>
        </w:rPr>
        <w:t xml:space="preserve"> 该等级制度中存在三个由上帝设立的实质性等级：第一且最高的是主教、大主教的等级；第二且从属的是长老、司祭、神父的等级； 第三级也是最低级的是执事（§173），以及</w:t>
      </w:r>
      <w:r w:rsidRPr="006A21F9">
        <w:rPr>
          <w:b/>
          <w:bCs/>
          <w:lang w:val="ru-RU"/>
        </w:rPr>
        <w:t>——c)</w:t>
      </w:r>
      <w:r w:rsidRPr="006A21F9">
        <w:rPr>
          <w:lang w:val="ru-RU"/>
        </w:rPr>
        <w:t xml:space="preserve"> 这三个等级在彼此之间以及与信众之间都处于特定的关系之中，并在他们为教会共同服务的过程中发挥着特定的作用（§174）。现在我们来谈谈圣职作为圣礼的问题。</w:t>
      </w:r>
    </w:p>
    <w:p w14:paraId="49C3FD0F" w14:textId="77777777" w:rsidR="00BE1885" w:rsidRPr="006A21F9" w:rsidRDefault="00BE1885" w:rsidP="00BE1885">
      <w:pPr>
        <w:rPr>
          <w:lang w:val="ru-RU"/>
        </w:rPr>
      </w:pPr>
      <w:r w:rsidRPr="006A21F9">
        <w:rPr>
          <w:lang w:val="ru-RU"/>
        </w:rPr>
        <w:tab/>
        <w:t xml:space="preserve">所谓“圣职”作为一种圣事，指的自然是这样的神圣仪式：主教通过在被选者头上祈祷般地按手，将神的恩典降临于此人，使他得以成圣，并将其安置于教会等级制度中的特定职位， </w:t>
      </w:r>
      <w:r w:rsidRPr="006A21F9">
        <w:rPr>
          <w:lang w:val="ru-RU"/>
        </w:rPr>
        <w:lastRenderedPageBreak/>
        <w:t>并随后协助其履行圣职职责。此圣事亦称为“按立”（rucho-po-lenie），</w:t>
      </w:r>
      <w:r>
        <w:rPr>
          <w:rStyle w:val="FootnoteReference"/>
        </w:rPr>
        <w:footnoteReference w:id="1527"/>
      </w:r>
      <w:r w:rsidRPr="006A21F9">
        <w:rPr>
          <w:lang w:val="ru-RU"/>
        </w:rPr>
        <w:t xml:space="preserve"> “神秘按立”，</w:t>
      </w:r>
      <w:r>
        <w:rPr>
          <w:rStyle w:val="FootnoteReference"/>
        </w:rPr>
        <w:footnoteReference w:id="1528"/>
      </w:r>
      <w:r w:rsidRPr="006A21F9">
        <w:rPr>
          <w:lang w:val="ru-RU"/>
        </w:rPr>
        <w:t xml:space="preserve"> “晋升（神圣）圣职”，</w:t>
      </w:r>
      <w:r>
        <w:rPr>
          <w:rStyle w:val="FootnoteReference"/>
        </w:rPr>
        <w:footnoteReference w:id="1529"/>
      </w:r>
      <w:r w:rsidRPr="006A21F9">
        <w:rPr>
          <w:lang w:val="ru-RU"/>
        </w:rPr>
        <w:t xml:space="preserve"> “长老职的祝福”，</w:t>
      </w:r>
      <w:r>
        <w:rPr>
          <w:rStyle w:val="FootnoteReference"/>
        </w:rPr>
        <w:footnoteReference w:id="1530"/>
      </w:r>
      <w:r w:rsidRPr="006A21F9">
        <w:rPr>
          <w:lang w:val="ru-RU"/>
        </w:rPr>
        <w:t xml:space="preserve"> “圣职圣事”。</w:t>
      </w:r>
      <w:r>
        <w:rPr>
          <w:rStyle w:val="FootnoteReference"/>
        </w:rPr>
        <w:footnoteReference w:id="1531"/>
      </w:r>
    </w:p>
    <w:p w14:paraId="7ED00EF3" w14:textId="77777777" w:rsidR="00BE1885" w:rsidRPr="006A21F9" w:rsidRDefault="00BE1885" w:rsidP="00BE1885">
      <w:pPr>
        <w:rPr>
          <w:lang w:val="ru-RU"/>
        </w:rPr>
      </w:pPr>
      <w:r w:rsidRPr="006A21F9">
        <w:rPr>
          <w:lang w:val="ru-RU"/>
        </w:rPr>
        <w:tab/>
      </w:r>
    </w:p>
    <w:p w14:paraId="0EDA6CB4" w14:textId="77777777" w:rsidR="00BE1885" w:rsidRPr="006A21F9" w:rsidRDefault="00BE1885" w:rsidP="00BE1885">
      <w:pPr>
        <w:pStyle w:val="Heading5"/>
        <w:rPr>
          <w:lang w:val="ru-RU"/>
        </w:rPr>
      </w:pPr>
      <w:bookmarkStart w:id="989" w:name="_Toc133143011"/>
      <w:bookmarkStart w:id="990" w:name="_Toc133166368"/>
      <w:bookmarkStart w:id="991" w:name="_Toc182221578"/>
      <w:bookmarkStart w:id="992" w:name="_Toc238453145"/>
      <w:bookmarkStart w:id="993" w:name="_Toc238453945"/>
      <w:bookmarkStart w:id="994" w:name="_Toc238576605"/>
      <w:r w:rsidRPr="006A21F9">
        <w:rPr>
          <w:lang w:val="ru-RU"/>
        </w:rPr>
        <w:t>§239. 司铎圣事的 divine 设立及其有效性</w:t>
      </w:r>
      <w:bookmarkEnd w:id="989"/>
      <w:bookmarkEnd w:id="990"/>
      <w:bookmarkEnd w:id="991"/>
      <w:bookmarkEnd w:id="992"/>
      <w:bookmarkEnd w:id="993"/>
      <w:bookmarkEnd w:id="994"/>
    </w:p>
    <w:p w14:paraId="6C88E292"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司铎圣事的 divine 设立可从圣使徒们的行为中看出，他们自己遵照圣灵的指引——圣灵使他们记起主耶稣所吩咐的一切（约14:26）——施行了这一圣事，并通过按手礼将人晋升至圣职体系的全部三个等级。 因此，圣使徒保罗在嘱咐他的门徒、以弗所主教提摩太时，曾提及主教的按立： </w:t>
      </w:r>
      <w:r w:rsidRPr="006A21F9">
        <w:rPr>
          <w:i/>
          <w:iCs/>
          <w:lang w:val="ru-RU"/>
        </w:rPr>
        <w:t>“不要轻忽你里面那凭着先知预言，借着按手所赐的恩赐</w:t>
      </w:r>
      <w:r w:rsidRPr="006A21F9">
        <w:rPr>
          <w:lang w:val="ru-RU"/>
        </w:rPr>
        <w:t>”（提摩太前书 4:14），并在另一封书信中</w:t>
      </w:r>
      <w:r w:rsidRPr="006A21F9">
        <w:rPr>
          <w:i/>
          <w:iCs/>
          <w:lang w:val="ru-RU"/>
        </w:rPr>
        <w:t>说</w:t>
      </w:r>
      <w:r w:rsidRPr="006A21F9">
        <w:rPr>
          <w:lang w:val="ru-RU"/>
        </w:rPr>
        <w:t>：</w:t>
      </w:r>
      <w:r w:rsidRPr="006A21F9">
        <w:rPr>
          <w:i/>
          <w:iCs/>
          <w:lang w:val="ru-RU"/>
        </w:rPr>
        <w:t>“我提醒你，要重燃那借着我的按手在你里面所赐的上帝的恩赐</w:t>
      </w:r>
      <w:r w:rsidRPr="006A21F9">
        <w:rPr>
          <w:lang w:val="ru-RU"/>
        </w:rPr>
        <w:t>”（提摩太后书 1:6）。 关于按立为长老的事，我们在《使徒行传》中可以读到，该书记载使徒保罗和巴拿巴在小亚细亚的利斯特拉、以哥念、安提阿传道时，为每间教会按立了长老（徒14:23）。 关于执事按立的记载，我们可以在同一本圣经中读到，其中提到 首批七位执事：</w:t>
      </w:r>
      <w:r w:rsidRPr="006A21F9">
        <w:rPr>
          <w:i/>
          <w:iCs/>
          <w:lang w:val="ru-RU"/>
        </w:rPr>
        <w:t>他们被带到使徒面前，使徒们祷告后，便按手在他们身上</w:t>
      </w:r>
      <w:r w:rsidRPr="006A21F9">
        <w:rPr>
          <w:lang w:val="ru-RU"/>
        </w:rPr>
        <w:t>（使徒行传6:6）。 正因如此，圣使徒保罗见证说，主亲自赐给祂的教会的不只是使徒、先知、传福音的，还有牧师和教师</w:t>
      </w:r>
      <w:r w:rsidRPr="006A21F9">
        <w:rPr>
          <w:i/>
          <w:iCs/>
          <w:lang w:val="ru-RU"/>
        </w:rPr>
        <w:t>，为要成全圣徒，各尽其职</w:t>
      </w:r>
      <w:r w:rsidRPr="006A21F9">
        <w:rPr>
          <w:lang w:val="ru-RU"/>
        </w:rPr>
        <w:t xml:space="preserve">（以弗所书 4:11-12）；他在与以弗所教会的牧师们告别时说： </w:t>
      </w:r>
      <w:r w:rsidRPr="006A21F9">
        <w:rPr>
          <w:i/>
          <w:iCs/>
          <w:lang w:val="ru-RU"/>
        </w:rPr>
        <w:t>“你们应当谨慎，也要谨慎全群，就是圣灵立你们作监督的，要牧养主的教会</w:t>
      </w:r>
      <w:r w:rsidRPr="006A21F9">
        <w:rPr>
          <w:lang w:val="ru-RU"/>
        </w:rPr>
        <w:t>”（使徒行传20:28）。综合以上所有经文，揭示了一个真理，即圣职是一种真实的圣礼。 因为它不仅源于神，而且具有一种特殊的可见标志——按手礼；通过这一标志，一种特殊的恩赐、一种特殊的上帝之恩被赐予被拣选者，以致他们是由圣灵亲自立于其职分之上的；因此，它具备圣礼的所有本质特征。</w:t>
      </w:r>
    </w:p>
    <w:p w14:paraId="5A68E92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作为使徒传承的见证人，圣父们和教会导师们有时将按手礼描绘为圣事，谈及通过它传给被拣选之人的不可见恩典；有时甚至直接称其为圣事。例如：</w:t>
      </w:r>
    </w:p>
    <w:p w14:paraId="05C68A84" w14:textId="77777777" w:rsidR="00BE1885" w:rsidRPr="006A21F9" w:rsidRDefault="00BE1885" w:rsidP="00BE1885">
      <w:pPr>
        <w:rPr>
          <w:lang w:val="ru-RU"/>
        </w:rPr>
      </w:pPr>
      <w:r w:rsidRPr="006A21F9">
        <w:rPr>
          <w:lang w:val="ru-RU"/>
        </w:rPr>
        <w:tab/>
        <w:t>大圣巴西略：“背离教会的人已不再拥有圣灵的恩典。因为恩典的传承已然枯竭，正因合法的传承已被切断。因为最早背离的人是从教父们那里接受了祝圣，并通过他们按手而获得了属灵的恩赐。”</w:t>
      </w:r>
      <w:r>
        <w:rPr>
          <w:rStyle w:val="FootnoteReference"/>
        </w:rPr>
        <w:footnoteReference w:id="1532"/>
      </w:r>
    </w:p>
    <w:p w14:paraId="2CBCA6A6" w14:textId="77777777" w:rsidR="00BE1885" w:rsidRPr="006A21F9" w:rsidRDefault="00BE1885" w:rsidP="00BE1885">
      <w:pPr>
        <w:rPr>
          <w:lang w:val="ru-RU"/>
        </w:rPr>
      </w:pPr>
      <w:r w:rsidRPr="006A21F9">
        <w:rPr>
          <w:lang w:val="ru-RU"/>
        </w:rPr>
        <w:tab/>
        <w:t>圣约翰·金口。论《使徒行传》6:6：“看哪，这位史家多么精准。他没有说明‘如何’进行，而是简单地指出（七位执事）是在祷告中被按立的（</w:t>
      </w:r>
      <w:r w:rsidRPr="001E4083">
        <w:t>εχειροτονήθησαν</w:t>
      </w:r>
      <w:r w:rsidRPr="0097554A">
        <w:rPr>
          <w:lang w:val="ru-RU"/>
        </w:rPr>
        <w:t xml:space="preserve"> </w:t>
      </w:r>
      <w:r w:rsidRPr="001E4083">
        <w:t>διά</w:t>
      </w:r>
      <w:r w:rsidRPr="0097554A">
        <w:rPr>
          <w:lang w:val="ru-RU"/>
        </w:rPr>
        <w:t xml:space="preserve"> </w:t>
      </w:r>
      <w:r w:rsidRPr="001E4083">
        <w:t>προσευχής</w:t>
      </w:r>
      <w:r w:rsidRPr="006A21F9">
        <w:rPr>
          <w:lang w:val="ru-RU"/>
        </w:rPr>
        <w:t>）：因为这正是按立 （</w:t>
      </w:r>
      <w:r w:rsidRPr="001E4083">
        <w:t>χειροτονία</w:t>
      </w:r>
      <w:r w:rsidRPr="006A21F9">
        <w:rPr>
          <w:lang w:val="ru-RU"/>
        </w:rPr>
        <w:t>）。人虽按手，但一切皆由上帝成就；若按立仪式合乎规范，祂的手便会触及受按立者的头”……随后在（使徒行传6:8）中： “看哪，这七人中有一位最为杰出，且居首位。 因为虽然按手礼是共同的，但他却获得了更大的恩典。他以前并未行过神迹，但当时他已声名远扬；由此可见，单靠恩典是不够的，还需要按手礼，才能获得圣灵的增长。虽然他们以前就充满圣灵，但那是从受洗时就有的。”</w:t>
      </w:r>
      <w:r>
        <w:rPr>
          <w:rStyle w:val="FootnoteReference"/>
        </w:rPr>
        <w:footnoteReference w:id="1533"/>
      </w:r>
    </w:p>
    <w:p w14:paraId="5C51E6B9" w14:textId="77777777" w:rsidR="00BE1885" w:rsidRPr="006A21F9" w:rsidRDefault="00BE1885" w:rsidP="00BE1885">
      <w:pPr>
        <w:rPr>
          <w:lang w:val="ru-RU"/>
        </w:rPr>
      </w:pPr>
      <w:r w:rsidRPr="006A21F9">
        <w:rPr>
          <w:lang w:val="ru-RU"/>
        </w:rPr>
        <w:lastRenderedPageBreak/>
        <w:tab/>
        <w:t>大圣利奥：“除了这一习俗的重要性——正如我们所知，它是通过使徒传承传给我们的——圣经还揭示：当圣灵吩咐时， 使徒们差遣保罗和巴拿巴向外邦人传讲福音</w:t>
      </w:r>
      <w:r w:rsidRPr="006A21F9">
        <w:rPr>
          <w:i/>
          <w:iCs/>
          <w:lang w:val="ru-RU"/>
        </w:rPr>
        <w:t>时，他们先禁食祷告，然后按手在他们身上，便打发他们去了</w:t>
      </w:r>
      <w:r w:rsidRPr="006A21F9">
        <w:rPr>
          <w:lang w:val="ru-RU"/>
        </w:rPr>
        <w:t>（使徒行传13:3）， 让我们由此学习，无论是施予者还是接受者，都应怀着何等虔敬的心态，以免这一充满祝福的圣礼被草率地施行。因此，如果你在那些主已立你为首领的教会中，也能保持这种按立神父的方式，便表明你对使徒法规的顺服是虔诚且值得称赞的。”</w:t>
      </w:r>
      <w:r>
        <w:rPr>
          <w:rStyle w:val="FootnoteReference"/>
        </w:rPr>
        <w:footnoteReference w:id="1534"/>
      </w:r>
    </w:p>
    <w:p w14:paraId="4D0D3ECB" w14:textId="77777777" w:rsidR="00BE1885" w:rsidRPr="006A21F9" w:rsidRDefault="00BE1885" w:rsidP="00BE1885">
      <w:pPr>
        <w:rPr>
          <w:lang w:val="ru-RU"/>
        </w:rPr>
      </w:pPr>
      <w:r w:rsidRPr="006A21F9">
        <w:rPr>
          <w:lang w:val="ru-RU"/>
        </w:rPr>
        <w:tab/>
        <w:t>迦克墩大公会议的教父们说：“若某位主教为钱财施行按立， 将不可买卖的恩典变成商品，并为谋取可耻的私利，以金钱任命主教、副主教、长老、执事，或教会职员中的任何其他人，或以金钱任命财务长、圣物管理员、司库，或任何其他教会职务： 此人一旦被揭发企图如此行事，应被剥夺其现任职级。”</w:t>
      </w:r>
      <w:r>
        <w:rPr>
          <w:rStyle w:val="FootnoteReference"/>
        </w:rPr>
        <w:footnoteReference w:id="1535"/>
      </w:r>
    </w:p>
    <w:p w14:paraId="102EC7B1" w14:textId="77777777" w:rsidR="00BE1885" w:rsidRPr="007349D9" w:rsidRDefault="00BE1885" w:rsidP="00BE1885">
      <w:pPr>
        <w:rPr>
          <w:lang w:val="ru-RU"/>
        </w:rPr>
      </w:pPr>
      <w:r w:rsidRPr="006A21F9">
        <w:rPr>
          <w:lang w:val="ru-RU"/>
        </w:rPr>
        <w:tab/>
        <w:t>圣奥古斯丁。在论及圣职的不可替代性、反对多纳图斯派时，他论述道：“没有任何理由可以解释，为何一个不能失去洗礼本身的人，却会失去施洗的权利。 因为这两者都是圣事：两者都是通过某种圣化授予人的，前者是在受洗时，后者是在按立时。”</w:t>
      </w:r>
      <w:r>
        <w:rPr>
          <w:rStyle w:val="FootnoteReference"/>
        </w:rPr>
        <w:footnoteReference w:id="1536"/>
      </w:r>
    </w:p>
    <w:p w14:paraId="6DAF91E3" w14:textId="77777777" w:rsidR="00BE1885" w:rsidRPr="007349D9" w:rsidRDefault="00BE1885" w:rsidP="00BE1885">
      <w:pPr>
        <w:rPr>
          <w:lang w:val="ru-RU"/>
        </w:rPr>
      </w:pPr>
      <w:r w:rsidRPr="006A21F9">
        <w:rPr>
          <w:lang w:val="ru-RU"/>
        </w:rPr>
        <w:tab/>
        <w:t>同样值得注意的是，所有存在于东方且早在古代就偏离了正统教义的基督教派，都一致承认圣职是教会圣事之一</w:t>
      </w:r>
      <w:r w:rsidRPr="007349D9">
        <w:rPr>
          <w:lang w:val="ru-RU"/>
        </w:rPr>
        <w:t>。</w:t>
      </w:r>
      <w:r>
        <w:rPr>
          <w:rStyle w:val="FootnoteReference"/>
        </w:rPr>
        <w:footnoteReference w:id="1537"/>
      </w:r>
    </w:p>
    <w:p w14:paraId="037CA156" w14:textId="77777777" w:rsidR="00BE1885" w:rsidRPr="007349D9" w:rsidRDefault="00BE1885" w:rsidP="00BE1885">
      <w:pPr>
        <w:rPr>
          <w:lang w:val="ru-RU"/>
        </w:rPr>
      </w:pPr>
    </w:p>
    <w:p w14:paraId="5F461B0F" w14:textId="77777777" w:rsidR="00BE1885" w:rsidRPr="006A21F9" w:rsidRDefault="00BE1885" w:rsidP="00BE1885">
      <w:pPr>
        <w:pStyle w:val="Heading5"/>
        <w:rPr>
          <w:lang w:val="ru-RU"/>
        </w:rPr>
      </w:pPr>
      <w:bookmarkStart w:id="995" w:name="_Toc133143012"/>
      <w:bookmarkStart w:id="996" w:name="_Toc133166369"/>
      <w:bookmarkStart w:id="997" w:name="_Toc182221579"/>
      <w:bookmarkStart w:id="998" w:name="_Toc238453146"/>
      <w:bookmarkStart w:id="999" w:name="_Toc238453946"/>
      <w:bookmarkStart w:id="1000" w:name="_Toc238576606"/>
      <w:r w:rsidRPr="006A21F9">
        <w:rPr>
          <w:lang w:val="ru-RU"/>
        </w:rPr>
        <w:t>§240. 圣职圣事的可见方面、其不可见的作用及其不可重复性</w:t>
      </w:r>
      <w:bookmarkEnd w:id="995"/>
      <w:bookmarkEnd w:id="996"/>
      <w:bookmarkEnd w:id="997"/>
      <w:bookmarkEnd w:id="998"/>
      <w:bookmarkEnd w:id="999"/>
      <w:bookmarkEnd w:id="1000"/>
    </w:p>
    <w:p w14:paraId="1F88FED8"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圣职圣事的可见部分是由祈祷伴随的按手礼。</w:t>
      </w:r>
    </w:p>
    <w:p w14:paraId="65A569A0" w14:textId="77777777" w:rsidR="00BE1885" w:rsidRPr="006A21F9" w:rsidRDefault="00BE1885" w:rsidP="00BE1885">
      <w:pPr>
        <w:ind w:firstLine="708"/>
        <w:rPr>
          <w:lang w:val="ru-RU"/>
        </w:rPr>
      </w:pPr>
      <w:r w:rsidRPr="006A21F9">
        <w:rPr>
          <w:b/>
          <w:bCs/>
          <w:lang w:val="ru-RU"/>
        </w:rPr>
        <w:t>1)</w:t>
      </w:r>
      <w:r w:rsidRPr="006A21F9">
        <w:rPr>
          <w:lang w:val="ru-RU"/>
        </w:rPr>
        <w:t xml:space="preserve"> 按手礼。圣经对此有明确记载，指出从一开始，无论是按立为主教[(提摩太前书 4:14</w:t>
      </w:r>
      <w:r w:rsidRPr="00BC7082">
        <w:rPr>
          <w:lang w:val="ru-RU"/>
        </w:rPr>
        <w:t>)</w:t>
      </w:r>
      <w:r w:rsidRPr="006A21F9">
        <w:rPr>
          <w:lang w:val="ru-RU"/>
        </w:rPr>
        <w:t>；</w:t>
      </w:r>
      <w:r w:rsidRPr="00BC7082">
        <w:rPr>
          <w:lang w:val="ru-RU"/>
        </w:rPr>
        <w:t>(</w:t>
      </w:r>
      <w:r w:rsidRPr="006A21F9">
        <w:rPr>
          <w:lang w:val="ru-RU"/>
        </w:rPr>
        <w:t>提摩太后书 1:5)</w:t>
      </w:r>
      <w:r w:rsidRPr="00BC7082">
        <w:rPr>
          <w:lang w:val="ru-RU"/>
        </w:rPr>
        <w:t>]</w:t>
      </w:r>
      <w:r w:rsidRPr="006A21F9">
        <w:rPr>
          <w:lang w:val="ru-RU"/>
        </w:rPr>
        <w:t>，还是按立为长老</w:t>
      </w:r>
      <w:r w:rsidRPr="00BC7082">
        <w:rPr>
          <w:lang w:val="ru-RU"/>
        </w:rPr>
        <w:t>[</w:t>
      </w:r>
      <w:r w:rsidRPr="006A21F9">
        <w:rPr>
          <w:lang w:val="ru-RU"/>
        </w:rPr>
        <w:t>(提摩太前书 5:22</w:t>
      </w:r>
      <w:r w:rsidRPr="00BC7082">
        <w:rPr>
          <w:lang w:val="ru-RU"/>
        </w:rPr>
        <w:t>)</w:t>
      </w:r>
      <w:r w:rsidRPr="006A21F9">
        <w:rPr>
          <w:lang w:val="ru-RU"/>
        </w:rPr>
        <w:t xml:space="preserve">； </w:t>
      </w:r>
      <w:r w:rsidRPr="00BC7082">
        <w:rPr>
          <w:lang w:val="ru-RU"/>
        </w:rPr>
        <w:t>（</w:t>
      </w:r>
      <w:r w:rsidRPr="006A21F9">
        <w:rPr>
          <w:lang w:val="ru-RU"/>
        </w:rPr>
        <w:t>提多书 1:5）</w:t>
      </w:r>
      <w:r w:rsidRPr="00BC7082">
        <w:rPr>
          <w:lang w:val="ru-RU"/>
        </w:rPr>
        <w:t>]</w:t>
      </w:r>
      <w:r w:rsidRPr="006A21F9">
        <w:rPr>
          <w:lang w:val="ru-RU"/>
        </w:rPr>
        <w:t>，以及执事圣职（使徒行传 6:6）的祝圣，都是通过按手礼完成的。圣使徒的规条</w:t>
      </w:r>
      <w:r>
        <w:rPr>
          <w:rStyle w:val="FootnoteReference"/>
        </w:rPr>
        <w:footnoteReference w:id="1538"/>
      </w:r>
      <w:r w:rsidRPr="006A21F9">
        <w:rPr>
          <w:lang w:val="ru-RU"/>
        </w:rPr>
        <w:t xml:space="preserve"> 以及所谓的《使徒宪章》也对此作了见证。</w:t>
      </w:r>
      <w:r>
        <w:rPr>
          <w:rStyle w:val="FootnoteReference"/>
        </w:rPr>
        <w:footnoteReference w:id="1539"/>
      </w:r>
      <w:r w:rsidRPr="006A21F9">
        <w:rPr>
          <w:lang w:val="ru-RU"/>
        </w:rPr>
        <w:t xml:space="preserve"> 普世大公会议和地方大公会议也对此予以证实：第一尼西亚大公会议（第4和19条）、安基拉大公会议（第13条）、安提阿大公会议（第10条）、哈尔迪孔大公会议（第6条）、迦太基大公会议（第36、59</w:t>
      </w:r>
      <w:r w:rsidRPr="006A21F9">
        <w:rPr>
          <w:lang w:val="ru-RU"/>
        </w:rPr>
        <w:lastRenderedPageBreak/>
        <w:t>、100条）等。 最后，圣教父和教会导师们也各自作证，特别提到通过按手礼任命为主教（</w:t>
      </w:r>
      <w:r>
        <w:rPr>
          <w:rStyle w:val="FootnoteReference"/>
        </w:rPr>
        <w:footnoteReference w:id="1540"/>
      </w:r>
      <w:r w:rsidRPr="006A21F9">
        <w:rPr>
          <w:lang w:val="ru-RU"/>
        </w:rPr>
        <w:t xml:space="preserve"> ）、长老（</w:t>
      </w:r>
      <w:r>
        <w:rPr>
          <w:rStyle w:val="FootnoteReference"/>
        </w:rPr>
        <w:footnoteReference w:id="1541"/>
      </w:r>
      <w:r w:rsidRPr="006A21F9">
        <w:rPr>
          <w:lang w:val="ru-RU"/>
        </w:rPr>
        <w:t xml:space="preserve"> ）和执事（ ）。</w:t>
      </w:r>
      <w:r>
        <w:rPr>
          <w:rStyle w:val="FootnoteReference"/>
        </w:rPr>
        <w:footnoteReference w:id="1542"/>
      </w:r>
    </w:p>
    <w:p w14:paraId="15D21211" w14:textId="77777777" w:rsidR="00BE1885" w:rsidRPr="006A21F9" w:rsidRDefault="00BE1885" w:rsidP="00BE1885">
      <w:pPr>
        <w:ind w:firstLine="708"/>
        <w:rPr>
          <w:lang w:val="ru-RU"/>
        </w:rPr>
      </w:pPr>
      <w:r w:rsidRPr="006A21F9">
        <w:rPr>
          <w:b/>
          <w:bCs/>
          <w:lang w:val="ru-RU"/>
        </w:rPr>
        <w:t>2)</w:t>
      </w:r>
      <w:r w:rsidRPr="006A21F9">
        <w:rPr>
          <w:lang w:val="ru-RU"/>
        </w:rPr>
        <w:t xml:space="preserve"> 与祈祷相结合。圣使徒们自己就是这样做的：他们祷告后，按立了最初的七位执事（使徒行传 6:6）；祷告后，在各教会中按立了长老（使徒行传 14:23）。 关于按立时的祷告——其中呼求圣灵降临在受按立者身上——古代教会导师们曾有记载。</w:t>
      </w:r>
      <w:r>
        <w:rPr>
          <w:rStyle w:val="FootnoteReference"/>
        </w:rPr>
        <w:footnoteReference w:id="1543"/>
      </w:r>
      <w:r w:rsidRPr="006A21F9">
        <w:rPr>
          <w:lang w:val="ru-RU"/>
        </w:rPr>
        <w:t xml:space="preserve"> 这一祷文至今仍在东正教会中使用，其内容如下： “神圣的恩典，既医治软弱，又补足缺乏，现将某位虔诚的副执事晋升为执事（或将执事晋升为长老）：让我们为他祈祷，愿至圣圣灵的恩典降临于他。”</w:t>
      </w:r>
      <w:r>
        <w:rPr>
          <w:rStyle w:val="FootnoteReference"/>
        </w:rPr>
        <w:footnoteReference w:id="1544"/>
      </w:r>
    </w:p>
    <w:p w14:paraId="370BE214"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圣职圣事的隐形作用在于：通过它，在祈祷之后，受按立者确实获得了与他未来事工相称的神圣恩典，即圣职的恩典。正如我们已经看到的，</w:t>
      </w:r>
    </w:p>
    <w:p w14:paraId="5DECF32E"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圣使徒保罗曾向以弗所的主教提摩太明确指出： </w:t>
      </w:r>
      <w:r w:rsidRPr="006A21F9">
        <w:rPr>
          <w:i/>
          <w:iCs/>
          <w:lang w:val="ru-RU"/>
        </w:rPr>
        <w:t>“不要轻忽你里面那凭着先知预言，藉着按手所赐的恩赐”</w:t>
      </w:r>
      <w:r w:rsidRPr="006A21F9">
        <w:rPr>
          <w:lang w:val="ru-RU"/>
        </w:rPr>
        <w:t>（提摩太前书 4:14）；</w:t>
      </w:r>
      <w:r w:rsidRPr="006A21F9">
        <w:rPr>
          <w:i/>
          <w:iCs/>
          <w:lang w:val="ru-RU"/>
        </w:rPr>
        <w:t>“我提醒你，要重燃那藉着我的按手在你里面所赐的上帝的恩赐”</w:t>
      </w:r>
      <w:r w:rsidRPr="006A21F9">
        <w:rPr>
          <w:lang w:val="ru-RU"/>
        </w:rPr>
        <w:t>（提摩太后书 1:6）；</w:t>
      </w:r>
    </w:p>
    <w:p w14:paraId="663A0459"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哈利康大公会议的教父们将其视为不可买卖的恩典（参见第2条）；圣大巴西勒将其视为属灵的恩赐——</w:t>
      </w:r>
      <w:r>
        <w:rPr>
          <w:rStyle w:val="FootnoteReference"/>
        </w:rPr>
        <w:footnoteReference w:id="1545"/>
      </w:r>
      <w:r w:rsidRPr="006A21F9">
        <w:rPr>
          <w:lang w:val="ru-RU"/>
        </w:rPr>
        <w:t xml:space="preserve"> ；圣约翰·金口则将其视为圣灵的增长——</w:t>
      </w:r>
      <w:r>
        <w:rPr>
          <w:rStyle w:val="FootnoteReference"/>
        </w:rPr>
        <w:footnoteReference w:id="1546"/>
      </w:r>
      <w:r w:rsidRPr="006A21F9">
        <w:rPr>
          <w:lang w:val="ru-RU"/>
        </w:rPr>
        <w:t xml:space="preserve"> 。现在让我们再听听以下见证：</w:t>
      </w:r>
    </w:p>
    <w:p w14:paraId="5AC5C5F6" w14:textId="77777777" w:rsidR="00BE1885" w:rsidRPr="006A21F9" w:rsidRDefault="00BE1885" w:rsidP="00BE1885">
      <w:pPr>
        <w:rPr>
          <w:lang w:val="ru-RU"/>
        </w:rPr>
      </w:pPr>
      <w:r w:rsidRPr="006A21F9">
        <w:rPr>
          <w:lang w:val="ru-RU"/>
        </w:rPr>
        <w:tab/>
        <w:t>圣约翰·金口：</w:t>
      </w:r>
      <w:r w:rsidRPr="006A21F9">
        <w:rPr>
          <w:i/>
          <w:iCs/>
          <w:lang w:val="ru-RU"/>
        </w:rPr>
        <w:t>“我提醒你，要滋养上帝的</w:t>
      </w:r>
      <w:r w:rsidRPr="006A21F9">
        <w:rPr>
          <w:lang w:val="ru-RU"/>
        </w:rPr>
        <w:t>恩赐，即圣灵的恩典，你所领受的这恩典，是为了在教会中侍立、行神迹以及一切事奉。因为是熄灭还是滋养它，全在于我们。”</w:t>
      </w:r>
      <w:r>
        <w:rPr>
          <w:rStyle w:val="FootnoteReference"/>
        </w:rPr>
        <w:footnoteReference w:id="1547"/>
      </w:r>
      <w:r w:rsidRPr="006A21F9">
        <w:rPr>
          <w:lang w:val="ru-RU"/>
        </w:rPr>
        <w:t xml:space="preserve"> 在另一处他写道：“若有人深思，在仍身为血肉之躯的人类时，能亲近那蒙福且不朽的本性是何等重要；他便会清楚地看到，圣灵的恩典赋予了司祭何等崇高的尊荣。 他们既主持献祭，也履行其他与我们 的尊严和救赎相关的崇高事工。他们虽仍活在世上，却被委以管理天上的事务，并获得了连上帝都未赐予天使或大天使的权柄。”</w:t>
      </w:r>
      <w:r>
        <w:rPr>
          <w:rStyle w:val="FootnoteReference"/>
        </w:rPr>
        <w:footnoteReference w:id="1548"/>
      </w:r>
    </w:p>
    <w:p w14:paraId="70486354" w14:textId="77777777" w:rsidR="00BE1885" w:rsidRPr="006A21F9" w:rsidRDefault="00BE1885" w:rsidP="00BE1885">
      <w:pPr>
        <w:rPr>
          <w:lang w:val="ru-RU"/>
        </w:rPr>
      </w:pPr>
      <w:r w:rsidRPr="006A21F9">
        <w:rPr>
          <w:lang w:val="ru-RU"/>
        </w:rPr>
        <w:tab/>
        <w:t>圣格里高利·尼撒说：“圣言的力量使司祭变得重要且受人尊敬，通过新的祝福将他从众人中分别出来。 他昨日及此前不过是平民之一，转眼间却成了导师、领袖、教师、圣礼的施行者——而这一切，他的身体或外表却丝毫未变。 然而，尽管外表看来与从前无异，他在看不见的灵魂深处却因某种看不见的力量与恩典而变得更好。”</w:t>
      </w:r>
      <w:r>
        <w:rPr>
          <w:rStyle w:val="FootnoteReference"/>
        </w:rPr>
        <w:footnoteReference w:id="1549"/>
      </w:r>
    </w:p>
    <w:p w14:paraId="24177C1D" w14:textId="77777777" w:rsidR="00BE1885" w:rsidRPr="006A21F9" w:rsidRDefault="00BE1885" w:rsidP="00BE1885">
      <w:pPr>
        <w:rPr>
          <w:lang w:val="ru-RU"/>
        </w:rPr>
      </w:pPr>
      <w:r w:rsidRPr="006A21F9">
        <w:rPr>
          <w:lang w:val="ru-RU"/>
        </w:rPr>
        <w:lastRenderedPageBreak/>
        <w:tab/>
        <w:t>圣安布罗斯：“是谁赐予主教的恩典，是上帝，还是人？你无疑会回答：是上帝。但上帝是通过人来赐予的。 人按手，而上帝倾注恩典；司铎以谦卑的右手按手，而上帝以全能的右手赐福；主教施行祝圣，而上帝赋予尊荣。”</w:t>
      </w:r>
      <w:r>
        <w:rPr>
          <w:rStyle w:val="FootnoteReference"/>
        </w:rPr>
        <w:footnoteReference w:id="1550"/>
      </w:r>
    </w:p>
    <w:p w14:paraId="34011BE9" w14:textId="77777777" w:rsidR="00BE1885" w:rsidRPr="006A21F9" w:rsidRDefault="00BE1885" w:rsidP="00BE1885">
      <w:pPr>
        <w:rPr>
          <w:lang w:val="ru-RU"/>
        </w:rPr>
      </w:pPr>
      <w:r w:rsidRPr="006A21F9">
        <w:rPr>
          <w:lang w:val="ru-RU"/>
        </w:rPr>
        <w:tab/>
        <w:t>需要指出的是，虽然司祭的恩典只有一种，但通过圣礼的授予程度各不相同： 执事所获较少，长老所获较多，主教所获更多，这与他们在教会中的事奉职责相称；因此，根据按立所赋予的恩赐，主教既是首席教师，也是首席礼仪执行者，还是其所属教区的主管或首席牧者； 长老虽通过主教的按立获得全部权柄，但仅在其所属堂区内，且在主教的管辖下，才有权进行教导、主持圣礼及属灵管理； 而执事仅是主教和长老在服务教会时的协助者和同工，其自身既无权教导，也无权举行圣礼，更无权管理（参见§174）。</w:t>
      </w:r>
    </w:p>
    <w:p w14:paraId="2998760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通过按立所授予的圣职恩典，尽管程度各异， 但都以某种程度赋予执事、长老和主教一定的属灵权柄，并恒久地存于他们各自的灵魂之中：因此，无论是主教、长老还是执事，都不会再次被按立于同一圣职，而圣职圣事也被视为不可重复的。 圣使徒保罗在两次提醒提摩太主教关于他内住的恩赐（提摩太前书 4:14）以及他内住的上帝之恩（提摩太后书 1:6）时，便指出了第一个观点。第二个观点则体现在：</w:t>
      </w:r>
    </w:p>
    <w:p w14:paraId="58F5208B" w14:textId="77777777" w:rsidR="00BE1885" w:rsidRPr="006A21F9" w:rsidRDefault="00BE1885" w:rsidP="00BE1885">
      <w:pPr>
        <w:rPr>
          <w:lang w:val="ru-RU"/>
        </w:rPr>
      </w:pPr>
      <w:r w:rsidRPr="006A21F9">
        <w:rPr>
          <w:lang w:val="ru-RU"/>
        </w:rPr>
        <w:tab/>
        <w:t>《圣使徒规则》第68条：“若有人——无论是主教、长老还是执事——从他人那里接受第二次按立，则他本人及按立者均应被逐出圣职。”</w:t>
      </w:r>
    </w:p>
    <w:p w14:paraId="4EEE5634" w14:textId="77777777" w:rsidR="00BE1885" w:rsidRPr="006A21F9" w:rsidRDefault="00BE1885" w:rsidP="00BE1885">
      <w:pPr>
        <w:rPr>
          <w:lang w:val="ru-RU"/>
        </w:rPr>
      </w:pPr>
      <w:r w:rsidRPr="006A21F9">
        <w:rPr>
          <w:lang w:val="ru-RU"/>
        </w:rPr>
        <w:tab/>
        <w:t>迦太基大公会议第36条规定：“对于被指控犯有某种严重罪行、必然导致其被剥夺圣职的长老或执事，不可像对待悔罪者或虔诚的平信徒那样为他们按手，也不可允许他们重新受洗并重返圣职。”</w:t>
      </w:r>
    </w:p>
    <w:p w14:paraId="286DDD56" w14:textId="77777777" w:rsidR="00BE1885" w:rsidRPr="006A21F9" w:rsidRDefault="00BE1885" w:rsidP="00BE1885">
      <w:pPr>
        <w:rPr>
          <w:lang w:val="ru-RU"/>
        </w:rPr>
      </w:pPr>
      <w:r w:rsidRPr="006A21F9">
        <w:rPr>
          <w:lang w:val="ru-RU"/>
        </w:rPr>
        <w:tab/>
        <w:t>该大公会议第59条规定：“根据所受的委托，我们提出在卡普阿大公会议上确定的这一规定，即不允许重新受洗或重新按立。”</w:t>
      </w:r>
    </w:p>
    <w:p w14:paraId="19D0FAEB" w14:textId="77777777" w:rsidR="00BE1885" w:rsidRPr="006A21F9" w:rsidRDefault="00BE1885" w:rsidP="00BE1885">
      <w:pPr>
        <w:rPr>
          <w:lang w:val="ru-RU"/>
        </w:rPr>
      </w:pPr>
      <w:r w:rsidRPr="006A21F9">
        <w:rPr>
          <w:lang w:val="ru-RU"/>
        </w:rPr>
        <w:tab/>
        <w:t>总的来说，教会一直遵循一条原则：只要按规程正确施行，无论是在非东正教团体中进行的按立礼还是洗礼，都绝不重复。 因此，即使是对那些从某些分裂教派皈依东正教的神职人员，例如卡法尔派（</w:t>
      </w:r>
      <w:r>
        <w:rPr>
          <w:rStyle w:val="FootnoteReference"/>
        </w:rPr>
        <w:footnoteReference w:id="1551"/>
      </w:r>
      <w:r w:rsidRPr="006A21F9">
        <w:rPr>
          <w:lang w:val="ru-RU"/>
        </w:rPr>
        <w:t xml:space="preserve"> ）和多纳图斯派（</w:t>
      </w:r>
      <w:r>
        <w:rPr>
          <w:rStyle w:val="FootnoteReference"/>
        </w:rPr>
        <w:footnoteReference w:id="1552"/>
      </w:r>
      <w:r w:rsidRPr="006A21F9">
        <w:rPr>
          <w:lang w:val="ru-RU"/>
        </w:rPr>
        <w:t xml:space="preserve"> ），教会也不曾重复按立，如今对从罗马教会皈依者亦是如此。 正因如此，罗马大公会议谴责多纳图斯对在迫害期间跌倒的主教和长老进行二次按立，认为此举与普世教会的决议不符；</w:t>
      </w:r>
      <w:r>
        <w:rPr>
          <w:rStyle w:val="FootnoteReference"/>
        </w:rPr>
        <w:footnoteReference w:id="1553"/>
      </w:r>
      <w:r w:rsidRPr="006A21F9">
        <w:rPr>
          <w:lang w:val="ru-RU"/>
        </w:rPr>
        <w:t xml:space="preserve"> 圣大巴西尔曾因塞瓦斯提亚的尤斯塔菲乌斯重复按立而予以谴责，并指出就连异端分子中也尚无人敢如此行事 ；</w:t>
      </w:r>
      <w:r>
        <w:rPr>
          <w:rStyle w:val="FootnoteReference"/>
        </w:rPr>
        <w:footnoteReference w:id="1554"/>
      </w:r>
      <w:r w:rsidRPr="006A21F9">
        <w:rPr>
          <w:lang w:val="ru-RU"/>
        </w:rPr>
        <w:t xml:space="preserve"> 还有人因此事谴责阿里乌派。</w:t>
      </w:r>
      <w:r>
        <w:rPr>
          <w:rStyle w:val="FootnoteReference"/>
        </w:rPr>
        <w:footnoteReference w:id="1555"/>
      </w:r>
      <w:r w:rsidRPr="006A21F9">
        <w:rPr>
          <w:lang w:val="ru-RU"/>
        </w:rPr>
        <w:t xml:space="preserve"> 只有那些像异端分子那样以不正确且非法的方式进行的按立，教会才认定其无效，并规定若归信正统教义的神职人员中有人被认定配得，则应以新的合法按立予以取代。</w:t>
      </w:r>
      <w:r>
        <w:rPr>
          <w:rStyle w:val="FootnoteReference"/>
        </w:rPr>
        <w:footnoteReference w:id="1556"/>
      </w:r>
      <w:r w:rsidRPr="006A21F9">
        <w:rPr>
          <w:lang w:val="ru-RU"/>
        </w:rPr>
        <w:t xml:space="preserve"> 早在古代，教会就曾这样对待阿里乌派、保罗派</w:t>
      </w:r>
      <w:r>
        <w:rPr>
          <w:rStyle w:val="FootnoteReference"/>
        </w:rPr>
        <w:footnoteReference w:id="1557"/>
      </w:r>
      <w:r w:rsidRPr="006A21F9">
        <w:rPr>
          <w:lang w:val="ru-RU"/>
        </w:rPr>
        <w:t xml:space="preserve"> ，以及所有由自封的主教按立的人——</w:t>
      </w:r>
      <w:r w:rsidRPr="006A21F9">
        <w:rPr>
          <w:lang w:val="ru-RU"/>
        </w:rPr>
        <w:lastRenderedPageBreak/>
        <w:t>这些主教本身就是非法任命的；</w:t>
      </w:r>
      <w:r>
        <w:rPr>
          <w:rStyle w:val="FootnoteReference"/>
        </w:rPr>
        <w:footnoteReference w:id="1558"/>
      </w:r>
      <w:r w:rsidRPr="006A21F9">
        <w:rPr>
          <w:lang w:val="ru-RU"/>
        </w:rPr>
        <w:t xml:space="preserve"> 而如今，教会也这样对待从新教皈依的人。 不过，即使在这种情况下，按立圣事也不会重复进行，而是真正地首次举行：因为先前的按立并非真实，而只是虚假的。</w:t>
      </w:r>
    </w:p>
    <w:p w14:paraId="0136D893" w14:textId="77777777" w:rsidR="00BE1885" w:rsidRPr="006A21F9" w:rsidRDefault="00BE1885" w:rsidP="00BE1885">
      <w:pPr>
        <w:rPr>
          <w:lang w:val="ru-RU"/>
        </w:rPr>
      </w:pPr>
    </w:p>
    <w:p w14:paraId="301F32A8" w14:textId="77777777" w:rsidR="00BE1885" w:rsidRPr="006A21F9" w:rsidRDefault="00BE1885" w:rsidP="00BE1885">
      <w:pPr>
        <w:pStyle w:val="Heading5"/>
        <w:rPr>
          <w:lang w:val="ru-RU"/>
        </w:rPr>
      </w:pPr>
      <w:bookmarkStart w:id="1001" w:name="_Toc133143013"/>
      <w:bookmarkStart w:id="1002" w:name="_Toc133166370"/>
      <w:bookmarkStart w:id="1003" w:name="_Toc182221580"/>
      <w:bookmarkStart w:id="1004" w:name="_Toc238453147"/>
      <w:bookmarkStart w:id="1005" w:name="_Toc238453947"/>
      <w:bookmarkStart w:id="1006" w:name="_Toc238576607"/>
      <w:r w:rsidRPr="006A21F9">
        <w:rPr>
          <w:bCs/>
          <w:lang w:val="ru-RU"/>
        </w:rPr>
        <w:t>§241.</w:t>
      </w:r>
      <w:r w:rsidRPr="006A21F9">
        <w:rPr>
          <w:lang w:val="ru-RU"/>
        </w:rPr>
        <w:t xml:space="preserve"> 谁可以施行司铎圣事，以及接受者应具备哪些条件</w:t>
      </w:r>
      <w:bookmarkEnd w:id="1001"/>
      <w:bookmarkEnd w:id="1002"/>
      <w:bookmarkEnd w:id="1003"/>
      <w:bookmarkEnd w:id="1004"/>
      <w:bookmarkEnd w:id="1005"/>
      <w:bookmarkEnd w:id="1006"/>
    </w:p>
    <w:p w14:paraId="37E713CD"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根据东正教会的教义，授予圣职的权柄仅属于使徒的直接继承人——主教（《东方教父关于正统信仰的信函》第10条）。这一教义：</w:t>
      </w:r>
    </w:p>
    <w:p w14:paraId="36EF6A5D" w14:textId="77777777" w:rsidR="00BE1885" w:rsidRPr="006A21F9" w:rsidRDefault="00BE1885" w:rsidP="00BE1885">
      <w:pPr>
        <w:ind w:firstLine="708"/>
        <w:rPr>
          <w:lang w:val="ru-RU"/>
        </w:rPr>
      </w:pPr>
      <w:r w:rsidRPr="006A21F9">
        <w:rPr>
          <w:b/>
          <w:bCs/>
          <w:lang w:val="ru-RU"/>
        </w:rPr>
        <w:t>1)</w:t>
      </w:r>
      <w:r w:rsidRPr="006A21F9">
        <w:rPr>
          <w:lang w:val="ru-RU"/>
        </w:rPr>
        <w:t xml:space="preserve"> 基于圣经。圣经记载，唯有使徒们亲自施行圣职按立，并将此权柄授予主教们。 他们亲自按立主教（提摩太后书 1:6）、长老（使徒行传 14:22-23）和执事（使徒行传 6:6）。 并将此权柄移交给主教：圣保罗曾写信给克里特的主教提多说：</w:t>
      </w:r>
      <w:r w:rsidRPr="006A21F9">
        <w:rPr>
          <w:i/>
          <w:iCs/>
          <w:lang w:val="ru-RU"/>
        </w:rPr>
        <w:t>“我特意把你留在克里特，是要你把未完成的事办妥，并照我吩咐你的，在各城设立长老”</w:t>
      </w:r>
      <w:r w:rsidRPr="006A21F9">
        <w:rPr>
          <w:lang w:val="ru-RU"/>
        </w:rPr>
        <w:t xml:space="preserve">（提多书 1:5），并嘱咐以弗所的主教提摩太： </w:t>
      </w:r>
      <w:r w:rsidRPr="006A21F9">
        <w:rPr>
          <w:i/>
          <w:iCs/>
          <w:lang w:val="ru-RU"/>
        </w:rPr>
        <w:t>“不要急于给任何人按手，也不要参与别人的罪</w:t>
      </w:r>
      <w:r w:rsidRPr="006A21F9">
        <w:rPr>
          <w:lang w:val="ru-RU"/>
        </w:rPr>
        <w:t>”（提摩太前书 5:22）。至于按立圣礼由他人施行的情况，上帝的话语中根本没有提及。</w:t>
      </w:r>
      <w:r>
        <w:rPr>
          <w:rStyle w:val="FootnoteReference"/>
        </w:rPr>
        <w:footnoteReference w:id="1559"/>
      </w:r>
    </w:p>
    <w:p w14:paraId="19D04D80" w14:textId="77777777" w:rsidR="00BE1885" w:rsidRPr="006A21F9" w:rsidRDefault="00BE1885" w:rsidP="00BE1885">
      <w:pPr>
        <w:ind w:firstLine="708"/>
        <w:rPr>
          <w:lang w:val="ru-RU"/>
        </w:rPr>
      </w:pPr>
      <w:r w:rsidRPr="006A21F9">
        <w:rPr>
          <w:b/>
          <w:bCs/>
          <w:lang w:val="ru-RU"/>
        </w:rPr>
        <w:t>2)</w:t>
      </w:r>
      <w:r w:rsidRPr="006A21F9">
        <w:rPr>
          <w:lang w:val="ru-RU"/>
        </w:rPr>
        <w:t xml:space="preserve"> 这得到了圣使徒规则和圣公会议规则的确认。</w:t>
      </w:r>
    </w:p>
    <w:p w14:paraId="6739E790" w14:textId="77777777" w:rsidR="00BE1885" w:rsidRPr="006A21F9" w:rsidRDefault="00BE1885" w:rsidP="00BE1885">
      <w:pPr>
        <w:rPr>
          <w:lang w:val="ru-RU"/>
        </w:rPr>
      </w:pPr>
      <w:r w:rsidRPr="006A21F9">
        <w:rPr>
          <w:lang w:val="ru-RU"/>
        </w:rPr>
        <w:tab/>
        <w:t>《圣使徒规条》的第一条和第二条规定：“主教应由两位或三位主教按立；长老、执事及其他圣职人员则由一位主教按立”（引自迦太基大公会议第60条）。</w:t>
      </w:r>
    </w:p>
    <w:p w14:paraId="337564C4" w14:textId="77777777" w:rsidR="00BE1885" w:rsidRPr="006A21F9" w:rsidRDefault="00BE1885" w:rsidP="00BE1885">
      <w:pPr>
        <w:rPr>
          <w:lang w:val="ru-RU"/>
        </w:rPr>
      </w:pPr>
      <w:r w:rsidRPr="006A21F9">
        <w:rPr>
          <w:lang w:val="ru-RU"/>
        </w:rPr>
        <w:tab/>
        <w:t>第一届大公会议的第19条规则中，除其他内容外，还规定：“若（保罗派中）有人此前曾属于圣职人员：此类人若经洗礼后被认定品行无瑕，应由天主教会的主教按立。”</w:t>
      </w:r>
    </w:p>
    <w:p w14:paraId="39A78ACC" w14:textId="77777777" w:rsidR="00BE1885" w:rsidRPr="006A21F9" w:rsidRDefault="00BE1885" w:rsidP="00BE1885">
      <w:pPr>
        <w:rPr>
          <w:lang w:val="ru-RU"/>
        </w:rPr>
      </w:pPr>
      <w:r w:rsidRPr="006A21F9">
        <w:rPr>
          <w:lang w:val="ru-RU"/>
        </w:rPr>
        <w:tab/>
        <w:t>安提阿大公会议的第九条规定如下：“每位主教在其教区内拥有权柄，应以应有的审慎管理该教区，关怀隶属于其教区的地区，并任命长老和执事”（参见哈尔基德 《教会法典》第2条）。</w:t>
      </w:r>
    </w:p>
    <w:p w14:paraId="6B84748C" w14:textId="77777777" w:rsidR="00BE1885" w:rsidRPr="006A21F9" w:rsidRDefault="00BE1885" w:rsidP="00BE1885">
      <w:pPr>
        <w:ind w:firstLine="708"/>
        <w:rPr>
          <w:lang w:val="ru-RU"/>
        </w:rPr>
      </w:pPr>
      <w:r w:rsidRPr="006A21F9">
        <w:rPr>
          <w:b/>
          <w:bCs/>
          <w:lang w:val="ru-RU"/>
        </w:rPr>
        <w:t>3)</w:t>
      </w:r>
      <w:r w:rsidRPr="006A21F9">
        <w:rPr>
          <w:lang w:val="ru-RU"/>
        </w:rPr>
        <w:t xml:space="preserve"> 这一原则体现在所谓的《使徒法令》以及圣父和教会导师的著作中。 《使徒法令》中写道：“我们规定，主教应由三位主教按立，或至少由两位……长老和执事则由一位主教按立，其他神职人员亦同；且无论长老还是执事，均不得为平信徒按立神职人员。”</w:t>
      </w:r>
      <w:r>
        <w:rPr>
          <w:rStyle w:val="FootnoteReference"/>
        </w:rPr>
        <w:footnoteReference w:id="1560"/>
      </w:r>
      <w:r w:rsidRPr="006A21F9">
        <w:rPr>
          <w:lang w:val="ru-RU"/>
        </w:rPr>
        <w:t xml:space="preserve"> 在其他地方也提到：“长老不应为神职人员施行按立；</w:t>
      </w:r>
      <w:r>
        <w:rPr>
          <w:rStyle w:val="FootnoteReference"/>
        </w:rPr>
        <w:footnoteReference w:id="1561"/>
      </w:r>
      <w:r w:rsidRPr="006A21F9">
        <w:rPr>
          <w:lang w:val="ru-RU"/>
        </w:rPr>
        <w:t xml:space="preserve"> 长老虽可按手（</w:t>
      </w:r>
      <w:r w:rsidRPr="001E4083">
        <w:t>χειροτιθεί</w:t>
      </w:r>
      <w:r w:rsidRPr="006A21F9">
        <w:rPr>
          <w:lang w:val="ru-RU"/>
        </w:rPr>
        <w:t>），但 并不施行按立圣礼（</w:t>
      </w:r>
      <w:r w:rsidRPr="001E4083">
        <w:t>ού</w:t>
      </w:r>
      <w:r w:rsidRPr="0097554A">
        <w:rPr>
          <w:lang w:val="ru-RU"/>
        </w:rPr>
        <w:t xml:space="preserve"> </w:t>
      </w:r>
      <w:r w:rsidRPr="001E4083">
        <w:t>χειροτονεί</w:t>
      </w:r>
      <w:r w:rsidRPr="006A21F9">
        <w:rPr>
          <w:lang w:val="ru-RU"/>
        </w:rPr>
        <w:t>）。”</w:t>
      </w:r>
      <w:r>
        <w:rPr>
          <w:rStyle w:val="FootnoteReference"/>
        </w:rPr>
        <w:footnoteReference w:id="1562"/>
      </w:r>
      <w:r w:rsidRPr="006A21F9">
        <w:rPr>
          <w:lang w:val="ru-RU"/>
        </w:rPr>
        <w:t xml:space="preserve"> 圣教父和教会导师们非常明确地阐述了这一真理：</w:t>
      </w:r>
    </w:p>
    <w:p w14:paraId="537800CA" w14:textId="77777777" w:rsidR="00BE1885" w:rsidRPr="006A21F9" w:rsidRDefault="00BE1885" w:rsidP="00BE1885">
      <w:pPr>
        <w:rPr>
          <w:lang w:val="ru-RU"/>
        </w:rPr>
      </w:pPr>
      <w:r w:rsidRPr="006A21F9">
        <w:rPr>
          <w:lang w:val="ru-RU"/>
        </w:rPr>
        <w:tab/>
        <w:t>圣金口若望：“使徒关于主教所说的话，同样适用于长老。主教仅凭按立的权利（</w:t>
      </w:r>
      <w:r w:rsidRPr="001E4083">
        <w:t>τή</w:t>
      </w:r>
      <w:r w:rsidRPr="0097554A">
        <w:rPr>
          <w:lang w:val="ru-RU"/>
        </w:rPr>
        <w:t xml:space="preserve"> </w:t>
      </w:r>
      <w:r w:rsidRPr="001E4083">
        <w:t>χειροτονία</w:t>
      </w:r>
      <w:r w:rsidRPr="0097554A">
        <w:rPr>
          <w:lang w:val="ru-RU"/>
        </w:rPr>
        <w:t xml:space="preserve"> </w:t>
      </w:r>
      <w:r w:rsidRPr="001E4083">
        <w:t>μονή</w:t>
      </w:r>
      <w:r w:rsidRPr="006A21F9">
        <w:rPr>
          <w:lang w:val="ru-RU"/>
        </w:rPr>
        <w:t>）而得以提升，似乎也仅凭这一点，才优于长老。”</w:t>
      </w:r>
      <w:r>
        <w:rPr>
          <w:rStyle w:val="FootnoteReference"/>
        </w:rPr>
        <w:footnoteReference w:id="1563"/>
      </w:r>
    </w:p>
    <w:p w14:paraId="3DC32ECF" w14:textId="77777777" w:rsidR="00BE1885" w:rsidRPr="006A21F9" w:rsidRDefault="00BE1885" w:rsidP="00BE1885">
      <w:pPr>
        <w:rPr>
          <w:lang w:val="ru-RU"/>
        </w:rPr>
      </w:pPr>
      <w:r w:rsidRPr="006A21F9">
        <w:rPr>
          <w:lang w:val="ru-RU"/>
        </w:rPr>
        <w:tab/>
        <w:t>圣埃皮法尼乌斯：“主教的圣职主要是为了孕育教父：因为他的职责是在教会中增殖教父。 另一品级（长老）无法孕育教父，而是为教会孕育重生之子，但并非教父或导师。既然长老在按立他人时没有任何按立权，他又如何可能按立另一位长老呢？”</w:t>
      </w:r>
      <w:r>
        <w:rPr>
          <w:rStyle w:val="FootnoteReference"/>
        </w:rPr>
        <w:footnoteReference w:id="1564"/>
      </w:r>
    </w:p>
    <w:p w14:paraId="03E7847C" w14:textId="77777777" w:rsidR="00BE1885" w:rsidRPr="006A21F9" w:rsidRDefault="00BE1885" w:rsidP="00BE1885">
      <w:pPr>
        <w:rPr>
          <w:lang w:val="ru-RU"/>
        </w:rPr>
      </w:pPr>
      <w:r w:rsidRPr="006A21F9">
        <w:rPr>
          <w:lang w:val="ru-RU"/>
        </w:rPr>
        <w:lastRenderedPageBreak/>
        <w:tab/>
        <w:t>福者杰罗姆：“除了按立这一项之外，主教所做的一切，长老难道不能做吗？”</w:t>
      </w:r>
      <w:r>
        <w:rPr>
          <w:rStyle w:val="FootnoteReference"/>
        </w:rPr>
        <w:footnoteReference w:id="1565"/>
      </w:r>
    </w:p>
    <w:p w14:paraId="63D22EE2" w14:textId="77777777" w:rsidR="00BE1885" w:rsidRPr="006A21F9" w:rsidRDefault="00BE1885" w:rsidP="00BE1885">
      <w:pPr>
        <w:rPr>
          <w:lang w:val="ru-RU"/>
        </w:rPr>
      </w:pPr>
      <w:r w:rsidRPr="006A21F9">
        <w:rPr>
          <w:lang w:val="ru-RU"/>
        </w:rPr>
        <w:tab/>
        <w:t>关于亚历山大的圣亚法纳西，也有一个广为人知的事例：他在证明其控告者伊斯希拉并非神父时，特别指出伊斯希拉并非由主教按立，而是由一名普通神父卡卢夫按立的。</w:t>
      </w:r>
      <w:r>
        <w:rPr>
          <w:rStyle w:val="FootnoteReference"/>
        </w:rPr>
        <w:footnoteReference w:id="1566"/>
      </w:r>
    </w:p>
    <w:p w14:paraId="115D89E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接受司铎圣事的人：</w:t>
      </w:r>
    </w:p>
    <w:p w14:paraId="4C7FB7FC" w14:textId="77777777" w:rsidR="00BE1885" w:rsidRPr="006A21F9" w:rsidRDefault="00BE1885" w:rsidP="00BE1885">
      <w:pPr>
        <w:ind w:firstLine="708"/>
        <w:rPr>
          <w:lang w:val="ru-RU"/>
        </w:rPr>
      </w:pPr>
      <w:r w:rsidRPr="006A21F9">
        <w:rPr>
          <w:b/>
          <w:bCs/>
          <w:lang w:val="ru-RU"/>
        </w:rPr>
        <w:t>1)</w:t>
      </w:r>
      <w:r w:rsidRPr="006A21F9">
        <w:rPr>
          <w:lang w:val="ru-RU"/>
        </w:rPr>
        <w:t xml:space="preserve"> 必须是基督徒且为东正教徒：因为他们被指定为东正教会的牧者。 因此，尼西亚大公会议规定：对于从保罗派异端皈依正统教义的神职人员——该派别中洗礼和按立仪式均未按正统方式进行——即使他们被认定为合格，也须在他们接受新的、真正的洗礼之后，方可被按立为教会圣职（第1条）。 而在迦太基大公会议上，还通过了一项决议：寻求神职品级者不仅自身必须是正统信徒，而且在自己受按立之前，还必须使家中所有成员都成为正统基督徒。</w:t>
      </w:r>
      <w:r>
        <w:rPr>
          <w:rStyle w:val="FootnoteReference"/>
        </w:rPr>
        <w:footnoteReference w:id="1567"/>
      </w:r>
    </w:p>
    <w:p w14:paraId="5AC21550" w14:textId="77777777" w:rsidR="00BE1885" w:rsidRPr="006A21F9" w:rsidRDefault="00BE1885" w:rsidP="00BE1885">
      <w:pPr>
        <w:ind w:firstLine="708"/>
        <w:rPr>
          <w:lang w:val="ru-RU"/>
        </w:rPr>
      </w:pPr>
      <w:r w:rsidRPr="006A21F9">
        <w:rPr>
          <w:b/>
          <w:bCs/>
          <w:lang w:val="ru-RU"/>
        </w:rPr>
        <w:t>2)</w:t>
      </w:r>
      <w:r w:rsidRPr="006A21F9">
        <w:rPr>
          <w:lang w:val="ru-RU"/>
        </w:rPr>
        <w:t xml:space="preserve"> 必须是那些在信仰之道上经受过考验、生活符合正道的人（拉奥迪西亚《法规汇编》第12条）：正如“神的建造者”（提多书 1:7），他们被召唤通过言语和生活教导他人信仰 </w:t>
      </w:r>
      <w:r w:rsidRPr="00BC7082">
        <w:rPr>
          <w:lang w:val="ru-RU"/>
        </w:rPr>
        <w:t>[</w:t>
      </w:r>
      <w:r w:rsidRPr="006A21F9">
        <w:rPr>
          <w:lang w:val="ru-RU"/>
        </w:rPr>
        <w:t>(提摩太前书 3:2</w:t>
      </w:r>
      <w:r w:rsidRPr="00BC7082">
        <w:rPr>
          <w:lang w:val="ru-RU"/>
        </w:rPr>
        <w:t>)</w:t>
      </w:r>
      <w:r w:rsidRPr="006A21F9">
        <w:rPr>
          <w:lang w:val="ru-RU"/>
        </w:rPr>
        <w:t>；</w:t>
      </w:r>
      <w:r w:rsidRPr="006A21F9">
        <w:rPr>
          <w:rFonts w:cs="Cambria Math"/>
          <w:lang w:val="ru-RU"/>
        </w:rPr>
        <w:t xml:space="preserve"> </w:t>
      </w:r>
      <w:r w:rsidRPr="006A21F9">
        <w:rPr>
          <w:lang w:val="ru-RU"/>
        </w:rPr>
        <w:t>（提摩太前书 4:12）</w:t>
      </w:r>
      <w:r w:rsidRPr="00430F02">
        <w:rPr>
          <w:lang w:val="ru-RU"/>
        </w:rPr>
        <w:t>]</w:t>
      </w:r>
      <w:r w:rsidRPr="006A21F9">
        <w:rPr>
          <w:lang w:val="ru-RU"/>
        </w:rPr>
        <w:t>。因此，教会法规规定：</w:t>
      </w:r>
      <w:r w:rsidRPr="006A21F9">
        <w:rPr>
          <w:b/>
          <w:bCs/>
          <w:lang w:val="ru-RU"/>
        </w:rPr>
        <w:t>a)</w:t>
      </w:r>
      <w:r w:rsidRPr="006A21F9">
        <w:rPr>
          <w:lang w:val="ru-RU"/>
        </w:rPr>
        <w:t xml:space="preserve"> 寻求神职地位者必须通晓圣经和教会规条，以便亲自遵守，并以此教导所托付的羊群 （第七次大公会议条例第2条）；</w:t>
      </w:r>
      <w:r w:rsidRPr="006A21F9">
        <w:rPr>
          <w:b/>
          <w:bCs/>
          <w:lang w:val="ru-RU"/>
        </w:rPr>
        <w:t>b）</w:t>
      </w:r>
      <w:r w:rsidRPr="006A21F9">
        <w:rPr>
          <w:lang w:val="ru-RU"/>
        </w:rPr>
        <w:t>对于刚从异教生活归信者及一般新皈依者（提摩太前书3:6），或曾过放荡生活而后悔改者，不应仓促晋升为主教或长老，而须经过适当的考验（使徒规条第80条；第一次大公会议 议定书第2.9条；拉奥迪西亚议定书第3条）；</w:t>
      </w:r>
      <w:r w:rsidRPr="006A21F9">
        <w:rPr>
          <w:b/>
          <w:bCs/>
          <w:lang w:val="ru-RU"/>
        </w:rPr>
        <w:t>c）</w:t>
      </w:r>
      <w:r w:rsidRPr="006A21F9">
        <w:rPr>
          <w:lang w:val="ru-RU"/>
        </w:rPr>
        <w:t>平信徒或修士若要升任主教，必须先在较低的教会职级中接受考验（《双城》第17条；萨尔迪斯第10条）。</w:t>
      </w:r>
    </w:p>
    <w:p w14:paraId="62B884F0" w14:textId="77777777" w:rsidR="00BE1885" w:rsidRPr="006A21F9" w:rsidRDefault="00BE1885" w:rsidP="00BE1885">
      <w:pPr>
        <w:ind w:firstLine="708"/>
        <w:rPr>
          <w:lang w:val="ru-RU"/>
        </w:rPr>
      </w:pPr>
      <w:r w:rsidRPr="006A21F9">
        <w:rPr>
          <w:b/>
          <w:bCs/>
          <w:lang w:val="ru-RU"/>
        </w:rPr>
        <w:t>3）</w:t>
      </w:r>
      <w:r w:rsidRPr="006A21F9">
        <w:rPr>
          <w:lang w:val="ru-RU"/>
        </w:rPr>
        <w:t>若被选为主教，必须未婚；若被选为长老或执事，则可根据个人意愿保持已婚状态。</w:t>
      </w:r>
    </w:p>
    <w:p w14:paraId="5BD0D416" w14:textId="77777777" w:rsidR="00BE1885" w:rsidRPr="006A21F9" w:rsidRDefault="00BE1885" w:rsidP="00BE1885">
      <w:pPr>
        <w:rPr>
          <w:lang w:val="ru-RU"/>
        </w:rPr>
      </w:pPr>
      <w:r w:rsidRPr="006A21F9">
        <w:rPr>
          <w:lang w:val="ru-RU"/>
        </w:rPr>
        <w:tab/>
        <w:t>教会关于主教必须独身的规定源于使徒传统。尽管毫无疑问，在基督教早期，有时也会有已婚人士被任命为主教</w:t>
      </w:r>
      <w:r w:rsidRPr="00BC7082">
        <w:rPr>
          <w:lang w:val="ru-RU"/>
        </w:rPr>
        <w:t>[</w:t>
      </w:r>
      <w:r w:rsidRPr="006A21F9">
        <w:rPr>
          <w:lang w:val="ru-RU"/>
        </w:rPr>
        <w:t>（提摩太前书3:2-4</w:t>
      </w:r>
      <w:r w:rsidRPr="00BC7082">
        <w:rPr>
          <w:lang w:val="ru-RU"/>
        </w:rPr>
        <w:t>）</w:t>
      </w:r>
      <w:r w:rsidRPr="006A21F9">
        <w:rPr>
          <w:lang w:val="ru-RU"/>
        </w:rPr>
        <w:t>；迦太基大公会议第3条。</w:t>
      </w:r>
      <w:r w:rsidRPr="006A21F9">
        <w:rPr>
          <w:b/>
          <w:bCs/>
          <w:lang w:val="ru-RU"/>
        </w:rPr>
        <w:t xml:space="preserve"> </w:t>
      </w:r>
      <w:r w:rsidRPr="006A21F9">
        <w:rPr>
          <w:lang w:val="ru-RU"/>
        </w:rPr>
        <w:t>4等)；但从圣使徒的规条中已可看出，主教与其他神职人员一样，被允许不结婚，但前提是他们是为了践行节制之功，而非出于对婚姻的厌恶（第51条）——当时某些假教师正是如此宣扬的 （提摩太前书4:1-3）。</w:t>
      </w:r>
      <w:r>
        <w:rPr>
          <w:rStyle w:val="FootnoteReference"/>
        </w:rPr>
        <w:footnoteReference w:id="1568"/>
      </w:r>
      <w:r w:rsidRPr="006A21F9">
        <w:rPr>
          <w:lang w:val="ru-RU"/>
        </w:rPr>
        <w:t xml:space="preserve"> 因此，教会中形成了一项惯例，即被选为主教的主要是未婚者，且 因贞洁和节制之功而脱颖而出；</w:t>
      </w:r>
      <w:r>
        <w:rPr>
          <w:rStyle w:val="FootnoteReference"/>
        </w:rPr>
        <w:footnoteReference w:id="1569"/>
      </w:r>
      <w:r w:rsidRPr="006A21F9">
        <w:rPr>
          <w:lang w:val="ru-RU"/>
        </w:rPr>
        <w:t xml:space="preserve"> 即使从已婚的长老中选出，他们大多在被按立为主教后便与妻子解除婚姻关系——尽管这一习俗在</w:t>
      </w:r>
      <w:r w:rsidRPr="001E4083">
        <w:t>第四</w:t>
      </w:r>
      <w:r w:rsidRPr="006A21F9">
        <w:rPr>
          <w:lang w:val="ru-RU"/>
        </w:rPr>
        <w:t>世纪和第五世纪尚未具有法律效力。</w:t>
      </w:r>
      <w:r>
        <w:rPr>
          <w:rStyle w:val="FootnoteReference"/>
        </w:rPr>
        <w:footnoteReference w:id="1570"/>
      </w:r>
      <w:r w:rsidRPr="006A21F9">
        <w:rPr>
          <w:lang w:val="ru-RU"/>
        </w:rPr>
        <w:t xml:space="preserve"> </w:t>
      </w:r>
      <w:r w:rsidRPr="006A21F9">
        <w:rPr>
          <w:lang w:val="ru-RU"/>
        </w:rPr>
        <w:lastRenderedPageBreak/>
        <w:t>六世纪时，查士丁尼皇帝在确立教会纪律规则的同时，也通过法律确认了这一被他称为“古老而源自教父”的习俗：即当选为主教者应为修道士；若来自平信徒阶层，则须未婚，或至少无子女，以便 在按立后，能够更顺利地与原配偶分离。</w:t>
      </w:r>
      <w:r>
        <w:rPr>
          <w:rStyle w:val="FootnoteReference"/>
        </w:rPr>
        <w:footnoteReference w:id="1571"/>
      </w:r>
      <w:r w:rsidRPr="006A21F9">
        <w:rPr>
          <w:lang w:val="ru-RU"/>
        </w:rPr>
        <w:t xml:space="preserve"> 最后，</w:t>
      </w:r>
      <w:r w:rsidRPr="001E4083">
        <w:t>在</w:t>
      </w:r>
      <w:r w:rsidRPr="006A21F9">
        <w:rPr>
          <w:lang w:val="ru-RU"/>
        </w:rPr>
        <w:t>7世纪，当发现这一已确立的惯例在某些地方遭到违反时，第六次大公会议制定了以下规定： “我们获悉，在非洲、利比亚及其他地区，某些当地最受上帝喜爱的牧者（主教），在完成按立仪式后，仍与配偶同住，认为这会给他人造成绊脚石和诱惑。 鉴于我们极力致力于将一切安排得有利于受托的羊群，我们认为应确保此类情况自今以后不再发生。 我们如此言说，并非为了废除或改变使徒的律法，而是出于对人们得救与日益进步的关怀，并为了避免神圣圣职蒙受任何非议。因为神圣的使徒曾说：</w:t>
      </w:r>
      <w:r w:rsidRPr="006A21F9">
        <w:rPr>
          <w:i/>
          <w:iCs/>
          <w:lang w:val="ru-RU"/>
        </w:rPr>
        <w:t>“凡事都要为荣耀神而行。” “无论对犹太人、希腊人，还是对神的教会，都不要给他们造成绊脚石；正如我在一切事上都讨众人的喜悦，不求自己的益处，只求许多人的益处，使他们得救。” 你们要效法我，如同我效法基督一样</w:t>
      </w:r>
      <w:r w:rsidRPr="006A21F9">
        <w:rPr>
          <w:lang w:val="ru-RU"/>
        </w:rPr>
        <w:t>（林前10:31-11:1）。“若有人被发现行此等事，就当被逐出”（《教规》第12条）。自那时起，东正教会便确立了一项恒久法则：仅选举未受婚姻束缚者担任主教。</w:t>
      </w:r>
    </w:p>
    <w:p w14:paraId="75653538" w14:textId="77777777" w:rsidR="00BE1885" w:rsidRPr="006A21F9" w:rsidRDefault="00BE1885" w:rsidP="00BE1885">
      <w:pPr>
        <w:rPr>
          <w:lang w:val="ru-RU"/>
        </w:rPr>
      </w:pPr>
      <w:r w:rsidRPr="006A21F9">
        <w:rPr>
          <w:lang w:val="ru-RU"/>
        </w:rPr>
        <w:tab/>
        <w:t>至于被选为教会层级中较低职位——即长老和执事——的人：正教会遵循上帝的话语（提摩太前书 3:2-4, 12），从未禁止他们结婚，只要他们在按立之前已结为夫妻（《使徒规条》 26；新凯撒律1；第一大公会议3；第六大公会议3.6），也从未要求他们以独身作为其职分的义务或誓言。 相反，根据使徒规条，教会严禁神职人员即使以虔诚为借口也不得解除其合法婚姻（规条5），同时也严厉谴责那些认为已婚长老不配领圣餐的平信徒 （《甘格拉书》第4章等）。当在第一次大公会议上，有人提议在教会中为所有神职人员普遍推行独身制的新律法时，会议中最显赫的成员之一——埃及主教圣帕夫努提乌斯，他本人既是童贞者又是严苛的苦修者， 说服了在场的所有主教，不要给受圣职者强加沉重的枷锁——这并非所有人都能轻易承受——并指出，只要按照教会古老的传统，那些已经晋升圣职的人不再结婚即可；而那些在按立前已娶妻者，绝不应因此而抛弃她们。</w:t>
      </w:r>
      <w:r>
        <w:rPr>
          <w:rStyle w:val="FootnoteReference"/>
        </w:rPr>
        <w:footnoteReference w:id="1572"/>
      </w:r>
      <w:r w:rsidRPr="006A21F9">
        <w:rPr>
          <w:lang w:val="ru-RU"/>
        </w:rPr>
        <w:t xml:space="preserve"> 直到四世纪末，罗马教会也一直遵循着普世教会的这一古老传统。</w:t>
      </w:r>
      <w:r>
        <w:rPr>
          <w:rStyle w:val="FootnoteReference"/>
        </w:rPr>
        <w:footnoteReference w:id="1573"/>
      </w:r>
      <w:r w:rsidRPr="006A21F9">
        <w:rPr>
          <w:lang w:val="ru-RU"/>
        </w:rPr>
        <w:t xml:space="preserve"> 但从四世纪末 开始，</w:t>
      </w:r>
      <w:r>
        <w:rPr>
          <w:rStyle w:val="FootnoteReference"/>
        </w:rPr>
        <w:footnoteReference w:id="1574"/>
      </w:r>
      <w:r w:rsidRPr="006A21F9">
        <w:rPr>
          <w:lang w:val="ru-RU"/>
        </w:rPr>
        <w:t xml:space="preserve"> 特别是在五世纪</w:t>
      </w:r>
      <w:r>
        <w:rPr>
          <w:rStyle w:val="FootnoteReference"/>
        </w:rPr>
        <w:footnoteReference w:id="1575"/>
      </w:r>
      <w:r w:rsidRPr="006A21F9">
        <w:rPr>
          <w:lang w:val="ru-RU"/>
        </w:rPr>
        <w:t xml:space="preserve"> 和六世纪，</w:t>
      </w:r>
      <w:r>
        <w:rPr>
          <w:rStyle w:val="FootnoteReference"/>
        </w:rPr>
        <w:footnoteReference w:id="1576"/>
      </w:r>
      <w:r w:rsidRPr="006A21F9">
        <w:rPr>
          <w:lang w:val="ru-RU"/>
        </w:rPr>
        <w:t xml:space="preserve"> 其中已出现一些规定，不仅要求长老和执事，甚至连副执事都必须完全守独身或离弃妻子——这些规定一方面是武断的，违背了早期教会章程的精神；另一方面，其严苛性却为意志薄弱的圣职人员提供了沉溺于放荡生活的借口。 </w:t>
      </w:r>
      <w:r w:rsidRPr="001E4083">
        <w:lastRenderedPageBreak/>
        <w:t>因此</w:t>
      </w:r>
      <w:r w:rsidRPr="006A21F9">
        <w:rPr>
          <w:lang w:val="ru-RU"/>
        </w:rPr>
        <w:t>，第六次大公会议决议：“鉴于我们得知，罗马教会已将以下规定作为条例传承下来：那些即将被按立为执事或长老的人，必须承诺不再与自己的妻子来往； 因此，我们遵循使徒时代古老的规范与秩序，准许神职人员依法维持婚姻关系，既不解除他们与妻子的结合，也不剥夺他们在适当时间进行夫妻生活的权利。 因此，凡被认定有资格受按立为副执事、执事或长老者，其与合法配偶的婚姻关系绝不应成为其晋升该职位的障碍；在按立仪式中，亦不应要求其承诺在按立后停止与合法配偶的正当亲密关系： 以免我们被迫以此方式亵渎上帝所设立、并在祂降临之时所赐福的婚姻；因为福音之声高呼：</w:t>
      </w:r>
      <w:r w:rsidRPr="006A21F9">
        <w:rPr>
          <w:i/>
          <w:iCs/>
          <w:lang w:val="ru-RU"/>
        </w:rPr>
        <w:t>“上帝所配合的，人不可分开</w:t>
      </w:r>
      <w:r w:rsidRPr="006A21F9">
        <w:rPr>
          <w:lang w:val="ru-RU"/>
        </w:rPr>
        <w:t>”（太19:6）； 使徒也教导说：</w:t>
      </w:r>
      <w:r w:rsidRPr="006A21F9">
        <w:rPr>
          <w:i/>
          <w:iCs/>
          <w:lang w:val="ru-RU"/>
        </w:rPr>
        <w:t>“婚姻在众人中当是圣洁的，床第当是无玷污的</w:t>
      </w:r>
      <w:r w:rsidRPr="006A21F9">
        <w:rPr>
          <w:lang w:val="ru-RU"/>
        </w:rPr>
        <w:t>”（希伯来书 13:4）；同样：</w:t>
      </w:r>
      <w:r w:rsidRPr="006A21F9">
        <w:rPr>
          <w:i/>
          <w:iCs/>
          <w:lang w:val="ru-RU"/>
        </w:rPr>
        <w:t>“你若与妻子同居，就不要寻求离婚</w:t>
      </w:r>
      <w:r w:rsidRPr="006A21F9">
        <w:rPr>
          <w:lang w:val="ru-RU"/>
        </w:rPr>
        <w:t>”（哥林多前书 7:27）。 我们知道，在迦太基集会的人，出于对神职人员生活纯洁性的关切，规定了：参与圣礼的副执事、执事和长老，在规定的时段内，应当与自己的配偶保持节制。 因此，这既承自使徒，又自古以来一直遵守，我们也当照样遵守，明辨万事之时，尤以斋戒与祷告为重。因为侍立祭坛者，在接近圣物之时，理当在一切事上保持节制，方能以纯正之心从神那里得着所求的。 倘若有人违背使徒的规条，胆敢剥夺任何一位圣职人员——即长老、执事或副执事——与其合法妻子的结合与共融，则当被逐出教会。 同样，若有人——无论是长老还是执事——以虔诚为借口，将自己的妻子逐出家门：应将其逐出圣职；若仍不悔改，则应将其开除”（第18条）。 罗马的大祭司们并未遵守这一规定；相反，在随后的几个世纪里，他们以更加严厉的态度开始强化关于全体神职人员必须守独身的法规，</w:t>
      </w:r>
      <w:r>
        <w:rPr>
          <w:rStyle w:val="FootnoteReference"/>
        </w:rPr>
        <w:footnoteReference w:id="1577"/>
      </w:r>
      <w:r w:rsidRPr="006A21F9">
        <w:rPr>
          <w:lang w:val="ru-RU"/>
        </w:rPr>
        <w:t xml:space="preserve"> 甚至在十二世纪将这些规定扩展到了低级神职人员。</w:t>
      </w:r>
      <w:r>
        <w:rPr>
          <w:rStyle w:val="FootnoteReference"/>
        </w:rPr>
        <w:footnoteReference w:id="1578"/>
      </w:r>
      <w:r w:rsidRPr="006A21F9">
        <w:rPr>
          <w:lang w:val="ru-RU"/>
        </w:rPr>
        <w:t xml:space="preserve"> 但他们此举仅表明自己公然违反了古代普世教会的法律规定。</w:t>
      </w:r>
    </w:p>
    <w:p w14:paraId="46B78E65" w14:textId="77777777" w:rsidR="00BE1885" w:rsidRPr="006A21F9" w:rsidRDefault="00BE1885" w:rsidP="00BE1885">
      <w:pPr>
        <w:rPr>
          <w:lang w:val="ru-RU"/>
        </w:rPr>
      </w:pPr>
    </w:p>
    <w:p w14:paraId="0ADE85A5" w14:textId="77777777" w:rsidR="00BE1885" w:rsidRPr="006A21F9" w:rsidRDefault="00BE1885" w:rsidP="00BE1885">
      <w:pPr>
        <w:pStyle w:val="Heading4"/>
        <w:rPr>
          <w:lang w:val="ru-RU"/>
        </w:rPr>
      </w:pPr>
      <w:bookmarkStart w:id="1007" w:name="_Toc133142617"/>
      <w:bookmarkStart w:id="1008" w:name="_Toc133143014"/>
      <w:bookmarkStart w:id="1009" w:name="_Toc133166371"/>
      <w:bookmarkStart w:id="1010" w:name="_Toc182221581"/>
      <w:bookmarkStart w:id="1011" w:name="_Toc238453148"/>
      <w:bookmarkStart w:id="1012" w:name="_Toc238453948"/>
      <w:bookmarkStart w:id="1013" w:name="_Toc238454337"/>
      <w:bookmarkStart w:id="1014" w:name="_Toc238466419"/>
      <w:bookmarkStart w:id="1015" w:name="_Toc238576608"/>
      <w:r w:rsidRPr="006A21F9">
        <w:rPr>
          <w:lang w:val="ru-RU"/>
        </w:rPr>
        <w:t>8. 关于圣事的总体评论</w:t>
      </w:r>
      <w:bookmarkEnd w:id="1007"/>
      <w:bookmarkEnd w:id="1008"/>
      <w:bookmarkEnd w:id="1009"/>
      <w:bookmarkEnd w:id="1010"/>
      <w:bookmarkEnd w:id="1011"/>
      <w:bookmarkEnd w:id="1012"/>
      <w:bookmarkEnd w:id="1013"/>
      <w:bookmarkEnd w:id="1014"/>
      <w:bookmarkEnd w:id="1015"/>
    </w:p>
    <w:p w14:paraId="15B9D353" w14:textId="77777777" w:rsidR="00BE1885" w:rsidRPr="006A21F9" w:rsidRDefault="00BE1885" w:rsidP="00BE1885">
      <w:pPr>
        <w:rPr>
          <w:lang w:val="ru-RU"/>
        </w:rPr>
      </w:pPr>
      <w:r w:rsidRPr="006A21F9">
        <w:rPr>
          <w:lang w:val="ru-RU"/>
        </w:rPr>
        <w:tab/>
      </w:r>
    </w:p>
    <w:p w14:paraId="14ECDC77" w14:textId="77777777" w:rsidR="00BE1885" w:rsidRPr="006A21F9" w:rsidRDefault="00BE1885" w:rsidP="00BE1885">
      <w:pPr>
        <w:pStyle w:val="Heading5"/>
        <w:rPr>
          <w:lang w:val="ru-RU"/>
        </w:rPr>
      </w:pPr>
      <w:bookmarkStart w:id="1016" w:name="_Toc133143015"/>
      <w:bookmarkStart w:id="1017" w:name="_Toc133166372"/>
      <w:bookmarkStart w:id="1018" w:name="_Toc182221582"/>
      <w:bookmarkStart w:id="1019" w:name="_Toc238453149"/>
      <w:bookmarkStart w:id="1020" w:name="_Toc238453949"/>
      <w:bookmarkStart w:id="1021" w:name="_Toc238576609"/>
      <w:r w:rsidRPr="006A21F9">
        <w:rPr>
          <w:bCs/>
          <w:lang w:val="ru-RU"/>
        </w:rPr>
        <w:t>§242.</w:t>
      </w:r>
      <w:r w:rsidRPr="006A21F9">
        <w:rPr>
          <w:lang w:val="ru-RU"/>
        </w:rPr>
        <w:t xml:space="preserve"> 这些评论的对象</w:t>
      </w:r>
      <w:bookmarkEnd w:id="1016"/>
      <w:bookmarkEnd w:id="1017"/>
      <w:bookmarkEnd w:id="1018"/>
      <w:bookmarkEnd w:id="1019"/>
      <w:bookmarkEnd w:id="1020"/>
      <w:bookmarkEnd w:id="1021"/>
    </w:p>
    <w:p w14:paraId="5DD27561" w14:textId="77777777" w:rsidR="00BE1885" w:rsidRPr="006A21F9" w:rsidRDefault="00BE1885" w:rsidP="00BE1885">
      <w:pPr>
        <w:ind w:firstLine="708"/>
        <w:rPr>
          <w:lang w:val="ru-RU"/>
        </w:rPr>
      </w:pPr>
      <w:r w:rsidRPr="006A21F9">
        <w:rPr>
          <w:lang w:val="ru-RU"/>
        </w:rPr>
        <w:t>基于我们此前分别阐述的东正教会关于每个圣事的教义，现在适宜针对圣事进行总体论述，以回应那些涉及所有圣事的异端之见，具体而言，即：</w:t>
      </w:r>
      <w:r w:rsidRPr="006A21F9">
        <w:rPr>
          <w:b/>
          <w:bCs/>
          <w:lang w:val="ru-RU"/>
        </w:rPr>
        <w:t>a)</w:t>
      </w:r>
      <w:r w:rsidRPr="006A21F9">
        <w:rPr>
          <w:lang w:val="ru-RU"/>
        </w:rPr>
        <w:t xml:space="preserve"> 论圣事的本质</w:t>
      </w:r>
      <w:r w:rsidRPr="006A21F9">
        <w:rPr>
          <w:b/>
          <w:bCs/>
          <w:lang w:val="ru-RU"/>
        </w:rPr>
        <w:t>，b)</w:t>
      </w:r>
      <w:r w:rsidRPr="006A21F9">
        <w:rPr>
          <w:lang w:val="ru-RU"/>
        </w:rPr>
        <w:t xml:space="preserve"> 论七大圣事</w:t>
      </w:r>
      <w:r w:rsidRPr="006A21F9">
        <w:rPr>
          <w:b/>
          <w:bCs/>
          <w:lang w:val="ru-RU"/>
        </w:rPr>
        <w:t xml:space="preserve">，c) </w:t>
      </w:r>
      <w:r w:rsidRPr="006A21F9">
        <w:rPr>
          <w:lang w:val="ru-RU"/>
        </w:rPr>
        <w:t>关于圣礼施行及生效的条件（§200）。除上述内容外，根据我们既定的框架，还将补充关于圣礼教义的道德应用。</w:t>
      </w:r>
    </w:p>
    <w:p w14:paraId="6DEDF442" w14:textId="77777777" w:rsidR="00BE1885" w:rsidRPr="006A21F9" w:rsidRDefault="00BE1885" w:rsidP="00BE1885">
      <w:pPr>
        <w:rPr>
          <w:lang w:val="ru-RU"/>
        </w:rPr>
      </w:pPr>
      <w:r w:rsidRPr="006A21F9">
        <w:rPr>
          <w:lang w:val="ru-RU"/>
        </w:rPr>
        <w:tab/>
      </w:r>
    </w:p>
    <w:p w14:paraId="5CC08900" w14:textId="77777777" w:rsidR="00BE1885" w:rsidRPr="006A21F9" w:rsidRDefault="00BE1885" w:rsidP="00BE1885">
      <w:pPr>
        <w:pStyle w:val="Heading5"/>
        <w:rPr>
          <w:lang w:val="ru-RU"/>
        </w:rPr>
      </w:pPr>
      <w:bookmarkStart w:id="1022" w:name="_Toc133143016"/>
      <w:bookmarkStart w:id="1023" w:name="_Toc133166373"/>
      <w:bookmarkStart w:id="1024" w:name="_Toc182221583"/>
      <w:bookmarkStart w:id="1025" w:name="_Toc238453150"/>
      <w:bookmarkStart w:id="1026" w:name="_Toc238453950"/>
      <w:bookmarkStart w:id="1027" w:name="_Toc238576610"/>
      <w:r w:rsidRPr="006A21F9">
        <w:rPr>
          <w:bCs/>
          <w:lang w:val="ru-RU"/>
        </w:rPr>
        <w:t>§243.</w:t>
      </w:r>
      <w:r w:rsidRPr="006A21F9">
        <w:rPr>
          <w:lang w:val="ru-RU"/>
        </w:rPr>
        <w:t xml:space="preserve"> 关于圣礼的本质</w:t>
      </w:r>
      <w:bookmarkEnd w:id="1022"/>
      <w:bookmarkEnd w:id="1023"/>
      <w:bookmarkEnd w:id="1024"/>
      <w:bookmarkEnd w:id="1025"/>
      <w:bookmarkEnd w:id="1026"/>
      <w:bookmarkEnd w:id="1027"/>
    </w:p>
    <w:p w14:paraId="6154BD1C" w14:textId="77777777" w:rsidR="00BE1885" w:rsidRPr="006A21F9" w:rsidRDefault="00BE1885" w:rsidP="00BE1885">
      <w:pPr>
        <w:ind w:firstLine="708"/>
        <w:rPr>
          <w:lang w:val="ru-RU"/>
        </w:rPr>
      </w:pPr>
      <w:r w:rsidRPr="006A21F9">
        <w:rPr>
          <w:lang w:val="ru-RU"/>
        </w:rPr>
        <w:t>圣礼不仅是激发人们信仰的神圣应许之标志，也不仅仅是区分基督徒与非基督徒的简单仪式，更不是仅作为属灵生活的象征及 之类的事物——正如那些持错误观点者所臆测的那样（§200）； 而是神圣的礼仪，它们以某种可见的形式，确实将不可见的上帝恩典赐予信徒——是“通过恩典对参与者产生必要作用的工具”（《东方教父论正统信仰书信》第15条）。</w:t>
      </w:r>
    </w:p>
    <w:p w14:paraId="0AE7BB89" w14:textId="77777777" w:rsidR="00BE1885" w:rsidRPr="006A21F9" w:rsidRDefault="00BE1885" w:rsidP="00BE1885">
      <w:pPr>
        <w:ind w:firstLine="708"/>
        <w:rPr>
          <w:lang w:val="ru-RU"/>
        </w:rPr>
      </w:pPr>
      <w:r w:rsidRPr="006A21F9">
        <w:rPr>
          <w:b/>
          <w:bCs/>
          <w:lang w:val="ru-RU"/>
        </w:rPr>
        <w:t>1)</w:t>
      </w:r>
      <w:r w:rsidRPr="006A21F9">
        <w:rPr>
          <w:lang w:val="ru-RU"/>
        </w:rPr>
        <w:t xml:space="preserve"> 圣经中所有我们已知的、论及某项圣礼果效的经文，都证实了这一点。例如：</w:t>
      </w:r>
      <w:r w:rsidRPr="001E4083">
        <w:t>a</w:t>
      </w:r>
      <w:r w:rsidRPr="006A21F9">
        <w:rPr>
          <w:lang w:val="ru-RU"/>
        </w:rPr>
        <w:t>)</w:t>
      </w:r>
      <w:r w:rsidRPr="006A21F9">
        <w:rPr>
          <w:b/>
          <w:bCs/>
          <w:lang w:val="ru-RU"/>
        </w:rPr>
        <w:t xml:space="preserve"> 关于洗礼</w:t>
      </w:r>
      <w:r w:rsidRPr="006A21F9">
        <w:rPr>
          <w:lang w:val="ru-RU"/>
        </w:rPr>
        <w:t>：</w:t>
      </w:r>
      <w:r w:rsidRPr="006A21F9">
        <w:rPr>
          <w:i/>
          <w:iCs/>
          <w:lang w:val="ru-RU"/>
        </w:rPr>
        <w:t>人若不是从水和圣灵生的，就不能进神的国</w:t>
      </w:r>
      <w:r w:rsidRPr="006A21F9">
        <w:rPr>
          <w:lang w:val="ru-RU"/>
        </w:rPr>
        <w:t>（约3:5）； 又如：</w:t>
      </w:r>
      <w:r w:rsidRPr="006A21F9">
        <w:rPr>
          <w:i/>
          <w:iCs/>
          <w:lang w:val="ru-RU"/>
        </w:rPr>
        <w:t>基督爱教会，为教会舍己，要用水藉着道把教会洗净，成为圣洁</w:t>
      </w:r>
      <w:r w:rsidRPr="006A21F9">
        <w:rPr>
          <w:lang w:val="ru-RU"/>
        </w:rPr>
        <w:t xml:space="preserve">（以弗所书 5:25-26），还有： </w:t>
      </w:r>
      <w:r w:rsidRPr="006A21F9">
        <w:rPr>
          <w:i/>
          <w:iCs/>
          <w:lang w:val="ru-RU"/>
        </w:rPr>
        <w:t>你们中间也有人从前是这样（作罪人）；但如今借着我们主耶稣基督的名和我们神的圣灵，已经洗净、成圣、称义了</w:t>
      </w:r>
      <w:r w:rsidRPr="006A21F9">
        <w:rPr>
          <w:lang w:val="ru-RU"/>
        </w:rPr>
        <w:t>（林前6:11）；</w:t>
      </w:r>
      <w:r w:rsidRPr="006A21F9">
        <w:rPr>
          <w:b/>
          <w:bCs/>
          <w:lang w:val="ru-RU"/>
        </w:rPr>
        <w:t>b)</w:t>
      </w:r>
      <w:r w:rsidRPr="006A21F9">
        <w:rPr>
          <w:lang w:val="ru-RU"/>
        </w:rPr>
        <w:t xml:space="preserve"> 关于</w:t>
      </w:r>
      <w:r w:rsidRPr="006A21F9">
        <w:rPr>
          <w:b/>
          <w:bCs/>
          <w:lang w:val="ru-RU"/>
        </w:rPr>
        <w:t>坚振圣事</w:t>
      </w:r>
      <w:r w:rsidRPr="006A21F9">
        <w:rPr>
          <w:lang w:val="ru-RU"/>
        </w:rPr>
        <w:t>：</w:t>
      </w:r>
      <w:r w:rsidRPr="006A21F9">
        <w:rPr>
          <w:i/>
          <w:iCs/>
          <w:lang w:val="ru-RU"/>
        </w:rPr>
        <w:t xml:space="preserve">那时，使徒们按手在他们头上，他们就领受了圣灵。 </w:t>
      </w:r>
      <w:r w:rsidRPr="006A21F9">
        <w:rPr>
          <w:i/>
          <w:iCs/>
          <w:lang w:val="ru-RU"/>
        </w:rPr>
        <w:lastRenderedPageBreak/>
        <w:t>西门见使徒按手，圣灵就降下，便拿钱给他们，说：“把这权柄也赐给我，叫我按手在谁身上，谁就能领受圣灵</w:t>
      </w:r>
      <w:r w:rsidRPr="006A21F9">
        <w:rPr>
          <w:lang w:val="ru-RU"/>
        </w:rPr>
        <w:t>。”（使徒行传 8:17-19）；</w:t>
      </w:r>
      <w:r w:rsidRPr="006A21F9">
        <w:rPr>
          <w:b/>
          <w:bCs/>
          <w:lang w:val="ru-RU"/>
        </w:rPr>
        <w:t>c)</w:t>
      </w:r>
      <w:r w:rsidRPr="006A21F9">
        <w:rPr>
          <w:lang w:val="ru-RU"/>
        </w:rPr>
        <w:t xml:space="preserve"> 关于</w:t>
      </w:r>
      <w:r w:rsidRPr="006A21F9">
        <w:rPr>
          <w:b/>
          <w:bCs/>
          <w:lang w:val="ru-RU"/>
        </w:rPr>
        <w:t>圣餐礼</w:t>
      </w:r>
      <w:r w:rsidRPr="006A21F9">
        <w:rPr>
          <w:lang w:val="ru-RU"/>
        </w:rPr>
        <w:t>：</w:t>
      </w:r>
      <w:r w:rsidRPr="006A21F9">
        <w:rPr>
          <w:i/>
          <w:iCs/>
          <w:lang w:val="ru-RU"/>
        </w:rPr>
        <w:t>吃这饼的人必永远活着……</w:t>
      </w:r>
      <w:r w:rsidRPr="006A21F9">
        <w:rPr>
          <w:lang w:val="ru-RU"/>
        </w:rPr>
        <w:t xml:space="preserve"> </w:t>
      </w:r>
      <w:r w:rsidRPr="006A21F9">
        <w:rPr>
          <w:i/>
          <w:iCs/>
          <w:lang w:val="ru-RU"/>
        </w:rPr>
        <w:t>“吃我肉、喝我血的人必得永生，我在末日要叫他复活</w:t>
      </w:r>
      <w:r w:rsidRPr="006A21F9">
        <w:rPr>
          <w:lang w:val="ru-RU"/>
        </w:rPr>
        <w:t>”（约6:51-54）；</w:t>
      </w:r>
      <w:r w:rsidRPr="006A21F9">
        <w:rPr>
          <w:b/>
          <w:bCs/>
          <w:lang w:val="ru-RU"/>
        </w:rPr>
        <w:t>d）关于司祭圣</w:t>
      </w:r>
      <w:r w:rsidRPr="006A21F9">
        <w:rPr>
          <w:lang w:val="ru-RU"/>
        </w:rPr>
        <w:t>事：</w:t>
      </w:r>
      <w:r w:rsidRPr="006A21F9">
        <w:rPr>
          <w:i/>
          <w:iCs/>
          <w:lang w:val="ru-RU"/>
        </w:rPr>
        <w:t>“不要轻忽那在你里面的恩赐，这恩赐是凭着预言，借着按手之礼赐给你的</w:t>
      </w:r>
      <w:r w:rsidRPr="006A21F9">
        <w:rPr>
          <w:lang w:val="ru-RU"/>
        </w:rPr>
        <w:t>[（提摩太前书4:14）； （提后1:6）]，等等。这里显然表达了这样的思想：在圣灵看不见的感召下，洗礼中的水本身就能使人重生，洁净他并洗去他的罪；按手礼或圣油礼中的圣油涂抹，将恩典的恩赐赐予人； 圣餐礼中的基督圣体与圣血本身赋予人永生；司铎圣事中的按手礼本身赋予受按手者特殊的恩赐——总之，每项圣事都以其本质，在施行之时必然通过恩典作用于人。</w:t>
      </w:r>
    </w:p>
    <w:p w14:paraId="77121A82" w14:textId="77777777" w:rsidR="00BE1885" w:rsidRPr="006A21F9" w:rsidRDefault="00BE1885" w:rsidP="00BE1885">
      <w:pPr>
        <w:ind w:firstLine="708"/>
        <w:rPr>
          <w:lang w:val="ru-RU"/>
        </w:rPr>
      </w:pPr>
      <w:r w:rsidRPr="006A21F9">
        <w:rPr>
          <w:b/>
          <w:bCs/>
          <w:lang w:val="ru-RU"/>
        </w:rPr>
        <w:t>2)</w:t>
      </w:r>
      <w:r w:rsidRPr="006A21F9">
        <w:rPr>
          <w:lang w:val="ru-RU"/>
        </w:rPr>
        <w:t xml:space="preserve"> 圣父们和教会导师们在关于圣事果实的见证中，也一致表达了同样的教义。这里只需列举或回顾其中的一部分即可——因为我们已在相关章节中阐述过这些见证。例如：</w:t>
      </w:r>
    </w:p>
    <w:p w14:paraId="0C8FDFB8" w14:textId="77777777" w:rsidR="00BE1885" w:rsidRPr="006A21F9" w:rsidRDefault="00BE1885" w:rsidP="00BE1885">
      <w:pPr>
        <w:rPr>
          <w:lang w:val="ru-RU"/>
        </w:rPr>
      </w:pPr>
      <w:r w:rsidRPr="006A21F9">
        <w:rPr>
          <w:lang w:val="ru-RU"/>
        </w:rPr>
        <w:tab/>
        <w:t>耶路撒冷的圣西里尔：“接受洗礼时，不要将其视为普通的水，而应视为伴随水所赐予的属灵恩典。”</w:t>
      </w:r>
      <w:r>
        <w:rPr>
          <w:rStyle w:val="FootnoteReference"/>
        </w:rPr>
        <w:footnoteReference w:id="1579"/>
      </w:r>
      <w:r w:rsidRPr="006A21F9">
        <w:rPr>
          <w:lang w:val="ru-RU"/>
        </w:rPr>
        <w:t xml:space="preserve"> 此外：“切勿将这圣油视为普通之物。 因为正如圣餐中的饼，在圣灵的感召下，不再是普通的饼，而是基督的身体；同样，这圣膏油在感召之下，也不再是普通的，甚至若有人说它是寻常之物，那更是错误的：它是基督与圣灵的恩赐，因祂神性的临在而生效。 以此圣油，你的额头及其他感官器官都将被象征性地涂抹。当身体以可见的方式被涂抹时，灵魂便借着圣灵——那赐生命者——得以成圣。”</w:t>
      </w:r>
      <w:r>
        <w:rPr>
          <w:rStyle w:val="FootnoteReference"/>
        </w:rPr>
        <w:footnoteReference w:id="1580"/>
      </w:r>
    </w:p>
    <w:p w14:paraId="06865E4E" w14:textId="77777777" w:rsidR="00BE1885" w:rsidRPr="006A21F9" w:rsidRDefault="00BE1885" w:rsidP="00BE1885">
      <w:pPr>
        <w:rPr>
          <w:lang w:val="ru-RU"/>
        </w:rPr>
      </w:pPr>
      <w:r w:rsidRPr="006A21F9">
        <w:rPr>
          <w:lang w:val="ru-RU"/>
        </w:rPr>
        <w:tab/>
        <w:t>圣格里高利·尼撒说：“水虽然只是水，但当从上头降下的恩典为它祝福时，它便通过属灵的重生更新人。 倘若有人心存动摇与疑虑，向我提出难题，不断追问并重复：‘水究竟如何使人重生（</w:t>
      </w:r>
      <w:r w:rsidRPr="001E4083">
        <w:t>πώς</w:t>
      </w:r>
      <w:r w:rsidRPr="0097554A">
        <w:rPr>
          <w:lang w:val="ru-RU"/>
        </w:rPr>
        <w:t xml:space="preserve"> </w:t>
      </w:r>
      <w:r w:rsidRPr="001E4083">
        <w:t>ύδωρ</w:t>
      </w:r>
      <w:r w:rsidRPr="0097554A">
        <w:rPr>
          <w:lang w:val="ru-RU"/>
        </w:rPr>
        <w:t xml:space="preserve"> </w:t>
      </w:r>
      <w:r w:rsidRPr="001E4083">
        <w:t>αναγεννά</w:t>
      </w:r>
      <w:r w:rsidRPr="006A21F9">
        <w:rPr>
          <w:lang w:val="ru-RU"/>
        </w:rPr>
        <w:t>）……’——我将公正地对他说：‘请先向我阐明肉身出生的方式，我便向你阐明灵魂重生的力量。’”</w:t>
      </w:r>
      <w:r>
        <w:rPr>
          <w:rStyle w:val="FootnoteReference"/>
        </w:rPr>
        <w:footnoteReference w:id="1581"/>
      </w:r>
    </w:p>
    <w:p w14:paraId="6BDC7C3F" w14:textId="77777777" w:rsidR="00BE1885" w:rsidRPr="006A21F9" w:rsidRDefault="00BE1885" w:rsidP="00BE1885">
      <w:pPr>
        <w:rPr>
          <w:lang w:val="ru-RU"/>
        </w:rPr>
      </w:pPr>
      <w:r w:rsidRPr="006A21F9">
        <w:rPr>
          <w:lang w:val="ru-RU"/>
        </w:rPr>
        <w:tab/>
        <w:t>大圣亚法纳西：“正如一个人由人——即神父——施洗，便蒙受圣灵的恩典；同样，在悔改中承认自己罪过的人，也通过神父，因耶稣基督的恩典而获得罪的赦免。”</w:t>
      </w:r>
      <w:r>
        <w:rPr>
          <w:rStyle w:val="FootnoteReference"/>
        </w:rPr>
        <w:footnoteReference w:id="1582"/>
      </w:r>
    </w:p>
    <w:p w14:paraId="049779A5" w14:textId="77777777" w:rsidR="00BE1885" w:rsidRPr="006A21F9" w:rsidRDefault="00BE1885" w:rsidP="00BE1885">
      <w:pPr>
        <w:rPr>
          <w:lang w:val="ru-RU"/>
        </w:rPr>
      </w:pPr>
      <w:r w:rsidRPr="006A21F9">
        <w:rPr>
          <w:lang w:val="ru-RU"/>
        </w:rPr>
        <w:tab/>
        <w:t>圣约翰·金口：“在洗礼中，通过感官之物——水——传递恩赐，而属灵的作用则体现在诞生、重生或更新之中。”</w:t>
      </w:r>
      <w:r>
        <w:rPr>
          <w:rStyle w:val="FootnoteReference"/>
        </w:rPr>
        <w:footnoteReference w:id="1583"/>
      </w:r>
    </w:p>
    <w:p w14:paraId="4222730D" w14:textId="77777777" w:rsidR="00BE1885" w:rsidRPr="006A21F9" w:rsidRDefault="00BE1885" w:rsidP="00BE1885">
      <w:pPr>
        <w:rPr>
          <w:lang w:val="ru-RU"/>
        </w:rPr>
      </w:pPr>
      <w:r w:rsidRPr="006A21F9">
        <w:rPr>
          <w:lang w:val="ru-RU"/>
        </w:rPr>
        <w:tab/>
        <w:t>大圣巴西尔：“每天领受并接受基督的圣体和圣血，是美好且有益的；因为基督自己明确地说：‘吃我的肉，喝我的血，就有永生 （约6:54）。 因为谁会怀疑，不断参与生命，其意义不正是过着丰富多彩的生活吗？”</w:t>
      </w:r>
      <w:r>
        <w:rPr>
          <w:rStyle w:val="FootnoteReference"/>
        </w:rPr>
        <w:footnoteReference w:id="1584"/>
      </w:r>
    </w:p>
    <w:p w14:paraId="3EA497D5" w14:textId="77777777" w:rsidR="00BE1885" w:rsidRPr="006A21F9" w:rsidRDefault="00BE1885" w:rsidP="00BE1885">
      <w:pPr>
        <w:rPr>
          <w:lang w:val="ru-RU"/>
        </w:rPr>
      </w:pPr>
      <w:r w:rsidRPr="006A21F9">
        <w:rPr>
          <w:lang w:val="ru-RU"/>
        </w:rPr>
        <w:tab/>
        <w:t>圣安布罗斯：“主教的恩典是由谁赐予的，是上帝还是人？你无疑会回答：是上帝。但上帝是通过人来赐予的。 人按手，而上帝倾注恩典；司祭以谦卑的右手按手，而上帝以全能的右手赐福；主教施行祝圣，而上帝赋予尊荣。”</w:t>
      </w:r>
      <w:r>
        <w:rPr>
          <w:rStyle w:val="FootnoteReference"/>
        </w:rPr>
        <w:footnoteReference w:id="1585"/>
      </w:r>
    </w:p>
    <w:p w14:paraId="4B61A59D" w14:textId="77777777" w:rsidR="00BE1885" w:rsidRPr="006A21F9" w:rsidRDefault="00BE1885" w:rsidP="00BE1885">
      <w:pPr>
        <w:ind w:firstLine="708"/>
        <w:rPr>
          <w:lang w:val="ru-RU"/>
        </w:rPr>
      </w:pPr>
      <w:r w:rsidRPr="006A21F9">
        <w:rPr>
          <w:b/>
          <w:bCs/>
          <w:lang w:val="ru-RU"/>
        </w:rPr>
        <w:lastRenderedPageBreak/>
        <w:t>3）</w:t>
      </w:r>
      <w:r w:rsidRPr="006A21F9">
        <w:rPr>
          <w:lang w:val="ru-RU"/>
        </w:rPr>
        <w:t>我们还应回顾，东正教会自创立之初便有一项传统——即为婴儿施行洗礼、坚振礼和圣餐礼——这一传统一直延续至今。 倘若圣礼仅仅是旨在激发人们信仰的简单象征——唯有信仰才能拯救人——而非通过上帝救赎之恩对人产生必要作用的工具； 那么问题就来了：上述三项圣礼曾能、也能给婴孩带来什么益处？圣教会过去和现在施行这些圣礼又是出于什么目的？</w:t>
      </w:r>
    </w:p>
    <w:p w14:paraId="7C1B4CB3" w14:textId="77777777" w:rsidR="00BE1885" w:rsidRPr="006A21F9" w:rsidRDefault="00BE1885" w:rsidP="00BE1885">
      <w:pPr>
        <w:rPr>
          <w:lang w:val="ru-RU"/>
        </w:rPr>
      </w:pPr>
      <w:r w:rsidRPr="006A21F9">
        <w:rPr>
          <w:lang w:val="ru-RU"/>
        </w:rPr>
        <w:tab/>
        <w:t>至于圣礼为何具有如此力量——对此只有一个答案：这是主的旨意。祂亲自设立了这些众所周知的圣礼仪式，作为向人们传递祂恩典中不可见恩赐的可见工具； 祂亲自教导了如何施行这些圣礼，以便在正确施行时，人们确实能获得恩典的赐予——而祂的旨意得以实现：按照救主所设立的方式施行的圣礼，必然以救赎的恩典作用于人。</w:t>
      </w:r>
    </w:p>
    <w:p w14:paraId="3E5A78F9" w14:textId="77777777" w:rsidR="00BE1885" w:rsidRPr="006A21F9" w:rsidRDefault="00BE1885" w:rsidP="00BE1885">
      <w:pPr>
        <w:rPr>
          <w:lang w:val="ru-RU"/>
        </w:rPr>
      </w:pPr>
      <w:r w:rsidRPr="006A21F9">
        <w:rPr>
          <w:lang w:val="ru-RU"/>
        </w:rPr>
        <w:tab/>
      </w:r>
    </w:p>
    <w:p w14:paraId="2FDFAB5F" w14:textId="77777777" w:rsidR="00BE1885" w:rsidRPr="006A21F9" w:rsidRDefault="00BE1885" w:rsidP="00BE1885">
      <w:pPr>
        <w:pStyle w:val="Heading5"/>
        <w:rPr>
          <w:lang w:val="ru-RU"/>
        </w:rPr>
      </w:pPr>
      <w:bookmarkStart w:id="1028" w:name="_Toc133143017"/>
      <w:bookmarkStart w:id="1029" w:name="_Toc133166374"/>
      <w:bookmarkStart w:id="1030" w:name="_Toc182221584"/>
      <w:bookmarkStart w:id="1031" w:name="_Toc238453151"/>
      <w:bookmarkStart w:id="1032" w:name="_Toc238453951"/>
      <w:bookmarkStart w:id="1033" w:name="_Toc238576611"/>
      <w:r w:rsidRPr="006A21F9">
        <w:rPr>
          <w:bCs/>
          <w:lang w:val="ru-RU"/>
        </w:rPr>
        <w:t>§244.</w:t>
      </w:r>
      <w:r w:rsidRPr="006A21F9">
        <w:rPr>
          <w:lang w:val="ru-RU"/>
        </w:rPr>
        <w:t xml:space="preserve"> 关于七件圣事的数量</w:t>
      </w:r>
      <w:bookmarkEnd w:id="1028"/>
      <w:bookmarkEnd w:id="1029"/>
      <w:bookmarkEnd w:id="1030"/>
      <w:bookmarkEnd w:id="1031"/>
      <w:bookmarkEnd w:id="1032"/>
      <w:bookmarkEnd w:id="1033"/>
    </w:p>
    <w:p w14:paraId="32BE16DB" w14:textId="77777777" w:rsidR="00BE1885" w:rsidRPr="006A21F9" w:rsidRDefault="00BE1885" w:rsidP="00BE1885">
      <w:pPr>
        <w:ind w:firstLine="708"/>
        <w:rPr>
          <w:lang w:val="ru-RU"/>
        </w:rPr>
      </w:pPr>
      <w:r w:rsidRPr="006A21F9">
        <w:rPr>
          <w:lang w:val="ru-RU"/>
        </w:rPr>
        <w:t>教会的圣礼既不少于七种，也不多于七种：洗礼、坚振礼、圣餐礼、告解礼、圣职礼、婚姻礼、傅油礼（《东方教父关于正统信仰的信函》第15条）。因为：</w:t>
      </w:r>
    </w:p>
    <w:p w14:paraId="417FA401" w14:textId="77777777" w:rsidR="00BE1885" w:rsidRPr="006A21F9" w:rsidRDefault="00BE1885" w:rsidP="00BE1885">
      <w:pPr>
        <w:ind w:firstLine="708"/>
        <w:rPr>
          <w:lang w:val="ru-RU"/>
        </w:rPr>
      </w:pPr>
      <w:r w:rsidRPr="006A21F9">
        <w:rPr>
          <w:b/>
          <w:bCs/>
          <w:lang w:val="ru-RU"/>
        </w:rPr>
        <w:t>1.</w:t>
      </w:r>
      <w:r w:rsidRPr="006A21F9">
        <w:rPr>
          <w:lang w:val="ru-RU"/>
        </w:rPr>
        <w:t xml:space="preserve"> 正如我们所见，这些圣礼中的每一项都在圣经中得到了明确的确认；圣经赋予每一项圣礼作为真正圣礼的所有特征，即神圣的设立、可见或可感知的标志，以及对人产生的不可见的恩典作用。 如果圣经中没有明确指出圣礼恰好有七个，</w:t>
      </w:r>
      <w:r>
        <w:rPr>
          <w:rStyle w:val="FootnoteReference"/>
        </w:rPr>
        <w:footnoteReference w:id="1586"/>
      </w:r>
      <w:r w:rsidRPr="006A21F9">
        <w:rPr>
          <w:lang w:val="ru-RU"/>
        </w:rPr>
        <w:t xml:space="preserve"> ，那么同样也没有指出圣礼只有两个、三个或一个。关于圣礼的七个，我们是从另一个神圣的来源——即在教会中保存下来的神圣传统——得知的。</w:t>
      </w:r>
    </w:p>
    <w:p w14:paraId="58C38909" w14:textId="77777777" w:rsidR="00BE1885" w:rsidRPr="006A21F9" w:rsidRDefault="00BE1885" w:rsidP="00BE1885">
      <w:pPr>
        <w:ind w:firstLine="708"/>
        <w:rPr>
          <w:lang w:val="ru-RU"/>
        </w:rPr>
      </w:pPr>
      <w:r w:rsidRPr="006A21F9">
        <w:rPr>
          <w:b/>
          <w:bCs/>
          <w:lang w:val="ru-RU"/>
        </w:rPr>
        <w:t>2.</w:t>
      </w:r>
      <w:r w:rsidRPr="006A21F9">
        <w:rPr>
          <w:lang w:val="ru-RU"/>
        </w:rPr>
        <w:t xml:space="preserve"> 不仅东正教会，就连</w:t>
      </w:r>
      <w:r w:rsidRPr="001E4083">
        <w:t>在</w:t>
      </w:r>
      <w:r w:rsidRPr="006A21F9">
        <w:rPr>
          <w:lang w:val="ru-RU"/>
        </w:rPr>
        <w:t>9至11世纪从其分离出来的罗马天主教会，以及自5世纪起存在于东方的所有聂斯托里派和一性论派团体，都在各自的教会礼仪中一致承认并施行七大圣事。</w:t>
      </w:r>
      <w:r>
        <w:rPr>
          <w:rStyle w:val="FootnoteReference"/>
        </w:rPr>
        <w:footnoteReference w:id="1587"/>
      </w:r>
      <w:r w:rsidRPr="006A21F9">
        <w:rPr>
          <w:lang w:val="ru-RU"/>
        </w:rPr>
        <w:t xml:space="preserve"> 若非基于使徒传承这一共同基础，又该如何解释这些彼此意见相左的基督徒之间如此惊人的共识呢？</w:t>
      </w:r>
      <w:r>
        <w:rPr>
          <w:rStyle w:val="FootnoteReference"/>
        </w:rPr>
        <w:footnoteReference w:id="1588"/>
      </w:r>
      <w:r w:rsidRPr="006A21F9">
        <w:rPr>
          <w:lang w:val="ru-RU"/>
        </w:rPr>
        <w:t xml:space="preserve"> 由于彼此间的敌意，上述基督徒无法相互借鉴这些圣礼（或其中某些），事实上他们也确实没有借鉴——正如他们在每个圣礼的礼仪程序中存在的诸多差异所表明的那样。</w:t>
      </w:r>
      <w:r>
        <w:rPr>
          <w:rStyle w:val="FootnoteReference"/>
        </w:rPr>
        <w:footnoteReference w:id="1589"/>
      </w:r>
    </w:p>
    <w:p w14:paraId="606D13D5" w14:textId="77777777" w:rsidR="00BE1885" w:rsidRPr="006A21F9" w:rsidRDefault="00BE1885" w:rsidP="00BE1885">
      <w:pPr>
        <w:ind w:firstLine="708"/>
        <w:rPr>
          <w:lang w:val="ru-RU"/>
        </w:rPr>
      </w:pPr>
      <w:r w:rsidRPr="006A21F9">
        <w:rPr>
          <w:b/>
          <w:bCs/>
          <w:lang w:val="ru-RU"/>
        </w:rPr>
        <w:t>3.</w:t>
      </w:r>
      <w:r w:rsidRPr="006A21F9">
        <w:rPr>
          <w:lang w:val="ru-RU"/>
        </w:rPr>
        <w:t xml:space="preserve"> 具体阐述基督徒关于教会七大圣事的恒久、普遍信仰这一观点时，我们可以说，这种信仰无疑确实存在：</w:t>
      </w:r>
    </w:p>
    <w:p w14:paraId="539EABF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在十六世纪，当宗教改革兴起时，新教徒率先胆敢否定五项圣礼，仅保留洗礼和圣餐。 当时，君士坦丁堡宗主教耶利米在其致维尔特堡神学家的信函中明确表达了这一信仰，</w:t>
      </w:r>
      <w:r>
        <w:rPr>
          <w:rStyle w:val="FootnoteReference"/>
        </w:rPr>
        <w:footnoteReference w:id="1590"/>
      </w:r>
      <w:r w:rsidRPr="006A21F9">
        <w:rPr>
          <w:lang w:val="ru-RU"/>
        </w:rPr>
        <w:t xml:space="preserve"> </w:t>
      </w:r>
      <w:r w:rsidRPr="006A21F9">
        <w:rPr>
          <w:lang w:val="ru-RU"/>
        </w:rPr>
        <w:lastRenderedPageBreak/>
        <w:t>；费城大主教加布里埃尔（ ）撰写了关于七大圣事的专门论著，</w:t>
      </w:r>
      <w:r>
        <w:rPr>
          <w:rStyle w:val="FootnoteReference"/>
        </w:rPr>
        <w:footnoteReference w:id="1591"/>
      </w:r>
      <w:r w:rsidRPr="006A21F9">
        <w:rPr>
          <w:lang w:val="ru-RU"/>
        </w:rPr>
        <w:t xml:space="preserve"> ；而在西方，除众多独立作家外，整个特伦托大公会议也持此立场。</w:t>
      </w:r>
      <w:r>
        <w:rPr>
          <w:rStyle w:val="FootnoteReference"/>
        </w:rPr>
        <w:footnoteReference w:id="1592"/>
      </w:r>
    </w:p>
    <w:p w14:paraId="09391268" w14:textId="77777777" w:rsidR="00BE1885" w:rsidRPr="006A21F9" w:rsidRDefault="00BE1885" w:rsidP="00BE1885">
      <w:pPr>
        <w:rPr>
          <w:lang w:val="ru-RU"/>
        </w:rPr>
      </w:pPr>
      <w:r w:rsidRPr="006A21F9">
        <w:rPr>
          <w:lang w:val="ru-RU"/>
        </w:rPr>
        <w:tab/>
      </w:r>
      <w:r w:rsidRPr="006A21F9">
        <w:rPr>
          <w:b/>
          <w:bCs/>
          <w:lang w:val="ru-RU"/>
        </w:rPr>
        <w:t>b)</w:t>
      </w:r>
      <w:r w:rsidRPr="0097554A">
        <w:rPr>
          <w:lang w:val="ru-RU"/>
        </w:rPr>
        <w:t xml:space="preserve"> </w:t>
      </w:r>
      <w:r w:rsidRPr="006A21F9">
        <w:rPr>
          <w:lang w:val="ru-RU"/>
        </w:rPr>
        <w:t>15世纪。本世纪初，圣西梅昂·索卢尼（</w:t>
      </w:r>
      <w:r>
        <w:rPr>
          <w:rStyle w:val="FootnoteReference"/>
        </w:rPr>
        <w:footnoteReference w:id="1593"/>
      </w:r>
      <w:r w:rsidRPr="006A21F9">
        <w:rPr>
          <w:lang w:val="ru-RU"/>
        </w:rPr>
        <w:t xml:space="preserve"> ）曾论述过七大圣事，而教皇尤</w:t>
      </w:r>
      <w:r w:rsidRPr="001E4083">
        <w:t>金四世</w:t>
      </w:r>
      <w:r w:rsidRPr="006A21F9">
        <w:rPr>
          <w:lang w:val="ru-RU"/>
        </w:rPr>
        <w:t>在佛罗伦萨大公会议（1438-1440）期间也曾致信亚美尼亚人。</w:t>
      </w:r>
      <w:r>
        <w:rPr>
          <w:rStyle w:val="FootnoteReference"/>
        </w:rPr>
        <w:footnoteReference w:id="1594"/>
      </w:r>
    </w:p>
    <w:p w14:paraId="6D83DF2B"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十四世纪：正如君士坦丁堡皇帝约翰·帕莱奥洛格（</w:t>
      </w:r>
      <w:r w:rsidRPr="00BC7082">
        <w:rPr>
          <w:lang w:val="ru-RU"/>
        </w:rPr>
        <w:t>1355年）</w:t>
      </w:r>
      <w:r w:rsidRPr="006A21F9">
        <w:rPr>
          <w:lang w:val="ru-RU"/>
        </w:rPr>
        <w:t>在其《信仰告白》中所表明的，</w:t>
      </w:r>
      <w:r>
        <w:rPr>
          <w:rStyle w:val="FootnoteReference"/>
        </w:rPr>
        <w:footnoteReference w:id="1595"/>
      </w:r>
      <w:r w:rsidRPr="006A21F9">
        <w:rPr>
          <w:lang w:val="ru-RU"/>
        </w:rPr>
        <w:t xml:space="preserve"> ；希腊裔的马努埃尔·卡莱卡（1360年），</w:t>
      </w:r>
      <w:r>
        <w:rPr>
          <w:rStyle w:val="FootnoteReference"/>
        </w:rPr>
        <w:footnoteReference w:id="1596"/>
      </w:r>
      <w:r w:rsidRPr="006A21F9">
        <w:rPr>
          <w:lang w:val="ru-RU"/>
        </w:rPr>
        <w:t xml:space="preserve"> ；以及1342年召开的亚美尼亚大公会议。</w:t>
      </w:r>
      <w:r>
        <w:rPr>
          <w:rStyle w:val="FootnoteReference"/>
        </w:rPr>
        <w:footnoteReference w:id="1597"/>
      </w:r>
    </w:p>
    <w:p w14:paraId="77156815"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13世纪。当时，君士坦丁堡的修道士约伯（1270年）曾论及七件圣事，</w:t>
      </w:r>
      <w:r>
        <w:rPr>
          <w:rStyle w:val="FootnoteReference"/>
        </w:rPr>
        <w:footnoteReference w:id="1598"/>
      </w:r>
      <w:r w:rsidRPr="006A21F9">
        <w:rPr>
          <w:lang w:val="ru-RU"/>
        </w:rPr>
        <w:t xml:space="preserve"> 西方经院哲学家：托马斯·阿奎那、博纳文图拉、亚历山大·加伦斯</w:t>
      </w:r>
      <w:r>
        <w:rPr>
          <w:rStyle w:val="FootnoteReference"/>
        </w:rPr>
        <w:footnoteReference w:id="1599"/>
      </w:r>
      <w:r w:rsidRPr="006A21F9">
        <w:rPr>
          <w:lang w:val="ru-RU"/>
        </w:rPr>
        <w:t xml:space="preserve"> 以及1237年召开的伦敦大公会议。</w:t>
      </w:r>
      <w:r>
        <w:rPr>
          <w:rStyle w:val="FootnoteReference"/>
        </w:rPr>
        <w:footnoteReference w:id="1600"/>
      </w:r>
    </w:p>
    <w:p w14:paraId="0B46EA63" w14:textId="77777777" w:rsidR="00BE1885" w:rsidRPr="006A21F9" w:rsidRDefault="00BE1885" w:rsidP="00BE1885">
      <w:pPr>
        <w:rPr>
          <w:lang w:val="ru-RU"/>
        </w:rPr>
      </w:pPr>
      <w:r w:rsidRPr="006A21F9">
        <w:rPr>
          <w:lang w:val="ru-RU"/>
        </w:rPr>
        <w:tab/>
      </w:r>
      <w:r w:rsidRPr="006A21F9">
        <w:rPr>
          <w:b/>
          <w:bCs/>
          <w:lang w:val="ru-RU"/>
        </w:rPr>
        <w:t>e)</w:t>
      </w:r>
      <w:r w:rsidRPr="006A21F9">
        <w:rPr>
          <w:lang w:val="ru-RU"/>
        </w:rPr>
        <w:t xml:space="preserve"> 十二世纪：从1124年在波美拉尼亚宣讲基督教信仰的奥托的教导</w:t>
      </w:r>
      <w:r>
        <w:rPr>
          <w:rStyle w:val="FootnoteReference"/>
        </w:rPr>
        <w:footnoteReference w:id="1601"/>
      </w:r>
      <w:r w:rsidRPr="006A21F9">
        <w:rPr>
          <w:lang w:val="ru-RU"/>
        </w:rPr>
        <w:t xml:space="preserve"> ，以及经院哲学家雨果·维克托里努斯</w:t>
      </w:r>
      <w:r>
        <w:rPr>
          <w:rStyle w:val="FootnoteReference"/>
        </w:rPr>
        <w:footnoteReference w:id="1602"/>
      </w:r>
      <w:r w:rsidRPr="006A21F9">
        <w:rPr>
          <w:lang w:val="ru-RU"/>
        </w:rPr>
        <w:t xml:space="preserve"> 和彼得·隆巴德</w:t>
      </w:r>
      <w:r>
        <w:rPr>
          <w:rStyle w:val="FootnoteReference"/>
        </w:rPr>
        <w:footnoteReference w:id="1603"/>
      </w:r>
      <w:r w:rsidRPr="006A21F9">
        <w:rPr>
          <w:lang w:val="ru-RU"/>
        </w:rPr>
        <w:t xml:space="preserve"> 的著作中可以看出，他们都明确教导了七大圣事。</w:t>
      </w:r>
    </w:p>
    <w:p w14:paraId="3A9A9C13" w14:textId="77777777" w:rsidR="00BE1885" w:rsidRPr="006A21F9" w:rsidRDefault="00BE1885" w:rsidP="00BE1885">
      <w:pPr>
        <w:rPr>
          <w:lang w:val="ru-RU"/>
        </w:rPr>
      </w:pPr>
      <w:r w:rsidRPr="006A21F9">
        <w:rPr>
          <w:lang w:val="ru-RU"/>
        </w:rPr>
        <w:tab/>
      </w:r>
      <w:r w:rsidRPr="006A21F9">
        <w:rPr>
          <w:b/>
          <w:bCs/>
          <w:lang w:val="ru-RU"/>
        </w:rPr>
        <w:t>e)</w:t>
      </w:r>
      <w:r w:rsidRPr="006A21F9">
        <w:rPr>
          <w:lang w:val="ru-RU"/>
        </w:rPr>
        <w:t xml:space="preserve"> 早于11世纪，甚至早于9世纪。因为现存的一些希腊语和拉丁语七大圣事的礼仪程序，其渊源远早于11世纪，</w:t>
      </w:r>
      <w:r>
        <w:rPr>
          <w:rStyle w:val="FootnoteReference"/>
        </w:rPr>
        <w:footnoteReference w:id="1604"/>
      </w:r>
      <w:r w:rsidRPr="006A21F9">
        <w:rPr>
          <w:lang w:val="ru-RU"/>
        </w:rPr>
        <w:t xml:space="preserve"> 此外，君士坦丁堡宗主教米哈伊尔·凯卢拉里乌斯和福提乌斯，尽管曾因拉丁教徒在举行圣礼的方式上存在某些偏差而予以谴责，却从未因他们增减圣礼的数量而责备过他们（拉丁教徒）。</w:t>
      </w:r>
    </w:p>
    <w:p w14:paraId="58626303" w14:textId="77777777" w:rsidR="00BE1885" w:rsidRPr="006A21F9" w:rsidRDefault="00BE1885" w:rsidP="00BE1885">
      <w:pPr>
        <w:rPr>
          <w:lang w:val="ru-RU"/>
        </w:rPr>
      </w:pPr>
      <w:r w:rsidRPr="006A21F9">
        <w:rPr>
          <w:lang w:val="ru-RU"/>
        </w:rPr>
        <w:tab/>
      </w:r>
      <w:r w:rsidRPr="006A21F9">
        <w:rPr>
          <w:b/>
          <w:bCs/>
          <w:lang w:val="ru-RU"/>
        </w:rPr>
        <w:t>g)</w:t>
      </w:r>
      <w:r w:rsidRPr="006A21F9">
        <w:rPr>
          <w:lang w:val="ru-RU"/>
        </w:rPr>
        <w:t xml:space="preserve"> 五世纪之前：因为正如我们已经指出的，那些在五世纪脱离东正教会的聂斯托里派和一性论派团体，至今仍与东正教会一致地保留着七大圣事。</w:t>
      </w:r>
    </w:p>
    <w:p w14:paraId="517D4953" w14:textId="77777777" w:rsidR="00BE1885" w:rsidRPr="006A21F9" w:rsidRDefault="00BE1885" w:rsidP="00BE1885">
      <w:pPr>
        <w:ind w:firstLine="708"/>
        <w:rPr>
          <w:lang w:val="ru-RU"/>
        </w:rPr>
      </w:pPr>
      <w:r w:rsidRPr="006A21F9">
        <w:rPr>
          <w:b/>
          <w:bCs/>
          <w:lang w:val="ru-RU"/>
        </w:rPr>
        <w:t>4.</w:t>
      </w:r>
      <w:r w:rsidRPr="006A21F9">
        <w:rPr>
          <w:lang w:val="ru-RU"/>
        </w:rPr>
        <w:t xml:space="preserve"> 倘若古代教会的圣父们和圣师们，既未像圣经那样在任何地方明确指出有七件圣事，也未在任何地方专门阐述关于这七件圣事的教义； 那么，为了解释这一点，有必要回顾当时教会中存在的“守秘传统”（</w:t>
      </w:r>
      <w:r w:rsidRPr="001E4083">
        <w:t>disciplina</w:t>
      </w:r>
      <w:r w:rsidRPr="0097554A">
        <w:rPr>
          <w:lang w:val="ru-RU"/>
        </w:rPr>
        <w:t xml:space="preserve"> </w:t>
      </w:r>
      <w:r w:rsidRPr="001E4083">
        <w:t>arcani</w:t>
      </w:r>
      <w:r w:rsidRPr="006A21F9">
        <w:rPr>
          <w:lang w:val="ru-RU"/>
        </w:rPr>
        <w:t>），正如大圣巴西尔所见证的那样。 他在致安菲洛基乌斯的教规书信中指出，除了书面记载的教义和讲道外，教会中还有一些教义是通过使</w:t>
      </w:r>
      <w:r w:rsidRPr="006A21F9">
        <w:rPr>
          <w:lang w:val="ru-RU"/>
        </w:rPr>
        <w:lastRenderedPageBreak/>
        <w:t>徒传承在隐秘中接受的， 这位圣父为了佐证自己的话，特别指出了圣体圣事和洗礼仪式中的一些具体细节，随后问道：“这一切是从哪部经文中得来的？ 难道不是源于那未曾公开、不可言传的教义吗？我们的圣父们将它保存在一种不为好奇与探询所及的沉默之中，因为他们被正确地教导，要通过沉默来守护圣事的圣洁？ 因为，若将那些未受圣事祝圣、未获准窥见其奥秘之人所不可知之事的教义，通过经文公之于众，这又何其不妥？”</w:t>
      </w:r>
      <w:r>
        <w:rPr>
          <w:rStyle w:val="FootnoteReference"/>
        </w:rPr>
        <w:footnoteReference w:id="1605"/>
      </w:r>
      <w:r w:rsidRPr="006A21F9">
        <w:rPr>
          <w:lang w:val="ru-RU"/>
        </w:rPr>
        <w:t xml:space="preserve"> 不过，尽管出于这一虔诚的惯例，他们在著作中并未刻意全面论述</w:t>
      </w:r>
      <w:r>
        <w:rPr>
          <w:rStyle w:val="FootnoteReference"/>
        </w:rPr>
        <w:footnoteReference w:id="1606"/>
      </w:r>
      <w:r w:rsidRPr="006A21F9">
        <w:rPr>
          <w:lang w:val="ru-RU"/>
        </w:rPr>
        <w:t xml:space="preserve"> 所有圣事，但古代教会的圣父们和教师们却常在适当场合，根据预设的目的，时而提及这一圣事，时而提及另一圣事，时而提及第三圣事， 将他们的证言综合起来后，便可发现他们 无疑承认了迄今仍保留在教会中的全部七大圣事。</w:t>
      </w:r>
      <w:r w:rsidRPr="006A21F9">
        <w:rPr>
          <w:b/>
          <w:bCs/>
          <w:lang w:val="ru-RU"/>
        </w:rPr>
        <w:t>例如——a)</w:t>
      </w:r>
      <w:r w:rsidRPr="006A21F9">
        <w:rPr>
          <w:lang w:val="ru-RU"/>
        </w:rPr>
        <w:t xml:space="preserve"> 正如我们所见，使徒巴拿巴、殉道者尤斯丁、特土良、耶路撒冷的西里尔、大瓦西里、 神学家格里高利、金口若望以及许多其他人（§§202-206）；</w:t>
      </w:r>
      <w:r w:rsidRPr="006A21F9">
        <w:rPr>
          <w:b/>
          <w:bCs/>
          <w:lang w:val="ru-RU"/>
        </w:rPr>
        <w:t>b)</w:t>
      </w:r>
      <w:r w:rsidRPr="006A21F9">
        <w:rPr>
          <w:lang w:val="ru-RU"/>
        </w:rPr>
        <w:t xml:space="preserve"> 关于坚振圣事——亚略巴古的狄奥尼修斯、安提阿的西奥菲勒、特土良、亚历山大的克利门特、基普里安、教宗科尼利乌斯、叙利亚的以弗所。 拉奥狄基亚大公会议、耶路撒冷的西里尔等人（§§208-211）； </w:t>
      </w:r>
      <w:r w:rsidRPr="006A21F9">
        <w:rPr>
          <w:b/>
          <w:bCs/>
          <w:lang w:val="ru-RU"/>
        </w:rPr>
        <w:t>c)</w:t>
      </w:r>
      <w:r w:rsidRPr="006A21F9">
        <w:rPr>
          <w:lang w:val="ru-RU"/>
        </w:rPr>
        <w:t xml:space="preserve"> 关于圣体圣事——伊格纳提乌斯·神承者、殉道者尤斯丁、伊里内乌斯、希波吕托斯、亚历山大的狄奥尼修斯以及众多其他教会导师，还有整个大公会议和地方会议（§§214-220）； </w:t>
      </w:r>
      <w:r w:rsidRPr="006A21F9">
        <w:rPr>
          <w:b/>
          <w:bCs/>
          <w:lang w:val="ru-RU"/>
        </w:rPr>
        <w:t>d)</w:t>
      </w:r>
      <w:r w:rsidRPr="006A21F9">
        <w:rPr>
          <w:lang w:val="ru-RU"/>
        </w:rPr>
        <w:t xml:space="preserve"> 关于忏悔圣事——《使徒规条》及所谓的《使徒法令》、特土良、基普里安、大亚他那修、约翰·金口、安布罗斯、尼西亚的格里高利、杰罗姆、亚历山大的西里尔以及各大公会议（§§222-225）； </w:t>
      </w:r>
      <w:r w:rsidRPr="006A21F9">
        <w:rPr>
          <w:b/>
          <w:bCs/>
          <w:lang w:val="ru-RU"/>
        </w:rPr>
        <w:t>戊）</w:t>
      </w:r>
      <w:r w:rsidRPr="006A21F9">
        <w:rPr>
          <w:lang w:val="ru-RU"/>
        </w:rPr>
        <w:t xml:space="preserve">关于傅油圣事——奥利金、金口若望、安提阿的维克多、凯撒利亚、教宗英诺森一世、亚历山大的西里尔等人（§§230-232）； </w:t>
      </w:r>
      <w:r w:rsidRPr="006A21F9">
        <w:rPr>
          <w:b/>
          <w:bCs/>
          <w:lang w:val="ru-RU"/>
        </w:rPr>
        <w:t>f)</w:t>
      </w:r>
      <w:r w:rsidRPr="006A21F9">
        <w:rPr>
          <w:lang w:val="ru-RU"/>
        </w:rPr>
        <w:t xml:space="preserve"> 关于婚姻圣事——伊格纳提乌斯·神承者、特土良、约翰·金口、大巴西尔、格里高利·神学家、安布罗斯、奥古斯丁等人（§§234-236）； </w:t>
      </w:r>
      <w:r w:rsidRPr="006A21F9">
        <w:rPr>
          <w:b/>
          <w:bCs/>
          <w:lang w:val="ru-RU"/>
        </w:rPr>
        <w:t>g)</w:t>
      </w:r>
      <w:r w:rsidRPr="006A21F9">
        <w:rPr>
          <w:lang w:val="ru-RU"/>
        </w:rPr>
        <w:t xml:space="preserve"> 关于司铎圣事——《使徒规程》、大巴西略、金口若望、尼西亚的格里高利、安布罗斯、迦克墩大公会议的教父们、大教宗利奥等人（§§239-241）。</w:t>
      </w:r>
    </w:p>
    <w:p w14:paraId="4E72C9D2" w14:textId="77777777" w:rsidR="00BE1885" w:rsidRPr="006A21F9" w:rsidRDefault="00BE1885" w:rsidP="00BE1885">
      <w:pPr>
        <w:rPr>
          <w:lang w:val="ru-RU"/>
        </w:rPr>
      </w:pPr>
      <w:r w:rsidRPr="006A21F9">
        <w:rPr>
          <w:lang w:val="ru-RU"/>
        </w:rPr>
        <w:tab/>
        <w:t>因此，不应因某些古代教师出于实际需要、或根据其选定的目标、或因其他原因，在著作中时而论及两个圣事（</w:t>
      </w:r>
      <w:r>
        <w:rPr>
          <w:rStyle w:val="FootnoteReference"/>
        </w:rPr>
        <w:footnoteReference w:id="1607"/>
      </w:r>
      <w:r w:rsidRPr="006A21F9">
        <w:rPr>
          <w:lang w:val="ru-RU"/>
        </w:rPr>
        <w:t xml:space="preserve"> ），时而论及三个圣事（</w:t>
      </w:r>
      <w:r>
        <w:rPr>
          <w:rStyle w:val="FootnoteReference"/>
        </w:rPr>
        <w:footnoteReference w:id="1608"/>
      </w:r>
      <w:r w:rsidRPr="006A21F9">
        <w:rPr>
          <w:lang w:val="ru-RU"/>
        </w:rPr>
        <w:t xml:space="preserve"> ），时而论及四个圣事（</w:t>
      </w:r>
      <w:r>
        <w:rPr>
          <w:rStyle w:val="FootnoteReference"/>
        </w:rPr>
        <w:footnoteReference w:id="1609"/>
      </w:r>
      <w:r w:rsidRPr="006A21F9">
        <w:rPr>
          <w:lang w:val="ru-RU"/>
        </w:rPr>
        <w:t xml:space="preserve"> ），却对其余圣事只字未提，而因此产生误解。 据此推断——正如新教徒所做的那样——</w:t>
      </w:r>
      <w:r w:rsidRPr="006A21F9">
        <w:rPr>
          <w:lang w:val="ru-RU"/>
        </w:rPr>
        <w:lastRenderedPageBreak/>
        <w:t>似乎古代教会只承认两种圣礼（为什么不是三种，或者四种呢？）——洗礼和圣餐，这是完全不公正的，因为众所周知，其他教会教师在同一时期或更早之前也提到了所有其余的圣礼；</w:t>
      </w:r>
      <w:r>
        <w:rPr>
          <w:rStyle w:val="FootnoteReference"/>
        </w:rPr>
        <w:footnoteReference w:id="1610"/>
      </w:r>
      <w:r w:rsidRPr="006A21F9">
        <w:rPr>
          <w:lang w:val="ru-RU"/>
        </w:rPr>
        <w:t xml:space="preserve"> 众所周知，即便是这些教父们，在逐一列举洗礼和圣餐时，有时也会同时提及其他同类圣礼，</w:t>
      </w:r>
      <w:r>
        <w:rPr>
          <w:rStyle w:val="FootnoteReference"/>
        </w:rPr>
        <w:footnoteReference w:id="1611"/>
      </w:r>
      <w:r w:rsidRPr="006A21F9">
        <w:rPr>
          <w:lang w:val="ru-RU"/>
        </w:rPr>
        <w:t xml:space="preserve"> ，并且在他们著作的各个段落中，都分别明确论述了七大圣礼中的每一项。</w:t>
      </w:r>
      <w:r>
        <w:rPr>
          <w:rStyle w:val="FootnoteReference"/>
        </w:rPr>
        <w:footnoteReference w:id="1612"/>
      </w:r>
    </w:p>
    <w:p w14:paraId="24B560DF" w14:textId="77777777" w:rsidR="00BE1885" w:rsidRPr="006A21F9" w:rsidRDefault="00BE1885" w:rsidP="00BE1885">
      <w:pPr>
        <w:rPr>
          <w:lang w:val="ru-RU"/>
        </w:rPr>
      </w:pPr>
      <w:r w:rsidRPr="006A21F9">
        <w:rPr>
          <w:lang w:val="ru-RU"/>
        </w:rPr>
        <w:tab/>
        <w:t>此外还应指出，“圣事”（</w:t>
      </w:r>
      <w:r w:rsidRPr="001E4083">
        <w:t>μυστήριον</w:t>
      </w:r>
      <w:r w:rsidRPr="006A21F9">
        <w:rPr>
          <w:lang w:val="ru-RU"/>
        </w:rPr>
        <w:t xml:space="preserve">, </w:t>
      </w:r>
      <w:r w:rsidRPr="001E4083">
        <w:t>sacramentum</w:t>
      </w:r>
      <w:r w:rsidRPr="006A21F9">
        <w:rPr>
          <w:lang w:val="ru-RU"/>
        </w:rPr>
        <w:t>）一词在古代基督教作家那里，有时会被像我们今天这样，以更广泛的含义来使用。 因此，如果其中一些人——尽管人数极少——有时将修道受戒仪式、为亡者举行的祈祷等称为“圣事”，也就不足为奇了。但在严格意义上，无论是上述仪式，还是为亡者举行的祈祷，在教会中从未被承认为圣事，因为教会仅承认七大圣事。</w:t>
      </w:r>
      <w:r>
        <w:rPr>
          <w:rStyle w:val="FootnoteReference"/>
        </w:rPr>
        <w:footnoteReference w:id="1613"/>
      </w:r>
    </w:p>
    <w:p w14:paraId="5D520DD9" w14:textId="77777777" w:rsidR="00BE1885" w:rsidRPr="006A21F9" w:rsidRDefault="00BE1885" w:rsidP="00BE1885">
      <w:pPr>
        <w:ind w:firstLine="708"/>
        <w:rPr>
          <w:lang w:val="ru-RU"/>
        </w:rPr>
      </w:pPr>
      <w:r w:rsidRPr="006A21F9">
        <w:rPr>
          <w:b/>
          <w:bCs/>
          <w:lang w:val="ru-RU"/>
        </w:rPr>
        <w:t>5.</w:t>
      </w:r>
      <w:r w:rsidRPr="006A21F9">
        <w:rPr>
          <w:lang w:val="ru-RU"/>
        </w:rPr>
        <w:t xml:space="preserve"> 为何圣礼恰好是七个，不多也不少？其原因在于圣礼的设立者——主耶稣的旨意。我们只能效法前人，在此发现其与圣灵的七种恩赐（赛11:2-3）相呼应，这些恩赐是通过教会的七项圣礼赐予信徒的； 七个饼， ，曾奇迹般地使成千上万的人吃饱（马太福音15:36-38）；七盏金灯台，在其中，那位蒙恩的异象者得以看见人子（启示录1:12-13）； 七颗星，当时主耶稣握在右手之中（启示录 1:16）；七个印，那本随后被先知看见、在神右手中的书卷正是用这七个印封住的（启示录 5:1）； 当那奥秘之书被揭封后，赐给站在神面前的七位天使的七支号角（启示录 8:1-2）等等。</w:t>
      </w:r>
      <w:r>
        <w:rPr>
          <w:rStyle w:val="FootnoteReference"/>
        </w:rPr>
        <w:footnoteReference w:id="1614"/>
      </w:r>
      <w:r w:rsidRPr="006A21F9">
        <w:rPr>
          <w:lang w:val="ru-RU"/>
        </w:rPr>
        <w:t xml:space="preserve"> 另一方面，很明显，这七件圣事——通过它们圣灵的恩典得以传递——完全契合人作为基督徒生活的所有需求，以及教会本身的需求。 因此，人通过洗礼重生于属灵的、基督徒的生命之中；通过坚振礼获得在新生命中站立得稳所需的力量；在圣体圣事中，人总能找到神圣的食与饮，以在这生命中不断成长。 但既然人成为基督徒后仍可能犯罪并遭受软弱，忏悔便为他提供了治愈心灵疾病的良方；傅油圣事则同时治愈了身体上的疾病。 与此同时，婚姻圣事以恩宠圣化基督徒夫妇的结合，以便通过自然生育子女，维持并持续扩展基督的教会；司铎圣事则为教会提供牧者、教师及天主奥迹的建造者，以引导所有基督徒走向永生。</w:t>
      </w:r>
      <w:r>
        <w:rPr>
          <w:rStyle w:val="FootnoteReference"/>
        </w:rPr>
        <w:footnoteReference w:id="1615"/>
      </w:r>
    </w:p>
    <w:p w14:paraId="2FEA1892" w14:textId="77777777" w:rsidR="00BE1885" w:rsidRPr="006A21F9" w:rsidRDefault="00BE1885" w:rsidP="00BE1885">
      <w:pPr>
        <w:rPr>
          <w:lang w:val="ru-RU"/>
        </w:rPr>
      </w:pPr>
    </w:p>
    <w:p w14:paraId="42BD719B" w14:textId="77777777" w:rsidR="00BE1885" w:rsidRPr="006A21F9" w:rsidRDefault="00BE1885" w:rsidP="00BE1885">
      <w:pPr>
        <w:pStyle w:val="Heading5"/>
        <w:rPr>
          <w:lang w:val="ru-RU"/>
        </w:rPr>
      </w:pPr>
      <w:bookmarkStart w:id="1034" w:name="_Toc133143018"/>
      <w:bookmarkStart w:id="1035" w:name="_Toc133166375"/>
      <w:bookmarkStart w:id="1036" w:name="_Toc182221585"/>
      <w:bookmarkStart w:id="1037" w:name="_Toc238453152"/>
      <w:bookmarkStart w:id="1038" w:name="_Toc238453952"/>
      <w:bookmarkStart w:id="1039" w:name="_Toc238576612"/>
      <w:r w:rsidRPr="006A21F9">
        <w:rPr>
          <w:bCs/>
          <w:lang w:val="ru-RU"/>
        </w:rPr>
        <w:t>§245.</w:t>
      </w:r>
      <w:r w:rsidRPr="006A21F9">
        <w:rPr>
          <w:lang w:val="ru-RU"/>
        </w:rPr>
        <w:t xml:space="preserve"> 关于圣事施行与生效的条件</w:t>
      </w:r>
      <w:bookmarkEnd w:id="1034"/>
      <w:bookmarkEnd w:id="1035"/>
      <w:bookmarkEnd w:id="1036"/>
      <w:bookmarkEnd w:id="1037"/>
      <w:bookmarkEnd w:id="1038"/>
      <w:bookmarkEnd w:id="1039"/>
    </w:p>
    <w:p w14:paraId="78BC159B"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圣事要合法举行并产生效力，须具备以下条件：</w:t>
      </w:r>
    </w:p>
    <w:p w14:paraId="6295D464"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经合法祝圣的长老或主教。</w:t>
      </w:r>
      <w:r w:rsidRPr="006A21F9">
        <w:rPr>
          <w:b/>
          <w:bCs/>
          <w:lang w:val="ru-RU"/>
        </w:rPr>
        <w:t>因为——a)</w:t>
      </w:r>
      <w:r w:rsidRPr="006A21F9">
        <w:rPr>
          <w:lang w:val="ru-RU"/>
        </w:rPr>
        <w:t xml:space="preserve"> 唯有长老和主教，作为使徒的继承人，才被主赋予神圣的权柄，通过祂所设立的圣事将恩典的恩赐赐予世人； </w:t>
      </w:r>
      <w:r w:rsidRPr="006A21F9">
        <w:rPr>
          <w:b/>
          <w:bCs/>
          <w:lang w:val="ru-RU"/>
        </w:rPr>
        <w:t>b)</w:t>
      </w:r>
      <w:r w:rsidRPr="006A21F9">
        <w:rPr>
          <w:lang w:val="ru-RU"/>
        </w:rPr>
        <w:t xml:space="preserve"> 不仅普通平信徒和神职人员，就连处于神所设立的圣职体系最低层级的执事，也未获得此项权柄，无权施行任何圣事，唯涉及洗礼圣事的特殊情况除外； </w:t>
      </w:r>
      <w:r w:rsidRPr="006A21F9">
        <w:rPr>
          <w:b/>
          <w:bCs/>
          <w:lang w:val="ru-RU"/>
        </w:rPr>
        <w:t>c)</w:t>
      </w:r>
      <w:r w:rsidRPr="006A21F9">
        <w:rPr>
          <w:lang w:val="ru-RU"/>
        </w:rPr>
        <w:t xml:space="preserve"> 为了使主教和长老也能大胆地施行如此重大的圣礼，并通过它们将神的恩典传授给世人，他们自己必须事先通过特殊的司铎圣礼得到圣化，并领受圣灵的特殊恩赐： 我们在分别探讨各项圣事，特别是司铎圣事时，已经看到了这一切（§§206、211、217、223、231、236、239-241）。 因此，路德的追随者们同样犯了错误，他们宣称无论是否属于教会等级制度，任何基督徒都可以施行圣礼， 我们的分裂分子同样犯了错误：无论是“无神职派”，允许普通平信徒甚至妇女在自己中间施行圣礼，还是“有神职派”，允许被禁止甚至被剥夺神职的牧师施行圣礼（§200）。</w:t>
      </w:r>
    </w:p>
    <w:p w14:paraId="2901EE8D" w14:textId="77777777" w:rsidR="00BE1885" w:rsidRPr="006A21F9" w:rsidRDefault="00BE1885" w:rsidP="00BE1885">
      <w:pPr>
        <w:ind w:firstLine="708"/>
        <w:rPr>
          <w:lang w:val="ru-RU"/>
        </w:rPr>
      </w:pPr>
      <w:r w:rsidRPr="006A21F9">
        <w:rPr>
          <w:b/>
          <w:bCs/>
          <w:lang w:val="ru-RU"/>
        </w:rPr>
        <w:t>2)</w:t>
      </w:r>
      <w:r w:rsidRPr="006A21F9">
        <w:rPr>
          <w:lang w:val="ru-RU"/>
        </w:rPr>
        <w:t xml:space="preserve"> 合法的，即按照上帝所传的礼仪进行的圣事仪式。 因为，正如我们所见：</w:t>
      </w:r>
      <w:r w:rsidRPr="006A21F9">
        <w:rPr>
          <w:b/>
          <w:bCs/>
          <w:lang w:val="ru-RU"/>
        </w:rPr>
        <w:t>a)</w:t>
      </w:r>
      <w:r w:rsidRPr="006A21F9">
        <w:rPr>
          <w:lang w:val="ru-RU"/>
        </w:rPr>
        <w:t xml:space="preserve"> 圣礼的设立者——主亲自为每项圣礼选定了特定的物质或可见的记号；</w:t>
      </w:r>
      <w:r w:rsidRPr="006A21F9">
        <w:rPr>
          <w:b/>
          <w:bCs/>
          <w:lang w:val="ru-RU"/>
        </w:rPr>
        <w:t>b)</w:t>
      </w:r>
      <w:r w:rsidRPr="006A21F9">
        <w:rPr>
          <w:lang w:val="ru-RU"/>
        </w:rPr>
        <w:t xml:space="preserve"> 祂亲自为每项圣礼指明了特定的施行方式；</w:t>
      </w:r>
      <w:r w:rsidRPr="006A21F9">
        <w:rPr>
          <w:b/>
          <w:bCs/>
          <w:lang w:val="ru-RU"/>
        </w:rPr>
        <w:t>c)</w:t>
      </w:r>
      <w:r w:rsidRPr="006A21F9">
        <w:rPr>
          <w:lang w:val="ru-RU"/>
        </w:rPr>
        <w:t xml:space="preserve"> 祂亲自规定，唯有通过这一可见的记号，并依照这种施行方式，才能在每项圣礼中赐予圣灵所赐的恩赐。 因此，只有当每个圣礼按照主耶稣的旨意、遵照祂的设立来施行时，它才真正成为圣礼，并能对人产生恩典的作用：这一点不言自明。 既然唯有当施行圣礼者——作为具有理智和自由意志的受造物——既关注自己所施行的是什么及如何施行，又怀有按既定方式举行圣礼的意愿时，才可能按照主耶稣的旨意施行每一项圣礼： 因此，教会牧者——无论是长老还是主教——在施行圣礼时，自然必须怀有按照神圣传承的礼仪施行该圣礼的意图（《信条规程》第一卷，对第100个问题的回答）。</w:t>
      </w:r>
      <w:r>
        <w:rPr>
          <w:rStyle w:val="FootnoteReference"/>
        </w:rPr>
        <w:footnoteReference w:id="1616"/>
      </w:r>
    </w:p>
    <w:p w14:paraId="4A29521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然而，另一方面，一些思想谬误者过去和现在都持有不公正的</w:t>
      </w:r>
      <w:r w:rsidRPr="006A21F9">
        <w:rPr>
          <w:b/>
          <w:bCs/>
          <w:lang w:val="ru-RU"/>
        </w:rPr>
        <w:t>观点——a)</w:t>
      </w:r>
      <w:r w:rsidRPr="006A21F9">
        <w:rPr>
          <w:lang w:val="ru-RU"/>
        </w:rPr>
        <w:t xml:space="preserve"> 似乎圣礼的施行与效力不仅需要合法按立的圣职人员，还必须是虔诚的圣职人员，因此由品行不端的神坛侍者所施行的圣礼毫无意义； 或者 </w:t>
      </w:r>
      <w:r w:rsidRPr="006A21F9">
        <w:rPr>
          <w:b/>
          <w:bCs/>
          <w:lang w:val="ru-RU"/>
        </w:rPr>
        <w:t>b)</w:t>
      </w:r>
      <w:r w:rsidRPr="006A21F9">
        <w:rPr>
          <w:lang w:val="ru-RU"/>
        </w:rPr>
        <w:t xml:space="preserve"> 似乎每个圣礼的有效性和效力取决于接受者的信仰，因此圣礼只有在接受并怀着信仰施行之时才成为圣礼并具有效力；而在未施行之时，或是在缺乏信仰的情况下接受时，它就不是圣礼，也毫无功效（§200）。</w:t>
      </w:r>
    </w:p>
    <w:p w14:paraId="2E4019E6" w14:textId="77777777" w:rsidR="00BE1885" w:rsidRPr="006A21F9" w:rsidRDefault="00BE1885" w:rsidP="00BE1885">
      <w:pPr>
        <w:ind w:firstLine="708"/>
        <w:rPr>
          <w:lang w:val="ru-RU"/>
        </w:rPr>
      </w:pPr>
      <w:r w:rsidRPr="006A21F9">
        <w:rPr>
          <w:b/>
          <w:bCs/>
          <w:lang w:val="ru-RU"/>
        </w:rPr>
        <w:t>1)</w:t>
      </w:r>
      <w:r w:rsidRPr="006A21F9">
        <w:rPr>
          <w:lang w:val="ru-RU"/>
        </w:rPr>
        <w:t xml:space="preserve"> 第一种观点是不正确的。因为圣礼的恩典之力本质上取决于救主基督的功绩和旨意，是他自己以不可见的方式施行圣礼；而教会的牧者仅仅是他的仆人和可见的器皿，他借此将圣礼传授给世人。 施洗约翰曾论及耶稣基督说：“</w:t>
      </w:r>
      <w:r w:rsidRPr="006A21F9">
        <w:rPr>
          <w:i/>
          <w:iCs/>
          <w:lang w:val="ru-RU"/>
        </w:rPr>
        <w:t>那用圣灵施洗的</w:t>
      </w:r>
      <w:r w:rsidRPr="006A21F9">
        <w:rPr>
          <w:lang w:val="ru-RU"/>
        </w:rPr>
        <w:t>”（约1:33）</w:t>
      </w:r>
      <w:r w:rsidRPr="006A21F9">
        <w:rPr>
          <w:i/>
          <w:iCs/>
          <w:lang w:val="ru-RU"/>
        </w:rPr>
        <w:t>，</w:t>
      </w:r>
      <w:r w:rsidRPr="006A21F9">
        <w:rPr>
          <w:lang w:val="ru-RU"/>
        </w:rPr>
        <w:t>尽管根据福音书的记载（约4:2），</w:t>
      </w:r>
      <w:r w:rsidRPr="006A21F9">
        <w:rPr>
          <w:i/>
          <w:iCs/>
          <w:lang w:val="ru-RU"/>
        </w:rPr>
        <w:t>施洗的并非耶稣本人，而是祂的门徒</w:t>
      </w:r>
      <w:r w:rsidRPr="006A21F9">
        <w:rPr>
          <w:lang w:val="ru-RU"/>
        </w:rPr>
        <w:t xml:space="preserve">。 </w:t>
      </w:r>
      <w:r w:rsidRPr="006A21F9">
        <w:rPr>
          <w:i/>
          <w:iCs/>
          <w:lang w:val="ru-RU"/>
        </w:rPr>
        <w:t>因此</w:t>
      </w:r>
      <w:r w:rsidRPr="006A21F9">
        <w:rPr>
          <w:lang w:val="ru-RU"/>
        </w:rPr>
        <w:t>，圣使徒指出：</w:t>
      </w:r>
      <w:r w:rsidRPr="006A21F9">
        <w:rPr>
          <w:i/>
          <w:iCs/>
          <w:lang w:val="ru-RU"/>
        </w:rPr>
        <w:t>“栽种的算不得什么，浇灌的也算不得什么，惟有神叫他生长</w:t>
      </w:r>
      <w:r w:rsidRPr="006A21F9">
        <w:rPr>
          <w:lang w:val="ru-RU"/>
        </w:rPr>
        <w:t>”（林前3:7）。 古代的正统教义导师和捍卫者们还指出，基督本人借着圣灵的大能，在隐秘中为人们施洗，</w:t>
      </w:r>
      <w:r>
        <w:rPr>
          <w:rStyle w:val="FootnoteReference"/>
        </w:rPr>
        <w:footnoteReference w:id="1617"/>
      </w:r>
      <w:r w:rsidRPr="006A21F9">
        <w:rPr>
          <w:lang w:val="ru-RU"/>
        </w:rPr>
        <w:t xml:space="preserve"> </w:t>
      </w:r>
      <w:r w:rsidRPr="006A21F9">
        <w:rPr>
          <w:lang w:val="ru-RU"/>
        </w:rPr>
        <w:lastRenderedPageBreak/>
        <w:t>亲自赦免他们的罪，</w:t>
      </w:r>
      <w:r>
        <w:rPr>
          <w:rStyle w:val="FootnoteReference"/>
        </w:rPr>
        <w:footnoteReference w:id="1618"/>
      </w:r>
      <w:r w:rsidRPr="006A21F9">
        <w:rPr>
          <w:lang w:val="ru-RU"/>
        </w:rPr>
        <w:t xml:space="preserve"> 亲自按立圣职，</w:t>
      </w:r>
      <w:r>
        <w:rPr>
          <w:rStyle w:val="FootnoteReference"/>
        </w:rPr>
        <w:footnoteReference w:id="1619"/>
      </w:r>
      <w:r w:rsidRPr="006A21F9">
        <w:rPr>
          <w:lang w:val="ru-RU"/>
        </w:rPr>
        <w:t xml:space="preserve"> 亲自圣化圣坛上的圣礼。</w:t>
      </w:r>
      <w:r>
        <w:rPr>
          <w:rStyle w:val="FootnoteReference"/>
        </w:rPr>
        <w:footnoteReference w:id="1620"/>
      </w:r>
      <w:r w:rsidRPr="006A21F9">
        <w:rPr>
          <w:lang w:val="ru-RU"/>
        </w:rPr>
        <w:t xml:space="preserve"> 随后，他们一致反对异端分子，断言圣礼的恩典之力并不取决于施行圣礼者的道德品行是否称职。例如，圣格里高利·神学家曾言：</w:t>
      </w:r>
    </w:p>
    <w:p w14:paraId="6C2E4D97" w14:textId="77777777" w:rsidR="00BE1885" w:rsidRPr="006A21F9" w:rsidRDefault="00BE1885" w:rsidP="00BE1885">
      <w:pPr>
        <w:rPr>
          <w:lang w:val="ru-RU"/>
        </w:rPr>
      </w:pPr>
      <w:r w:rsidRPr="006A21F9">
        <w:rPr>
          <w:lang w:val="ru-RU"/>
        </w:rPr>
        <w:tab/>
        <w:t>圣格里高利·神学家：“凡是信德值得的人，只要他属于受过此权柄的人之列，未被公开定罪且未被逐出教会，便都有资格使你得到洁净。 寻求医治的你，不要评判施礼者；不要考究为你施行净化者的品格；不要因施礼者的身份而有所选择。虽然有人比另一人更优越，或更卑微，但每个人都比你高尚。 请这样思考：有两个印戒，一个是金制的，一个是铁制的，两者都刻有相同的君王肖像，并都用它们在蜡上盖下了印记。这两个印记有何区别？——毫无区别。如果你比所有人都更睿智，就辨别一下蜡上的印记吧。说说看：哪个是铁戒留下的印记，哪个是金戒留下的印记？ 为何印记会完全相同？因为虽然材质不同，但印痕并无二致。同样地，任何人都可以成为你的施洗者。因为即使有人在生活上胜过另一人，但洗礼的力量是平等的，凡受过同一信仰教导的人，都能同样地引导你达到完美。”</w:t>
      </w:r>
      <w:r>
        <w:rPr>
          <w:rStyle w:val="FootnoteReference"/>
        </w:rPr>
        <w:footnoteReference w:id="1621"/>
      </w:r>
    </w:p>
    <w:p w14:paraId="47638D2C" w14:textId="77777777" w:rsidR="00BE1885" w:rsidRPr="006A21F9" w:rsidRDefault="00BE1885" w:rsidP="00BE1885">
      <w:pPr>
        <w:rPr>
          <w:lang w:val="ru-RU"/>
        </w:rPr>
      </w:pPr>
      <w:r w:rsidRPr="006A21F9">
        <w:rPr>
          <w:lang w:val="ru-RU"/>
        </w:rPr>
        <w:tab/>
        <w:t>圣约翰·金口：“有时，平信徒过着虔诚的生活，而神父却行不义之事；因此，如果恩典只在各处寻找配得的人，那么既不应通过他们施行洗礼，也不应通过他们献上基督的圣体。 但如今，主通常也借着不配的人行事，洗礼的恩典丝毫不会因司铎的生活而受损…… 我之所以这样说，是为了防止有人因严苛审视神父的生活，而在评判他所施行圣礼时产生误解。因为人在所施行的圣礼中并未增添任何来自自身的东西，这一切全是上帝大能的作为，正是上帝在圣礼中使你们成圣。”</w:t>
      </w:r>
      <w:r>
        <w:rPr>
          <w:rStyle w:val="FootnoteReference"/>
        </w:rPr>
        <w:footnoteReference w:id="1622"/>
      </w:r>
    </w:p>
    <w:p w14:paraId="512B9970" w14:textId="77777777" w:rsidR="00BE1885" w:rsidRPr="006A21F9" w:rsidRDefault="00BE1885" w:rsidP="00BE1885">
      <w:pPr>
        <w:rPr>
          <w:lang w:val="ru-RU"/>
        </w:rPr>
      </w:pPr>
      <w:r w:rsidRPr="006A21F9">
        <w:rPr>
          <w:lang w:val="ru-RU"/>
        </w:rPr>
        <w:tab/>
        <w:t>圣伊西多尔·佩卢西奥塔：“即使施行圣事的神父既不配又无德，领受者（圣事）也不会失去任何东西，他仍能从圣事中获益，即使这位神父将所有人引向不义。”</w:t>
      </w:r>
      <w:r>
        <w:rPr>
          <w:rStyle w:val="FootnoteReference"/>
        </w:rPr>
        <w:footnoteReference w:id="1623"/>
      </w:r>
    </w:p>
    <w:p w14:paraId="10AA5055" w14:textId="77777777" w:rsidR="00BE1885" w:rsidRPr="006A21F9" w:rsidRDefault="00BE1885" w:rsidP="00BE1885">
      <w:pPr>
        <w:rPr>
          <w:lang w:val="ru-RU"/>
        </w:rPr>
      </w:pPr>
      <w:r w:rsidRPr="006A21F9">
        <w:rPr>
          <w:lang w:val="ru-RU"/>
        </w:rPr>
        <w:tab/>
        <w:t>福者奥古斯丁：“恩典永远属于上帝，圣事也属于上帝，而人仅是侍奉者。若他品行端正，便与上帝和谐一致，与上帝同工；若他品行不端，上帝便借着他完成圣事可见的形式，而亲自赐下不可见的</w:t>
      </w:r>
      <w:r w:rsidRPr="006A21F9">
        <w:rPr>
          <w:lang w:val="ru-RU"/>
        </w:rPr>
        <w:lastRenderedPageBreak/>
        <w:t>恩典。”</w:t>
      </w:r>
      <w:r>
        <w:rPr>
          <w:rStyle w:val="FootnoteReference"/>
        </w:rPr>
        <w:footnoteReference w:id="1624"/>
      </w:r>
      <w:r w:rsidRPr="006A21F9">
        <w:rPr>
          <w:lang w:val="ru-RU"/>
        </w:rPr>
        <w:t xml:space="preserve"> “不要以为神圣的圣礼取决于人的品行和行为：它们之所以圣洁，是因为它们属于那位圣者。”</w:t>
      </w:r>
      <w:r>
        <w:rPr>
          <w:rStyle w:val="FootnoteReference"/>
        </w:rPr>
        <w:footnoteReference w:id="1625"/>
      </w:r>
    </w:p>
    <w:p w14:paraId="70D87CE8" w14:textId="77777777" w:rsidR="00BE1885" w:rsidRPr="006A21F9" w:rsidRDefault="00BE1885" w:rsidP="00BE1885">
      <w:pPr>
        <w:rPr>
          <w:lang w:val="ru-RU"/>
        </w:rPr>
      </w:pPr>
      <w:r w:rsidRPr="006A21F9">
        <w:rPr>
          <w:lang w:val="ru-RU"/>
        </w:rPr>
        <w:tab/>
        <w:t>保加利亚的福者狄奥菲拉克特：“恩典甚至通过不配的人发挥作用，因此我们也能通过不配的司祭而得到圣化。”</w:t>
      </w:r>
      <w:r>
        <w:rPr>
          <w:rStyle w:val="FootnoteReference"/>
        </w:rPr>
        <w:footnoteReference w:id="1626"/>
      </w:r>
    </w:p>
    <w:p w14:paraId="3C3CBAAE" w14:textId="77777777" w:rsidR="00BE1885" w:rsidRPr="006A21F9" w:rsidRDefault="00BE1885" w:rsidP="00BE1885">
      <w:pPr>
        <w:rPr>
          <w:lang w:val="ru-RU"/>
        </w:rPr>
      </w:pPr>
      <w:r w:rsidRPr="006A21F9">
        <w:rPr>
          <w:lang w:val="ru-RU"/>
        </w:rPr>
        <w:tab/>
        <w:t>为阐明这些观点，人们指出：即便是干涸、毫无生机的渠道也能传递滋养的水分；良种无论被洁净或不洁净的手播撒到土地上，都会结出果实；阳光穿透不洁净的环境时，也不会因此变得不洁净。</w:t>
      </w:r>
      <w:r>
        <w:rPr>
          <w:rStyle w:val="FootnoteReference"/>
        </w:rPr>
        <w:footnoteReference w:id="1627"/>
      </w:r>
    </w:p>
    <w:p w14:paraId="00D27C5B" w14:textId="77777777" w:rsidR="00BE1885" w:rsidRPr="006A21F9" w:rsidRDefault="00BE1885" w:rsidP="00BE1885">
      <w:pPr>
        <w:ind w:firstLine="708"/>
        <w:rPr>
          <w:lang w:val="ru-RU"/>
        </w:rPr>
      </w:pPr>
      <w:r w:rsidRPr="006A21F9">
        <w:rPr>
          <w:b/>
          <w:bCs/>
          <w:lang w:val="ru-RU"/>
        </w:rPr>
        <w:t>2)</w:t>
      </w:r>
      <w:r w:rsidRPr="006A21F9">
        <w:rPr>
          <w:lang w:val="ru-RU"/>
        </w:rPr>
        <w:t xml:space="preserve"> 第二种观点同样不合理，它认为圣礼的力量和有效性完全取决于接受圣礼之人的信仰和心意。 </w:t>
      </w:r>
      <w:r w:rsidRPr="006A21F9">
        <w:rPr>
          <w:b/>
          <w:bCs/>
          <w:lang w:val="ru-RU"/>
        </w:rPr>
        <w:t>因为——a)</w:t>
      </w:r>
      <w:r w:rsidRPr="006A21F9">
        <w:rPr>
          <w:lang w:val="ru-RU"/>
        </w:rPr>
        <w:t xml:space="preserve"> 正如我们所见，主乐意设立圣事，使每个圣事中既包含特定的可见标志，又实质性地结合了圣灵的特定恩赐；并且只要每个圣事按正确方式施行，就必然通过恩典对人产生作用（§243）。 我们还看到</w:t>
      </w:r>
      <w:r w:rsidRPr="006A21F9">
        <w:rPr>
          <w:b/>
          <w:bCs/>
          <w:lang w:val="ru-RU"/>
        </w:rPr>
        <w:t>——b)</w:t>
      </w:r>
      <w:r w:rsidRPr="006A21F9">
        <w:rPr>
          <w:lang w:val="ru-RU"/>
        </w:rPr>
        <w:t xml:space="preserve"> 圣公会自古以来就向婴孩施洗、涂油和领圣体，并完全确信这些圣事对婴孩具有救赎作用，尽管他们尚无信仰（§§205, 211, 217）。 我们还看到</w:t>
      </w:r>
      <w:r w:rsidRPr="006A21F9">
        <w:rPr>
          <w:b/>
          <w:bCs/>
          <w:lang w:val="ru-RU"/>
        </w:rPr>
        <w:t xml:space="preserve">——c) </w:t>
      </w:r>
      <w:r w:rsidRPr="006A21F9">
        <w:rPr>
          <w:lang w:val="ru-RU"/>
        </w:rPr>
        <w:t>在圣体圣事中，圣礼中的圣物在祭台上祝圣后，无论是在信徒领受之前还是之后，都始终是我们的主真正的圣体和真正的圣血，即使这些圣物根本没有分发给信徒（§216）。 现在，我们还要与东方的诸位主教一同指出：如果，例如，圣体圣事是在信徒怀着活泼的信心领受之时才真正完成的，而不是在领受之前，也不是与领受者的信心无关， 那么，不配领受的人就不会</w:t>
      </w:r>
      <w:r w:rsidRPr="006A21F9">
        <w:rPr>
          <w:i/>
          <w:iCs/>
          <w:lang w:val="ru-RU"/>
        </w:rPr>
        <w:t>因领受而招致审判，也不会“不分辨主的身体</w:t>
      </w:r>
      <w:r w:rsidRPr="006A21F9">
        <w:rPr>
          <w:lang w:val="ru-RU"/>
        </w:rPr>
        <w:t>”（林前11:29）：因为他领受的不过是普通的饼和酒（《论正信书》第15条）。</w:t>
      </w:r>
    </w:p>
    <w:p w14:paraId="25F96C0D" w14:textId="77777777" w:rsidR="00BE1885" w:rsidRPr="006A21F9" w:rsidRDefault="00BE1885" w:rsidP="00BE1885">
      <w:pPr>
        <w:rPr>
          <w:lang w:val="ru-RU"/>
        </w:rPr>
      </w:pPr>
      <w:r w:rsidRPr="006A21F9">
        <w:rPr>
          <w:lang w:val="ru-RU"/>
        </w:rPr>
        <w:tab/>
        <w:t>毫无疑问，参与圣礼者必须具备信仰，并按照教会章程做好应有的准备； 但这并非为了使圣礼成为圣礼并能借着恩典发挥功效，而是为了使领受圣礼的行为配得上圣礼，以免对不配领受者变成审判或定罪，并使所领受的恩典在信徒的灵魂中完全带来救恩并结出果实。</w:t>
      </w:r>
    </w:p>
    <w:p w14:paraId="6CB30304" w14:textId="77777777" w:rsidR="00BE1885" w:rsidRPr="006A21F9" w:rsidRDefault="00BE1885" w:rsidP="00BE1885">
      <w:pPr>
        <w:rPr>
          <w:lang w:val="ru-RU"/>
        </w:rPr>
      </w:pPr>
      <w:r w:rsidRPr="006A21F9">
        <w:rPr>
          <w:lang w:val="ru-RU"/>
        </w:rPr>
        <w:tab/>
      </w:r>
    </w:p>
    <w:p w14:paraId="2A87A30F" w14:textId="77777777" w:rsidR="00BE1885" w:rsidRPr="006A21F9" w:rsidRDefault="00BE1885" w:rsidP="00BE1885">
      <w:pPr>
        <w:pStyle w:val="Heading5"/>
        <w:rPr>
          <w:lang w:val="ru-RU"/>
        </w:rPr>
      </w:pPr>
      <w:bookmarkStart w:id="1040" w:name="_Toc133143019"/>
      <w:bookmarkStart w:id="1041" w:name="_Toc133166376"/>
      <w:bookmarkStart w:id="1042" w:name="_Toc182221586"/>
      <w:bookmarkStart w:id="1043" w:name="_Toc238453153"/>
      <w:bookmarkStart w:id="1044" w:name="_Toc238453953"/>
      <w:bookmarkStart w:id="1045" w:name="_Toc238576613"/>
      <w:r w:rsidRPr="006A21F9">
        <w:rPr>
          <w:bCs/>
          <w:lang w:val="ru-RU"/>
        </w:rPr>
        <w:t>§246.</w:t>
      </w:r>
      <w:r w:rsidRPr="006A21F9">
        <w:rPr>
          <w:lang w:val="ru-RU"/>
        </w:rPr>
        <w:t xml:space="preserve"> 关于圣事教义的道德应用</w:t>
      </w:r>
      <w:bookmarkEnd w:id="1040"/>
      <w:bookmarkEnd w:id="1041"/>
      <w:bookmarkEnd w:id="1042"/>
      <w:bookmarkEnd w:id="1043"/>
      <w:bookmarkEnd w:id="1044"/>
      <w:bookmarkEnd w:id="1045"/>
    </w:p>
    <w:p w14:paraId="30873637" w14:textId="77777777" w:rsidR="00BE1885" w:rsidRPr="006A21F9" w:rsidRDefault="00BE1885" w:rsidP="00BE1885">
      <w:pPr>
        <w:ind w:firstLine="708"/>
        <w:rPr>
          <w:lang w:val="ru-RU"/>
        </w:rPr>
      </w:pPr>
      <w:r w:rsidRPr="006A21F9">
        <w:rPr>
          <w:lang w:val="ru-RU"/>
        </w:rPr>
        <w:t>关于教会圣事的信条，对基督徒的道德操守具有极其有益的影响。</w:t>
      </w:r>
    </w:p>
    <w:p w14:paraId="4E37A58F"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让我们来思考一下圣事本身：在此我们可以学到：</w:t>
      </w:r>
    </w:p>
    <w:p w14:paraId="47D74706" w14:textId="77777777" w:rsidR="00BE1885" w:rsidRPr="006A21F9" w:rsidRDefault="00BE1885" w:rsidP="00BE1885">
      <w:pPr>
        <w:ind w:firstLine="708"/>
        <w:rPr>
          <w:lang w:val="ru-RU"/>
        </w:rPr>
      </w:pPr>
      <w:r w:rsidRPr="006A21F9">
        <w:rPr>
          <w:b/>
          <w:bCs/>
          <w:lang w:val="ru-RU"/>
        </w:rPr>
        <w:t>1)</w:t>
      </w:r>
      <w:r w:rsidRPr="006A21F9">
        <w:rPr>
          <w:lang w:val="ru-RU"/>
        </w:rPr>
        <w:t xml:space="preserve"> 关于对上帝的信仰、希望与爱。就信仰而言，若我们留意，它正是我们参与每一项圣事时必须具备的首要且最必要的条件。 关于希望，若我们仔细思量，便会发现主在每一项圣事中都应许了我们某种恩典之礼，而我们有幸目睹这些应许的切实实现。 爱，当我们怀着虔敬之心想象，主在每一项圣事中赐予我们何等伟大的恩惠，而这些恩惠完全源于祂对我们的无尽仁慈。</w:t>
      </w:r>
    </w:p>
    <w:p w14:paraId="28CC967C" w14:textId="77777777" w:rsidR="00BE1885" w:rsidRPr="006A21F9" w:rsidRDefault="00BE1885" w:rsidP="00BE1885">
      <w:pPr>
        <w:ind w:firstLine="708"/>
        <w:rPr>
          <w:lang w:val="ru-RU"/>
        </w:rPr>
      </w:pPr>
      <w:r w:rsidRPr="006A21F9">
        <w:rPr>
          <w:b/>
          <w:bCs/>
          <w:lang w:val="ru-RU"/>
        </w:rPr>
        <w:t>2）</w:t>
      </w:r>
      <w:r w:rsidRPr="006A21F9">
        <w:rPr>
          <w:lang w:val="ru-RU"/>
        </w:rPr>
        <w:t>关于邻人——相互合一与兄弟之爱。</w:t>
      </w:r>
      <w:r w:rsidRPr="006A21F9">
        <w:rPr>
          <w:i/>
          <w:iCs/>
          <w:lang w:val="ru-RU"/>
        </w:rPr>
        <w:t>因为我们众人借着一位圣灵受洗，成为一个身体……并且都喝于一位圣灵</w:t>
      </w:r>
      <w:r w:rsidRPr="006A21F9">
        <w:rPr>
          <w:lang w:val="ru-RU"/>
        </w:rPr>
        <w:t>（林前</w:t>
      </w:r>
      <w:r w:rsidRPr="006A21F9">
        <w:rPr>
          <w:lang w:val="ru-RU"/>
        </w:rPr>
        <w:lastRenderedPageBreak/>
        <w:t>12:13）；</w:t>
      </w:r>
      <w:r w:rsidRPr="006A21F9">
        <w:rPr>
          <w:i/>
          <w:iCs/>
          <w:lang w:val="ru-RU"/>
        </w:rPr>
        <w:t>我们都领受同一块饼</w:t>
      </w:r>
      <w:r w:rsidRPr="006A21F9">
        <w:rPr>
          <w:lang w:val="ru-RU"/>
        </w:rPr>
        <w:t>（林前10:17）； 我们都在忏悔圣事中藉着同一恩典从罪中得洁净；在其他圣事中，同样恩典的恩赐也赐予我们所有人。 因此，我们确实应当成为</w:t>
      </w:r>
      <w:r w:rsidRPr="006A21F9">
        <w:rPr>
          <w:i/>
          <w:iCs/>
          <w:lang w:val="ru-RU"/>
        </w:rPr>
        <w:t>一个身体、一个圣灵</w:t>
      </w:r>
      <w:r w:rsidRPr="006A21F9">
        <w:rPr>
          <w:lang w:val="ru-RU"/>
        </w:rPr>
        <w:t>（以弗所书 4:4）：难道我们不该</w:t>
      </w:r>
      <w:r w:rsidRPr="006A21F9">
        <w:rPr>
          <w:i/>
          <w:iCs/>
          <w:lang w:val="ru-RU"/>
        </w:rPr>
        <w:t>彼此以爱心相待，竭力在和平的纽带中保持圣灵的合一</w:t>
      </w:r>
      <w:r w:rsidRPr="006A21F9">
        <w:rPr>
          <w:lang w:val="ru-RU"/>
        </w:rPr>
        <w:t>吗（以弗所书 4:3）？</w:t>
      </w:r>
    </w:p>
    <w:p w14:paraId="4BB5DCB3" w14:textId="77777777" w:rsidR="00BE1885" w:rsidRPr="006A21F9" w:rsidRDefault="00BE1885" w:rsidP="00BE1885">
      <w:pPr>
        <w:ind w:firstLine="708"/>
        <w:rPr>
          <w:lang w:val="ru-RU"/>
        </w:rPr>
      </w:pPr>
      <w:r w:rsidRPr="006A21F9">
        <w:rPr>
          <w:b/>
          <w:bCs/>
          <w:lang w:val="ru-RU"/>
        </w:rPr>
        <w:t>3）</w:t>
      </w:r>
      <w:r w:rsidRPr="006A21F9">
        <w:rPr>
          <w:lang w:val="ru-RU"/>
        </w:rPr>
        <w:t>就我们自身而言——谦卑与圣洁。因为圣礼一方面清楚地提醒我们：我们因堕落而陷入罪中，凭自身力量无法站立并悔改；另一方面，也提醒我们：我们因上帝的恩典而重生、 更新，以及藉着上帝的恩典所获得的成圣；前者自然地激励我们谦卑，而后者则要求我们恪守主所赐予的圣洁，运用赐予我们的恩典之力，并在虔诚的道路上逐步精进。</w:t>
      </w:r>
    </w:p>
    <w:p w14:paraId="1AE0AE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若我们具体地逐一思考每个圣礼，也会从中获得同样的道德教诲。</w:t>
      </w:r>
    </w:p>
    <w:p w14:paraId="3882C9B9" w14:textId="77777777" w:rsidR="00BE1885" w:rsidRPr="006A21F9" w:rsidRDefault="00BE1885" w:rsidP="00BE1885">
      <w:pPr>
        <w:ind w:firstLine="708"/>
        <w:rPr>
          <w:lang w:val="ru-RU"/>
        </w:rPr>
      </w:pPr>
      <w:r w:rsidRPr="006A21F9">
        <w:rPr>
          <w:b/>
          <w:bCs/>
          <w:lang w:val="ru-RU"/>
        </w:rPr>
        <w:t xml:space="preserve">1) </w:t>
      </w:r>
      <w:r w:rsidRPr="006A21F9">
        <w:rPr>
          <w:lang w:val="ru-RU"/>
        </w:rPr>
        <w:t>在接受洗礼圣事时，我们曾在上帝和教会面前庄严宣誓：弃绝魔鬼及其一切作为，与基督结合，并唯独为祂而活；在洗礼本身中，我们洗净了一切罪孽，披戴了基督，成为上帝的儿女，并蒙召进入永恒的生命： 当我们回想起这一切时，我们的良心岂能不意识到、不感受到当时所承担的责任之崇高，以及我们在上帝及其永恒公义面前所肩负的全部责任——倘若我们未能履行所立的誓言，而证明自己配不上这份呼召呢？</w:t>
      </w:r>
    </w:p>
    <w:p w14:paraId="0C81883D" w14:textId="77777777" w:rsidR="00BE1885" w:rsidRPr="006A21F9" w:rsidRDefault="00BE1885" w:rsidP="00BE1885">
      <w:pPr>
        <w:ind w:firstLine="708"/>
        <w:rPr>
          <w:lang w:val="ru-RU"/>
        </w:rPr>
      </w:pPr>
      <w:r w:rsidRPr="006A21F9">
        <w:rPr>
          <w:b/>
          <w:bCs/>
          <w:lang w:val="ru-RU"/>
        </w:rPr>
        <w:t xml:space="preserve">2) </w:t>
      </w:r>
      <w:r w:rsidRPr="006A21F9">
        <w:rPr>
          <w:lang w:val="ru-RU"/>
        </w:rPr>
        <w:t>在坚信礼的圣礼中，我们蒙恩领受了圣灵及其恩典的恩赐，这些恩赐对于我们在属灵生命中的坚固与成长是必不可少的：这难道不意味着，我们当时已立誓不熄灭内里的圣灵（帖前5:19），要在自己里面点燃祂的恩赐（提后1:6）， 被圣灵引导（罗8:14），不随从肉体，乃是随从圣灵而活（罗8:1），并结出属灵的果子，即：仁爱、喜乐、和平、忍耐、恩慈、良善、信实、温柔、节制（加5:22）？</w:t>
      </w:r>
    </w:p>
    <w:p w14:paraId="60545151" w14:textId="77777777" w:rsidR="00BE1885" w:rsidRPr="006A21F9" w:rsidRDefault="00BE1885" w:rsidP="00BE1885">
      <w:pPr>
        <w:ind w:firstLine="708"/>
        <w:rPr>
          <w:lang w:val="ru-RU"/>
        </w:rPr>
      </w:pPr>
      <w:r w:rsidRPr="006A21F9">
        <w:rPr>
          <w:b/>
          <w:bCs/>
          <w:lang w:val="ru-RU"/>
        </w:rPr>
        <w:t>3）</w:t>
      </w:r>
      <w:r w:rsidRPr="006A21F9">
        <w:rPr>
          <w:lang w:val="ru-RU"/>
        </w:rPr>
        <w:t>在圣体圣事中，我们领受的是我们主至圣的圣体和至圣的圣血，并蒙恩将整个基督——神人合一的基督——领入自己内：我们应当怀着何等的专注与虔敬来预备这如此伟大而庄严的圣事； 又该怀着何等的虔敬、信心与爱心去参与其中，又该以何等的爱心与细心——在之后将这无价的恩赐、我们永生与救赎的保证，珍藏于心中！</w:t>
      </w:r>
    </w:p>
    <w:p w14:paraId="1DC0835E" w14:textId="77777777" w:rsidR="00BE1885" w:rsidRPr="006A21F9" w:rsidRDefault="00BE1885" w:rsidP="00BE1885">
      <w:pPr>
        <w:ind w:firstLine="708"/>
        <w:rPr>
          <w:lang w:val="ru-RU"/>
        </w:rPr>
      </w:pPr>
      <w:r w:rsidRPr="006A21F9">
        <w:rPr>
          <w:b/>
          <w:bCs/>
          <w:lang w:val="ru-RU"/>
        </w:rPr>
        <w:t xml:space="preserve">4) </w:t>
      </w:r>
      <w:r w:rsidRPr="006A21F9">
        <w:rPr>
          <w:lang w:val="ru-RU"/>
        </w:rPr>
        <w:t>当我们将因所犯之罪而心怀痛悔地来到告解圣事前，并从属灵导师那里获得罪的赦免时，我们每次都向主许下誓言，并坚定决心要改过自新，今后过敬虔的生活： 愿这誓言常在我们眼前，并激励我们结出与悔改相称的果子（玛3:8）。</w:t>
      </w:r>
    </w:p>
    <w:p w14:paraId="7D7C790C" w14:textId="77777777" w:rsidR="00BE1885" w:rsidRPr="006A21F9" w:rsidRDefault="00BE1885" w:rsidP="00BE1885">
      <w:pPr>
        <w:ind w:firstLine="708"/>
        <w:rPr>
          <w:lang w:val="ru-RU"/>
        </w:rPr>
      </w:pPr>
      <w:r w:rsidRPr="006A21F9">
        <w:rPr>
          <w:b/>
          <w:bCs/>
          <w:lang w:val="ru-RU"/>
        </w:rPr>
        <w:t>5)</w:t>
      </w:r>
      <w:r w:rsidRPr="006A21F9">
        <w:rPr>
          <w:lang w:val="ru-RU"/>
        </w:rPr>
        <w:t xml:space="preserve"> 通过傅油圣事，患病者和临终者不仅得以从罪中得洁净，而且常常被主从病榻和死亡中扶起：此后，他们那仿佛重新赐予的整个人生，若不献给医治他们的主，还能献给谁呢？这人生又该是什么样的，若不是对祂不间断的感恩呢？</w:t>
      </w:r>
    </w:p>
    <w:p w14:paraId="2B3CC1A3" w14:textId="77777777" w:rsidR="00BE1885" w:rsidRPr="006A21F9" w:rsidRDefault="00BE1885" w:rsidP="00BE1885">
      <w:pPr>
        <w:ind w:firstLine="708"/>
        <w:rPr>
          <w:lang w:val="ru-RU"/>
        </w:rPr>
      </w:pPr>
      <w:r w:rsidRPr="006A21F9">
        <w:rPr>
          <w:b/>
          <w:bCs/>
          <w:lang w:val="ru-RU"/>
        </w:rPr>
        <w:t xml:space="preserve">6) </w:t>
      </w:r>
      <w:r w:rsidRPr="006A21F9">
        <w:rPr>
          <w:lang w:val="ru-RU"/>
        </w:rPr>
        <w:t>在举行婚姻圣事时，新婚夫妇在上帝和教会面前宣誓彼此忠诚与相爱，并获得恩典的力量，以体面地履行他们新的家庭责任； 对这两者的铭记，应成为夫妻双方的恒久教诲，指引他们如何对待彼此，以及共同对待上帝赐予他们的子女。</w:t>
      </w:r>
    </w:p>
    <w:p w14:paraId="54DD62DB" w14:textId="77777777" w:rsidR="00BE1885" w:rsidRPr="006A21F9" w:rsidRDefault="00BE1885" w:rsidP="00BE1885">
      <w:pPr>
        <w:ind w:firstLine="708"/>
        <w:rPr>
          <w:lang w:val="ru-RU"/>
        </w:rPr>
      </w:pPr>
      <w:r w:rsidRPr="006A21F9">
        <w:rPr>
          <w:b/>
          <w:bCs/>
          <w:lang w:val="ru-RU"/>
        </w:rPr>
        <w:t>7)</w:t>
      </w:r>
      <w:r w:rsidRPr="006A21F9">
        <w:rPr>
          <w:lang w:val="ru-RU"/>
        </w:rPr>
        <w:t xml:space="preserve"> 通过圣职圣事，被拣选者被提升至教会中的特殊事工，并获得成为信仰导师、上帝奥秘的建造者、基督属灵羊群的牧者的特殊恩典：这是何等崇高的呼召，同时又肩负着何等重大的责任！…… </w:t>
      </w:r>
      <w:r w:rsidRPr="006A21F9">
        <w:rPr>
          <w:lang w:val="ru-RU"/>
        </w:rPr>
        <w:lastRenderedPageBreak/>
        <w:t>牧者们必须牢记救主的话语：</w:t>
      </w:r>
      <w:r w:rsidRPr="006A21F9">
        <w:rPr>
          <w:i/>
          <w:iCs/>
          <w:lang w:val="ru-RU"/>
        </w:rPr>
        <w:t>“你们是地上的盐……你们是世上的光</w:t>
      </w:r>
      <w:r w:rsidRPr="006A21F9">
        <w:rPr>
          <w:lang w:val="ru-RU"/>
        </w:rPr>
        <w:t>”（太5:13-14），以及使徒的教导：</w:t>
      </w:r>
      <w:r w:rsidRPr="006A21F9">
        <w:rPr>
          <w:i/>
          <w:iCs/>
          <w:lang w:val="ru-RU"/>
        </w:rPr>
        <w:t>“在言语、生活、爱心、信心、纯洁上，都要作信徒的榜样</w:t>
      </w:r>
      <w:r w:rsidRPr="006A21F9">
        <w:rPr>
          <w:lang w:val="ru-RU"/>
        </w:rPr>
        <w:t>”（提后4:12）！ 牧者们应当怀着何等谨慎</w:t>
      </w:r>
      <w:r w:rsidRPr="006A21F9">
        <w:rPr>
          <w:i/>
          <w:iCs/>
          <w:lang w:val="ru-RU"/>
        </w:rPr>
        <w:t>的态度，既关注自身，又关怀整个羊群，来牧养主和上帝的教会——这教会是祂 用自己的宝血赎买来的</w:t>
      </w:r>
      <w:r w:rsidRPr="006A21F9">
        <w:rPr>
          <w:lang w:val="ru-RU"/>
        </w:rPr>
        <w:t>（使徒行传 20:28）！他们应当怀着何等不知疲倦的热忱，去完成这项伟大的事工，因为这事工不仅关乎他们自身的得救，也关乎那些托付给他们属灵引导之人的得救！</w:t>
      </w:r>
    </w:p>
    <w:p w14:paraId="4C2640D4" w14:textId="77777777" w:rsidR="00BE1885" w:rsidRPr="006A21F9" w:rsidRDefault="00BE1885" w:rsidP="00BE1885">
      <w:pPr>
        <w:rPr>
          <w:lang w:val="ru-RU"/>
        </w:rPr>
      </w:pPr>
    </w:p>
    <w:p w14:paraId="7291D39D" w14:textId="77777777" w:rsidR="00BE1885" w:rsidRPr="006A21F9" w:rsidRDefault="00BE1885" w:rsidP="00BE1885">
      <w:pPr>
        <w:rPr>
          <w:lang w:val="ru-RU"/>
        </w:rPr>
      </w:pPr>
    </w:p>
    <w:p w14:paraId="5F701CA1" w14:textId="77777777" w:rsidR="00BE1885" w:rsidRPr="006A21F9" w:rsidRDefault="00BE1885" w:rsidP="00BE1885">
      <w:pPr>
        <w:pStyle w:val="Heading2"/>
        <w:rPr>
          <w:lang w:val="ru-RU"/>
        </w:rPr>
      </w:pPr>
      <w:bookmarkStart w:id="1046" w:name="_Toc133142618"/>
      <w:bookmarkStart w:id="1047" w:name="_Toc133143020"/>
      <w:bookmarkStart w:id="1048" w:name="_Toc133166377"/>
      <w:bookmarkStart w:id="1049" w:name="_Toc182221587"/>
      <w:bookmarkStart w:id="1050" w:name="_Toc238453154"/>
      <w:bookmarkStart w:id="1051" w:name="_Toc238453954"/>
      <w:bookmarkStart w:id="1052" w:name="_Toc238454338"/>
      <w:bookmarkStart w:id="1053" w:name="_Toc238466420"/>
      <w:bookmarkStart w:id="1054" w:name="_Toc238576614"/>
      <w:r w:rsidRPr="001E4083">
        <w:rPr>
          <w:bCs/>
        </w:rPr>
        <w:t>第二</w:t>
      </w:r>
      <w:r w:rsidRPr="006A21F9">
        <w:rPr>
          <w:lang w:val="ru-RU"/>
        </w:rPr>
        <w:t>章</w:t>
      </w:r>
      <w:r w:rsidRPr="006A21F9">
        <w:rPr>
          <w:bCs/>
          <w:lang w:val="ru-RU"/>
        </w:rPr>
        <w:t xml:space="preserve">。 </w:t>
      </w:r>
      <w:r w:rsidRPr="006A21F9">
        <w:rPr>
          <w:lang w:val="ru-RU"/>
        </w:rPr>
        <w:br/>
        <w:t>论上帝作为审判者与赏赐者</w:t>
      </w:r>
      <w:bookmarkEnd w:id="1046"/>
      <w:bookmarkEnd w:id="1047"/>
      <w:bookmarkEnd w:id="1048"/>
      <w:bookmarkEnd w:id="1049"/>
      <w:bookmarkEnd w:id="1050"/>
      <w:bookmarkEnd w:id="1051"/>
      <w:bookmarkEnd w:id="1052"/>
      <w:bookmarkEnd w:id="1053"/>
      <w:bookmarkEnd w:id="1054"/>
    </w:p>
    <w:p w14:paraId="6B072A39" w14:textId="77777777" w:rsidR="00BE1885" w:rsidRPr="006A21F9" w:rsidRDefault="00BE1885" w:rsidP="00BE1885">
      <w:pPr>
        <w:rPr>
          <w:lang w:val="ru-RU"/>
        </w:rPr>
      </w:pPr>
    </w:p>
    <w:p w14:paraId="0CEBAF77" w14:textId="77777777" w:rsidR="00BE1885" w:rsidRPr="006A21F9" w:rsidRDefault="00BE1885" w:rsidP="00BE1885">
      <w:pPr>
        <w:pStyle w:val="Heading5"/>
        <w:rPr>
          <w:lang w:val="ru-RU"/>
        </w:rPr>
      </w:pPr>
      <w:bookmarkStart w:id="1055" w:name="_Toc133143021"/>
      <w:bookmarkStart w:id="1056" w:name="_Toc133166378"/>
      <w:bookmarkStart w:id="1057" w:name="_Toc182221588"/>
      <w:bookmarkStart w:id="1058" w:name="_Toc238453155"/>
      <w:bookmarkStart w:id="1059" w:name="_Toc238453955"/>
      <w:bookmarkStart w:id="1060" w:name="_Toc238576615"/>
      <w:r w:rsidRPr="006A21F9">
        <w:rPr>
          <w:bCs/>
          <w:lang w:val="ru-RU"/>
        </w:rPr>
        <w:t>§247.</w:t>
      </w:r>
      <w:r w:rsidRPr="006A21F9">
        <w:rPr>
          <w:lang w:val="ru-RU"/>
        </w:rPr>
        <w:t xml:space="preserve"> 与前文的关联，关于上帝作为审判者与赏赐者的概念，以及教会关于此教义的阐述</w:t>
      </w:r>
      <w:bookmarkEnd w:id="1055"/>
      <w:bookmarkEnd w:id="1056"/>
      <w:bookmarkEnd w:id="1057"/>
      <w:bookmarkEnd w:id="1058"/>
      <w:bookmarkEnd w:id="1059"/>
      <w:bookmarkEnd w:id="1060"/>
    </w:p>
    <w:p w14:paraId="48B72B4B" w14:textId="77777777" w:rsidR="00BE1885" w:rsidRPr="006A21F9" w:rsidRDefault="00BE1885" w:rsidP="00BE1885">
      <w:pPr>
        <w:ind w:firstLine="708"/>
        <w:rPr>
          <w:lang w:val="ru-RU"/>
        </w:rPr>
      </w:pPr>
      <w:r w:rsidRPr="006A21F9">
        <w:rPr>
          <w:b/>
          <w:bCs/>
          <w:lang w:val="ru-RU"/>
        </w:rPr>
        <w:t>1.</w:t>
      </w:r>
      <w:r w:rsidRPr="006A21F9">
        <w:rPr>
          <w:lang w:val="ru-RU"/>
        </w:rPr>
        <w:t xml:space="preserve"> 为了使堕落的人类得到完全的恢复与拯救，必须完成三件伟大的事：</w:t>
      </w:r>
      <w:r w:rsidRPr="006A21F9">
        <w:rPr>
          <w:b/>
          <w:bCs/>
          <w:lang w:val="ru-RU"/>
        </w:rPr>
        <w:t>a)</w:t>
      </w:r>
      <w:r w:rsidRPr="006A21F9">
        <w:rPr>
          <w:lang w:val="ru-RU"/>
        </w:rPr>
        <w:t xml:space="preserve"> 使罪人与上帝和好，因为罪人因堕落而无尽地冒犯了上帝； </w:t>
      </w:r>
      <w:r w:rsidRPr="006A21F9">
        <w:rPr>
          <w:b/>
          <w:bCs/>
          <w:lang w:val="ru-RU"/>
        </w:rPr>
        <w:t>b)</w:t>
      </w:r>
      <w:r w:rsidRPr="006A21F9">
        <w:rPr>
          <w:lang w:val="ru-RU"/>
        </w:rPr>
        <w:t xml:space="preserve"> 洗净罪人的罪孽，使他成为义人和圣徒；</w:t>
      </w:r>
      <w:r w:rsidRPr="006A21F9">
        <w:rPr>
          <w:b/>
          <w:bCs/>
          <w:lang w:val="ru-RU"/>
        </w:rPr>
        <w:t>c)</w:t>
      </w:r>
      <w:r w:rsidRPr="006A21F9">
        <w:rPr>
          <w:lang w:val="ru-RU"/>
        </w:rPr>
        <w:t xml:space="preserve"> 使罪人免受因罪应得的刑罚，并根据他的圣洁程度，赐予他应得的福分（§124）。 第一件大事是由主上帝亲自完成的——无需我们的参与，祂将祂的独生子降世为人，祂道成肉身并承担了全人类的罪孽，借着祂的死亡，为永恒的公义作出了最完美的赎罪， 从而不仅救赎了我们脱离罪恶及其惩罚，更使我们获得了圣灵的恩赐与永恒的福乐（§153）。 主上帝所成就的第二件大事，是借着我们的参与而实现的。祂在地上建立了祂的圣教会，作为使我们脱离罪恶并得着成圣的活泼而恒久的器皿；祂在教会中并借着教会将圣灵的恩典赐给我们，作为使我们脱离罪恶并得着成圣的实际能力； 祂在教会中设立了各种圣礼，以便根据我们灵性生活的所有需求，将这救赎之恩的各种恩赐赐予我们：而我们是否利用上帝赐予我们的这些成圣手段，则取决于我们自己。 祂将这些恩典赐予我们之际，同时也规定了一个特定的时间段，在此期间我们可以享用它们：对于个人而言，这一时期将持续到他们尘世生命的尽头；而对于全人类而言，则将持续到世界终结之时。最后，主上帝在完成第二项（即祂在我们参与下所成就的）事工之后，便要施行第三项事工： 届时，祂将作为人类的审判者，公正地衡量他们是否利用了在世上所赐予的、用于洗净罪孽和成圣的手段，以及他们是否配得免除罪罚并获得福乐； 随后，祂又成为公义的赏赐者，按各人的功过，为每个人指定特定的归宿。</w:t>
      </w:r>
    </w:p>
    <w:p w14:paraId="3604A587" w14:textId="77777777" w:rsidR="00BE1885" w:rsidRPr="006A21F9" w:rsidRDefault="00BE1885" w:rsidP="00BE1885">
      <w:pPr>
        <w:ind w:firstLine="708"/>
        <w:rPr>
          <w:lang w:val="ru-RU"/>
        </w:rPr>
      </w:pPr>
      <w:r w:rsidRPr="006A21F9">
        <w:rPr>
          <w:b/>
          <w:bCs/>
          <w:lang w:val="ru-RU"/>
        </w:rPr>
        <w:t>2.</w:t>
      </w:r>
      <w:r w:rsidRPr="006A21F9">
        <w:rPr>
          <w:lang w:val="ru-RU"/>
        </w:rPr>
        <w:t xml:space="preserve"> 正如在我们救赎的事工中，至圣三位一体的所有位格都参与其中——尽管严格来说，我们的救赎主是道成肉身的上帝之子，祂承担了我们的本性，并为我们尝了死亡的滋味（§126）； 正如在我们成圣的事工中，至圣三位一体的所有位格也都参与其中，尽管严格来说，是圣灵借着祂的恩典直接成就了我们的成圣（§165）：同样，在审判我们、赐予我们报酬的事工中，整个至圣三位一体也参与其中。 </w:t>
      </w:r>
      <w:r w:rsidRPr="006A21F9">
        <w:rPr>
          <w:b/>
          <w:bCs/>
          <w:lang w:val="ru-RU"/>
        </w:rPr>
        <w:t>这一思想——a)</w:t>
      </w:r>
      <w:r w:rsidRPr="006A21F9">
        <w:rPr>
          <w:lang w:val="ru-RU"/>
        </w:rPr>
        <w:t xml:space="preserve"> 作为必然结果，源于圣三位格同质、同神性、同意志的教义，祂们仅在位格属性上有所区别，在一切方面都不可分割——因此，祂们中任何一位都不可能仅凭自身行事，而完全不涉及另外两位； </w:t>
      </w:r>
      <w:r w:rsidRPr="006A21F9">
        <w:rPr>
          <w:b/>
          <w:bCs/>
          <w:lang w:val="ru-RU"/>
        </w:rPr>
        <w:t>——b)</w:t>
      </w:r>
      <w:r w:rsidRPr="006A21F9">
        <w:rPr>
          <w:lang w:val="ru-RU"/>
        </w:rPr>
        <w:t xml:space="preserve"> </w:t>
      </w:r>
      <w:r w:rsidRPr="006A21F9">
        <w:rPr>
          <w:lang w:val="ru-RU"/>
        </w:rPr>
        <w:lastRenderedPageBreak/>
        <w:t>得到了圣经的印证，例如圣经论及上帝时说：</w:t>
      </w:r>
      <w:r w:rsidRPr="006A21F9">
        <w:rPr>
          <w:i/>
          <w:iCs/>
          <w:lang w:val="ru-RU"/>
        </w:rPr>
        <w:t>“当敬畏上帝，谨守祂的诫命，因为这是人一切的本分；因为上帝必将一切作为，连一切隐秘的事，无论是善是恶，都带到审判台前”</w:t>
      </w:r>
      <w:r w:rsidRPr="006A21F9">
        <w:rPr>
          <w:lang w:val="ru-RU"/>
        </w:rPr>
        <w:t>（传道书 12:13-14），又在另一处说：</w:t>
      </w:r>
      <w:r w:rsidRPr="006A21F9">
        <w:rPr>
          <w:i/>
          <w:iCs/>
          <w:lang w:val="ru-RU"/>
        </w:rPr>
        <w:t>“人非有信，就不能得上帝的喜悦”； “因为到神面前来的人，必须信有神，且信祂赏赐那寻求祂</w:t>
      </w:r>
      <w:r w:rsidRPr="006A21F9">
        <w:rPr>
          <w:lang w:val="ru-RU"/>
        </w:rPr>
        <w:t xml:space="preserve">的人”（《希伯来书》11:6；参见《希伯来书》12:23）；还有： </w:t>
      </w:r>
      <w:r w:rsidRPr="006A21F9">
        <w:rPr>
          <w:i/>
          <w:iCs/>
          <w:lang w:val="ru-RU"/>
        </w:rPr>
        <w:t>因此，神既已撇下从前人蒙昧无知的时代，如今就吩咐各处的人都要悔改，因为祂已经定了日子，要藉着祂所预定的那一位，公义地审判全世界，并且祂使祂从死里复活，就向众人作了明证</w:t>
      </w:r>
      <w:r w:rsidRPr="006A21F9">
        <w:rPr>
          <w:lang w:val="ru-RU"/>
        </w:rPr>
        <w:t>（使徒行传 17:30-31）。 但实际上，祂 正是上帝所指定的审判活人死人的审判者——上帝的儿子、我们的主耶稣基督（使徒行传10:42）：父已将审判的权柄赐给祂（约翰福音5:27）；上帝将借着祂审判人的隐秘事（罗马书2:16）；祂</w:t>
      </w:r>
      <w:r w:rsidRPr="006A21F9">
        <w:rPr>
          <w:i/>
          <w:iCs/>
          <w:lang w:val="ru-RU"/>
        </w:rPr>
        <w:t>——人子——将带着祂的天使，在祂父的荣耀中降临，那时，祂要照各人的行为报应各人</w:t>
      </w:r>
      <w:r w:rsidRPr="006A21F9">
        <w:rPr>
          <w:lang w:val="ru-RU"/>
        </w:rPr>
        <w:t>[(太16:26)。参见(太19:28)；(太24:30)；(林后5:10)； （提摩太后书 4:1）；（犹大书</w:t>
      </w:r>
      <w:r w:rsidRPr="006A21F9">
        <w:rPr>
          <w:rFonts w:cs="Cambria Math"/>
          <w:lang w:val="ru-RU"/>
        </w:rPr>
        <w:t xml:space="preserve"> 1:</w:t>
      </w:r>
      <w:r w:rsidRPr="006A21F9">
        <w:rPr>
          <w:lang w:val="ru-RU"/>
        </w:rPr>
        <w:t>14）；（启示录 1:7）]，正如圣教会在其信经中所宣认的，</w:t>
      </w:r>
      <w:r>
        <w:rPr>
          <w:rStyle w:val="FootnoteReference"/>
        </w:rPr>
        <w:footnoteReference w:id="1628"/>
      </w:r>
      <w:r w:rsidRPr="006A21F9">
        <w:rPr>
          <w:lang w:val="ru-RU"/>
        </w:rPr>
        <w:t xml:space="preserve"> ，教会的教师们也在他们的著作中如此宣认。</w:t>
      </w:r>
      <w:r>
        <w:rPr>
          <w:rStyle w:val="FootnoteReference"/>
        </w:rPr>
        <w:footnoteReference w:id="1629"/>
      </w:r>
      <w:r w:rsidRPr="006A21F9">
        <w:rPr>
          <w:lang w:val="ru-RU"/>
        </w:rPr>
        <w:t xml:space="preserve"> “基督是审判者，”例如，圣耶路撒冷的西里尔说， </w:t>
      </w:r>
      <w:r w:rsidRPr="006A21F9">
        <w:rPr>
          <w:i/>
          <w:iCs/>
          <w:lang w:val="ru-RU"/>
        </w:rPr>
        <w:t>‘因为父不审判任何人，而是将一切审判都交给了子</w:t>
      </w:r>
      <w:r w:rsidRPr="006A21F9">
        <w:rPr>
          <w:lang w:val="ru-RU"/>
        </w:rPr>
        <w:t>（约翰福音 5:22）。父并未剥夺自己的权柄，祂是通过子来审判的。因此，子将按父的旨意进行审判，因为父的旨意与子的旨意并非不同，而是同一的。’”</w:t>
      </w:r>
      <w:r>
        <w:rPr>
          <w:rStyle w:val="FootnoteReference"/>
        </w:rPr>
        <w:footnoteReference w:id="1630"/>
      </w:r>
    </w:p>
    <w:p w14:paraId="6B4EF83E" w14:textId="77777777" w:rsidR="00BE1885" w:rsidRPr="006A21F9" w:rsidRDefault="00BE1885" w:rsidP="00BE1885">
      <w:pPr>
        <w:ind w:firstLine="708"/>
        <w:rPr>
          <w:lang w:val="ru-RU"/>
        </w:rPr>
      </w:pPr>
      <w:r w:rsidRPr="006A21F9">
        <w:rPr>
          <w:b/>
          <w:bCs/>
          <w:lang w:val="ru-RU"/>
        </w:rPr>
        <w:t xml:space="preserve">3. </w:t>
      </w:r>
      <w:r w:rsidRPr="006A21F9">
        <w:rPr>
          <w:lang w:val="ru-RU"/>
        </w:rPr>
        <w:t>在阐述关于上帝作为审判者和赏罚者的教义时，东正教会区分了两种上帝的审判、两种赏罚：首先， 个别审判，即主在每个人死后立即对其单独进行的审判，以及随之而来的报酬尚不完整、非最终的；其次，是普世审判，即主将在世界末日庄严地对全人类进行的审判，该审判将以完全、决定性且永恒的报酬作为终结 （《信仰告白规则》第一卷，对第58-61问的回答）。因此，这一教义分为两部分，其中每一部分又细分为两节。</w:t>
      </w:r>
    </w:p>
    <w:p w14:paraId="4F96584F" w14:textId="77777777" w:rsidR="00BE1885" w:rsidRPr="006A21F9" w:rsidRDefault="00BE1885" w:rsidP="00BE1885">
      <w:pPr>
        <w:rPr>
          <w:lang w:val="ru-RU"/>
        </w:rPr>
      </w:pPr>
      <w:r w:rsidRPr="006A21F9">
        <w:rPr>
          <w:lang w:val="ru-RU"/>
        </w:rPr>
        <w:tab/>
      </w:r>
    </w:p>
    <w:p w14:paraId="55C6BD38" w14:textId="77777777" w:rsidR="00BE1885" w:rsidRPr="006A21F9" w:rsidRDefault="00BE1885" w:rsidP="00BE1885">
      <w:pPr>
        <w:rPr>
          <w:lang w:val="ru-RU"/>
        </w:rPr>
      </w:pPr>
    </w:p>
    <w:p w14:paraId="4455E41C" w14:textId="77777777" w:rsidR="00BE1885" w:rsidRPr="006A21F9" w:rsidRDefault="00BE1885" w:rsidP="00BE1885">
      <w:pPr>
        <w:pStyle w:val="Heading3"/>
        <w:rPr>
          <w:lang w:val="ru-RU"/>
        </w:rPr>
      </w:pPr>
      <w:bookmarkStart w:id="1061" w:name="_Toc133142619"/>
      <w:bookmarkStart w:id="1062" w:name="_Toc133143022"/>
      <w:bookmarkStart w:id="1063" w:name="_Toc133166379"/>
      <w:bookmarkStart w:id="1064" w:name="_Toc182221589"/>
      <w:bookmarkStart w:id="1065" w:name="_Toc238453156"/>
      <w:bookmarkStart w:id="1066" w:name="_Toc238453956"/>
      <w:bookmarkStart w:id="1067" w:name="_Toc238454339"/>
      <w:bookmarkStart w:id="1068" w:name="_Toc238466421"/>
      <w:bookmarkStart w:id="1069" w:name="_Toc238576616"/>
      <w:r w:rsidRPr="001E4083">
        <w:rPr>
          <w:bCs/>
        </w:rPr>
        <w:t>第一条</w:t>
      </w:r>
      <w:r w:rsidRPr="006A21F9">
        <w:rPr>
          <w:bCs/>
          <w:lang w:val="ru-RU"/>
        </w:rPr>
        <w:t xml:space="preserve">。 </w:t>
      </w:r>
      <w:r w:rsidRPr="006A21F9">
        <w:rPr>
          <w:lang w:val="ru-RU"/>
        </w:rPr>
        <w:br/>
        <w:t>论上帝作为每位人的审判者与赏罚者</w:t>
      </w:r>
      <w:bookmarkEnd w:id="1061"/>
      <w:bookmarkEnd w:id="1062"/>
      <w:bookmarkEnd w:id="1063"/>
      <w:bookmarkEnd w:id="1064"/>
      <w:bookmarkEnd w:id="1065"/>
      <w:bookmarkEnd w:id="1066"/>
      <w:bookmarkEnd w:id="1067"/>
      <w:bookmarkEnd w:id="1068"/>
      <w:bookmarkEnd w:id="1069"/>
    </w:p>
    <w:p w14:paraId="2E1CED0D" w14:textId="77777777" w:rsidR="00BE1885" w:rsidRPr="006A21F9" w:rsidRDefault="00BE1885" w:rsidP="00BE1885">
      <w:pPr>
        <w:rPr>
          <w:lang w:val="ru-RU"/>
        </w:rPr>
      </w:pPr>
      <w:r w:rsidRPr="006A21F9">
        <w:rPr>
          <w:lang w:val="ru-RU"/>
        </w:rPr>
        <w:tab/>
      </w:r>
    </w:p>
    <w:p w14:paraId="26BECE43" w14:textId="77777777" w:rsidR="00BE1885" w:rsidRPr="006A21F9" w:rsidRDefault="00BE1885" w:rsidP="00BE1885">
      <w:pPr>
        <w:pStyle w:val="Heading4"/>
        <w:rPr>
          <w:lang w:val="ru-RU"/>
        </w:rPr>
      </w:pPr>
      <w:bookmarkStart w:id="1070" w:name="_Toc133142620"/>
      <w:bookmarkStart w:id="1071" w:name="_Toc133143023"/>
      <w:bookmarkStart w:id="1072" w:name="_Toc133166380"/>
      <w:bookmarkStart w:id="1073" w:name="_Toc182221590"/>
      <w:bookmarkStart w:id="1074" w:name="_Toc238453157"/>
      <w:bookmarkStart w:id="1075" w:name="_Toc238453957"/>
      <w:bookmarkStart w:id="1076" w:name="_Toc238454340"/>
      <w:bookmarkStart w:id="1077" w:name="_Toc238466422"/>
      <w:r w:rsidRPr="006A21F9">
        <w:rPr>
          <w:bCs/>
          <w:lang w:val="ru-RU"/>
        </w:rPr>
        <w:t xml:space="preserve"> </w:t>
      </w:r>
      <w:bookmarkStart w:id="1078" w:name="_Toc238576617"/>
      <w:r w:rsidRPr="006A21F9">
        <w:rPr>
          <w:bCs/>
          <w:lang w:val="ru-RU"/>
        </w:rPr>
        <w:t>1.</w:t>
      </w:r>
      <w:r w:rsidRPr="006A21F9">
        <w:rPr>
          <w:lang w:val="ru-RU"/>
        </w:rPr>
        <w:t xml:space="preserve"> 关于个别审判</w:t>
      </w:r>
      <w:bookmarkEnd w:id="1070"/>
      <w:bookmarkEnd w:id="1071"/>
      <w:bookmarkEnd w:id="1072"/>
      <w:bookmarkEnd w:id="1073"/>
      <w:bookmarkEnd w:id="1074"/>
      <w:bookmarkEnd w:id="1075"/>
      <w:bookmarkEnd w:id="1076"/>
      <w:bookmarkEnd w:id="1077"/>
      <w:bookmarkEnd w:id="1078"/>
    </w:p>
    <w:p w14:paraId="00FB9F35" w14:textId="77777777" w:rsidR="00BE1885" w:rsidRPr="006A21F9" w:rsidRDefault="00BE1885" w:rsidP="00BE1885">
      <w:pPr>
        <w:rPr>
          <w:lang w:val="ru-RU"/>
        </w:rPr>
      </w:pPr>
      <w:r w:rsidRPr="006A21F9">
        <w:rPr>
          <w:lang w:val="ru-RU"/>
        </w:rPr>
        <w:tab/>
      </w:r>
    </w:p>
    <w:p w14:paraId="501776F0" w14:textId="77777777" w:rsidR="00BE1885" w:rsidRPr="006A21F9" w:rsidRDefault="00BE1885" w:rsidP="00BE1885">
      <w:pPr>
        <w:pStyle w:val="Heading5"/>
        <w:rPr>
          <w:lang w:val="ru-RU"/>
        </w:rPr>
      </w:pPr>
      <w:bookmarkStart w:id="1079" w:name="_Toc133143024"/>
      <w:bookmarkStart w:id="1080" w:name="_Toc133166381"/>
      <w:bookmarkStart w:id="1081" w:name="_Toc182221591"/>
      <w:bookmarkStart w:id="1082" w:name="_Toc238453158"/>
      <w:bookmarkStart w:id="1083" w:name="_Toc238453958"/>
      <w:bookmarkStart w:id="1084" w:name="_Toc238576618"/>
      <w:r w:rsidRPr="006A21F9">
        <w:rPr>
          <w:lang w:val="ru-RU"/>
        </w:rPr>
        <w:lastRenderedPageBreak/>
        <w:t>§248. 个人审判的前置条件：人的死亡</w:t>
      </w:r>
      <w:bookmarkEnd w:id="1079"/>
      <w:bookmarkEnd w:id="1080"/>
      <w:bookmarkEnd w:id="1081"/>
      <w:bookmarkEnd w:id="1082"/>
      <w:bookmarkEnd w:id="1083"/>
      <w:bookmarkEnd w:id="1084"/>
    </w:p>
    <w:p w14:paraId="2F3AC85B" w14:textId="77777777" w:rsidR="00BE1885" w:rsidRPr="006A21F9" w:rsidRDefault="00BE1885" w:rsidP="00BE1885">
      <w:pPr>
        <w:ind w:firstLine="708"/>
        <w:rPr>
          <w:lang w:val="ru-RU"/>
        </w:rPr>
      </w:pPr>
      <w:r w:rsidRPr="006A21F9">
        <w:rPr>
          <w:lang w:val="ru-RU"/>
        </w:rPr>
        <w:t>正如东正教会所教导的，个人的审判在人死后立即发生，因此，死亡是先于该审判的实质性前提（《信仰告白》第一卷，对第61个问题的回答）。 关于死亡本身的教义，我们此前已分部分阐述过（§§90、93），在此只需概述以下主要要点：</w:t>
      </w:r>
    </w:p>
    <w:p w14:paraId="7D2510F7" w14:textId="77777777" w:rsidR="00BE1885" w:rsidRPr="006A21F9" w:rsidRDefault="00BE1885" w:rsidP="00BE1885">
      <w:pPr>
        <w:ind w:firstLine="708"/>
        <w:rPr>
          <w:lang w:val="ru-RU"/>
        </w:rPr>
      </w:pPr>
      <w:r w:rsidRPr="006A21F9">
        <w:rPr>
          <w:b/>
          <w:bCs/>
          <w:lang w:val="ru-RU"/>
        </w:rPr>
        <w:t>1.</w:t>
      </w:r>
      <w:r w:rsidRPr="006A21F9">
        <w:rPr>
          <w:lang w:val="ru-RU"/>
        </w:rPr>
        <w:t xml:space="preserve"> 人的死亡是指灵魂与身体的分离，在圣经中被称为“出世”[（路加福音 9:31）；（彼得后书 1:15）； （希伯来书 13:17）]、终结 [(马太福音 10:22)；</w:t>
      </w:r>
      <w:r w:rsidRPr="006A21F9">
        <w:rPr>
          <w:rFonts w:cs="Cambria Math"/>
          <w:lang w:val="ru-RU"/>
        </w:rPr>
        <w:t>(</w:t>
      </w:r>
      <w:r w:rsidRPr="006A21F9">
        <w:rPr>
          <w:lang w:val="ru-RU"/>
        </w:rPr>
        <w:t>马太福音 24:13)；(哥林多前书 1:8)； （希伯来书 13:7）]、灵魂从牢狱中被解救（诗篇 141:8）、脱离肉身的枷锁（腓立比书 1:23）、离世（提摩太后书 4:6）、安息（使徒行传 13:36）等。 在人这两个组成部分的分离中，他的身体如同尘土一般归于尘土，正如起初那样；而灵则归回赐予它的上帝那里（传道书 12:7），并永远存活且不朽（§81）。</w:t>
      </w:r>
    </w:p>
    <w:p w14:paraId="1208BFA1" w14:textId="77777777" w:rsidR="00BE1885" w:rsidRPr="006A21F9" w:rsidRDefault="00BE1885" w:rsidP="00BE1885">
      <w:pPr>
        <w:ind w:firstLine="708"/>
        <w:rPr>
          <w:lang w:val="ru-RU"/>
        </w:rPr>
      </w:pPr>
      <w:r w:rsidRPr="006A21F9">
        <w:rPr>
          <w:b/>
          <w:bCs/>
          <w:lang w:val="ru-RU"/>
        </w:rPr>
        <w:t xml:space="preserve">2. </w:t>
      </w:r>
      <w:r w:rsidRPr="006A21F9">
        <w:rPr>
          <w:lang w:val="ru-RU"/>
        </w:rPr>
        <w:t>人死亡的原因在于他的堕落</w:t>
      </w:r>
      <w:r w:rsidRPr="008D7784">
        <w:rPr>
          <w:lang w:val="ru-RU"/>
        </w:rPr>
        <w:t>[</w:t>
      </w:r>
      <w:r w:rsidRPr="006A21F9">
        <w:rPr>
          <w:lang w:val="ru-RU"/>
        </w:rPr>
        <w:t>（创世记 2:17</w:t>
      </w:r>
      <w:r w:rsidRPr="008D7784">
        <w:rPr>
          <w:lang w:val="ru-RU"/>
        </w:rPr>
        <w:t>）</w:t>
      </w:r>
      <w:r w:rsidRPr="006A21F9">
        <w:rPr>
          <w:lang w:val="ru-RU"/>
        </w:rPr>
        <w:t>；</w:t>
      </w:r>
      <w:r w:rsidRPr="006A21F9">
        <w:rPr>
          <w:rFonts w:cs="Cambria Math"/>
          <w:lang w:val="ru-RU"/>
        </w:rPr>
        <w:t xml:space="preserve"> </w:t>
      </w:r>
      <w:r w:rsidRPr="006A21F9">
        <w:rPr>
          <w:lang w:val="ru-RU"/>
        </w:rPr>
        <w:t>（创世记 3:19）</w:t>
      </w:r>
      <w:r w:rsidRPr="008D7784">
        <w:rPr>
          <w:lang w:val="ru-RU"/>
        </w:rPr>
        <w:t>]</w:t>
      </w:r>
      <w:r w:rsidRPr="006A21F9">
        <w:rPr>
          <w:lang w:val="ru-RU"/>
        </w:rPr>
        <w:t>。因为上帝创造人本为不朽（箴言 2:23），并且为了不断更新其身体的力量，以维持其永恒的生命，起初便赐予他生命树（创世记 2:9）。 但由于违背了上帝的旨意，他便不再配享用那恩典之树的果实（创世记 3:22）； 既然罪——这种违背律法且违背自然的行为——将疾病与衰弱这种毁灭性的根源 带入了人的身体：那么，人的死亡便是罪不可避免的后果和代价（创世记3:22）（§§92, 93）。</w:t>
      </w:r>
    </w:p>
    <w:p w14:paraId="74AC4C8A" w14:textId="77777777" w:rsidR="00BE1885" w:rsidRPr="006A21F9" w:rsidRDefault="00BE1885" w:rsidP="00BE1885">
      <w:pPr>
        <w:ind w:firstLine="708"/>
        <w:rPr>
          <w:lang w:val="ru-RU"/>
        </w:rPr>
      </w:pPr>
      <w:r w:rsidRPr="006A21F9">
        <w:rPr>
          <w:b/>
          <w:bCs/>
          <w:lang w:val="ru-RU"/>
        </w:rPr>
        <w:t>3.</w:t>
      </w:r>
      <w:r w:rsidRPr="006A21F9">
        <w:rPr>
          <w:lang w:val="ru-RU"/>
        </w:rPr>
        <w:t xml:space="preserve"> 作为我们始祖之罪的后果与代价——该罪从他们传给了所有后代——死亡必然成为全人类共同的命运：</w:t>
      </w:r>
      <w:r w:rsidRPr="006A21F9">
        <w:rPr>
          <w:i/>
          <w:iCs/>
          <w:lang w:val="ru-RU"/>
        </w:rPr>
        <w:t xml:space="preserve">正如因一人犯罪，罪进入世界，因罪而有死亡；同样，死亡也传给了所有人，因为在祂里面，所有人都犯了罪 </w:t>
      </w:r>
      <w:r w:rsidRPr="006A21F9">
        <w:rPr>
          <w:lang w:val="ru-RU"/>
        </w:rPr>
        <w:t>[(罗 5:12)； (林前15:22)；(诗88:49)]。以诺和以利亚的例子，以及使徒所说的那些人：</w:t>
      </w:r>
      <w:r w:rsidRPr="006A21F9">
        <w:rPr>
          <w:i/>
          <w:iCs/>
          <w:lang w:val="ru-RU"/>
        </w:rPr>
        <w:t>“我们并非都要死，但都要在眨眼之间，在末后的号筒声中，忽然改变</w:t>
      </w:r>
      <w:r w:rsidRPr="006A21F9">
        <w:rPr>
          <w:lang w:val="ru-RU"/>
        </w:rPr>
        <w:t>”（林前15:51-52）； (帖前 4:16)]，这些仅是规则中的例外，并不能推翻死亡定律的普遍性。</w:t>
      </w:r>
    </w:p>
    <w:p w14:paraId="11014E29" w14:textId="77777777" w:rsidR="00BE1885" w:rsidRPr="006A21F9" w:rsidRDefault="00BE1885" w:rsidP="00BE1885">
      <w:pPr>
        <w:ind w:firstLine="708"/>
        <w:rPr>
          <w:lang w:val="ru-RU"/>
        </w:rPr>
      </w:pPr>
      <w:r w:rsidRPr="006A21F9">
        <w:rPr>
          <w:b/>
          <w:bCs/>
          <w:lang w:val="ru-RU"/>
        </w:rPr>
        <w:t>4.</w:t>
      </w:r>
      <w:r w:rsidRPr="006A21F9">
        <w:rPr>
          <w:lang w:val="ru-RU"/>
        </w:rPr>
        <w:t xml:space="preserve"> 死亡是人类功绩之期的终点，也是报应之期的起点，因此，死后我们既无法悔改，也无法改过自新。 救主基督通过“财主与拉撒路”的比喻阐明了这一真理，从中可见，二人死后立即便得到了报应，而财主无论在地狱中如何受苦，都无法通过悔改来摆脱自己的痛苦（路加福音 16:26）。 随后，圣使徒保罗在谈及自身时也表达了这一真理：</w:t>
      </w:r>
      <w:r w:rsidRPr="006A21F9">
        <w:rPr>
          <w:i/>
          <w:iCs/>
          <w:lang w:val="ru-RU"/>
        </w:rPr>
        <w:t>“我已经打完美好的仗，跑完当跑的路，守住了信仰；现在有公义的冠冕为我存留，那公义的审判主——主——必将它赐给我</w:t>
      </w:r>
      <w:r w:rsidRPr="006A21F9">
        <w:rPr>
          <w:lang w:val="ru-RU"/>
        </w:rPr>
        <w:t xml:space="preserve">”（提摩太后书 4:7-8），并在教导基督徒时说： </w:t>
      </w:r>
      <w:r w:rsidRPr="006A21F9">
        <w:rPr>
          <w:i/>
          <w:iCs/>
          <w:lang w:val="ru-RU"/>
        </w:rPr>
        <w:t>“看哪，现在正是恩典的时候，看哪，现在正是得救的日子</w:t>
      </w:r>
      <w:r w:rsidRPr="006A21F9">
        <w:rPr>
          <w:lang w:val="ru-RU"/>
        </w:rPr>
        <w:t>”（哥林多后书 6:2）；</w:t>
      </w:r>
      <w:r w:rsidRPr="006A21F9">
        <w:rPr>
          <w:i/>
          <w:iCs/>
          <w:lang w:val="ru-RU"/>
        </w:rPr>
        <w:t>“趁着还有机会，我们要向众人行善</w:t>
      </w:r>
      <w:r w:rsidRPr="006A21F9">
        <w:rPr>
          <w:lang w:val="ru-RU"/>
        </w:rPr>
        <w:t>”（加拉太书 6:10）。圣教父和教会导师们也明确地宣讲了这一点，例如：</w:t>
      </w:r>
    </w:p>
    <w:p w14:paraId="7A203077" w14:textId="77777777" w:rsidR="00BE1885" w:rsidRPr="006A21F9" w:rsidRDefault="00BE1885" w:rsidP="00BE1885">
      <w:pPr>
        <w:rPr>
          <w:lang w:val="ru-RU"/>
        </w:rPr>
      </w:pPr>
      <w:r w:rsidRPr="006A21F9">
        <w:rPr>
          <w:lang w:val="ru-RU"/>
        </w:rPr>
        <w:tab/>
        <w:t>耶路撒冷的圣西里尔：“经上说：‘主啊，死人不能称颂你’——这表明，悔改和赦罪的时机仅限于今生，在此期间，蒙受赦罪之人将称颂你； 而那些在罪中结束生命的人，死后便无法像蒙受恩惠者那样赞美祢：他们只能哀哭；因为赞美是属于感恩之人的，哀哭则是属于受惩罚之人的。”</w:t>
      </w:r>
      <w:r>
        <w:rPr>
          <w:rStyle w:val="FootnoteReference"/>
        </w:rPr>
        <w:footnoteReference w:id="1631"/>
      </w:r>
    </w:p>
    <w:p w14:paraId="3FF04090" w14:textId="77777777" w:rsidR="00BE1885" w:rsidRPr="006A21F9" w:rsidRDefault="00BE1885" w:rsidP="00BE1885">
      <w:pPr>
        <w:rPr>
          <w:lang w:val="ru-RU"/>
        </w:rPr>
      </w:pPr>
      <w:r w:rsidRPr="006A21F9">
        <w:rPr>
          <w:lang w:val="ru-RU"/>
        </w:rPr>
        <w:tab/>
        <w:t>大圣巴西尔：“现世是悔改与赦罪之时，而来世则是公义的报应之审判。”他还说：“离开今生之后，便再无行善之机，因为上帝以其长久忍耐，已将今生定为行善以取悦上帝的时日。”</w:t>
      </w:r>
      <w:r>
        <w:rPr>
          <w:rStyle w:val="FootnoteReference"/>
        </w:rPr>
        <w:footnoteReference w:id="1632"/>
      </w:r>
    </w:p>
    <w:p w14:paraId="7EE9AD8C" w14:textId="77777777" w:rsidR="00BE1885" w:rsidRPr="006A21F9" w:rsidRDefault="00BE1885" w:rsidP="00BE1885">
      <w:pPr>
        <w:rPr>
          <w:lang w:val="ru-RU"/>
        </w:rPr>
      </w:pPr>
      <w:r w:rsidRPr="006A21F9">
        <w:rPr>
          <w:lang w:val="ru-RU"/>
        </w:rPr>
        <w:tab/>
        <w:t>圣格里高利·神学家：“与其在惩罚降临之时——那时已非净化之时——在那里遭受折磨，不如在此地接受教诲与净化。 因为正如我们在今生要将上帝置于死亡之上（大卫对此有精妙的论述），那些离开此世的人在阴间便没</w:t>
      </w:r>
      <w:r w:rsidRPr="006A21F9">
        <w:rPr>
          <w:lang w:val="ru-RU"/>
        </w:rPr>
        <w:lastRenderedPageBreak/>
        <w:t>有忏悔和悔改的机会（《诗篇》6:6）；因为上帝将积极生活的时光限定于今生，而将对所作所为的审视留给了来世。”</w:t>
      </w:r>
      <w:r>
        <w:rPr>
          <w:rStyle w:val="FootnoteReference"/>
        </w:rPr>
        <w:footnoteReference w:id="1633"/>
      </w:r>
    </w:p>
    <w:p w14:paraId="65B3E0DF" w14:textId="77777777" w:rsidR="00BE1885" w:rsidRPr="006A21F9" w:rsidRDefault="00BE1885" w:rsidP="00BE1885">
      <w:pPr>
        <w:rPr>
          <w:lang w:val="ru-RU"/>
        </w:rPr>
      </w:pPr>
      <w:r w:rsidRPr="006A21F9">
        <w:rPr>
          <w:lang w:val="ru-RU"/>
        </w:rPr>
        <w:tab/>
        <w:t>圣约翰·金口：“唯有现世才是行善的时机，死后则是审判与惩罚。因为经上说：</w:t>
      </w:r>
      <w:r w:rsidRPr="006A21F9">
        <w:rPr>
          <w:i/>
          <w:iCs/>
          <w:lang w:val="ru-RU"/>
        </w:rPr>
        <w:t>‘在死亡中无人记念你；在坟墓里谁能赞美你？</w:t>
      </w:r>
      <w:r w:rsidRPr="006A21F9">
        <w:rPr>
          <w:lang w:val="ru-RU"/>
        </w:rPr>
        <w:t>’（诗篇6:6）。”</w:t>
      </w:r>
      <w:r>
        <w:rPr>
          <w:rStyle w:val="FootnoteReference"/>
        </w:rPr>
        <w:footnoteReference w:id="1634"/>
      </w:r>
      <w:r w:rsidRPr="006A21F9">
        <w:rPr>
          <w:lang w:val="ru-RU"/>
        </w:rPr>
        <w:t xml:space="preserve"> “只要我们还活在现世，就仍有机会通过自我悔改来避免惩罚。 而当我们进入另一个世界时，再为自己的罪孽哀恸也已为时过晚。”</w:t>
      </w:r>
      <w:r>
        <w:rPr>
          <w:rStyle w:val="FootnoteReference"/>
        </w:rPr>
        <w:footnoteReference w:id="1635"/>
      </w:r>
    </w:p>
    <w:p w14:paraId="40C6C585" w14:textId="77777777" w:rsidR="00BE1885" w:rsidRPr="006A21F9" w:rsidRDefault="00BE1885" w:rsidP="00BE1885">
      <w:pPr>
        <w:rPr>
          <w:lang w:val="ru-RU"/>
        </w:rPr>
      </w:pPr>
      <w:r w:rsidRPr="006A21F9">
        <w:rPr>
          <w:lang w:val="ru-RU"/>
        </w:rPr>
        <w:tab/>
        <w:t>赫拉克利乌斯的狄奥多尔：“死后已无悔改之机。”</w:t>
      </w:r>
      <w:r>
        <w:rPr>
          <w:rStyle w:val="FootnoteReference"/>
        </w:rPr>
        <w:footnoteReference w:id="1636"/>
      </w:r>
    </w:p>
    <w:p w14:paraId="2494587C" w14:textId="77777777" w:rsidR="00BE1885" w:rsidRPr="006A21F9" w:rsidRDefault="00BE1885" w:rsidP="00BE1885">
      <w:pPr>
        <w:rPr>
          <w:lang w:val="ru-RU"/>
        </w:rPr>
      </w:pPr>
      <w:r w:rsidRPr="006A21F9">
        <w:rPr>
          <w:lang w:val="ru-RU"/>
        </w:rPr>
        <w:tab/>
        <w:t>保加利亚的福者狄奥菲拉克特：“看啊，在世上我们可以赎去自己的罪。但一旦离开尘世，我们就再也不能靠自己通过忏悔来赎去自己的罪了；因为那扇门已经关闭了。”</w:t>
      </w:r>
      <w:r>
        <w:rPr>
          <w:rStyle w:val="FootnoteReference"/>
        </w:rPr>
        <w:footnoteReference w:id="1637"/>
      </w:r>
      <w:r w:rsidRPr="006A21F9">
        <w:rPr>
          <w:lang w:val="ru-RU"/>
        </w:rPr>
        <w:t xml:space="preserve"> “在现世，我们可以做些什么并付诸实践；但在来世 ，灵魂的一切行动力都将被束缚；届时将无法行任何善事来赎罪。”</w:t>
      </w:r>
      <w:r>
        <w:rPr>
          <w:rStyle w:val="FootnoteReference"/>
        </w:rPr>
        <w:footnoteReference w:id="1638"/>
      </w:r>
      <w:r w:rsidRPr="006A21F9">
        <w:rPr>
          <w:lang w:val="ru-RU"/>
        </w:rPr>
        <w:t xml:space="preserve"> “离开人世之后，便不再是忏悔和行善之时。”</w:t>
      </w:r>
      <w:r>
        <w:rPr>
          <w:rStyle w:val="FootnoteReference"/>
        </w:rPr>
        <w:footnoteReference w:id="1639"/>
      </w:r>
    </w:p>
    <w:p w14:paraId="6A13465D" w14:textId="77777777" w:rsidR="00BE1885" w:rsidRPr="006A21F9" w:rsidRDefault="00BE1885" w:rsidP="00BE1885">
      <w:pPr>
        <w:rPr>
          <w:lang w:val="ru-RU"/>
        </w:rPr>
      </w:pPr>
    </w:p>
    <w:p w14:paraId="007F5C45" w14:textId="77777777" w:rsidR="00BE1885" w:rsidRPr="006A21F9" w:rsidRDefault="00BE1885" w:rsidP="00BE1885">
      <w:pPr>
        <w:pStyle w:val="Heading5"/>
        <w:rPr>
          <w:lang w:val="ru-RU"/>
        </w:rPr>
      </w:pPr>
      <w:bookmarkStart w:id="1085" w:name="_Toc133143025"/>
      <w:bookmarkStart w:id="1086" w:name="_Toc133166382"/>
      <w:bookmarkStart w:id="1087" w:name="_Toc182221592"/>
      <w:bookmarkStart w:id="1088" w:name="_Toc238453159"/>
      <w:bookmarkStart w:id="1089" w:name="_Toc238453959"/>
      <w:bookmarkStart w:id="1090" w:name="_Toc238576619"/>
      <w:r w:rsidRPr="006A21F9">
        <w:rPr>
          <w:lang w:val="ru-RU"/>
        </w:rPr>
        <w:t>§249. 个人审判的有效性</w:t>
      </w:r>
      <w:bookmarkEnd w:id="1085"/>
      <w:bookmarkEnd w:id="1086"/>
      <w:bookmarkEnd w:id="1087"/>
      <w:bookmarkEnd w:id="1088"/>
      <w:bookmarkEnd w:id="1089"/>
      <w:bookmarkEnd w:id="1090"/>
    </w:p>
    <w:p w14:paraId="3103678F" w14:textId="77777777" w:rsidR="00BE1885" w:rsidRPr="006A21F9" w:rsidRDefault="00BE1885" w:rsidP="00BE1885">
      <w:pPr>
        <w:ind w:firstLine="708"/>
        <w:rPr>
          <w:lang w:val="ru-RU"/>
        </w:rPr>
      </w:pPr>
      <w:r w:rsidRPr="006A21F9">
        <w:rPr>
          <w:lang w:val="ru-RU"/>
        </w:rPr>
        <w:t>关于人死后将接受审判的教义——这种审判被称为“个别审判”，以区别于世界末日时将要举行的“普世审判”：</w:t>
      </w:r>
    </w:p>
    <w:p w14:paraId="6AA89E08" w14:textId="77777777" w:rsidR="00BE1885" w:rsidRPr="006A21F9" w:rsidRDefault="00BE1885" w:rsidP="00BE1885">
      <w:pPr>
        <w:ind w:firstLine="708"/>
        <w:rPr>
          <w:lang w:val="ru-RU"/>
        </w:rPr>
      </w:pPr>
      <w:r w:rsidRPr="006A21F9">
        <w:rPr>
          <w:b/>
          <w:bCs/>
          <w:lang w:val="ru-RU"/>
        </w:rPr>
        <w:t>1)</w:t>
      </w:r>
      <w:r w:rsidRPr="006A21F9">
        <w:rPr>
          <w:lang w:val="ru-RU"/>
        </w:rPr>
        <w:t xml:space="preserve"> 早在旧约时代的教会中就已经为人所知。智者西拉的儿子在某处说道：</w:t>
      </w:r>
      <w:r w:rsidRPr="006A21F9">
        <w:rPr>
          <w:i/>
          <w:iCs/>
          <w:lang w:val="ru-RU"/>
        </w:rPr>
        <w:t>“对上主而言，在人死亡之日按其行为予以报应是轻而易举的。片刻的痛苦会使人遗忘一切慰藉，而当人临终时，其所行之事便会显露出来</w:t>
      </w:r>
      <w:r w:rsidRPr="006A21F9">
        <w:rPr>
          <w:lang w:val="ru-RU"/>
        </w:rPr>
        <w:t>”（《西拉书》11:26-27）。 倘若在死之日按功过报应人，在神面前是合宜的；倘若按祂的旨意，人的行为确实会在临终时向其显明，而非推迟至末日审判之时：那么就必须承认，人在死后会立即经历个别审判。否则，此时向人显明其一切行为又有什么目的呢？ 这种揭示究竟意味着什么？全智者为何指出，在人临终之日，上帝按其行为报应人，是合宜的？……</w:t>
      </w:r>
    </w:p>
    <w:p w14:paraId="61C39061" w14:textId="77777777" w:rsidR="00BE1885" w:rsidRPr="006A21F9" w:rsidRDefault="00BE1885" w:rsidP="00BE1885">
      <w:pPr>
        <w:ind w:firstLine="708"/>
        <w:rPr>
          <w:lang w:val="ru-RU"/>
        </w:rPr>
      </w:pPr>
      <w:r w:rsidRPr="006A21F9">
        <w:rPr>
          <w:b/>
          <w:bCs/>
          <w:lang w:val="ru-RU"/>
        </w:rPr>
        <w:t>2)</w:t>
      </w:r>
      <w:r w:rsidRPr="006A21F9">
        <w:rPr>
          <w:lang w:val="ru-RU"/>
        </w:rPr>
        <w:t xml:space="preserve"> 圣使徒保罗在新约中非常明确地指出：</w:t>
      </w:r>
      <w:r w:rsidRPr="006A21F9">
        <w:rPr>
          <w:i/>
          <w:iCs/>
          <w:lang w:val="ru-RU"/>
        </w:rPr>
        <w:t>“人都是定要死一次，死后必受审判</w:t>
      </w:r>
      <w:r w:rsidRPr="006A21F9">
        <w:rPr>
          <w:lang w:val="ru-RU"/>
        </w:rPr>
        <w:t>”（希伯来书9:27）。使徒显然认为死亡与审判之间没有任何间隔，因此，他所指的并非普世审判，而是个别审判。</w:t>
      </w:r>
    </w:p>
    <w:p w14:paraId="2686B7F3" w14:textId="77777777" w:rsidR="00BE1885" w:rsidRPr="006A21F9" w:rsidRDefault="00BE1885" w:rsidP="00BE1885">
      <w:pPr>
        <w:ind w:firstLine="708"/>
        <w:rPr>
          <w:lang w:val="ru-RU"/>
        </w:rPr>
      </w:pPr>
      <w:r w:rsidRPr="006A21F9">
        <w:rPr>
          <w:b/>
          <w:bCs/>
          <w:lang w:val="ru-RU"/>
        </w:rPr>
        <w:t>3)</w:t>
      </w:r>
      <w:r w:rsidRPr="006A21F9">
        <w:rPr>
          <w:lang w:val="ru-RU"/>
        </w:rPr>
        <w:t xml:space="preserve"> 圣教父和教会导师们也对此作了明确的教导。例如：</w:t>
      </w:r>
    </w:p>
    <w:p w14:paraId="194BAF89" w14:textId="77777777" w:rsidR="00BE1885" w:rsidRPr="006A21F9" w:rsidRDefault="00BE1885" w:rsidP="00BE1885">
      <w:pPr>
        <w:rPr>
          <w:lang w:val="ru-RU"/>
        </w:rPr>
      </w:pPr>
      <w:r w:rsidRPr="006A21F9">
        <w:rPr>
          <w:lang w:val="ru-RU"/>
        </w:rPr>
        <w:tab/>
        <w:t>圣格里高利·神学家在提及君士坦提乌斯国王逝世时指出，他离开了尘世，‘据说在临终喘息之际，他做出了徒劳的忏悔——那时，由于那里等待着审判，每个人都会成为自己最诚实的审判者。’</w:t>
      </w:r>
      <w:r>
        <w:rPr>
          <w:rStyle w:val="FootnoteReference"/>
        </w:rPr>
        <w:footnoteReference w:id="1640"/>
      </w:r>
    </w:p>
    <w:p w14:paraId="0799CE79" w14:textId="77777777" w:rsidR="00BE1885" w:rsidRPr="006A21F9" w:rsidRDefault="00BE1885" w:rsidP="00BE1885">
      <w:pPr>
        <w:rPr>
          <w:lang w:val="ru-RU"/>
        </w:rPr>
      </w:pPr>
      <w:r w:rsidRPr="006A21F9">
        <w:rPr>
          <w:lang w:val="ru-RU"/>
        </w:rPr>
        <w:tab/>
        <w:t>圣约翰·金口曾告诫听众：“凡活在世上的人，若未因罪得赦免，在进入来世后，都无法逃脱因这些罪所受的折磨。 正如世间罪犯被从牢狱中戴着镣铐押解至法庭受审一样：同样，离开今生之后，所有灵魂都将背负着各种罪孽的枷锁，被带到那可怕的审判席前。”</w:t>
      </w:r>
      <w:r>
        <w:rPr>
          <w:rStyle w:val="FootnoteReference"/>
        </w:rPr>
        <w:footnoteReference w:id="1641"/>
      </w:r>
      <w:r w:rsidRPr="006A21F9">
        <w:rPr>
          <w:lang w:val="ru-RU"/>
        </w:rPr>
        <w:t xml:space="preserve"> “离开今生之后，我们将站在末日审判台前，为自己的一切行为交账；如果我们一直沉溺于罪恶之中，</w:t>
      </w:r>
      <w:r w:rsidRPr="006A21F9">
        <w:rPr>
          <w:lang w:val="ru-RU"/>
        </w:rPr>
        <w:lastRenderedPageBreak/>
        <w:t>就会遭受折磨和惩罚； 若我们哪怕稍加自省，便将获得冠冕与难以言喻的恩典：知晓此理，我们将使持不同意见者噤声，自己则踏上美德之路，怀着基督徒应有的盼望，站在那审判台前，并获得应许给我们的恩典。”</w:t>
      </w:r>
      <w:r>
        <w:rPr>
          <w:rStyle w:val="FootnoteReference"/>
        </w:rPr>
        <w:footnoteReference w:id="1642"/>
      </w:r>
      <w:r w:rsidRPr="006A21F9">
        <w:rPr>
          <w:lang w:val="ru-RU"/>
        </w:rPr>
        <w:t xml:space="preserve"> 此外：“要预备你的事，预备你的路（箴言 24:27）。 若你从谁那里夺取了什么，就归还，并像撒该一样说：‘我要把所夺的加倍归还。’（路加福音 19:8）若你曾辱骂过谁，或与谁为敌，就在上法庭之前与对方和解。在此处解决一切，以便你能无忧无虑地面对那审判。 只要我们还活在这世上，就仍有美好的盼望；但一旦离世，我们就再也没有能力悔改并洗净自己的罪了。因此，我们必须时刻为离开此世做好准备。因为，倘若主在傍晚召我们归去，该怎么办？倘若是在明天呢？”</w:t>
      </w:r>
      <w:r>
        <w:rPr>
          <w:rStyle w:val="FootnoteReference"/>
        </w:rPr>
        <w:footnoteReference w:id="1643"/>
      </w:r>
    </w:p>
    <w:p w14:paraId="3292B82C" w14:textId="77777777" w:rsidR="00BE1885" w:rsidRPr="006A21F9" w:rsidRDefault="00BE1885" w:rsidP="00BE1885">
      <w:pPr>
        <w:rPr>
          <w:lang w:val="ru-RU"/>
        </w:rPr>
      </w:pPr>
      <w:r w:rsidRPr="006A21F9">
        <w:rPr>
          <w:lang w:val="ru-RU"/>
        </w:rPr>
        <w:tab/>
        <w:t>福者奥古斯丁称：“灵魂一离开肉体便接受审判，而在复活后以肉身之躯接受审判之前，这种信仰是最公正且极具救赎意义的。”</w:t>
      </w:r>
      <w:r>
        <w:rPr>
          <w:rStyle w:val="FootnoteReference"/>
        </w:rPr>
        <w:footnoteReference w:id="1644"/>
      </w:r>
    </w:p>
    <w:p w14:paraId="41B03D03" w14:textId="77777777" w:rsidR="00BE1885" w:rsidRPr="006A21F9" w:rsidRDefault="00BE1885" w:rsidP="00BE1885">
      <w:pPr>
        <w:rPr>
          <w:lang w:val="ru-RU"/>
        </w:rPr>
      </w:pPr>
      <w:r w:rsidRPr="006A21F9">
        <w:rPr>
          <w:lang w:val="ru-RU"/>
        </w:rPr>
        <w:tab/>
        <w:t>罗斯托夫的圣迪米特里说：“我们这些东正教基督徒，每个人都必须日日夜夜期待着自己生命终结的未知时刻，并为离世做好准备：因为在所有人共同面临的恐怖审判之前，每个人都有自己独特的恐怖审判。”</w:t>
      </w:r>
      <w:r>
        <w:rPr>
          <w:rStyle w:val="FootnoteReference"/>
        </w:rPr>
        <w:footnoteReference w:id="1645"/>
      </w:r>
      <w:r w:rsidRPr="006A21F9">
        <w:rPr>
          <w:lang w:val="ru-RU"/>
        </w:rPr>
        <w:t xml:space="preserve"> “审判有两种：个别审判和普遍审判。每个人在临终时都要经历个别审判；因为那时他将看见自己的一切行为。”</w:t>
      </w:r>
      <w:r>
        <w:rPr>
          <w:rStyle w:val="FootnoteReference"/>
        </w:rPr>
        <w:footnoteReference w:id="1646"/>
      </w:r>
      <w:r w:rsidRPr="006A21F9">
        <w:rPr>
          <w:lang w:val="ru-RU"/>
        </w:rPr>
        <w:t xml:space="preserve"> “我们日夜每时每刻都在期待主的降临，但还不是那可怕的降临——主将借此审判活人死人，并按各人的行为报应各人； 我们所等候的，也并非那随时可能降临的时刻——那时（正如使徒彼得所言）</w:t>
      </w:r>
      <w:r w:rsidRPr="006A21F9">
        <w:rPr>
          <w:i/>
          <w:iCs/>
          <w:lang w:val="ru-RU"/>
        </w:rPr>
        <w:t>诸天必轰然消逝，诸元素因烈火而焚毁，大地及其上的一切都将被烧尽</w:t>
      </w:r>
      <w:r w:rsidRPr="006A21F9">
        <w:rPr>
          <w:lang w:val="ru-RU"/>
        </w:rPr>
        <w:t xml:space="preserve"> （《彼得后书》3:10），而是期待着各自的死亡时刻，届时神的审判将降临，将灵魂从肉体中带走，在那一刻，每个人都将因所作所为而受到独特的审判； 我们时刻都在等待那一刻的到来，正如主自己为了保护我们，在福音书中教导的那样：</w:t>
      </w:r>
      <w:r w:rsidRPr="006A21F9">
        <w:rPr>
          <w:i/>
          <w:iCs/>
          <w:lang w:val="ru-RU"/>
        </w:rPr>
        <w:t>‘你们要预备好，因为在你们想不到的时候，人子就要来了</w:t>
      </w:r>
      <w:r w:rsidRPr="006A21F9">
        <w:rPr>
          <w:lang w:val="ru-RU"/>
        </w:rPr>
        <w:t>（路加福音 12:40）。’”</w:t>
      </w:r>
      <w:r>
        <w:rPr>
          <w:rStyle w:val="FootnoteReference"/>
        </w:rPr>
        <w:footnoteReference w:id="1647"/>
      </w:r>
    </w:p>
    <w:p w14:paraId="21216B71" w14:textId="77777777" w:rsidR="00BE1885" w:rsidRPr="006A21F9" w:rsidRDefault="00BE1885" w:rsidP="00BE1885">
      <w:pPr>
        <w:ind w:firstLine="708"/>
        <w:rPr>
          <w:lang w:val="ru-RU"/>
        </w:rPr>
      </w:pPr>
      <w:r w:rsidRPr="006A21F9">
        <w:rPr>
          <w:b/>
          <w:bCs/>
          <w:lang w:val="ru-RU"/>
        </w:rPr>
        <w:t>4)</w:t>
      </w:r>
      <w:r w:rsidRPr="006A21F9">
        <w:rPr>
          <w:lang w:val="ru-RU"/>
        </w:rPr>
        <w:t xml:space="preserve"> 这对于健全的理性而言也是不难理解的。理性无法认同，灵魂在死亡至末日审判期间的状态会处于无所谓、不确定的状态。</w:t>
      </w:r>
      <w:r>
        <w:rPr>
          <w:rStyle w:val="FootnoteReference"/>
        </w:rPr>
        <w:footnoteReference w:id="1648"/>
      </w:r>
      <w:r w:rsidRPr="006A21F9">
        <w:rPr>
          <w:lang w:val="ru-RU"/>
        </w:rPr>
        <w:t xml:space="preserve"> 因为该如何理解这种状态呢？ 无意识的？但这对于天生具有自我意识的灵魂来说，怎么可能呢？即使有可能，全能的圣意又会出于何种目的允许这种情况发生呢？ ——还是有意识的？在这种情况下，灵魂若未处于特定状态，又如何能意识到自身？那又将是一种怎样的存</w:t>
      </w:r>
      <w:r w:rsidRPr="006A21F9">
        <w:rPr>
          <w:lang w:val="ru-RU"/>
        </w:rPr>
        <w:lastRenderedPageBreak/>
        <w:t>在？因此，必须承认每个灵魂在人死后会立即面临特定的命运；必须假设存在一种个别审判，由其来决定这一命运。</w:t>
      </w:r>
    </w:p>
    <w:p w14:paraId="1A238F3E" w14:textId="77777777" w:rsidR="00BE1885" w:rsidRPr="006A21F9" w:rsidRDefault="00BE1885" w:rsidP="00BE1885">
      <w:pPr>
        <w:rPr>
          <w:lang w:val="ru-RU"/>
        </w:rPr>
      </w:pPr>
      <w:r w:rsidRPr="006A21F9">
        <w:rPr>
          <w:lang w:val="ru-RU"/>
        </w:rPr>
        <w:tab/>
      </w:r>
    </w:p>
    <w:p w14:paraId="613AF20C" w14:textId="77777777" w:rsidR="00BE1885" w:rsidRPr="006A21F9" w:rsidRDefault="00BE1885" w:rsidP="00BE1885">
      <w:pPr>
        <w:pStyle w:val="Heading5"/>
        <w:rPr>
          <w:lang w:val="ru-RU"/>
        </w:rPr>
      </w:pPr>
      <w:bookmarkStart w:id="1091" w:name="_Toc133143026"/>
      <w:bookmarkStart w:id="1092" w:name="_Toc133166383"/>
      <w:bookmarkStart w:id="1093" w:name="_Toc182221593"/>
      <w:bookmarkStart w:id="1094" w:name="_Toc238453160"/>
      <w:bookmarkStart w:id="1095" w:name="_Toc238453960"/>
      <w:bookmarkStart w:id="1096" w:name="_Toc238576620"/>
      <w:r w:rsidRPr="006A21F9">
        <w:rPr>
          <w:lang w:val="ru-RU"/>
        </w:rPr>
        <w:t>§250. 关于个别审判的描述：关于“税吏之苦”的教义</w:t>
      </w:r>
      <w:bookmarkEnd w:id="1091"/>
      <w:bookmarkEnd w:id="1092"/>
      <w:bookmarkEnd w:id="1093"/>
      <w:bookmarkEnd w:id="1094"/>
      <w:bookmarkEnd w:id="1095"/>
      <w:bookmarkEnd w:id="1096"/>
    </w:p>
    <w:p w14:paraId="2D649CDD" w14:textId="77777777" w:rsidR="00BE1885" w:rsidRPr="006A21F9" w:rsidRDefault="00BE1885" w:rsidP="00BE1885">
      <w:pPr>
        <w:ind w:firstLine="708"/>
        <w:rPr>
          <w:lang w:val="ru-RU"/>
        </w:rPr>
      </w:pPr>
      <w:r w:rsidRPr="006A21F9">
        <w:rPr>
          <w:lang w:val="ru-RU"/>
        </w:rPr>
        <w:t>关于个别审判如何进行，圣经并未详细阐述。但我们可以在东正教教会中自古流传的“税吏之苦”（</w:t>
      </w:r>
      <w:r w:rsidRPr="001E4083">
        <w:t>τελώνια</w:t>
      </w:r>
      <w:r w:rsidRPr="006A21F9">
        <w:rPr>
          <w:lang w:val="ru-RU"/>
        </w:rPr>
        <w:t>）教义中，找到主要基于神圣传统且与圣经相符的关于此审判的象征性描述。</w:t>
      </w:r>
    </w:p>
    <w:p w14:paraId="07E29059"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关于“税吏”教义的本质，可从亚历山大的圣西里尔关于灵魂归宿的论述中窥见一斑，该论述通常印在教会书籍之一——《礼仪诗篇集》中。</w:t>
      </w:r>
      <w:r>
        <w:rPr>
          <w:rStyle w:val="FootnoteReference"/>
        </w:rPr>
        <w:footnoteReference w:id="1649"/>
      </w:r>
      <w:r w:rsidRPr="006A21F9">
        <w:rPr>
          <w:lang w:val="ru-RU"/>
        </w:rPr>
        <w:t xml:space="preserve"> 我们将从中摘录其主要特征。</w:t>
      </w:r>
    </w:p>
    <w:p w14:paraId="19C85371" w14:textId="77777777" w:rsidR="00BE1885" w:rsidRPr="006A21F9" w:rsidRDefault="00BE1885" w:rsidP="00BE1885">
      <w:pPr>
        <w:rPr>
          <w:lang w:val="ru-RU"/>
        </w:rPr>
      </w:pPr>
      <w:r w:rsidRPr="006A21F9">
        <w:rPr>
          <w:lang w:val="ru-RU"/>
        </w:rPr>
        <w:tab/>
        <w:t>“当我们的灵魂与肉体分离之时，一方面，天上的军旅与大能将显现在我们面前；另一方面，黑暗的权势、邪恶的掌权者、空中税吏的首领，以及那些折磨我们、揭露我们所作所为的审判者也将显现在我们面前…… 一见到他们，灵魂便会惊惶、战栗、惶恐，并在混乱与恐惧中向神的天使寻求庇护； 然而，即便被圣天使接纳，并在他们的庇护下穿越空中空间、升向高处，它仍会遭遇各种“税关”（仿佛是征收关税的哨所或海关），这些税关将阻挡它通往天国的道路，阻止并遏制</w:t>
      </w:r>
      <w:r w:rsidRPr="001E4083">
        <w:t>它</w:t>
      </w:r>
      <w:r w:rsidRPr="006A21F9">
        <w:rPr>
          <w:lang w:val="ru-RU"/>
        </w:rPr>
        <w:t>对天国的向往。 在每一处关卡上，都将要求她就特定的罪过作出交代。第一处关卡——是关于通过口舌所犯的罪过……第二处关卡——是关于视觉的罪过……第三处关卡——是关于听觉的罪过……第四处关卡——是关于嗅觉的罪过…… 第五道关卡——通过双手所犯的一切不法之举和可憎之事。后续的关卡则涉及其他罪孽，例如：恶意、仇恨、嫉妒、虚荣和骄傲……简而言之，灵魂的每一种激情、每一项罪孽都将以类似的方式面临各自的税吏和刑罚者…… 届时，神圣的力量与不洁之灵的众军都将在场； 前者将展现灵魂的美德，而后者则将揭露</w:t>
      </w:r>
      <w:r w:rsidRPr="001E4083">
        <w:t>灵魂</w:t>
      </w:r>
      <w:r w:rsidRPr="006A21F9">
        <w:rPr>
          <w:lang w:val="ru-RU"/>
        </w:rPr>
        <w:t>通过言语、行为、思想或意图所犯下的罪孽。 与此同时，灵魂置身其中，将在恐惧与战栗中思绪翻腾，直到最终根据其行为、事迹和言语，或是被定罪而身陷枷锁，或是被宣告无罪而获得自由（因为每个人都受制于自身罪孽的枷锁）。 倘若因其虔诚且蒙神喜悦的生活而被认定配得，天使便会接纳她，届时她将在圣洁之力的护送下，毫无畏惧地奔向天国…… 相反，若发现她一生懒惰放纵，便会听见那可怕的声音：“让那不敬虔的人被掳去，不得见主的荣耀”（赛26:10）； 届时，上帝的天使将离她而去，可怕的恶魔将掳走她……这灵魂将被无法解开的枷锁束缚，坠入阴暗幽邃之地，坠入地狱深处，坠入地底的牢狱与地狱的暗室。”</w:t>
      </w:r>
      <w:r>
        <w:rPr>
          <w:rStyle w:val="FootnoteReference"/>
        </w:rPr>
        <w:footnoteReference w:id="1650"/>
      </w:r>
    </w:p>
    <w:p w14:paraId="3535D6DD" w14:textId="77777777" w:rsidR="00BE1885" w:rsidRPr="006A21F9" w:rsidRDefault="00BE1885" w:rsidP="00BE1885">
      <w:pPr>
        <w:rPr>
          <w:lang w:val="ru-RU"/>
        </w:rPr>
      </w:pPr>
      <w:r w:rsidRPr="006A21F9">
        <w:rPr>
          <w:lang w:val="ru-RU"/>
        </w:rPr>
        <w:tab/>
        <w:t>由此可见：</w:t>
      </w:r>
      <w:r w:rsidRPr="006A21F9">
        <w:rPr>
          <w:b/>
          <w:bCs/>
          <w:lang w:val="ru-RU"/>
        </w:rPr>
        <w:t>a)</w:t>
      </w:r>
      <w:r w:rsidRPr="006A21F9">
        <w:rPr>
          <w:lang w:val="ru-RU"/>
        </w:rPr>
        <w:t xml:space="preserve"> 炼狱是所有人类灵魂——无论善恶——从暂时的生命过渡到永恒归宿时必须经历的道路； </w:t>
      </w:r>
      <w:r w:rsidRPr="006A21F9">
        <w:rPr>
          <w:b/>
          <w:bCs/>
          <w:lang w:val="ru-RU"/>
        </w:rPr>
        <w:t xml:space="preserve">b) </w:t>
      </w:r>
      <w:r w:rsidRPr="006A21F9">
        <w:rPr>
          <w:lang w:val="ru-RU"/>
        </w:rPr>
        <w:t>在这段过渡期间，每颗灵魂都会在天使与恶魔的见证下，毫无疑问地在全知审判者的注视下</w:t>
      </w:r>
      <w:r w:rsidRPr="0097554A">
        <w:rPr>
          <w:lang w:val="ru-RU"/>
        </w:rPr>
        <w:t>，</w:t>
      </w:r>
      <w:r w:rsidRPr="001E4083">
        <w:t>对其</w:t>
      </w:r>
      <w:r w:rsidRPr="006A21F9">
        <w:rPr>
          <w:lang w:val="ru-RU"/>
        </w:rPr>
        <w:t>生前所行的一切善恶之事进行逐步而详尽的审问；</w:t>
      </w:r>
      <w:r w:rsidRPr="006A21F9">
        <w:rPr>
          <w:b/>
          <w:bCs/>
          <w:lang w:val="ru-RU"/>
        </w:rPr>
        <w:t>c)</w:t>
      </w:r>
      <w:r w:rsidRPr="006A21F9">
        <w:rPr>
          <w:lang w:val="ru-RU"/>
        </w:rPr>
        <w:t xml:space="preserve"> 由于这些审问，以及每颗灵魂对其前世生活的详细陈述， 那些在所有炼狱中均被宣告无罪的善良灵魂，将由天使直接护送至天堂；而那些在某个炼狱中被滞留、因不敬神而受指控的罪孽灵魂，则将根据无形审判者的判决，被恶魔拖入其阴暗的居所。</w:t>
      </w:r>
      <w:r>
        <w:rPr>
          <w:rStyle w:val="FootnoteReference"/>
        </w:rPr>
        <w:footnoteReference w:id="1651"/>
      </w:r>
      <w:r w:rsidRPr="006A21F9">
        <w:rPr>
          <w:lang w:val="ru-RU"/>
        </w:rPr>
        <w:t xml:space="preserve"> </w:t>
      </w:r>
      <w:r w:rsidRPr="006A21F9">
        <w:rPr>
          <w:lang w:val="ru-RU"/>
        </w:rPr>
        <w:lastRenderedPageBreak/>
        <w:t>因此，炼狱无非是主耶稣亲自通过天使对人类灵魂进行的隐秘审判，甚至允许诽谤我们弟兄的人 （启示录12:10）以及邪灵参与其中——在这场审判中，灵魂会被唤起记忆</w:t>
      </w:r>
      <w:r w:rsidRPr="0097554A">
        <w:rPr>
          <w:lang w:val="ru-RU"/>
        </w:rPr>
        <w:t>，</w:t>
      </w:r>
      <w:r w:rsidRPr="001E4083">
        <w:t>其</w:t>
      </w:r>
      <w:r w:rsidRPr="006A21F9">
        <w:rPr>
          <w:lang w:val="ru-RU"/>
        </w:rPr>
        <w:t>所有行为都会在祂面前得到公正的评判，审判结束后，其既定的命运便随之确定。</w:t>
      </w:r>
      <w:r>
        <w:rPr>
          <w:rStyle w:val="FootnoteReference"/>
        </w:rPr>
        <w:footnoteReference w:id="1652"/>
      </w:r>
    </w:p>
    <w:p w14:paraId="6D80BAB1"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这一由亚历山大的圣西里尔阐述的“税吏之苦”教义，不仅在圣西里尔之前就存在于教会中，在圣西里尔之后——在随后的所有世纪里——也一直延续。</w:t>
      </w:r>
    </w:p>
    <w:p w14:paraId="7E871368" w14:textId="77777777" w:rsidR="00BE1885" w:rsidRPr="006A21F9" w:rsidRDefault="00BE1885" w:rsidP="00BE1885">
      <w:pPr>
        <w:ind w:firstLine="708"/>
        <w:rPr>
          <w:lang w:val="ru-RU"/>
        </w:rPr>
      </w:pPr>
      <w:r w:rsidRPr="006A21F9">
        <w:rPr>
          <w:b/>
          <w:bCs/>
          <w:lang w:val="ru-RU"/>
        </w:rPr>
        <w:t xml:space="preserve">1) </w:t>
      </w:r>
      <w:r w:rsidRPr="006A21F9">
        <w:rPr>
          <w:lang w:val="ru-RU"/>
        </w:rPr>
        <w:t>在亚历山大的圣西里尔之前，作为一项众所周知的教义，它在圣父和圣师的著作中——尤其是四世纪的著作中——频繁出现。</w:t>
      </w:r>
      <w:r>
        <w:rPr>
          <w:rStyle w:val="FootnoteReference"/>
        </w:rPr>
        <w:footnoteReference w:id="1653"/>
      </w:r>
      <w:r w:rsidRPr="006A21F9">
        <w:rPr>
          <w:lang w:val="ru-RU"/>
        </w:rPr>
        <w:t xml:space="preserve"> 例如：</w:t>
      </w:r>
    </w:p>
    <w:p w14:paraId="1F006768" w14:textId="77777777" w:rsidR="00BE1885" w:rsidRPr="006A21F9" w:rsidRDefault="00BE1885" w:rsidP="00BE1885">
      <w:pPr>
        <w:rPr>
          <w:lang w:val="ru-RU"/>
        </w:rPr>
      </w:pPr>
      <w:r w:rsidRPr="006A21F9">
        <w:rPr>
          <w:lang w:val="ru-RU"/>
        </w:rPr>
        <w:tab/>
        <w:t>圣以弗所·西里尔写道：“当至高无上的力量临近，当可怕的军旅降临，当神圣的驱逐者（</w:t>
      </w:r>
      <w:r w:rsidRPr="001E4083">
        <w:t>έκσπηλεύται</w:t>
      </w:r>
      <w:r w:rsidRPr="006A21F9">
        <w:rPr>
          <w:lang w:val="ru-RU"/>
        </w:rPr>
        <w:t>）命令灵魂离开肉体，当他们以力量将我们拖拽，带往不可避免的审判之庭； 那时，可怜的人一见到他们……便如遭遇地震般全身动摇，浑身战栗…… 神圣的收魂者带走灵魂后，便升入空中，那里站着敌对势力的统领、权势者和世界主宰。他们就是我们邪恶的控告者、古怪的税吏（</w:t>
      </w:r>
      <w:r w:rsidRPr="001E4083">
        <w:t>τελώναι</w:t>
      </w:r>
      <w:r w:rsidRPr="006A21F9">
        <w:rPr>
          <w:lang w:val="ru-RU"/>
        </w:rPr>
        <w:t>）、记录员（</w:t>
      </w:r>
      <w:r w:rsidRPr="001E4083">
        <w:t>λογοθέται</w:t>
      </w:r>
      <w:r w:rsidRPr="006A21F9">
        <w:rPr>
          <w:lang w:val="ru-RU"/>
        </w:rPr>
        <w:t>）和征税官（</w:t>
      </w:r>
      <w:r w:rsidRPr="001E4083">
        <w:t>φορολογοι</w:t>
      </w:r>
      <w:r w:rsidRPr="006A21F9">
        <w:rPr>
          <w:lang w:val="ru-RU"/>
        </w:rPr>
        <w:t>）； 他们在途中拦截，清点、查验并计算此人的罪孽与记录，无论是年少时的还是年老时的，无论是自愿的还是非自愿的， 无论是通过行为、言语还是意念所犯下的。 那里的恐惧何其巨大，可怜的灵魂何其战栗，那时它将承受难以言喻的苦难——无数如黑暗般环绕</w:t>
      </w:r>
      <w:r w:rsidRPr="001E4083">
        <w:t>它的</w:t>
      </w:r>
      <w:r w:rsidRPr="006A21F9">
        <w:rPr>
          <w:lang w:val="ru-RU"/>
        </w:rPr>
        <w:t>敌人，诽谤中伤，只为阻止它升入天堂，定居于生者的光明之中，进入永生的国度。 但圣洁的天使们会接走这灵魂，将其带离。”</w:t>
      </w:r>
      <w:r>
        <w:rPr>
          <w:rStyle w:val="FootnoteReference"/>
        </w:rPr>
        <w:footnoteReference w:id="1654"/>
      </w:r>
    </w:p>
    <w:p w14:paraId="6D8BC689" w14:textId="77777777" w:rsidR="00BE1885" w:rsidRPr="006A21F9" w:rsidRDefault="00BE1885" w:rsidP="00BE1885">
      <w:pPr>
        <w:rPr>
          <w:lang w:val="ru-RU"/>
        </w:rPr>
      </w:pPr>
      <w:r w:rsidRPr="006A21F9">
        <w:rPr>
          <w:lang w:val="ru-RU"/>
        </w:rPr>
        <w:tab/>
        <w:t xml:space="preserve">据大圣亚法纳西记载：“某夜，天上有声音传到他（安东尼）耳中，说：‘安东尼，起来，出去看看。’他便起身出去，举目望向天空，看见一个高大而可怕的身影，头顶直抵云霄： 他还看见其他一些仿佛长着翅膀的生灵，想要升上天堂，但那高大的身影伸出双手，阻挡了它们的上升；那些生灵便被它击落，摔倒在地；而另一些则无视它，大胆地飞了过去，那高大的身影为此痛苦万分，咬牙切齿。 随后又有声音对安东尼说：‘领悟所见之景吧，’于是他以蒙光照的心开始领悟：那正是灵魂的升腾，而魔鬼的阻挠，正是为了将罪人留住；但它却无法掳走并留住圣徒……” </w:t>
      </w:r>
      <w:r w:rsidRPr="006A21F9">
        <w:rPr>
          <w:lang w:val="ru-RU"/>
        </w:rPr>
        <w:lastRenderedPageBreak/>
        <w:t>还有：‘圣安东尼曾一度处于濒死状态，目睹自己仿佛悬浮于空中。然而，空中恶魔阻挡了他的去路，不让他通过；天使们与之对抗，揭露了束缚他的罪孽。这些恶魔试图追溯安东尼自出生以来的所有罪行。’</w:t>
      </w:r>
      <w:r>
        <w:rPr>
          <w:rStyle w:val="FootnoteReference"/>
        </w:rPr>
        <w:footnoteReference w:id="1655"/>
      </w:r>
    </w:p>
    <w:p w14:paraId="264C7A18" w14:textId="77777777" w:rsidR="00BE1885" w:rsidRPr="006A21F9" w:rsidRDefault="00BE1885" w:rsidP="00BE1885">
      <w:pPr>
        <w:rPr>
          <w:lang w:val="ru-RU"/>
        </w:rPr>
      </w:pPr>
      <w:r w:rsidRPr="006A21F9">
        <w:rPr>
          <w:lang w:val="ru-RU"/>
        </w:rPr>
        <w:tab/>
        <w:t>据大圣马卡里亚所言：“当人的灵魂离开肉体时，便会发生某种伟大的奥秘。因为，如果灵魂因罪孽而负有罪责，那么魔鬼大军、邪恶的天使和黑暗势力便会前来，夺走这灵魂并将其拖往他们那边。 对此，无人应当感到惊讶。因为，如果一个人在生前，尚处于这个世界时，就已经向它们屈服、投降并沦为奴隶：那么当他离开这个世界时，它们岂不更会掌控他并使他沦为奴隶吗？ 至于另一部分更优秀的人，他们的境遇则截然不同。也就是说，在圣洁的上帝仆人身上，天使与圣灵便在今生就与他们同在，环绕并守护着他们。当他们的灵魂与肉体分离时，天使们便以天使之姿接纳他们进入自己的群体，进入光明的生活，并以此方式将他们引向主。”</w:t>
      </w:r>
      <w:r>
        <w:rPr>
          <w:rStyle w:val="FootnoteReference"/>
        </w:rPr>
        <w:footnoteReference w:id="1656"/>
      </w:r>
    </w:p>
    <w:p w14:paraId="5EF4BC2A" w14:textId="77777777" w:rsidR="00BE1885" w:rsidRPr="006A21F9" w:rsidRDefault="00BE1885" w:rsidP="00BE1885">
      <w:pPr>
        <w:rPr>
          <w:lang w:val="ru-RU"/>
        </w:rPr>
      </w:pPr>
      <w:r w:rsidRPr="006A21F9">
        <w:rPr>
          <w:lang w:val="ru-RU"/>
        </w:rPr>
        <w:tab/>
        <w:t>圣约翰·金口曾说：“如果我们前往某个陌生的国度或城市，需要向导；那么，为了能顺利地经过长老、当权者、空中掌权者、迫害者和税吏首领，我们又需要多少助手和引导者呢？……” “圣天使们和平地将我们与肉体分离（圣父将这番话置于离世的婴孩口中），而我们有了良善的向导，安然无恙地经过了空中掌权者。邪灵在我们身上找不到它们所寻找的；没有察觉到它们所想要的。 目睹这无罪的躯体，它们感到羞愧；看见这纯洁的灵魂，它们无地自容；见到这未受玷污的舌头，它们便噤声了。我们从它们身边经过，使它们蒙羞。罗网已然破裂，我们得以脱身。愿上帝蒙福，祂未将我们交于它们的网罗之中。”</w:t>
      </w:r>
      <w:r>
        <w:rPr>
          <w:rStyle w:val="FootnoteReference"/>
        </w:rPr>
        <w:footnoteReference w:id="1657"/>
      </w:r>
      <w:r w:rsidRPr="006A21F9">
        <w:rPr>
          <w:lang w:val="ru-RU"/>
        </w:rPr>
        <w:t xml:space="preserve"> 还有：“躺在床上的人以巨大的力量摇晃着床，并以可怕的目光注视着在场的人，而灵魂则竭力留在肉体中，不愿与之分离，因为它被那些逼近的天使的异象所震慑。 因为，如果我们面对可怕的人类都会战栗；那么，当我们看到威严的天使和无情的势力逼近，当他们拖走我们的灵魂并将其从肉体中剥离，当灵魂痛哭流涕却徒劳无益时，我们的痛苦又将何等剧烈？”</w:t>
      </w:r>
      <w:r>
        <w:rPr>
          <w:rStyle w:val="FootnoteReference"/>
        </w:rPr>
        <w:footnoteReference w:id="1658"/>
      </w:r>
    </w:p>
    <w:p w14:paraId="6DE3821A" w14:textId="77777777" w:rsidR="00BE1885" w:rsidRPr="006A21F9" w:rsidRDefault="00BE1885" w:rsidP="00BE1885">
      <w:pPr>
        <w:rPr>
          <w:lang w:val="ru-RU"/>
        </w:rPr>
      </w:pPr>
      <w:r w:rsidRPr="006A21F9">
        <w:rPr>
          <w:lang w:val="ru-RU"/>
        </w:rPr>
        <w:tab/>
        <w:t>圣大巴西尔（</w:t>
      </w:r>
      <w:r>
        <w:rPr>
          <w:rStyle w:val="FootnoteReference"/>
        </w:rPr>
        <w:footnoteReference w:id="1659"/>
      </w:r>
      <w:r w:rsidRPr="006A21F9">
        <w:rPr>
          <w:lang w:val="ru-RU"/>
        </w:rPr>
        <w:t xml:space="preserve"> ）、圣格里高利·尼西亚（</w:t>
      </w:r>
      <w:r>
        <w:rPr>
          <w:rStyle w:val="FootnoteReference"/>
        </w:rPr>
        <w:footnoteReference w:id="1660"/>
      </w:r>
      <w:r w:rsidRPr="006A21F9">
        <w:rPr>
          <w:lang w:val="ru-RU"/>
        </w:rPr>
        <w:t xml:space="preserve"> ）、圣埃皮法尼乌斯（</w:t>
      </w:r>
      <w:r>
        <w:rPr>
          <w:rStyle w:val="FootnoteReference"/>
        </w:rPr>
        <w:footnoteReference w:id="1661"/>
      </w:r>
      <w:r w:rsidRPr="006A21F9">
        <w:rPr>
          <w:lang w:val="ru-RU"/>
        </w:rPr>
        <w:t xml:space="preserve"> ）、圣优西比乌·凯撒利亚（</w:t>
      </w:r>
      <w:r>
        <w:rPr>
          <w:rStyle w:val="FootnoteReference"/>
        </w:rPr>
        <w:footnoteReference w:id="1662"/>
      </w:r>
      <w:r w:rsidRPr="006A21F9">
        <w:rPr>
          <w:lang w:val="ru-RU"/>
        </w:rPr>
        <w:t xml:space="preserve"> ）、圣帕拉迪乌斯·埃莱诺波利斯（</w:t>
      </w:r>
      <w:r>
        <w:rPr>
          <w:rStyle w:val="FootnoteReference"/>
        </w:rPr>
        <w:footnoteReference w:id="1663"/>
      </w:r>
      <w:r w:rsidRPr="006A21F9">
        <w:rPr>
          <w:lang w:val="ru-RU"/>
        </w:rPr>
        <w:t xml:space="preserve"> ）以及圣马卡里乌斯·亚历山大（ ）等人，也都或多或少详细阐述了同样的观点。</w:t>
      </w:r>
      <w:r>
        <w:rPr>
          <w:rStyle w:val="FootnoteReference"/>
        </w:rPr>
        <w:footnoteReference w:id="1664"/>
      </w:r>
    </w:p>
    <w:p w14:paraId="4C032066"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在亚历山大的圣西里尔之后，这一教义由来自不同地区和时代的众多教会导师传承下来。具体而言：加利坎的尤西比乌斯主教曾说：“在脱离肉身之前，灵魂若为自己的罪行悔改，为时已晚。 唉！当致死之罪的元凶（邪灵）开始将灵魂拖拽于广阔的空中，并引其走入黑暗之路时，灵魂将何去何从？”</w:t>
      </w:r>
      <w:r>
        <w:rPr>
          <w:rStyle w:val="FootnoteReference"/>
        </w:rPr>
        <w:footnoteReference w:id="1665"/>
      </w:r>
    </w:p>
    <w:p w14:paraId="2EFEB3C2" w14:textId="77777777" w:rsidR="00BE1885" w:rsidRPr="006A21F9" w:rsidRDefault="00BE1885" w:rsidP="00BE1885">
      <w:pPr>
        <w:rPr>
          <w:lang w:val="ru-RU"/>
        </w:rPr>
      </w:pPr>
      <w:r w:rsidRPr="006A21F9">
        <w:rPr>
          <w:lang w:val="ru-RU"/>
        </w:rPr>
        <w:tab/>
        <w:t>蒙福的仁慈约翰：“灵魂离开肉体、渴望升入天堂时，会遭遇恶魔的面目，并首先遭受谎言和诽谤的折磨。 倘若她因此未曾悔改，便会被恶魔们扣留。随后，在更高处，恶魔们会再次拦截这灵魂，并以淫乱和自大来试探她。倘若她对这些也悔改了，便能摆脱他们。灵魂在前往天堂的途中，会遭遇恶魔们设下的诸多绊脚石与折磨。 随后是暴怒、嫉妒、诬蔑、愤怒、诽谤、骄傲、污言秽语、悖逆、高利贷、贪财、酗酒、怀恨、巫术、邪行、暴食、仇视兄弟、杀人、偷盗、不仁、淫乱和通奸。 当那可咒诅的灵魂从地上升向天堂时，除了</w:t>
      </w:r>
      <w:r w:rsidRPr="001E4083">
        <w:t>它</w:t>
      </w:r>
      <w:r w:rsidRPr="006A21F9">
        <w:rPr>
          <w:lang w:val="ru-RU"/>
        </w:rPr>
        <w:t>自身之外，圣天使们都不在场，也不会帮助它：但灵魂本身会通过忏悔、善行，尤其是施舍，为自己作证。因为若它在此地未能因遗忘罪孽而悔改，便将通过施舍来摆脱恶魔折磨的暴行。”</w:t>
      </w:r>
      <w:r>
        <w:rPr>
          <w:rStyle w:val="FootnoteReference"/>
        </w:rPr>
        <w:footnoteReference w:id="1666"/>
      </w:r>
    </w:p>
    <w:p w14:paraId="7C42F6FC" w14:textId="77777777" w:rsidR="00BE1885" w:rsidRPr="006A21F9" w:rsidRDefault="00BE1885" w:rsidP="00BE1885">
      <w:pPr>
        <w:rPr>
          <w:lang w:val="ru-RU"/>
        </w:rPr>
      </w:pPr>
      <w:r w:rsidRPr="006A21F9">
        <w:rPr>
          <w:lang w:val="ru-RU"/>
        </w:rPr>
        <w:tab/>
        <w:t>圣马克西姆·殉道者：“像我这样被罪恶的污秽玷污的人，谁会不惧怕圣天使的临在呢？他们奉上帝之命，以强权、愤怒之势，违背那人本意，将即将离世者从肉体中驱逐出去。 谁若明知自己犯下恶行，又怎能不惧怕遭遇那些残忍、无情且狡诈的恶魔呢？”</w:t>
      </w:r>
      <w:r>
        <w:rPr>
          <w:rStyle w:val="FootnoteReference"/>
        </w:rPr>
        <w:footnoteReference w:id="1667"/>
      </w:r>
    </w:p>
    <w:p w14:paraId="300A15C3" w14:textId="77777777" w:rsidR="00BE1885" w:rsidRPr="006A21F9" w:rsidRDefault="00BE1885" w:rsidP="00BE1885">
      <w:pPr>
        <w:rPr>
          <w:lang w:val="ru-RU"/>
        </w:rPr>
      </w:pPr>
      <w:r w:rsidRPr="006A21F9">
        <w:rPr>
          <w:lang w:val="ru-RU"/>
        </w:rPr>
        <w:tab/>
        <w:t>此外：圣约翰·克里索斯托姆（</w:t>
      </w:r>
      <w:r>
        <w:rPr>
          <w:rStyle w:val="FootnoteReference"/>
        </w:rPr>
        <w:footnoteReference w:id="1668"/>
      </w:r>
      <w:r w:rsidRPr="006A21F9">
        <w:rPr>
          <w:lang w:val="ru-RU"/>
        </w:rPr>
        <w:t xml:space="preserve"> ）、圣费奥多西·佩切尔斯基（</w:t>
      </w:r>
      <w:r>
        <w:rPr>
          <w:rStyle w:val="FootnoteReference"/>
        </w:rPr>
        <w:footnoteReference w:id="1669"/>
      </w:r>
      <w:r w:rsidRPr="006A21F9">
        <w:rPr>
          <w:lang w:val="ru-RU"/>
        </w:rPr>
        <w:t xml:space="preserve"> ）、圣基里尔·图罗夫斯基（</w:t>
      </w:r>
      <w:r>
        <w:rPr>
          <w:rStyle w:val="FootnoteReference"/>
        </w:rPr>
        <w:footnoteReference w:id="1670"/>
      </w:r>
      <w:r w:rsidRPr="006A21F9">
        <w:rPr>
          <w:lang w:val="ru-RU"/>
        </w:rPr>
        <w:t xml:space="preserve"> ）、圣马克·以弗所（ ）、圣加布里埃尔·费城（</w:t>
      </w:r>
      <w:r>
        <w:rPr>
          <w:rStyle w:val="FootnoteReference"/>
        </w:rPr>
        <w:footnoteReference w:id="1671"/>
      </w:r>
      <w:r w:rsidRPr="006A21F9">
        <w:rPr>
          <w:lang w:val="ru-RU"/>
        </w:rPr>
        <w:t xml:space="preserve"> ）、圣迪米特里·罗斯托夫斯基（</w:t>
      </w:r>
      <w:r>
        <w:rPr>
          <w:rStyle w:val="FootnoteReference"/>
        </w:rPr>
        <w:footnoteReference w:id="1672"/>
      </w:r>
      <w:r w:rsidRPr="006A21F9">
        <w:rPr>
          <w:lang w:val="ru-RU"/>
        </w:rPr>
        <w:t xml:space="preserve"> ）等人。</w:t>
      </w:r>
    </w:p>
    <w:p w14:paraId="0DF1A931" w14:textId="77777777" w:rsidR="00BE1885" w:rsidRPr="006A21F9" w:rsidRDefault="00BE1885" w:rsidP="00BE1885">
      <w:pPr>
        <w:ind w:firstLine="708"/>
        <w:rPr>
          <w:lang w:val="ru-RU"/>
        </w:rPr>
      </w:pPr>
      <w:r w:rsidRPr="006A21F9">
        <w:rPr>
          <w:b/>
          <w:bCs/>
          <w:lang w:val="ru-RU"/>
        </w:rPr>
        <w:t>3)</w:t>
      </w:r>
      <w:r w:rsidRPr="006A21F9">
        <w:rPr>
          <w:lang w:val="ru-RU"/>
        </w:rPr>
        <w:t xml:space="preserve"> 此外，关于“税吏之苦”的教义也已融入圣徒传记</w:t>
      </w:r>
      <w:r>
        <w:rPr>
          <w:rStyle w:val="FootnoteReference"/>
        </w:rPr>
        <w:footnoteReference w:id="1673"/>
      </w:r>
      <w:r w:rsidRPr="006A21F9">
        <w:rPr>
          <w:lang w:val="ru-RU"/>
        </w:rPr>
        <w:t xml:space="preserve"> 以及东正教会所使用的最神圣的圣歌和祷文之中。例如：</w:t>
      </w:r>
    </w:p>
    <w:p w14:paraId="0AF47DFE" w14:textId="77777777" w:rsidR="00BE1885" w:rsidRPr="006A21F9" w:rsidRDefault="00BE1885" w:rsidP="00BE1885">
      <w:pPr>
        <w:rPr>
          <w:lang w:val="ru-RU"/>
        </w:rPr>
      </w:pPr>
      <w:r w:rsidRPr="006A21F9">
        <w:rPr>
          <w:lang w:val="ru-RU"/>
        </w:rPr>
        <w:tab/>
        <w:t>在主耶稣和至圣童贞女玛利亚的赞美诗中，该诗篇于每位正信者灵魂脱离肉体之时吟唱：</w:t>
      </w:r>
    </w:p>
    <w:p w14:paraId="60922DCC" w14:textId="77777777" w:rsidR="00BE1885" w:rsidRPr="006A21F9" w:rsidRDefault="00BE1885" w:rsidP="00BE1885">
      <w:pPr>
        <w:rPr>
          <w:lang w:val="ru-RU"/>
        </w:rPr>
      </w:pPr>
      <w:r w:rsidRPr="006A21F9">
        <w:rPr>
          <w:lang w:val="ru-RU"/>
        </w:rPr>
        <w:tab/>
        <w:t>“求祢使我得以无阻地从尘世离去，远离那空中之王、强暴者、折磨者、可怕道路的守卫者，以及这些徒劳的言语试探者”（第四首，第四段）。</w:t>
      </w:r>
    </w:p>
    <w:p w14:paraId="62F3D19C" w14:textId="77777777" w:rsidR="00BE1885" w:rsidRPr="006A21F9" w:rsidRDefault="00BE1885" w:rsidP="00BE1885">
      <w:pPr>
        <w:rPr>
          <w:lang w:val="ru-RU"/>
        </w:rPr>
      </w:pPr>
      <w:r w:rsidRPr="006A21F9">
        <w:rPr>
          <w:lang w:val="ru-RU"/>
        </w:rPr>
        <w:tab/>
        <w:t>“求祢使我逃离无形军团之母，使空中深渊升起，并恩准我升入天堂，好叫我永远赞美祢，圣母”（第8首，第2节）。</w:t>
      </w:r>
    </w:p>
    <w:p w14:paraId="3EBD3A18" w14:textId="77777777" w:rsidR="00BE1885" w:rsidRPr="006A21F9" w:rsidRDefault="00BE1885" w:rsidP="00BE1885">
      <w:pPr>
        <w:rPr>
          <w:lang w:val="ru-RU"/>
        </w:rPr>
      </w:pPr>
      <w:r w:rsidRPr="006A21F9">
        <w:rPr>
          <w:lang w:val="ru-RU"/>
        </w:rPr>
        <w:tab/>
        <w:t>在圣约翰·达马斯库斯的八声调圣咏中，在为亡者所作的赞美诗中：</w:t>
      </w:r>
    </w:p>
    <w:p w14:paraId="7C6A7E2F" w14:textId="77777777" w:rsidR="00BE1885" w:rsidRPr="006A21F9" w:rsidRDefault="00BE1885" w:rsidP="00BE1885">
      <w:pPr>
        <w:rPr>
          <w:lang w:val="ru-RU"/>
        </w:rPr>
      </w:pPr>
      <w:r w:rsidRPr="006A21F9">
        <w:rPr>
          <w:lang w:val="ru-RU"/>
        </w:rPr>
        <w:lastRenderedPageBreak/>
        <w:tab/>
        <w:t>“当我的灵魂渴望脱离肉身的结合而告别尘世时，主母啊，请那时为我代求，摧毁无形之敌的阴谋，粉碎那些企图无情吞噬我的魔牙：使我能畅通无阻地穿越悬于空中的黑暗诸王，神之新娘” （第2章，第9首，第16节）。</w:t>
      </w:r>
      <w:r>
        <w:rPr>
          <w:rStyle w:val="FootnoteReference"/>
        </w:rPr>
        <w:footnoteReference w:id="1674"/>
      </w:r>
    </w:p>
    <w:p w14:paraId="1C77DE9E" w14:textId="77777777" w:rsidR="00BE1885" w:rsidRPr="006A21F9" w:rsidRDefault="00BE1885" w:rsidP="00BE1885">
      <w:pPr>
        <w:rPr>
          <w:lang w:val="ru-RU"/>
        </w:rPr>
      </w:pPr>
      <w:r w:rsidRPr="006A21F9">
        <w:rPr>
          <w:lang w:val="ru-RU"/>
        </w:rPr>
        <w:tab/>
        <w:t>在致守护天使的赞美诗中：</w:t>
      </w:r>
    </w:p>
    <w:p w14:paraId="3DA40B85" w14:textId="77777777" w:rsidR="00BE1885" w:rsidRPr="006A21F9" w:rsidRDefault="00BE1885" w:rsidP="00BE1885">
      <w:pPr>
        <w:rPr>
          <w:lang w:val="ru-RU"/>
        </w:rPr>
      </w:pPr>
      <w:r w:rsidRPr="006A21F9">
        <w:rPr>
          <w:lang w:val="ru-RU"/>
        </w:rPr>
        <w:tab/>
        <w:t>“我的一生大多在虚妄中流逝，已临近终点：我恳求你，我的守护者，当我穿越那残酷的世主设下的严酷考验时，请成为我的保护者和不可战胜的捍卫者”（第9首，第3节）。</w:t>
      </w:r>
      <w:r>
        <w:rPr>
          <w:rStyle w:val="FootnoteReference"/>
        </w:rPr>
        <w:footnoteReference w:id="1675"/>
      </w:r>
    </w:p>
    <w:p w14:paraId="595AC907" w14:textId="77777777" w:rsidR="00BE1885" w:rsidRPr="006A21F9" w:rsidRDefault="00BE1885" w:rsidP="00BE1885">
      <w:pPr>
        <w:rPr>
          <w:lang w:val="ru-RU"/>
        </w:rPr>
      </w:pPr>
      <w:r w:rsidRPr="006A21F9">
        <w:rPr>
          <w:lang w:val="ru-RU"/>
        </w:rPr>
        <w:tab/>
        <w:t>在第四卡菲兹后的祷文中：</w:t>
      </w:r>
    </w:p>
    <w:p w14:paraId="0ADEF7F9" w14:textId="77777777" w:rsidR="00BE1885" w:rsidRPr="006A21F9" w:rsidRDefault="00BE1885" w:rsidP="00BE1885">
      <w:pPr>
        <w:rPr>
          <w:lang w:val="ru-RU"/>
        </w:rPr>
      </w:pPr>
      <w:r w:rsidRPr="006A21F9">
        <w:rPr>
          <w:lang w:val="ru-RU"/>
        </w:rPr>
        <w:tab/>
        <w:t>“我的主啊，我的主，求赐我悔改的眼泪……好让我借此恳求祢，在终结之前洗净我一切的罪孽：因为我将要经过一个可怕而令人畏惧的地方，脱离肉体之后，无数阴暗而残忍的恶魔将迎面而来”（《诗篇》第四卡菲兹后的祷文）。</w:t>
      </w:r>
    </w:p>
    <w:p w14:paraId="26DBCA8C" w14:textId="77777777" w:rsidR="00BE1885" w:rsidRPr="006A21F9" w:rsidRDefault="00BE1885" w:rsidP="00BE1885">
      <w:pPr>
        <w:rPr>
          <w:lang w:val="ru-RU"/>
        </w:rPr>
      </w:pPr>
      <w:r w:rsidRPr="006A21F9">
        <w:rPr>
          <w:lang w:val="ru-RU"/>
        </w:rPr>
        <w:tab/>
        <w:t>教会中对“税关”教义的这种持续、恒常且普遍的运用，特别是在四世纪的教师们之中，无可辩驳地证明：该教义是由前几个世纪的教师们传承给他们的，并以使徒传统为基础。</w:t>
      </w:r>
    </w:p>
    <w:p w14:paraId="58F6347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这完全合乎情理，因为关于“税吏之苦”的教义与圣经完全一致。在这项教义中：</w:t>
      </w:r>
    </w:p>
    <w:p w14:paraId="78470693" w14:textId="77777777" w:rsidR="00BE1885" w:rsidRPr="006A21F9" w:rsidRDefault="00BE1885" w:rsidP="00BE1885">
      <w:pPr>
        <w:ind w:firstLine="708"/>
        <w:rPr>
          <w:lang w:val="ru-RU"/>
        </w:rPr>
      </w:pPr>
      <w:r w:rsidRPr="006A21F9">
        <w:rPr>
          <w:b/>
          <w:bCs/>
          <w:lang w:val="ru-RU"/>
        </w:rPr>
        <w:t>1)</w:t>
      </w:r>
      <w:r w:rsidRPr="006A21F9">
        <w:rPr>
          <w:lang w:val="ru-RU"/>
        </w:rPr>
        <w:t xml:space="preserve"> 提到当人临终、灵魂与肉体分离之时，上帝的天使和刑罚之灵会向他们显现。救主本人也曾指出： </w:t>
      </w:r>
      <w:r w:rsidRPr="006A21F9">
        <w:rPr>
          <w:i/>
          <w:iCs/>
          <w:lang w:val="ru-RU"/>
        </w:rPr>
        <w:t>“那穷人死了，被天使带到亚伯拉罕的怀里</w:t>
      </w:r>
      <w:r w:rsidRPr="006A21F9">
        <w:rPr>
          <w:lang w:val="ru-RU"/>
        </w:rPr>
        <w:t>”（路加福音16:22）；而对另一个人，上帝说：</w:t>
      </w:r>
      <w:r w:rsidRPr="006A21F9">
        <w:rPr>
          <w:i/>
          <w:iCs/>
          <w:lang w:val="ru-RU"/>
        </w:rPr>
        <w:t>“你这愚妄人！今夜就要你的灵魂</w:t>
      </w:r>
      <w:r w:rsidRPr="006A21F9">
        <w:rPr>
          <w:lang w:val="ru-RU"/>
        </w:rPr>
        <w:t>”（路加福音12:20）——最合理的推断是，夺走灵魂的正是那些邪恶的灵。</w:t>
      </w:r>
      <w:r>
        <w:rPr>
          <w:rStyle w:val="FootnoteReference"/>
        </w:rPr>
        <w:footnoteReference w:id="1676"/>
      </w:r>
      <w:r w:rsidRPr="006A21F9">
        <w:rPr>
          <w:lang w:val="ru-RU"/>
        </w:rPr>
        <w:t xml:space="preserve"> 此外，圣经教导说</w:t>
      </w:r>
      <w:r w:rsidRPr="006A21F9">
        <w:rPr>
          <w:i/>
          <w:iCs/>
          <w:lang w:val="ru-RU"/>
        </w:rPr>
        <w:t>，</w:t>
      </w:r>
      <w:r w:rsidRPr="006A21F9">
        <w:rPr>
          <w:lang w:val="ru-RU"/>
        </w:rPr>
        <w:t>天使</w:t>
      </w:r>
      <w:r w:rsidRPr="006A21F9">
        <w:rPr>
          <w:i/>
          <w:iCs/>
          <w:lang w:val="ru-RU"/>
        </w:rPr>
        <w:t>本质上是服侍的灵，被差遣来服侍那些将要承受救恩的人</w:t>
      </w:r>
      <w:r w:rsidRPr="006A21F9">
        <w:rPr>
          <w:lang w:val="ru-RU"/>
        </w:rPr>
        <w:t>（希伯来书 1:14），他们会在我们整个生命历程中照料我们 （诗篇 90:10-11），是我们的贴身教导者和引导者，尤其是受洗时赐予每个人的守护天使</w:t>
      </w:r>
      <w:r w:rsidRPr="008D7784">
        <w:rPr>
          <w:lang w:val="ru-RU"/>
        </w:rPr>
        <w:t>[</w:t>
      </w:r>
      <w:r w:rsidRPr="006A21F9">
        <w:rPr>
          <w:lang w:val="ru-RU"/>
        </w:rPr>
        <w:t>（马太福音 18:10</w:t>
      </w:r>
      <w:r w:rsidRPr="008D7784">
        <w:rPr>
          <w:lang w:val="ru-RU"/>
        </w:rPr>
        <w:t>）</w:t>
      </w:r>
      <w:r w:rsidRPr="006A21F9">
        <w:rPr>
          <w:lang w:val="ru-RU"/>
        </w:rPr>
        <w:t xml:space="preserve">； </w:t>
      </w:r>
      <w:r w:rsidRPr="008D7784">
        <w:rPr>
          <w:lang w:val="ru-RU"/>
        </w:rPr>
        <w:t>（</w:t>
      </w:r>
      <w:r w:rsidRPr="006A21F9">
        <w:rPr>
          <w:lang w:val="ru-RU"/>
        </w:rPr>
        <w:t>诗篇 33:8）</w:t>
      </w:r>
      <w:r w:rsidRPr="008D7784">
        <w:rPr>
          <w:lang w:val="ru-RU"/>
        </w:rPr>
        <w:t>]</w:t>
      </w:r>
      <w:r w:rsidRPr="006A21F9">
        <w:rPr>
          <w:lang w:val="ru-RU"/>
        </w:rPr>
        <w:t>：这些善良的灵在死亡的艰难时刻仍不离不弃地帮助我们，不拒绝陪伴我们的灵魂，在灵魂从现世迈向永恒这一可怕且完全未知的过渡过程中引导并扶持它，这完全是理所当然的。 另一方面，圣经教导我们，邪灵的一切活动始终旨在使我们灭亡 [(以弗所书 6:12)； （提后 2:26）；（帖前 3:5）]</w:t>
      </w:r>
      <w:r w:rsidRPr="006A21F9">
        <w:rPr>
          <w:i/>
          <w:iCs/>
          <w:lang w:val="ru-RU"/>
        </w:rPr>
        <w:t>，我们的仇敌魔鬼如同吼叫的狮子，遍地游行，寻找可吞吃的人</w:t>
      </w:r>
      <w:r w:rsidRPr="006A21F9">
        <w:rPr>
          <w:lang w:val="ru-RU"/>
        </w:rPr>
        <w:t>（彼前 5:9）；当灵魂与肉体分离的时刻，他岂会放过任何一个机会，尽可能地使我们的灵魂陷入灭亡吗？</w:t>
      </w:r>
    </w:p>
    <w:p w14:paraId="57D43DB2" w14:textId="77777777" w:rsidR="00BE1885" w:rsidRPr="006A21F9" w:rsidRDefault="00BE1885" w:rsidP="00BE1885">
      <w:pPr>
        <w:ind w:firstLine="708"/>
        <w:rPr>
          <w:lang w:val="ru-RU"/>
        </w:rPr>
      </w:pPr>
      <w:r w:rsidRPr="006A21F9">
        <w:rPr>
          <w:b/>
          <w:bCs/>
          <w:lang w:val="ru-RU"/>
        </w:rPr>
        <w:t>2)</w:t>
      </w:r>
      <w:r w:rsidRPr="006A21F9">
        <w:rPr>
          <w:lang w:val="ru-RU"/>
        </w:rPr>
        <w:t xml:space="preserve"> 据说，人的灵魂脱离肉体后，在穿越空气空间前往更高世界的途中，会不断遇到堕落的灵。而上帝的话语见证说，空气中仿佛充满了天上的恶灵（以弗所书 6:12）， ——当然，并非以肉身的方式充满，而是 以灵的方式充满，</w:t>
      </w:r>
      <w:r>
        <w:rPr>
          <w:rStyle w:val="FootnoteReference"/>
        </w:rPr>
        <w:footnoteReference w:id="1677"/>
      </w:r>
      <w:r w:rsidRPr="006A21F9">
        <w:rPr>
          <w:lang w:val="ru-RU"/>
        </w:rPr>
        <w:t xml:space="preserve"> ——</w:t>
      </w:r>
      <w:r w:rsidRPr="006A21F9">
        <w:rPr>
          <w:lang w:val="ru-RU"/>
        </w:rPr>
        <w:lastRenderedPageBreak/>
        <w:t>它们的元首就是那在空中掌权的君王（以弗所书 2:2），因此，人的灵魂一旦离开肉体，便不可避免地进入它们的领域。</w:t>
      </w:r>
    </w:p>
    <w:p w14:paraId="044FBF18" w14:textId="77777777" w:rsidR="00BE1885" w:rsidRPr="006A21F9" w:rsidRDefault="00BE1885" w:rsidP="00BE1885">
      <w:pPr>
        <w:ind w:firstLine="708"/>
        <w:rPr>
          <w:lang w:val="ru-RU"/>
        </w:rPr>
      </w:pPr>
      <w:r w:rsidRPr="006A21F9">
        <w:rPr>
          <w:b/>
          <w:bCs/>
          <w:lang w:val="ru-RU"/>
        </w:rPr>
        <w:t>3)</w:t>
      </w:r>
      <w:r w:rsidRPr="006A21F9">
        <w:rPr>
          <w:lang w:val="ru-RU"/>
        </w:rPr>
        <w:t xml:space="preserve"> 据说，这些黑暗的恶灵如同折磨人的税吏，在</w:t>
      </w:r>
      <w:r w:rsidRPr="001E4083">
        <w:t>灵魂</w:t>
      </w:r>
      <w:r w:rsidRPr="006A21F9">
        <w:rPr>
          <w:lang w:val="ru-RU"/>
        </w:rPr>
        <w:t>通往天堂的</w:t>
      </w:r>
      <w:r w:rsidRPr="001E4083">
        <w:t>旅途中</w:t>
      </w:r>
      <w:r w:rsidRPr="0097554A">
        <w:rPr>
          <w:lang w:val="ru-RU"/>
        </w:rPr>
        <w:t>，</w:t>
      </w:r>
      <w:r w:rsidRPr="006A21F9">
        <w:rPr>
          <w:lang w:val="ru-RU"/>
        </w:rPr>
        <w:t>将其滞留在各个苦难之所，逐步让灵魂忆起</w:t>
      </w:r>
      <w:r w:rsidRPr="001E4083">
        <w:t>自己所犯的</w:t>
      </w:r>
      <w:r w:rsidRPr="006A21F9">
        <w:rPr>
          <w:lang w:val="ru-RU"/>
        </w:rPr>
        <w:t>各种罪孽，并竭尽全力加以谴责， ——与此同时，陪伴灵魂的善良天使们则会唤起与罪孽相对的善行，并竭力为灵魂辩护。 这些邪恶之灵的所作所为十分自然：它们不可能不知道也不记得我们所有的罪过，一旦机会出现，它们必然会竭尽全力来定我们的罪，因为根据圣经的教导，它们是你们永恒的诱惑者，也是你们一切不法行为的同谋 [(帖后 3:5)；</w:t>
      </w:r>
      <w:r w:rsidRPr="006A21F9">
        <w:rPr>
          <w:rFonts w:cs="Cambria Math"/>
          <w:lang w:val="ru-RU"/>
        </w:rPr>
        <w:t xml:space="preserve"> （</w:t>
      </w:r>
      <w:r w:rsidRPr="006A21F9">
        <w:rPr>
          <w:lang w:val="ru-RU"/>
        </w:rPr>
        <w:t>约壹 3:8）]，并致力于一个目标，即剥夺我们的永恒救恩[（路加福音 8:12）；（彼得前书 5:8）]。 同样自然的是善良天使的上述作为，他们作为我们在一切善事上的导师，也是引领我们走向永恒救赎的引导者（希伯来书 1:14），无疑知晓我们的善行，并且出于他们的爱，必然会协助你们的称义。</w:t>
      </w:r>
    </w:p>
    <w:p w14:paraId="02629EA4" w14:textId="77777777" w:rsidR="00BE1885" w:rsidRPr="006A21F9" w:rsidRDefault="00BE1885" w:rsidP="00BE1885">
      <w:pPr>
        <w:ind w:firstLine="708"/>
        <w:rPr>
          <w:lang w:val="ru-RU"/>
        </w:rPr>
      </w:pPr>
      <w:r w:rsidRPr="006A21F9">
        <w:rPr>
          <w:b/>
          <w:bCs/>
          <w:lang w:val="ru-RU"/>
        </w:rPr>
        <w:t>4)</w:t>
      </w:r>
      <w:r w:rsidRPr="006A21F9">
        <w:rPr>
          <w:lang w:val="ru-RU"/>
        </w:rPr>
        <w:t xml:space="preserve"> 似乎上帝并非在人的灵魂与身体分离后，直接对人的灵魂进行个别审判，而是容许邪恶的灵——仿佛祂那威严公义的工具——来折磨灵魂，同时又将善良的天使作为祂仁慈的工具加以运用。 但若在世界末日，当主以祂全部的荣耀显现，审判活人死人之时，祂不会亲自直接执行一切与审判相关的事务，而是</w:t>
      </w:r>
      <w:r w:rsidRPr="006A21F9">
        <w:rPr>
          <w:i/>
          <w:iCs/>
          <w:lang w:val="ru-RU"/>
        </w:rPr>
        <w:t>会差遣祂的天使，将祂的国度中一切引诱人犯罪和行不法之事的人都聚集起来，扔进火炉里</w:t>
      </w:r>
      <w:r w:rsidRPr="006A21F9">
        <w:rPr>
          <w:lang w:val="ru-RU"/>
        </w:rPr>
        <w:t>[（太13:41-42）；参见（太24:31）]：既然祂连个人的审判也不是亲自进行的，而是通过侍奉祂的灵来完成的——当然，作为无所不在者，祂自己也会以不可见的方式在场——这又有何奇怪呢？ 同样，既然已知在末日审判之前——届时堕落的灵也将最终得到应得的报应（犹大书 6）——上帝容许它们普遍地针对人类行事 [(约伯记 1:12)； （彼得前书 5:9）]，有时甚至在世上将它们作为祂对罪人公义之怒的工具，如同恶天使一般 [(诗篇 77:49)； （《哥林多前书》6:5）]：既然祂在对人类灵魂进行个别审判时，允许这些堕落之灵同样成为祂公义的工具，同时又让善良的天使成为祂仁慈的工具，这又有何可奇怪的呢？</w:t>
      </w:r>
    </w:p>
    <w:p w14:paraId="1C6C9F6B"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然而，必须指出的是，正如对于我们这些身披血肉之躯的人而言，在描绘属灵世界的事物时，或多或少不可避免地会带有感官性的、拟人化的特征——同样，在关于人类灵魂脱离肉体后所经历的炼狱的详细教义中，这些特征也是不可避免地被允许存在的。 因此，我们必须牢记天使对亚历山大的马卡里乌斯主教的告诫——就在他刚开始谈论“炼狱”时，天使便说道：“在此，当将尘世之事视为对天界事物的最微弱的描绘。”</w:t>
      </w:r>
      <w:r>
        <w:rPr>
          <w:rStyle w:val="FootnoteReference"/>
        </w:rPr>
        <w:footnoteReference w:id="1678"/>
      </w:r>
      <w:r w:rsidRPr="006A21F9">
        <w:rPr>
          <w:lang w:val="ru-RU"/>
        </w:rPr>
        <w:t xml:space="preserve"> 我们不应以粗俗、感官的方式来理解“苦难”，而应尽可能以灵性的方式来理解，且不应拘泥于细节——尽管不同作家以及教会自身不同传说中的具体描述各不相同，但关于“苦难”的基本思想却是统一的。</w:t>
      </w:r>
      <w:r>
        <w:rPr>
          <w:rStyle w:val="FootnoteReference"/>
        </w:rPr>
        <w:footnoteReference w:id="1679"/>
      </w:r>
    </w:p>
    <w:p w14:paraId="0E2C9B4D" w14:textId="77777777" w:rsidR="00BE1885" w:rsidRPr="006A21F9" w:rsidRDefault="00BE1885" w:rsidP="00BE1885">
      <w:pPr>
        <w:rPr>
          <w:lang w:val="ru-RU"/>
        </w:rPr>
      </w:pPr>
    </w:p>
    <w:p w14:paraId="604E91C4" w14:textId="77777777" w:rsidR="00BE1885" w:rsidRPr="006A21F9" w:rsidRDefault="00BE1885" w:rsidP="00BE1885">
      <w:pPr>
        <w:pStyle w:val="Heading4"/>
        <w:rPr>
          <w:lang w:val="ru-RU"/>
        </w:rPr>
      </w:pPr>
      <w:bookmarkStart w:id="1097" w:name="_Toc133142621"/>
      <w:bookmarkStart w:id="1098" w:name="_Toc133143027"/>
      <w:bookmarkStart w:id="1099" w:name="_Toc133166384"/>
      <w:bookmarkStart w:id="1100" w:name="_Toc182221594"/>
      <w:bookmarkStart w:id="1101" w:name="_Toc238453161"/>
      <w:bookmarkStart w:id="1102" w:name="_Toc238453961"/>
      <w:bookmarkStart w:id="1103" w:name="_Toc238454341"/>
      <w:bookmarkStart w:id="1104" w:name="_Toc238466423"/>
      <w:bookmarkStart w:id="1105" w:name="_Toc238576621"/>
      <w:r w:rsidRPr="006A21F9">
        <w:rPr>
          <w:bCs/>
          <w:lang w:val="ru-RU"/>
        </w:rPr>
        <w:lastRenderedPageBreak/>
        <w:t>2.</w:t>
      </w:r>
      <w:r w:rsidRPr="006A21F9">
        <w:rPr>
          <w:lang w:val="ru-RU"/>
        </w:rPr>
        <w:t xml:space="preserve"> 关于私判后的赏罚</w:t>
      </w:r>
      <w:bookmarkEnd w:id="1097"/>
      <w:bookmarkEnd w:id="1098"/>
      <w:bookmarkEnd w:id="1099"/>
      <w:bookmarkEnd w:id="1100"/>
      <w:bookmarkEnd w:id="1101"/>
      <w:bookmarkEnd w:id="1102"/>
      <w:bookmarkEnd w:id="1103"/>
      <w:bookmarkEnd w:id="1104"/>
      <w:bookmarkEnd w:id="1105"/>
    </w:p>
    <w:p w14:paraId="413B0044" w14:textId="77777777" w:rsidR="00BE1885" w:rsidRPr="006A21F9" w:rsidRDefault="00BE1885" w:rsidP="00BE1885">
      <w:pPr>
        <w:rPr>
          <w:lang w:val="ru-RU"/>
        </w:rPr>
      </w:pPr>
      <w:r w:rsidRPr="006A21F9">
        <w:rPr>
          <w:lang w:val="ru-RU"/>
        </w:rPr>
        <w:tab/>
      </w:r>
    </w:p>
    <w:p w14:paraId="0F861868" w14:textId="77777777" w:rsidR="00BE1885" w:rsidRPr="006A21F9" w:rsidRDefault="00BE1885" w:rsidP="00BE1885">
      <w:pPr>
        <w:pStyle w:val="Heading5"/>
        <w:rPr>
          <w:lang w:val="ru-RU"/>
        </w:rPr>
      </w:pPr>
      <w:bookmarkStart w:id="1106" w:name="_Toc133143028"/>
      <w:bookmarkStart w:id="1107" w:name="_Toc133166385"/>
      <w:bookmarkStart w:id="1108" w:name="_Toc182221595"/>
      <w:bookmarkStart w:id="1109" w:name="_Toc238453162"/>
      <w:bookmarkStart w:id="1110" w:name="_Toc238453962"/>
      <w:bookmarkStart w:id="1111" w:name="_Toc238576622"/>
      <w:r w:rsidRPr="006A21F9">
        <w:rPr>
          <w:bCs/>
          <w:lang w:val="ru-RU"/>
        </w:rPr>
        <w:t>§251.</w:t>
      </w:r>
      <w:r w:rsidRPr="006A21F9">
        <w:rPr>
          <w:lang w:val="ru-RU"/>
        </w:rPr>
        <w:t xml:space="preserve"> 东正教会的教义及其构成</w:t>
      </w:r>
      <w:bookmarkEnd w:id="1106"/>
      <w:bookmarkEnd w:id="1107"/>
      <w:bookmarkEnd w:id="1108"/>
      <w:bookmarkEnd w:id="1109"/>
      <w:bookmarkEnd w:id="1110"/>
      <w:bookmarkEnd w:id="1111"/>
    </w:p>
    <w:p w14:paraId="2663103F" w14:textId="77777777" w:rsidR="00BE1885" w:rsidRPr="006A21F9" w:rsidRDefault="00BE1885" w:rsidP="00BE1885">
      <w:pPr>
        <w:ind w:firstLine="708"/>
        <w:rPr>
          <w:lang w:val="ru-RU"/>
        </w:rPr>
      </w:pPr>
      <w:r w:rsidRPr="006A21F9">
        <w:rPr>
          <w:lang w:val="ru-RU"/>
        </w:rPr>
        <w:t>关于因个人审判而对人进行的报应，东正教会教导说：“虽然在最后审判之前，无论是义人还是罪人，都不会因自己的行为而获得完全的报应；但尽管如此，并非所有灵魂都处于相同的状态，也不会被送往同一个地方” （《正教信条》第一卷，对第61个问题的回答）。“我们相信，死者的灵魂会根据自己的行为而享受福乐或遭受痛苦。脱离肉体后，他们立即进入喜乐或悲伤与痛苦之中：不过，他们既不会感受到完全的福乐，也不会感受到完全的痛苦。 因为，在普世复活之时，当灵魂与曾以美德或罪恶生活过的躯体重新结合时，每个人才会获得完全的福乐或完全的痛苦”（《东方牧首关于正统信仰的书信》第18条）。 因此，东正教会将个别审判后的报酬分为两类：一类是给义人的，另一类是给罪人的，尽管这两者都被视为尚不完美、尚未最终确定的。</w:t>
      </w:r>
    </w:p>
    <w:p w14:paraId="4172F8C9" w14:textId="77777777" w:rsidR="00BE1885" w:rsidRPr="006A21F9" w:rsidRDefault="00BE1885" w:rsidP="00BE1885">
      <w:pPr>
        <w:rPr>
          <w:lang w:val="ru-RU"/>
        </w:rPr>
      </w:pPr>
    </w:p>
    <w:p w14:paraId="72BEFDD3" w14:textId="77777777" w:rsidR="00BE1885" w:rsidRPr="006A21F9" w:rsidRDefault="00BE1885" w:rsidP="00BE1885">
      <w:pPr>
        <w:pStyle w:val="Heading5"/>
        <w:rPr>
          <w:lang w:val="ru-RU"/>
        </w:rPr>
      </w:pPr>
      <w:bookmarkStart w:id="1112" w:name="_Toc133143029"/>
      <w:bookmarkStart w:id="1113" w:name="_Toc133166386"/>
      <w:bookmarkStart w:id="1114" w:name="_Toc182221596"/>
      <w:bookmarkStart w:id="1115" w:name="_Toc238453163"/>
      <w:bookmarkStart w:id="1116" w:name="_Toc238453963"/>
      <w:bookmarkStart w:id="1117" w:name="_Toc238576623"/>
      <w:r w:rsidRPr="006A21F9">
        <w:rPr>
          <w:bCs/>
          <w:lang w:val="ru-RU"/>
        </w:rPr>
        <w:t xml:space="preserve">§252. </w:t>
      </w:r>
      <w:r w:rsidRPr="006A21F9">
        <w:rPr>
          <w:lang w:val="ru-RU"/>
        </w:rPr>
        <w:t>对义人的报偿：</w:t>
      </w:r>
      <w:r w:rsidRPr="006A21F9">
        <w:rPr>
          <w:bCs/>
          <w:lang w:val="ru-RU"/>
        </w:rPr>
        <w:t>a)</w:t>
      </w:r>
      <w:r w:rsidRPr="006A21F9">
        <w:rPr>
          <w:lang w:val="ru-RU"/>
        </w:rPr>
        <w:t xml:space="preserve"> 他们在天上——在得胜的教会中——获得荣耀</w:t>
      </w:r>
      <w:bookmarkEnd w:id="1112"/>
      <w:bookmarkEnd w:id="1113"/>
      <w:bookmarkEnd w:id="1114"/>
      <w:bookmarkEnd w:id="1115"/>
      <w:bookmarkEnd w:id="1116"/>
      <w:bookmarkEnd w:id="1117"/>
    </w:p>
    <w:p w14:paraId="241C7A72" w14:textId="77777777" w:rsidR="00BE1885" w:rsidRPr="006A21F9" w:rsidRDefault="00BE1885" w:rsidP="00BE1885">
      <w:pPr>
        <w:ind w:firstLine="708"/>
        <w:rPr>
          <w:lang w:val="ru-RU"/>
        </w:rPr>
      </w:pPr>
      <w:r w:rsidRPr="006A21F9">
        <w:rPr>
          <w:lang w:val="ru-RU"/>
        </w:rPr>
        <w:t>根据天国审判者的旨意，对义人的赏报也有两种形式：</w:t>
      </w:r>
      <w:r w:rsidRPr="006A21F9">
        <w:rPr>
          <w:b/>
          <w:bCs/>
          <w:lang w:val="ru-RU"/>
        </w:rPr>
        <w:t>即——a)</w:t>
      </w:r>
      <w:r w:rsidRPr="006A21F9">
        <w:rPr>
          <w:lang w:val="ru-RU"/>
        </w:rPr>
        <w:t xml:space="preserve"> 他们在天上（在得胜的教会中）的荣耀——尽管尚不完美；以及</w:t>
      </w:r>
      <w:r w:rsidRPr="006A21F9">
        <w:rPr>
          <w:b/>
          <w:bCs/>
          <w:lang w:val="ru-RU"/>
        </w:rPr>
        <w:t>——b)</w:t>
      </w:r>
      <w:r w:rsidRPr="006A21F9">
        <w:rPr>
          <w:lang w:val="ru-RU"/>
        </w:rPr>
        <w:t xml:space="preserve"> 他们在地上（在争战的教会中）的荣耀。</w:t>
      </w:r>
    </w:p>
    <w:p w14:paraId="73922560" w14:textId="77777777" w:rsidR="00BE1885" w:rsidRPr="006A21F9" w:rsidRDefault="00BE1885" w:rsidP="00BE1885">
      <w:pPr>
        <w:rPr>
          <w:lang w:val="ru-RU"/>
        </w:rPr>
      </w:pPr>
      <w:r w:rsidRPr="006A21F9">
        <w:rPr>
          <w:lang w:val="ru-RU"/>
        </w:rPr>
        <w:tab/>
      </w:r>
      <w:r w:rsidRPr="001E4083">
        <w:rPr>
          <w:b/>
          <w:bCs/>
        </w:rPr>
        <w:t>一</w:t>
      </w:r>
      <w:r w:rsidRPr="006A21F9">
        <w:rPr>
          <w:lang w:val="ru-RU"/>
        </w:rPr>
        <w:t>、义人在天上（虽尚不完全）的荣耀，是在对他们的个别审判结束后、末日普世审判之前（《义人论》第一卷，对第67个问题的回答）立即实现的，这一点毫无疑问：</w:t>
      </w:r>
    </w:p>
    <w:p w14:paraId="48B0DC65" w14:textId="77777777" w:rsidR="00BE1885" w:rsidRPr="006A21F9" w:rsidRDefault="00BE1885" w:rsidP="00BE1885">
      <w:pPr>
        <w:ind w:firstLine="708"/>
        <w:rPr>
          <w:lang w:val="ru-RU"/>
        </w:rPr>
      </w:pPr>
      <w:r w:rsidRPr="006A21F9">
        <w:rPr>
          <w:b/>
          <w:bCs/>
          <w:lang w:val="ru-RU"/>
        </w:rPr>
        <w:t>1)</w:t>
      </w:r>
      <w:r w:rsidRPr="006A21F9">
        <w:rPr>
          <w:lang w:val="ru-RU"/>
        </w:rPr>
        <w:t xml:space="preserve"> 来自圣经，它向我们展示了：</w:t>
      </w:r>
    </w:p>
    <w:p w14:paraId="4403E6BB"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主关于这一真理的明确应许。基督——救主，在他降临之前，就连旧约时代的义人，其灵魂也身处阴间；他借着十字架为世人开辟了进入天国的道路。他在升天归于父之前，为安慰使徒们说：</w:t>
      </w:r>
      <w:r w:rsidRPr="006A21F9">
        <w:rPr>
          <w:i/>
          <w:iCs/>
          <w:lang w:val="ru-RU"/>
        </w:rPr>
        <w:t>“在我父的家里有许多住处。” “若不是这样，我就告诉你们：我去为你们预备地方。我若去为你们预备了地方，就必再来接你们到我那里去，叫你们也在哪里与我同在</w:t>
      </w:r>
      <w:r w:rsidRPr="006A21F9">
        <w:rPr>
          <w:lang w:val="ru-RU"/>
        </w:rPr>
        <w:t>”（约14:2-3）。与此同时，祂向父祷告说：</w:t>
      </w:r>
      <w:r w:rsidRPr="006A21F9">
        <w:rPr>
          <w:i/>
          <w:iCs/>
          <w:lang w:val="ru-RU"/>
        </w:rPr>
        <w:t>“父啊！ 你所赐给我的人，我愿他们也在我那里，与我同在，使他们看见你所赐给我的荣耀</w:t>
      </w:r>
      <w:r w:rsidRPr="006A21F9">
        <w:rPr>
          <w:lang w:val="ru-RU"/>
        </w:rPr>
        <w:t>（约17:24）。当祂被挂在十字架上时，对那个悔改的强盗说</w:t>
      </w:r>
      <w:r w:rsidRPr="006A21F9">
        <w:rPr>
          <w:i/>
          <w:iCs/>
          <w:lang w:val="ru-RU"/>
        </w:rPr>
        <w:t>：“我实在告诉你，今日你要与我同在乐园</w:t>
      </w:r>
      <w:r w:rsidRPr="006A21F9">
        <w:rPr>
          <w:lang w:val="ru-RU"/>
        </w:rPr>
        <w:t>里”（路23:43）。</w:t>
      </w:r>
    </w:p>
    <w:p w14:paraId="64B77E2E"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圣使徒们对这一应许必将实现的坚定信心。使徒保罗曾这样谈论自己：</w:t>
      </w:r>
      <w:r w:rsidRPr="006A21F9">
        <w:rPr>
          <w:i/>
          <w:iCs/>
          <w:lang w:val="ru-RU"/>
        </w:rPr>
        <w:t>“我两难：我渴望离世与基督同在，因为那是极好的；但留在世上对你们更有益处</w:t>
      </w:r>
      <w:r w:rsidRPr="006A21F9">
        <w:rPr>
          <w:lang w:val="ru-RU"/>
        </w:rPr>
        <w:t>”（腓 1:23-24）。 在另一处经文中也</w:t>
      </w:r>
      <w:r w:rsidRPr="006A21F9">
        <w:rPr>
          <w:i/>
          <w:iCs/>
          <w:lang w:val="ru-RU"/>
        </w:rPr>
        <w:t>提到：“我们知道，我们这地上的帐篷若拆毁了，必得神所造、非人手所造、在天上永存的房屋……所以，我们坦然无惧，更愿离开这身体，与主同住</w:t>
      </w:r>
      <w:r w:rsidRPr="006A21F9">
        <w:rPr>
          <w:lang w:val="ru-RU"/>
        </w:rPr>
        <w:t>”（林后5:1-8）。 也就是说，使徒表明：一旦这地上的身体殿宇被拆毁，义人便会在天上得着那非人手所造的殿宇；一旦他们与身体分离并离开肉体，他们便能归入主内，与基督同在。</w:t>
      </w:r>
    </w:p>
    <w:p w14:paraId="6E709A47"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最后，这一应许的实际实现。圣先知、神学家约翰在天上看见了上帝宝座周围有</w:t>
      </w:r>
      <w:r w:rsidRPr="006A21F9">
        <w:rPr>
          <w:i/>
          <w:iCs/>
          <w:lang w:val="ru-RU"/>
        </w:rPr>
        <w:t>二十四个宝座； 坐在宝座上的二十四位长老，身穿白衣，头上戴着金冠</w:t>
      </w:r>
      <w:r w:rsidRPr="006A21F9">
        <w:rPr>
          <w:lang w:val="ru-RU"/>
        </w:rPr>
        <w:t>（启示录4:4）；他</w:t>
      </w:r>
      <w:r w:rsidRPr="006A21F9">
        <w:rPr>
          <w:i/>
          <w:iCs/>
          <w:lang w:val="ru-RU"/>
        </w:rPr>
        <w:t>看见祭坛下有那些因神的道和他们所作的见证而被杀之人的灵魂</w:t>
      </w:r>
      <w:r w:rsidRPr="006A21F9">
        <w:rPr>
          <w:lang w:val="ru-RU"/>
        </w:rPr>
        <w:t>（启示录6:9）； 我还看见</w:t>
      </w:r>
      <w:r w:rsidRPr="006A21F9">
        <w:rPr>
          <w:i/>
          <w:iCs/>
          <w:lang w:val="ru-RU"/>
        </w:rPr>
        <w:t>一大群人，多得无人能数，来自各族、各支派、各邦国、各语言，他们站在宝座和羔羊面前，高声呼喊：“救恩归于坐在宝座上的我们的神，也归于羔羊</w:t>
      </w:r>
      <w:r w:rsidRPr="006A21F9">
        <w:rPr>
          <w:lang w:val="ru-RU"/>
        </w:rPr>
        <w:t>！”（启示录 7:9-10）。</w:t>
      </w:r>
    </w:p>
    <w:p w14:paraId="70DB8163" w14:textId="77777777" w:rsidR="00BE1885" w:rsidRPr="006A21F9" w:rsidRDefault="00BE1885" w:rsidP="00BE1885">
      <w:pPr>
        <w:ind w:firstLine="708"/>
        <w:rPr>
          <w:lang w:val="ru-RU"/>
        </w:rPr>
      </w:pPr>
      <w:r w:rsidRPr="006A21F9">
        <w:rPr>
          <w:b/>
          <w:bCs/>
          <w:lang w:val="ru-RU"/>
        </w:rPr>
        <w:t>2)</w:t>
      </w:r>
      <w:r w:rsidRPr="006A21F9">
        <w:rPr>
          <w:lang w:val="ru-RU"/>
        </w:rPr>
        <w:t xml:space="preserve"> 来自圣传和教会的恒久信仰。关于这一点的见证如下：</w:t>
      </w:r>
    </w:p>
    <w:p w14:paraId="2FFFACE0" w14:textId="77777777" w:rsidR="00BE1885" w:rsidRPr="006A21F9" w:rsidRDefault="00BE1885" w:rsidP="00BE1885">
      <w:pPr>
        <w:rPr>
          <w:lang w:val="ru-RU"/>
        </w:rPr>
      </w:pPr>
      <w:r w:rsidRPr="006A21F9">
        <w:rPr>
          <w:lang w:val="ru-RU"/>
        </w:rPr>
        <w:lastRenderedPageBreak/>
        <w:tab/>
        <w:t>在最初的三个世纪：</w:t>
      </w:r>
      <w:r w:rsidRPr="001E4083">
        <w:t>a</w:t>
      </w:r>
      <w:r w:rsidRPr="006A21F9">
        <w:rPr>
          <w:lang w:val="ru-RU"/>
        </w:rPr>
        <w:t>) 见于罗马的圣克莱门特：“使徒彼得因不法之人的嫉妒，不仅经历了一次、两次，而是多次的苦难，就这样，作为殉道者，他进入了应得的荣耀之地； 保罗遭受了当权者的迫害，因此离开了这个世界， ，进入了圣洁之地……迄今为止的所有世代都已逝去，但那些在神的恩典中以爱臻于完善的人，如今身处敬虔之人的所在： 他们将在基督国度降临之时显现；”</w:t>
      </w:r>
      <w:r>
        <w:rPr>
          <w:rStyle w:val="FootnoteReference"/>
        </w:rPr>
        <w:footnoteReference w:id="1680"/>
      </w:r>
      <w:r w:rsidRPr="006A21F9">
        <w:rPr>
          <w:lang w:val="ru-RU"/>
        </w:rPr>
        <w:t xml:space="preserve"> </w:t>
      </w:r>
      <w:r w:rsidRPr="006A21F9">
        <w:rPr>
          <w:b/>
          <w:bCs/>
          <w:lang w:val="ru-RU"/>
        </w:rPr>
        <w:t xml:space="preserve">b) </w:t>
      </w:r>
      <w:r w:rsidRPr="006A21F9">
        <w:rPr>
          <w:lang w:val="ru-RU"/>
        </w:rPr>
        <w:t>在致士每拿教会的书信中关于圣波利卡普殉道的记载： “他以忍耐战胜了那不法之首，从而获得了不朽的冠冕，如今正与使徒们及所有义人一同欢欣，赞美上帝与圣父，并祝福我们的主——我们灵魂与肉身的领袖，普世大公教会的牧者；”</w:t>
      </w:r>
      <w:r>
        <w:rPr>
          <w:rStyle w:val="FootnoteReference"/>
        </w:rPr>
        <w:footnoteReference w:id="1681"/>
      </w:r>
      <w:r w:rsidRPr="006A21F9">
        <w:rPr>
          <w:lang w:val="ru-RU"/>
        </w:rPr>
        <w:t xml:space="preserve"> </w:t>
      </w:r>
      <w:r w:rsidRPr="006A21F9">
        <w:rPr>
          <w:b/>
          <w:bCs/>
          <w:lang w:val="ru-RU"/>
        </w:rPr>
        <w:t xml:space="preserve">c) </w:t>
      </w:r>
      <w:r w:rsidRPr="006A21F9">
        <w:rPr>
          <w:lang w:val="ru-RU"/>
        </w:rPr>
        <w:t>在里昂和维也纳教会致弗里吉亚和亚细亚教会的关于殉道者的书信中：“他们战胜了一切，归向了上帝；始终热爱和平，始终倡导和平，最终在和平中归回了天父；”</w:t>
      </w:r>
      <w:r>
        <w:rPr>
          <w:rStyle w:val="FootnoteReference"/>
        </w:rPr>
        <w:footnoteReference w:id="1682"/>
      </w:r>
      <w:r w:rsidRPr="006A21F9">
        <w:rPr>
          <w:lang w:val="ru-RU"/>
        </w:rPr>
        <w:t xml:space="preserve"> </w:t>
      </w:r>
      <w:r w:rsidRPr="006A21F9">
        <w:rPr>
          <w:b/>
          <w:bCs/>
          <w:lang w:val="ru-RU"/>
        </w:rPr>
        <w:t>d)</w:t>
      </w:r>
      <w:r w:rsidRPr="006A21F9">
        <w:rPr>
          <w:lang w:val="ru-RU"/>
        </w:rPr>
        <w:t xml:space="preserve"> 圣基普里安的著作中： “使徒说（《启示录》20章）：‘他们都活着，并与基督一同作王，不仅包括那些殉道者，也包括那些在信仰和敬畏上帝方面坚守不移、没有向兽的像下拜的人；’”</w:t>
      </w:r>
      <w:r>
        <w:rPr>
          <w:rStyle w:val="FootnoteReference"/>
        </w:rPr>
        <w:footnoteReference w:id="1683"/>
      </w:r>
      <w:r w:rsidRPr="006A21F9">
        <w:rPr>
          <w:lang w:val="ru-RU"/>
        </w:rPr>
        <w:t xml:space="preserve"> </w:t>
      </w:r>
      <w:r w:rsidRPr="006A21F9">
        <w:rPr>
          <w:b/>
          <w:bCs/>
          <w:lang w:val="ru-RU"/>
        </w:rPr>
        <w:t>d)</w:t>
      </w:r>
      <w:r w:rsidRPr="006A21F9">
        <w:rPr>
          <w:lang w:val="ru-RU"/>
        </w:rPr>
        <w:t xml:space="preserve"> 圣希波吕托的著作中： “你们（先知们）在天上已为你们预备了生命与不朽的冠冕；”</w:t>
      </w:r>
      <w:r>
        <w:rPr>
          <w:rStyle w:val="FootnoteReference"/>
        </w:rPr>
        <w:footnoteReference w:id="1684"/>
      </w:r>
      <w:r w:rsidRPr="006A21F9">
        <w:rPr>
          <w:lang w:val="ru-RU"/>
        </w:rPr>
        <w:t xml:space="preserve"> </w:t>
      </w:r>
      <w:r w:rsidRPr="006A21F9">
        <w:rPr>
          <w:b/>
          <w:bCs/>
          <w:lang w:val="ru-RU"/>
        </w:rPr>
        <w:t>e)</w:t>
      </w:r>
      <w:r w:rsidRPr="006A21F9">
        <w:rPr>
          <w:lang w:val="ru-RU"/>
        </w:rPr>
        <w:t xml:space="preserve"> 圣亚历山大的狄奥尼修斯： “这些我们的神圣殉道者，如今坐在基督右边，是祂国度的同享者，是祂审判的参与者，与祂一同宣判——正是这些殉道者接纳了某些堕落的弟兄，他们曾因在偶像祭坛前屈膝而负有罪责——因为他们看到了这些弟兄的悔改与回转；”</w:t>
      </w:r>
      <w:r>
        <w:rPr>
          <w:rStyle w:val="FootnoteReference"/>
        </w:rPr>
        <w:footnoteReference w:id="1685"/>
      </w:r>
      <w:r w:rsidRPr="006A21F9">
        <w:rPr>
          <w:lang w:val="ru-RU"/>
        </w:rPr>
        <w:t xml:space="preserve"> </w:t>
      </w:r>
      <w:r w:rsidRPr="006A21F9">
        <w:rPr>
          <w:b/>
          <w:bCs/>
          <w:lang w:val="ru-RU"/>
        </w:rPr>
        <w:t>g)</w:t>
      </w:r>
      <w:r w:rsidRPr="006A21F9">
        <w:rPr>
          <w:lang w:val="ru-RU"/>
        </w:rPr>
        <w:t xml:space="preserve"> 同样见于《使徒法令》</w:t>
      </w:r>
      <w:r>
        <w:rPr>
          <w:rStyle w:val="FootnoteReference"/>
        </w:rPr>
        <w:footnoteReference w:id="1686"/>
      </w:r>
      <w:r w:rsidRPr="006A21F9">
        <w:rPr>
          <w:lang w:val="ru-RU"/>
        </w:rPr>
        <w:t xml:space="preserve"> ，以及圣伊格纳提乌斯·神承者、狄奥尼修斯·亚略巴古、阿提纳戈拉斯、亚历山大的克利门特等人的著作中。</w:t>
      </w:r>
      <w:r>
        <w:rPr>
          <w:rStyle w:val="FootnoteReference"/>
        </w:rPr>
        <w:footnoteReference w:id="1687"/>
      </w:r>
    </w:p>
    <w:p w14:paraId="7E97D53A" w14:textId="77777777" w:rsidR="00BE1885" w:rsidRPr="006A21F9" w:rsidRDefault="00BE1885" w:rsidP="00BE1885">
      <w:pPr>
        <w:rPr>
          <w:lang w:val="ru-RU"/>
        </w:rPr>
      </w:pPr>
      <w:r w:rsidRPr="006A21F9">
        <w:rPr>
          <w:lang w:val="ru-RU"/>
        </w:rPr>
        <w:tab/>
        <w:t>在四世纪——</w:t>
      </w:r>
      <w:r w:rsidRPr="006A21F9">
        <w:rPr>
          <w:b/>
          <w:bCs/>
          <w:lang w:val="ru-RU"/>
        </w:rPr>
        <w:t>a)</w:t>
      </w:r>
      <w:r w:rsidRPr="006A21F9">
        <w:rPr>
          <w:lang w:val="ru-RU"/>
        </w:rPr>
        <w:t xml:space="preserve"> 圣格里高利·神学家在为大巴西勒所作的悼词中写道：“如今他在天上，我想，他在那里为我们献祭，并为子民祈祷——因为他虽然离开了我们，却并未完全离去……”，随后又写道： “求你从高天垂顾我，神圣而圣洁的元首，并以你的祷告安慰那为使我得教导而赐给我的‘肉体上的刺’（林后12:7），或教导我忍耐地承受它，并将我的一生引导至最有益之处”</w:t>
      </w:r>
      <w:r>
        <w:rPr>
          <w:rStyle w:val="FootnoteReference"/>
        </w:rPr>
        <w:footnoteReference w:id="1688"/>
      </w:r>
      <w:r w:rsidRPr="006A21F9">
        <w:rPr>
          <w:lang w:val="ru-RU"/>
        </w:rPr>
        <w:t xml:space="preserve"> </w:t>
      </w:r>
      <w:r w:rsidRPr="006A21F9">
        <w:rPr>
          <w:b/>
          <w:bCs/>
          <w:lang w:val="ru-RU"/>
        </w:rPr>
        <w:t xml:space="preserve">b) </w:t>
      </w:r>
      <w:r w:rsidRPr="006A21F9">
        <w:rPr>
          <w:lang w:val="ru-RU"/>
        </w:rPr>
        <w:t>圣埃弗拉姆·西里尔在《论在基督里安息者》一文中写道：“他们将目光投向永恒的福分，向其奋力追求，因此便获得了这些福分；他们急切前行，因此进入了天国，进入了天上的婚筵； 他们奔流前行，因此抵达；他们斋戒，因此欢欣；他们不沉溺于懈怠，因此喜乐；他们明智，因为他们轻视了今生，离开了我们，走上了他们那美好而蒙神喜悦的道路，离去后，迁居到了圣洁而永恒的国度；”</w:t>
      </w:r>
      <w:r>
        <w:rPr>
          <w:rStyle w:val="FootnoteReference"/>
        </w:rPr>
        <w:footnoteReference w:id="1689"/>
      </w:r>
      <w:r w:rsidRPr="006A21F9">
        <w:rPr>
          <w:lang w:val="ru-RU"/>
        </w:rPr>
        <w:t xml:space="preserve"> </w:t>
      </w:r>
      <w:r w:rsidRPr="006A21F9">
        <w:rPr>
          <w:b/>
          <w:bCs/>
          <w:lang w:val="ru-RU"/>
        </w:rPr>
        <w:t>c)</w:t>
      </w:r>
      <w:r w:rsidRPr="006A21F9">
        <w:rPr>
          <w:lang w:val="ru-RU"/>
        </w:rPr>
        <w:t xml:space="preserve"> 圣埃皮法尼乌斯： “圣徒受尊崇，他们的安息在荣耀之中，离开此地是完美的，他们的命运在于福乐，在圣所中生活，与</w:t>
      </w:r>
      <w:r w:rsidRPr="006A21F9">
        <w:rPr>
          <w:lang w:val="ru-RU"/>
        </w:rPr>
        <w:lastRenderedPageBreak/>
        <w:t>天使同庆，在我们的主耶稣基督里得赏报；”</w:t>
      </w:r>
      <w:r>
        <w:rPr>
          <w:rStyle w:val="FootnoteReference"/>
        </w:rPr>
        <w:footnoteReference w:id="1690"/>
      </w:r>
      <w:r w:rsidRPr="006A21F9">
        <w:rPr>
          <w:lang w:val="ru-RU"/>
        </w:rPr>
        <w:t xml:space="preserve"> </w:t>
      </w:r>
      <w:r w:rsidRPr="006A21F9">
        <w:rPr>
          <w:b/>
          <w:bCs/>
          <w:lang w:val="ru-RU"/>
        </w:rPr>
        <w:t>d)</w:t>
      </w:r>
      <w:r w:rsidRPr="006A21F9">
        <w:rPr>
          <w:lang w:val="ru-RU"/>
        </w:rPr>
        <w:t xml:space="preserve"> 同样见于圣约翰·金口，</w:t>
      </w:r>
      <w:r>
        <w:rPr>
          <w:rStyle w:val="FootnoteReference"/>
        </w:rPr>
        <w:footnoteReference w:id="1691"/>
      </w:r>
      <w:r w:rsidRPr="006A21F9">
        <w:rPr>
          <w:lang w:val="ru-RU"/>
        </w:rPr>
        <w:t xml:space="preserve"> 圣安布罗斯，</w:t>
      </w:r>
      <w:r>
        <w:rPr>
          <w:rStyle w:val="FootnoteReference"/>
        </w:rPr>
        <w:footnoteReference w:id="1692"/>
      </w:r>
      <w:r w:rsidRPr="006A21F9">
        <w:rPr>
          <w:lang w:val="ru-RU"/>
        </w:rPr>
        <w:t xml:space="preserve"> 圣格里高利·尼撒，</w:t>
      </w:r>
      <w:r>
        <w:rPr>
          <w:rStyle w:val="FootnoteReference"/>
        </w:rPr>
        <w:footnoteReference w:id="1693"/>
      </w:r>
      <w:r w:rsidRPr="006A21F9">
        <w:rPr>
          <w:lang w:val="ru-RU"/>
        </w:rPr>
        <w:t xml:space="preserve"> 圣巴西尔大帝等人的著作中。</w:t>
      </w:r>
      <w:r>
        <w:rPr>
          <w:rStyle w:val="FootnoteReference"/>
        </w:rPr>
        <w:footnoteReference w:id="1694"/>
      </w:r>
    </w:p>
    <w:p w14:paraId="21DC19B1" w14:textId="77777777" w:rsidR="00BE1885" w:rsidRPr="006A21F9" w:rsidRDefault="00BE1885" w:rsidP="00BE1885">
      <w:pPr>
        <w:rPr>
          <w:lang w:val="ru-RU"/>
        </w:rPr>
      </w:pPr>
      <w:r w:rsidRPr="006A21F9">
        <w:rPr>
          <w:lang w:val="ru-RU"/>
        </w:rPr>
        <w:tab/>
        <w:t>更不用说五世纪及以后时代的作家了，例如：狄奥多里特，</w:t>
      </w:r>
      <w:r>
        <w:rPr>
          <w:rStyle w:val="FootnoteReference"/>
        </w:rPr>
        <w:footnoteReference w:id="1695"/>
      </w:r>
      <w:r w:rsidRPr="006A21F9">
        <w:rPr>
          <w:lang w:val="ru-RU"/>
        </w:rPr>
        <w:t xml:space="preserve"> 圣杰罗姆，</w:t>
      </w:r>
      <w:r>
        <w:rPr>
          <w:rStyle w:val="FootnoteReference"/>
        </w:rPr>
        <w:footnoteReference w:id="1696"/>
      </w:r>
      <w:r w:rsidRPr="006A21F9">
        <w:rPr>
          <w:lang w:val="ru-RU"/>
        </w:rPr>
        <w:t xml:space="preserve"> 圣阿纳斯塔西娅·西奈，</w:t>
      </w:r>
      <w:r>
        <w:rPr>
          <w:rStyle w:val="FootnoteReference"/>
        </w:rPr>
        <w:footnoteReference w:id="1697"/>
      </w:r>
      <w:r w:rsidRPr="006A21F9">
        <w:rPr>
          <w:lang w:val="ru-RU"/>
        </w:rPr>
        <w:t xml:space="preserve"> 圣格里高利大帝，</w:t>
      </w:r>
      <w:r>
        <w:rPr>
          <w:rStyle w:val="FootnoteReference"/>
        </w:rPr>
        <w:footnoteReference w:id="1698"/>
      </w:r>
      <w:r w:rsidRPr="006A21F9">
        <w:rPr>
          <w:lang w:val="ru-RU"/>
        </w:rPr>
        <w:t xml:space="preserve"> 圣约翰·达马斯库斯，</w:t>
      </w:r>
      <w:r>
        <w:rPr>
          <w:rStyle w:val="FootnoteReference"/>
        </w:rPr>
        <w:footnoteReference w:id="1699"/>
      </w:r>
      <w:r w:rsidRPr="006A21F9">
        <w:rPr>
          <w:lang w:val="ru-RU"/>
        </w:rPr>
        <w:t xml:space="preserve"> 以及其他人。</w:t>
      </w:r>
    </w:p>
    <w:p w14:paraId="13D26C73" w14:textId="77777777" w:rsidR="00BE1885" w:rsidRPr="006A21F9" w:rsidRDefault="00BE1885" w:rsidP="00BE1885">
      <w:pPr>
        <w:rPr>
          <w:lang w:val="ru-RU"/>
        </w:rPr>
      </w:pPr>
      <w:r w:rsidRPr="006A21F9">
        <w:rPr>
          <w:lang w:val="ru-RU"/>
        </w:rPr>
        <w:tab/>
      </w:r>
      <w:r w:rsidRPr="001E4083">
        <w:rPr>
          <w:b/>
          <w:bCs/>
        </w:rPr>
        <w:t>一</w:t>
      </w:r>
      <w:r w:rsidRPr="006A21F9">
        <w:rPr>
          <w:lang w:val="ru-RU"/>
        </w:rPr>
        <w:t>、义人灵魂在私判后所去之处，以及他们在那里所处的状态和福乐，在不同著作中的描绘各不相同。</w:t>
      </w:r>
    </w:p>
    <w:p w14:paraId="0A9746C1" w14:textId="77777777" w:rsidR="00BE1885" w:rsidRPr="006A21F9" w:rsidRDefault="00BE1885" w:rsidP="00BE1885">
      <w:pPr>
        <w:rPr>
          <w:lang w:val="ru-RU"/>
        </w:rPr>
      </w:pPr>
      <w:r w:rsidRPr="006A21F9">
        <w:rPr>
          <w:lang w:val="ru-RU"/>
        </w:rPr>
        <w:tab/>
        <w:t xml:space="preserve">无论在圣经中，还是在圣父们的著作中，这个地方都被称为乐园（路加福音 23:43）、亚伯拉罕的怀抱（路加福音 16:22）、天国 </w:t>
      </w:r>
      <w:r w:rsidRPr="008D7784">
        <w:rPr>
          <w:lang w:val="ru-RU"/>
        </w:rPr>
        <w:t>[</w:t>
      </w:r>
      <w:r w:rsidRPr="006A21F9">
        <w:rPr>
          <w:lang w:val="ru-RU"/>
        </w:rPr>
        <w:t>(马太福音 5:3,10</w:t>
      </w:r>
      <w:r w:rsidRPr="008D7784">
        <w:rPr>
          <w:lang w:val="ru-RU"/>
        </w:rPr>
        <w:t>)</w:t>
      </w:r>
      <w:r w:rsidRPr="006A21F9">
        <w:rPr>
          <w:lang w:val="ru-RU"/>
        </w:rPr>
        <w:t>；</w:t>
      </w:r>
      <w:r w:rsidRPr="006A21F9">
        <w:rPr>
          <w:rFonts w:cs="Cambria Math"/>
          <w:lang w:val="ru-RU"/>
        </w:rPr>
        <w:t xml:space="preserve"> </w:t>
      </w:r>
      <w:r w:rsidRPr="006A21F9">
        <w:rPr>
          <w:lang w:val="ru-RU"/>
        </w:rPr>
        <w:t>（马太福音 8:11）</w:t>
      </w:r>
      <w:r w:rsidRPr="008D7784">
        <w:rPr>
          <w:lang w:val="ru-RU"/>
        </w:rPr>
        <w:t>]</w:t>
      </w:r>
      <w:r w:rsidRPr="006A21F9">
        <w:rPr>
          <w:lang w:val="ru-RU"/>
        </w:rPr>
        <w:t>、神的国 [(路加福音 13:28-29)； （马太福音 6:33）；（哥林多前书 15:50）]、天父的家（约翰福音 14:2）、永生神的城、天上的耶路撒冷 [(希伯来书 12:22)；（加拉太书 4:26)]。</w:t>
      </w:r>
      <w:r>
        <w:rPr>
          <w:rStyle w:val="FootnoteReference"/>
        </w:rPr>
        <w:footnoteReference w:id="1700"/>
      </w:r>
      <w:r w:rsidRPr="006A21F9">
        <w:rPr>
          <w:lang w:val="ru-RU"/>
        </w:rPr>
        <w:t xml:space="preserve"> 而且，根据东正教会的教义，无论人们用上述名称中的哪一个来称呼这个地方，都不会犯错：只要知道已故义人的灵魂仍处于神的恩典之中，并且正如教会圣歌所唱的那样，他们在天上（《正统信条》第1卷，对第67个问题的回答）。</w:t>
      </w:r>
      <w:r>
        <w:rPr>
          <w:rStyle w:val="FootnoteReference"/>
        </w:rPr>
        <w:footnoteReference w:id="1701"/>
      </w:r>
      <w:r w:rsidRPr="006A21F9">
        <w:rPr>
          <w:lang w:val="ru-RU"/>
        </w:rPr>
        <w:t xml:space="preserve"> 关于乐园、亚伯拉罕的怀抱与天堂本身之间存在某种区别的观点，仅是少数人的看法。</w:t>
      </w:r>
      <w:r>
        <w:rPr>
          <w:rStyle w:val="FootnoteReference"/>
        </w:rPr>
        <w:footnoteReference w:id="1702"/>
      </w:r>
    </w:p>
    <w:p w14:paraId="68821ED2" w14:textId="77777777" w:rsidR="00BE1885" w:rsidRPr="006A21F9" w:rsidRDefault="00BE1885" w:rsidP="00BE1885">
      <w:pPr>
        <w:rPr>
          <w:lang w:val="ru-RU"/>
        </w:rPr>
      </w:pPr>
      <w:r w:rsidRPr="006A21F9">
        <w:rPr>
          <w:lang w:val="ru-RU"/>
        </w:rPr>
        <w:tab/>
        <w:t>义人在天上的灵魂状态及其福乐，虽然无疑因各人的功绩不同而有所差异（林前3:8），但被认为：</w:t>
      </w:r>
      <w:r w:rsidRPr="006A21F9">
        <w:rPr>
          <w:b/>
          <w:bCs/>
          <w:lang w:val="ru-RU"/>
        </w:rPr>
        <w:t>a)</w:t>
      </w:r>
      <w:r w:rsidRPr="006A21F9">
        <w:rPr>
          <w:lang w:val="ru-RU"/>
        </w:rPr>
        <w:t xml:space="preserve"> 处于从劳苦中得享的安息或平静之中 [(来4:3-11)； （启14:13）]；</w:t>
      </w:r>
      <w:r w:rsidRPr="006A21F9">
        <w:rPr>
          <w:b/>
          <w:bCs/>
          <w:lang w:val="ru-RU"/>
        </w:rPr>
        <w:t>b)</w:t>
      </w:r>
      <w:r w:rsidRPr="006A21F9">
        <w:rPr>
          <w:lang w:val="ru-RU"/>
        </w:rPr>
        <w:t xml:space="preserve"> 不受任何悲伤与苦难的侵扰（启7:16-17）；</w:t>
      </w:r>
      <w:r w:rsidRPr="006A21F9">
        <w:rPr>
          <w:b/>
          <w:bCs/>
          <w:lang w:val="ru-RU"/>
        </w:rPr>
        <w:t>c)</w:t>
      </w:r>
      <w:r w:rsidRPr="006A21F9">
        <w:rPr>
          <w:lang w:val="ru-RU"/>
        </w:rPr>
        <w:t xml:space="preserve"> 安息，进而与亚伯拉罕、以撒、雅各及其他圣徒亲密相交 [(太8:11)； （路加福音 8:28-29）]；</w:t>
      </w:r>
      <w:r w:rsidRPr="006A21F9">
        <w:rPr>
          <w:b/>
          <w:bCs/>
          <w:lang w:val="ru-RU"/>
        </w:rPr>
        <w:t>d)</w:t>
      </w:r>
      <w:r w:rsidRPr="006A21F9">
        <w:rPr>
          <w:lang w:val="ru-RU"/>
        </w:rPr>
        <w:t xml:space="preserve"> 与众天使相互交通 [(希伯来书 12:22-23)；（路加福音 16:22）]；</w:t>
      </w:r>
      <w:r w:rsidRPr="006A21F9">
        <w:rPr>
          <w:b/>
          <w:bCs/>
          <w:lang w:val="ru-RU"/>
        </w:rPr>
        <w:t>e)</w:t>
      </w:r>
      <w:r w:rsidRPr="006A21F9">
        <w:rPr>
          <w:lang w:val="ru-RU"/>
        </w:rPr>
        <w:t xml:space="preserve"> </w:t>
      </w:r>
      <w:r w:rsidRPr="006A21F9">
        <w:rPr>
          <w:lang w:val="ru-RU"/>
        </w:rPr>
        <w:lastRenderedPageBreak/>
        <w:t>站在羔羊的宝座前，赞美祂并侍奉祂（启示录 7:9-17）；</w:t>
      </w:r>
      <w:r w:rsidRPr="006A21F9">
        <w:rPr>
          <w:b/>
          <w:bCs/>
          <w:lang w:val="ru-RU"/>
        </w:rPr>
        <w:t>f)</w:t>
      </w:r>
      <w:r w:rsidRPr="006A21F9">
        <w:rPr>
          <w:lang w:val="ru-RU"/>
        </w:rPr>
        <w:t xml:space="preserve"> 与基督同住 [(约 14:3)；(腓 1:26)] 并同祂同掌王权 (提后 2:11-12)；</w:t>
      </w:r>
      <w:r w:rsidRPr="006A21F9">
        <w:rPr>
          <w:b/>
          <w:bCs/>
          <w:lang w:val="ru-RU"/>
        </w:rPr>
        <w:t>g)</w:t>
      </w:r>
      <w:r w:rsidRPr="006A21F9">
        <w:rPr>
          <w:lang w:val="ru-RU"/>
        </w:rPr>
        <w:t xml:space="preserve"> 亲眼看见神 [(林前 13:12)；(林后 5:8)； （希伯来书 12:14）]。“你是神圣而圣洁的元首，”圣格里高利·神学家在他为兄弟凯撒里亚所作的墓前悼词中呼求道，“进入天堂，在亚伯拉罕的怀抱中安息（无论那怀抱象征着什么）， 瞻仰天使的面容，以及蒙福之人的荣耀与华美；或者更确切地说，与他们合而为一，欢欣鼓舞……愿你侍立于伟大的君王面前，充满天上的光辉；我们若能从这光辉中领受微小的光芒——正如镜中倒影与占卜所能显露的那般——终将升上 抵达美善之源，以纯净的心智凝视纯净的真理，并因今生对美善的热忱追求，获得那份奖赏，从而在来世尽享对美善的至臻拥有与凝视！” 不久之后，在为妹妹戈尔戈尼亚所作的另一篇墓前悼词中，他对她说：“我确信，你现在的境况远比可见之物更美好、更卓越——庆典的欢呼声、天使的欢欣、天上的行列、荣耀的异象， 而最重要的是至高圣三最纯净、最完美的光辉——它不再像被感官束缚并分散的意识那样被遮蔽，而是能被全然完整的理智所观照和领受，并以神性的圆满之光照耀我们的灵魂。 “你正享受着所有那些恩典，这些恩典的流淌早在 和在世时就已抵达你，只因你对它们的真诚追求。”</w:t>
      </w:r>
      <w:r>
        <w:rPr>
          <w:rStyle w:val="FootnoteReference"/>
        </w:rPr>
        <w:footnoteReference w:id="1703"/>
      </w:r>
      <w:r w:rsidRPr="006A21F9">
        <w:rPr>
          <w:lang w:val="ru-RU"/>
        </w:rPr>
        <w:t xml:space="preserve"> 圣基普里安、圣约翰·金口、</w:t>
      </w:r>
      <w:r>
        <w:rPr>
          <w:rStyle w:val="FootnoteReference"/>
        </w:rPr>
        <w:footnoteReference w:id="1704"/>
      </w:r>
      <w:r w:rsidRPr="006A21F9">
        <w:rPr>
          <w:lang w:val="ru-RU"/>
        </w:rPr>
        <w:t xml:space="preserve"> 圣安布罗斯、</w:t>
      </w:r>
      <w:r>
        <w:rPr>
          <w:rStyle w:val="FootnoteReference"/>
        </w:rPr>
        <w:footnoteReference w:id="1705"/>
      </w:r>
      <w:r w:rsidRPr="006A21F9">
        <w:rPr>
          <w:lang w:val="ru-RU"/>
        </w:rPr>
        <w:t xml:space="preserve"> 圣伊拉里乌斯等人，也同样描绘了义人经过个别审判后的灵魂状态。</w:t>
      </w:r>
      <w:r>
        <w:rPr>
          <w:rStyle w:val="FootnoteReference"/>
        </w:rPr>
        <w:footnoteReference w:id="1706"/>
      </w:r>
    </w:p>
    <w:p w14:paraId="62E54DC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不过，尽管义人的灵魂在个别审判后升入天堂并获得福乐；但这种福乐尚不完整、不完美，而仅仅是永恒福乐的预尝。因为：</w:t>
      </w:r>
    </w:p>
    <w:p w14:paraId="11E5D64A" w14:textId="77777777" w:rsidR="00BE1885" w:rsidRPr="006A21F9" w:rsidRDefault="00BE1885" w:rsidP="00BE1885">
      <w:pPr>
        <w:ind w:firstLine="708"/>
        <w:rPr>
          <w:lang w:val="ru-RU"/>
        </w:rPr>
      </w:pPr>
      <w:r w:rsidRPr="006A21F9">
        <w:rPr>
          <w:b/>
          <w:bCs/>
          <w:lang w:val="ru-RU"/>
        </w:rPr>
        <w:t>1)</w:t>
      </w:r>
      <w:r w:rsidRPr="006A21F9">
        <w:rPr>
          <w:lang w:val="ru-RU"/>
        </w:rPr>
        <w:t xml:space="preserve"> 根据上帝圣言的教导，每个人将在最后审判之后才获得完全的福乐，届时他将以复活之躯再次作为完整的人显现：</w:t>
      </w:r>
      <w:r w:rsidRPr="006A21F9">
        <w:rPr>
          <w:i/>
          <w:iCs/>
          <w:lang w:val="ru-RU"/>
        </w:rPr>
        <w:t>我们所有人必须在基督的审判台前显露出来，以便每个人都按他在肉身中所行的善或恶，各得其应得的报应</w:t>
      </w:r>
      <w:r w:rsidRPr="006A21F9">
        <w:rPr>
          <w:lang w:val="ru-RU"/>
        </w:rPr>
        <w:t xml:space="preserve">（林后5:10）； </w:t>
      </w:r>
      <w:r w:rsidRPr="006A21F9">
        <w:rPr>
          <w:i/>
          <w:iCs/>
          <w:lang w:val="ru-RU"/>
        </w:rPr>
        <w:t>而如今</w:t>
      </w:r>
      <w:r w:rsidRPr="006A21F9">
        <w:rPr>
          <w:lang w:val="ru-RU"/>
        </w:rPr>
        <w:t>，他写道：</w:t>
      </w:r>
      <w:r w:rsidRPr="006A21F9">
        <w:rPr>
          <w:i/>
          <w:iCs/>
          <w:lang w:val="ru-RU"/>
        </w:rPr>
        <w:t>“那公义的冠冕已为我预备好了，主——那公义的审判者——将在那日将它赐给我；不仅赐给我，也赐给所有爱慕祂显现</w:t>
      </w:r>
      <w:r w:rsidRPr="006A21F9">
        <w:rPr>
          <w:lang w:val="ru-RU"/>
        </w:rPr>
        <w:t>的人”（提摩太后书4:8）；参见（提摩太后书1:9-10）；（歌罗西书3:4）等。 并且：</w:t>
      </w:r>
    </w:p>
    <w:p w14:paraId="395A8630" w14:textId="77777777" w:rsidR="00BE1885" w:rsidRPr="006A21F9" w:rsidRDefault="00BE1885" w:rsidP="00BE1885">
      <w:pPr>
        <w:ind w:firstLine="708"/>
        <w:rPr>
          <w:lang w:val="ru-RU"/>
        </w:rPr>
      </w:pPr>
      <w:r w:rsidRPr="006A21F9">
        <w:rPr>
          <w:b/>
          <w:bCs/>
          <w:lang w:val="ru-RU"/>
        </w:rPr>
        <w:t>2)</w:t>
      </w:r>
      <w:r w:rsidRPr="006A21F9">
        <w:rPr>
          <w:lang w:val="ru-RU"/>
        </w:rPr>
        <w:t xml:space="preserve"> 那些曾毫无疑问地描绘义人在天上蒙福状态的教会圣父们，在义人离世后，却突然一致见证说，这种福乐尚不完全。例如：·</w:t>
      </w:r>
    </w:p>
    <w:p w14:paraId="60DAA6D8" w14:textId="77777777" w:rsidR="00BE1885" w:rsidRPr="006A21F9" w:rsidRDefault="00BE1885" w:rsidP="00BE1885">
      <w:pPr>
        <w:rPr>
          <w:lang w:val="ru-RU"/>
        </w:rPr>
      </w:pPr>
      <w:r w:rsidRPr="006A21F9">
        <w:rPr>
          <w:lang w:val="ru-RU"/>
        </w:rPr>
        <w:tab/>
        <w:t xml:space="preserve">圣格里高利·神学家在向已故的兄弟凯撒利亚表达了如此强烈的祝福——愿他进入天堂，安息在亚伯拉罕的怀抱中，与天使和蒙福的灵魂一同欢欣，并站在天国君王面前——之后，他继续说道： “智者的言语令我深信不疑：每一个善良且敬爱上帝的灵魂，一旦获得与其结合的躯体的许可，从这里解脱出来，便能感知并凝视等待着它的福分；而在净化之后，或者说在摆脱 </w:t>
      </w:r>
      <w:r w:rsidRPr="006A21F9">
        <w:rPr>
          <w:lang w:val="ru-RU"/>
        </w:rPr>
        <w:lastRenderedPageBreak/>
        <w:t>（或者说，我不知该如何表述）那些曾蒙蔽它的东西之后，便沉浸于某种奇妙的喜乐之中，欢欣鼓舞地走向自己的主；因为它已逃离了此生这难以忍受的牢笼，并卸下了压在身上的枷锁——正是这些枷锁曾将心灵之翼拖向尘世。 那时，她在异象中仿佛已经收获了为她预备的福乐。 随后，她那与自己同源的肉体——她曾借此在尘世修习智慧——从孕育并养育它的土地上，以一种我们无法理解的方式，被那位既将二者结合又将其分离、唯独上帝所知的方式接纳，于是她便与这肉体一同继承了未来荣耀的基业。”</w:t>
      </w:r>
      <w:r>
        <w:rPr>
          <w:rStyle w:val="FootnoteReference"/>
        </w:rPr>
        <w:footnoteReference w:id="1707"/>
      </w:r>
    </w:p>
    <w:p w14:paraId="3F3F8A48" w14:textId="77777777" w:rsidR="00BE1885" w:rsidRPr="006A21F9" w:rsidRDefault="00BE1885" w:rsidP="00BE1885">
      <w:pPr>
        <w:rPr>
          <w:lang w:val="ru-RU"/>
        </w:rPr>
      </w:pPr>
      <w:r w:rsidRPr="006A21F9">
        <w:rPr>
          <w:lang w:val="ru-RU"/>
        </w:rPr>
        <w:tab/>
        <w:t>圣约翰·金口，他描绘了圣菲洛贡的灵魂在天使和圣徒之中、在上帝面前所处的天堂福乐状态，</w:t>
      </w:r>
      <w:r>
        <w:rPr>
          <w:rStyle w:val="FootnoteReference"/>
        </w:rPr>
        <w:footnoteReference w:id="1708"/>
      </w:r>
      <w:r w:rsidRPr="006A21F9">
        <w:rPr>
          <w:lang w:val="ru-RU"/>
        </w:rPr>
        <w:t xml:space="preserve"> 在其他地方也明确教导道： “上帝为爱祂的人预备了眼未曾见、耳未曾闻、人心也未曾想到的恩典；但他们尚未得着，仍在经过些许苦难后安息，满怀期待。自他们得胜以来，岁月已流逝多年，却仍未得着所预备的：你们还在奋战，岂能为此忧伤？ 想想看——你们算什么？亚伯拉罕和使徒保罗还要等待多久，才等到你们达到完全，使他们那时才能得着赏赐？亚伯，这位比所有人都先得胜却至今未得冠冕的人，又将如何呢？ 诺亚又将如何？……你可看见神的旨意了？使徒并非说“免得他们在没有我们的情况下得冠冕”，而是说“免得他们在没有我们的情况下达到完全”（来11:40）。</w:t>
      </w:r>
      <w:r>
        <w:rPr>
          <w:rStyle w:val="FootnoteReference"/>
        </w:rPr>
        <w:footnoteReference w:id="1709"/>
      </w:r>
      <w:r w:rsidRPr="006A21F9">
        <w:rPr>
          <w:lang w:val="ru-RU"/>
        </w:rPr>
        <w:t xml:space="preserve"> 此外：“虽然灵魂在死后依然存在，且愿它永远不朽——这确实是它的本质——但若没有肉体，它既无法获得那些难以言喻的福分，也不会受到惩罚。 因为一切都将在基督的审判中显明，使各人</w:t>
      </w:r>
      <w:r w:rsidRPr="006A21F9">
        <w:rPr>
          <w:i/>
          <w:iCs/>
          <w:lang w:val="ru-RU"/>
        </w:rPr>
        <w:t>按着他在肉体中行事为人的善恶，各得其应得的报应</w:t>
      </w:r>
      <w:r w:rsidRPr="006A21F9">
        <w:rPr>
          <w:lang w:val="ru-RU"/>
        </w:rPr>
        <w:t>（林后5:10）。”</w:t>
      </w:r>
      <w:r>
        <w:rPr>
          <w:rStyle w:val="FootnoteReference"/>
        </w:rPr>
        <w:footnoteReference w:id="1710"/>
      </w:r>
    </w:p>
    <w:p w14:paraId="03A8AF85" w14:textId="77777777" w:rsidR="00BE1885" w:rsidRPr="006A21F9" w:rsidRDefault="00BE1885" w:rsidP="00BE1885">
      <w:pPr>
        <w:rPr>
          <w:lang w:val="ru-RU"/>
        </w:rPr>
      </w:pPr>
      <w:r w:rsidRPr="006A21F9">
        <w:rPr>
          <w:lang w:val="ru-RU"/>
        </w:rPr>
        <w:tab/>
        <w:t>一些古代神学家认为，在身体复活之前，义人的灵魂并非在天堂，而是在亚伯拉罕的怀抱中，即被视为天堂门槛的乐园里：</w:t>
      </w:r>
      <w:r>
        <w:rPr>
          <w:rStyle w:val="FootnoteReference"/>
        </w:rPr>
        <w:footnoteReference w:id="1711"/>
      </w:r>
      <w:r w:rsidRPr="006A21F9">
        <w:rPr>
          <w:lang w:val="ru-RU"/>
        </w:rPr>
        <w:t xml:space="preserve"> 这一观点虽属个别，但同时也体现了教会的普遍信仰，即在末日审判之前，义人尚无法获得完全的福乐。</w:t>
      </w:r>
    </w:p>
    <w:p w14:paraId="7962401A" w14:textId="77777777" w:rsidR="00BE1885" w:rsidRPr="006A21F9" w:rsidRDefault="00BE1885" w:rsidP="00BE1885">
      <w:pPr>
        <w:rPr>
          <w:lang w:val="ru-RU"/>
        </w:rPr>
      </w:pPr>
      <w:r w:rsidRPr="006A21F9">
        <w:rPr>
          <w:lang w:val="ru-RU"/>
        </w:rPr>
        <w:tab/>
        <w:t>关于这一信仰，还可以列举以下见证人：大圣亚法纳西、圣安布罗斯、福者奥古斯丁、</w:t>
      </w:r>
      <w:r>
        <w:rPr>
          <w:rStyle w:val="FootnoteReference"/>
        </w:rPr>
        <w:footnoteReference w:id="1712"/>
      </w:r>
      <w:r w:rsidRPr="006A21F9">
        <w:rPr>
          <w:lang w:val="ru-RU"/>
        </w:rPr>
        <w:t xml:space="preserve"> 圣格里高利·双语者。</w:t>
      </w:r>
      <w:r>
        <w:rPr>
          <w:rStyle w:val="FootnoteReference"/>
        </w:rPr>
        <w:footnoteReference w:id="1713"/>
      </w:r>
    </w:p>
    <w:p w14:paraId="49422DE4" w14:textId="77777777" w:rsidR="00BE1885" w:rsidRPr="006A21F9" w:rsidRDefault="00BE1885" w:rsidP="00BE1885">
      <w:pPr>
        <w:rPr>
          <w:lang w:val="ru-RU"/>
        </w:rPr>
      </w:pPr>
      <w:r w:rsidRPr="006A21F9">
        <w:rPr>
          <w:lang w:val="ru-RU"/>
        </w:rPr>
        <w:tab/>
      </w:r>
    </w:p>
    <w:p w14:paraId="0AE754D4" w14:textId="77777777" w:rsidR="00BE1885" w:rsidRPr="006A21F9" w:rsidRDefault="00BE1885" w:rsidP="00BE1885">
      <w:pPr>
        <w:pStyle w:val="Heading5"/>
        <w:rPr>
          <w:lang w:val="ru-RU"/>
        </w:rPr>
      </w:pPr>
      <w:bookmarkStart w:id="1118" w:name="_Toc133143030"/>
      <w:bookmarkStart w:id="1119" w:name="_Toc133166387"/>
      <w:bookmarkStart w:id="1120" w:name="_Toc182221597"/>
      <w:bookmarkStart w:id="1121" w:name="_Toc238453164"/>
      <w:bookmarkStart w:id="1122" w:name="_Toc238453964"/>
      <w:bookmarkStart w:id="1123" w:name="_Toc238576624"/>
      <w:r w:rsidRPr="006A21F9">
        <w:rPr>
          <w:bCs/>
          <w:lang w:val="ru-RU"/>
        </w:rPr>
        <w:lastRenderedPageBreak/>
        <w:t xml:space="preserve">§253. b) </w:t>
      </w:r>
      <w:r w:rsidRPr="006A21F9">
        <w:rPr>
          <w:lang w:val="ru-RU"/>
        </w:rPr>
        <w:t>在地上——即在战斗中的教会中——对义人的尊崇：</w:t>
      </w:r>
      <w:r w:rsidRPr="006A21F9">
        <w:rPr>
          <w:bCs/>
          <w:lang w:val="ru-RU"/>
        </w:rPr>
        <w:t xml:space="preserve">aa) </w:t>
      </w:r>
      <w:r w:rsidRPr="006A21F9">
        <w:rPr>
          <w:lang w:val="ru-RU"/>
        </w:rPr>
        <w:t>对圣人的敬礼</w:t>
      </w:r>
      <w:bookmarkEnd w:id="1118"/>
      <w:bookmarkEnd w:id="1119"/>
      <w:bookmarkEnd w:id="1120"/>
      <w:bookmarkEnd w:id="1121"/>
      <w:bookmarkEnd w:id="1122"/>
      <w:bookmarkEnd w:id="1123"/>
    </w:p>
    <w:p w14:paraId="67AE0A0D" w14:textId="77777777" w:rsidR="00BE1885" w:rsidRPr="006A21F9" w:rsidRDefault="00BE1885" w:rsidP="00BE1885">
      <w:pPr>
        <w:ind w:firstLine="708"/>
        <w:rPr>
          <w:lang w:val="ru-RU"/>
        </w:rPr>
      </w:pPr>
      <w:r w:rsidRPr="006A21F9">
        <w:rPr>
          <w:lang w:val="ru-RU"/>
        </w:rPr>
        <w:t>与此同时，正如公义的审判者与赏赐者使义人在离世后在天上——即得胜的教会中——蒙受荣耀（尽管这荣耀尚属预备性的），祂也使他们在地上——即争战的教会中——蒙受荣耀。</w:t>
      </w:r>
      <w:r>
        <w:rPr>
          <w:rStyle w:val="FootnoteReference"/>
        </w:rPr>
        <w:footnoteReference w:id="1714"/>
      </w:r>
      <w:r w:rsidRPr="006A21F9">
        <w:rPr>
          <w:lang w:val="ru-RU"/>
        </w:rPr>
        <w:t xml:space="preserve"> 这种荣耀的体现在于：地上的教会：</w:t>
      </w:r>
      <w:r w:rsidRPr="006A21F9">
        <w:rPr>
          <w:b/>
          <w:bCs/>
          <w:lang w:val="ru-RU"/>
        </w:rPr>
        <w:t xml:space="preserve">a) </w:t>
      </w:r>
      <w:r w:rsidRPr="006A21F9">
        <w:rPr>
          <w:lang w:val="ru-RU"/>
        </w:rPr>
        <w:t>将已故的义人尊为蒙神喜悦者及神的友人；</w:t>
      </w:r>
      <w:r w:rsidRPr="006A21F9">
        <w:rPr>
          <w:b/>
          <w:bCs/>
          <w:lang w:val="ru-RU"/>
        </w:rPr>
        <w:t xml:space="preserve">b) </w:t>
      </w:r>
      <w:r w:rsidRPr="006A21F9">
        <w:rPr>
          <w:lang w:val="ru-RU"/>
        </w:rPr>
        <w:t>在祷告中呼求他们，视其为在神面前的代祷者；</w:t>
      </w:r>
      <w:r w:rsidRPr="006A21F9">
        <w:rPr>
          <w:b/>
          <w:bCs/>
          <w:lang w:val="ru-RU"/>
        </w:rPr>
        <w:t>c)</w:t>
      </w:r>
      <w:r w:rsidRPr="006A21F9">
        <w:rPr>
          <w:lang w:val="ru-RU"/>
        </w:rPr>
        <w:t xml:space="preserve"> 敬奉他们的圣髑及其他遗骸；</w:t>
      </w:r>
      <w:r w:rsidRPr="006A21F9">
        <w:rPr>
          <w:b/>
          <w:bCs/>
          <w:lang w:val="ru-RU"/>
        </w:rPr>
        <w:t>d)</w:t>
      </w:r>
      <w:r w:rsidRPr="006A21F9">
        <w:rPr>
          <w:lang w:val="ru-RU"/>
        </w:rPr>
        <w:t xml:space="preserve"> 敬奉他们的圣像或圣画。</w:t>
      </w:r>
    </w:p>
    <w:p w14:paraId="1AC4880A" w14:textId="77777777" w:rsidR="00BE1885" w:rsidRPr="006A21F9" w:rsidRDefault="00BE1885" w:rsidP="00BE1885">
      <w:pPr>
        <w:rPr>
          <w:lang w:val="ru-RU"/>
        </w:rPr>
      </w:pPr>
      <w:r w:rsidRPr="006A21F9">
        <w:rPr>
          <w:lang w:val="ru-RU"/>
        </w:rPr>
        <w:tab/>
        <w:t>基督的教会敬奉义人，并非将其视为某种神明，而是视为忠实的仆人、蒙神喜悦者及神的友人； 赞美他们在上帝恩典的帮助下为荣耀上帝所行的壮举与善行，因此，献给圣徒的一切尊荣，都归于上帝的威严——他们生前在世上正是以自己的生活取悦了上帝； 通过每年纪念圣徒、举国欢庆、以他们的名义建造教堂等方式来尊崇圣徒</w:t>
      </w:r>
      <w:r w:rsidRPr="006A21F9">
        <w:rPr>
          <w:b/>
          <w:bCs/>
          <w:lang w:val="ru-RU"/>
        </w:rPr>
        <w:t>。</w:t>
      </w:r>
      <w:r w:rsidRPr="006A21F9">
        <w:rPr>
          <w:lang w:val="ru-RU"/>
        </w:rPr>
        <w:t>（《正统信条》</w:t>
      </w:r>
      <w:r w:rsidRPr="001E4083">
        <w:t>第三</w:t>
      </w:r>
      <w:r w:rsidRPr="006A21F9">
        <w:rPr>
          <w:lang w:val="ru-RU"/>
        </w:rPr>
        <w:t>卷，对第52个问题的回答；《东方教父关于正统信仰的书信</w:t>
      </w:r>
      <w:r w:rsidRPr="006A21F9">
        <w:rPr>
          <w:b/>
          <w:bCs/>
          <w:lang w:val="ru-RU"/>
        </w:rPr>
        <w:t>》</w:t>
      </w:r>
      <w:r w:rsidRPr="006A21F9">
        <w:rPr>
          <w:lang w:val="ru-RU"/>
        </w:rPr>
        <w:t>对</w:t>
      </w:r>
      <w:r w:rsidRPr="006A21F9">
        <w:rPr>
          <w:b/>
          <w:bCs/>
          <w:lang w:val="ru-RU"/>
        </w:rPr>
        <w:t>第3个</w:t>
      </w:r>
      <w:r w:rsidRPr="006A21F9">
        <w:rPr>
          <w:lang w:val="ru-RU"/>
        </w:rPr>
        <w:t>问题的回答</w:t>
      </w:r>
      <w:r w:rsidRPr="006A21F9">
        <w:rPr>
          <w:b/>
          <w:bCs/>
          <w:lang w:val="ru-RU"/>
        </w:rPr>
        <w:t>）</w:t>
      </w:r>
      <w:r>
        <w:rPr>
          <w:rStyle w:val="FootnoteReference"/>
        </w:rPr>
        <w:footnoteReference w:id="1715"/>
      </w:r>
      <w:r w:rsidRPr="006A21F9">
        <w:rPr>
          <w:b/>
          <w:bCs/>
          <w:lang w:val="ru-RU"/>
        </w:rPr>
        <w:t xml:space="preserve"> </w:t>
      </w:r>
      <w:r w:rsidRPr="006A21F9">
        <w:rPr>
          <w:lang w:val="ru-RU"/>
        </w:rPr>
        <w:t>基于此意义，对圣徒的敬礼：</w:t>
      </w:r>
    </w:p>
    <w:p w14:paraId="00A3B005"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完全符合圣经。圣经坚决禁止向除唯一真神以外的任何人献上神圣的敬拜与侍奉（</w:t>
      </w:r>
      <w:r w:rsidRPr="001E4083">
        <w:t>λατρεία</w:t>
      </w:r>
      <w:r w:rsidRPr="006A21F9">
        <w:rPr>
          <w:lang w:val="ru-RU"/>
        </w:rPr>
        <w:t>）[（申命记 6:13）；（以赛亚书 42:8）；（马太福音 4:10）； (提摩太前书 1:17)]；但绝不禁止以此向祂忠实的仆人、蒙祂喜悦者及朋友表达应有的——当然是较低层次的——敬意（</w:t>
      </w:r>
      <w:r w:rsidRPr="001E4083">
        <w:t>δουλεία</w:t>
      </w:r>
      <w:r w:rsidRPr="006A21F9">
        <w:rPr>
          <w:lang w:val="ru-RU"/>
        </w:rPr>
        <w:t>），且须确保一切荣耀都归于祂独一，因祂在祂的圣徒中是奇妙的（诗篇 67:36）。 相反，在旧约中，那里曾颁布律法：</w:t>
      </w:r>
      <w:r w:rsidRPr="006A21F9">
        <w:rPr>
          <w:i/>
          <w:iCs/>
          <w:lang w:val="ru-RU"/>
        </w:rPr>
        <w:t>“你要敬畏耶和华你的神，单单事奉祂”</w:t>
      </w:r>
      <w:r w:rsidRPr="006A21F9">
        <w:rPr>
          <w:lang w:val="ru-RU"/>
        </w:rPr>
        <w:t xml:space="preserve">（申命记 6:13），受神感动的诗人曾呼求： </w:t>
      </w:r>
      <w:r w:rsidRPr="006A21F9">
        <w:rPr>
          <w:i/>
          <w:iCs/>
          <w:lang w:val="ru-RU"/>
        </w:rPr>
        <w:t>“神啊，你的朋友对我极其尊贵</w:t>
      </w:r>
      <w:r w:rsidRPr="006A21F9">
        <w:rPr>
          <w:lang w:val="ru-RU"/>
        </w:rPr>
        <w:t>”（</w:t>
      </w:r>
      <w:r w:rsidRPr="008D7784">
        <w:rPr>
          <w:lang w:val="ru-RU"/>
        </w:rPr>
        <w:t>诗</w:t>
      </w:r>
      <w:r w:rsidRPr="006A21F9">
        <w:rPr>
          <w:lang w:val="ru-RU"/>
        </w:rPr>
        <w:t>篇138:17），先知的门徒们也庄严地向神的忠心仆人和朋友——以利沙——俯伏在地敬拜（列王纪下2:15）。 同样，在新约中，救主基督本人——祂曾重申律法：</w:t>
      </w:r>
      <w:r w:rsidRPr="006A21F9">
        <w:rPr>
          <w:i/>
          <w:iCs/>
          <w:lang w:val="ru-RU"/>
        </w:rPr>
        <w:t>“当敬拜主你的神，单单事奉祂</w:t>
      </w:r>
      <w:r w:rsidRPr="006A21F9">
        <w:rPr>
          <w:lang w:val="ru-RU"/>
        </w:rPr>
        <w:t>”（太4:10）——对祂忠心的门徒说：</w:t>
      </w:r>
      <w:r w:rsidRPr="006A21F9">
        <w:rPr>
          <w:i/>
          <w:iCs/>
          <w:lang w:val="ru-RU"/>
        </w:rPr>
        <w:t>“你们若遵行我 给你们的诫命，就是我的朋友了</w:t>
      </w:r>
      <w:r w:rsidRPr="006A21F9">
        <w:rPr>
          <w:lang w:val="ru-RU"/>
        </w:rPr>
        <w:t xml:space="preserve">”（约15:14），并在他们面前作见证： </w:t>
      </w:r>
      <w:r w:rsidRPr="006A21F9">
        <w:rPr>
          <w:i/>
          <w:iCs/>
          <w:lang w:val="ru-RU"/>
        </w:rPr>
        <w:t>“接待你们的，就是接待我；接待我的，就是接待那差我</w:t>
      </w:r>
      <w:r w:rsidRPr="006A21F9">
        <w:rPr>
          <w:lang w:val="ru-RU"/>
        </w:rPr>
        <w:t>来的”（玛10:40），以此表明，赐予祂忠信仆人和朋友的尊荣，实则是归于祂自己。 那位曾宣告</w:t>
      </w:r>
      <w:r w:rsidRPr="006A21F9">
        <w:rPr>
          <w:i/>
          <w:iCs/>
          <w:lang w:val="ru-RU"/>
        </w:rPr>
        <w:t>“惟独智慧的上帝当受尊荣和荣耀”</w:t>
      </w:r>
      <w:r w:rsidRPr="006A21F9">
        <w:rPr>
          <w:lang w:val="ru-RU"/>
        </w:rPr>
        <w:t>（提摩太前书 1:17）的圣使徒，在另一处又宣告：</w:t>
      </w:r>
      <w:r w:rsidRPr="006A21F9">
        <w:rPr>
          <w:i/>
          <w:iCs/>
          <w:lang w:val="ru-RU"/>
        </w:rPr>
        <w:t>“凡行善的，都必得着荣耀、尊荣和平安</w:t>
      </w:r>
      <w:r w:rsidRPr="006A21F9">
        <w:rPr>
          <w:lang w:val="ru-RU"/>
        </w:rPr>
        <w:t>”（罗马书 2:10）。</w:t>
      </w:r>
    </w:p>
    <w:p w14:paraId="22A44EC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这在神圣的传统中有着无可置疑的依据。其证据如下：</w:t>
      </w:r>
    </w:p>
    <w:p w14:paraId="146E695B" w14:textId="77777777" w:rsidR="00BE1885" w:rsidRPr="006A21F9" w:rsidRDefault="00BE1885" w:rsidP="00BE1885">
      <w:pPr>
        <w:ind w:firstLine="708"/>
        <w:rPr>
          <w:lang w:val="ru-RU"/>
        </w:rPr>
      </w:pPr>
      <w:r w:rsidRPr="006A21F9">
        <w:rPr>
          <w:b/>
          <w:bCs/>
          <w:lang w:val="ru-RU"/>
        </w:rPr>
        <w:t>1)</w:t>
      </w:r>
      <w:r w:rsidRPr="006A21F9">
        <w:rPr>
          <w:lang w:val="ru-RU"/>
        </w:rPr>
        <w:t xml:space="preserve"> 自基督教会创立之初，便习惯于为纪念神的圣徒而举行庆典。 《使徒法令集》在列举仆人应当免于劳作的日子时，这样写道：“在使徒的日子里，他们不可劳作；因</w:t>
      </w:r>
      <w:r w:rsidRPr="006A21F9">
        <w:rPr>
          <w:lang w:val="ru-RU"/>
        </w:rPr>
        <w:lastRenderedPageBreak/>
        <w:t>为他们是你们在基督里的导师，并将圣灵赐给了你们；要在首位殉道者斯蒂芬的日子，以及其他那些宁可为基督舍弃生命的神圣殉道者的日子里庆祝。”</w:t>
      </w:r>
      <w:r>
        <w:rPr>
          <w:rStyle w:val="FootnoteReference"/>
        </w:rPr>
        <w:footnoteReference w:id="1716"/>
      </w:r>
      <w:r w:rsidRPr="006A21F9">
        <w:rPr>
          <w:lang w:val="ru-RU"/>
        </w:rPr>
        <w:t xml:space="preserve"> 士每拿教会（公元2世纪）在其关于圣波利卡普殉道的事迹的书信中作证道：“我们收集了他的遗骨——这比珍贵宝石更宝贵、比黄金更纯净的珍宝——并将它们安放在应有的地方。 一旦条件允许，我们便会满怀喜乐与欢欣地聚集于此——愿主恩准我们庆祝他殉道之日，既为纪念那些已完成壮举的先辈，也为教导和坚固未来的殉道者。”</w:t>
      </w:r>
      <w:r>
        <w:rPr>
          <w:rStyle w:val="FootnoteReference"/>
        </w:rPr>
        <w:footnoteReference w:id="1717"/>
      </w:r>
      <w:r w:rsidRPr="006A21F9">
        <w:rPr>
          <w:lang w:val="ru-RU"/>
        </w:rPr>
        <w:t xml:space="preserve"> 同样，那些亲眼目睹圣伊格纳提乌斯·神载者（公元2世纪初）殉道之死的基督徒们，据他们自己的话所述， “记下了那一天和那一刻，以便在祂殉道之时聚集在一起，与这位基督的殉道者和英勇的殉道者交通——祂战胜了魔鬼，并在我们的主耶稣基督里完成了祂那爱基督的愿望之路。”</w:t>
      </w:r>
      <w:r>
        <w:rPr>
          <w:rStyle w:val="FootnoteReference"/>
        </w:rPr>
        <w:footnoteReference w:id="1718"/>
      </w:r>
      <w:r w:rsidRPr="006A21F9">
        <w:rPr>
          <w:lang w:val="ru-RU"/>
        </w:rPr>
        <w:t xml:space="preserve"> 此外，关于教会每年纪念殉道者殉道日这一惯例，圣父们</w:t>
      </w:r>
      <w:r>
        <w:rPr>
          <w:rStyle w:val="FootnoteReference"/>
        </w:rPr>
        <w:footnoteReference w:id="1719"/>
      </w:r>
      <w:r w:rsidRPr="006A21F9">
        <w:rPr>
          <w:lang w:val="ru-RU"/>
        </w:rPr>
        <w:t xml:space="preserve"> 作出了见证，并称这一习俗为古老的传统；</w:t>
      </w:r>
      <w:r>
        <w:rPr>
          <w:rStyle w:val="FootnoteReference"/>
        </w:rPr>
        <w:footnoteReference w:id="1720"/>
      </w:r>
      <w:r w:rsidRPr="006A21F9">
        <w:rPr>
          <w:lang w:val="ru-RU"/>
        </w:rPr>
        <w:t xml:space="preserve"> 整个大公会议也对此作证，</w:t>
      </w:r>
      <w:r>
        <w:rPr>
          <w:rStyle w:val="FootnoteReference"/>
        </w:rPr>
        <w:footnoteReference w:id="1721"/>
      </w:r>
      <w:r w:rsidRPr="006A21F9">
        <w:rPr>
          <w:lang w:val="ru-RU"/>
        </w:rPr>
        <w:t xml:space="preserve"> ，并谴责那些不愿参与此类庆典的人：“若有人心怀傲慢，轻蔑地谴责为纪念殉道者而举行的聚会，以及其中进行的礼拜和对他们的纪念：愿他受誓言的约束，” ——甘格拉大公会议的圣父们在其第20条规条中如是说，并在下一条规条中直接补充道： “我们写下这些，并非要阻碍那些按照圣经在神的教会中渴望过苦修生活的人，而是针对那些将苦修作为骄傲借口、自视高于简朴生活者，并违背圣经和教会规则引入新事的人…… 简而言之，我们希望教会中的一切，都应源自神圣经文和使徒传统。”</w:t>
      </w:r>
    </w:p>
    <w:p w14:paraId="6ACC9738" w14:textId="77777777" w:rsidR="00BE1885" w:rsidRPr="006A21F9" w:rsidRDefault="00BE1885" w:rsidP="00BE1885">
      <w:pPr>
        <w:ind w:firstLine="708"/>
        <w:rPr>
          <w:lang w:val="ru-RU"/>
        </w:rPr>
      </w:pPr>
      <w:r w:rsidRPr="006A21F9">
        <w:rPr>
          <w:b/>
          <w:bCs/>
          <w:lang w:val="ru-RU"/>
        </w:rPr>
        <w:t>2)</w:t>
      </w:r>
      <w:r w:rsidRPr="006A21F9">
        <w:rPr>
          <w:lang w:val="ru-RU"/>
        </w:rPr>
        <w:t xml:space="preserve"> 献上无血祭，或在纪念圣殉道者的日子举行圣体礼仪、为他们举行的神圣守夜礼以及颂词。关于第一点，特尔图良</w:t>
      </w:r>
      <w:r>
        <w:rPr>
          <w:rStyle w:val="FootnoteReference"/>
        </w:rPr>
        <w:footnoteReference w:id="1722"/>
      </w:r>
      <w:r w:rsidRPr="006A21F9">
        <w:rPr>
          <w:lang w:val="ru-RU"/>
        </w:rPr>
        <w:t xml:space="preserve"> 和基普里安</w:t>
      </w:r>
      <w:r>
        <w:rPr>
          <w:rStyle w:val="FootnoteReference"/>
        </w:rPr>
        <w:footnoteReference w:id="1723"/>
      </w:r>
      <w:r w:rsidRPr="006A21F9">
        <w:rPr>
          <w:lang w:val="ru-RU"/>
        </w:rPr>
        <w:t xml:space="preserve"> 早已明确作证，随后圣约翰·金口和福者奥古斯丁也予以证实。</w:t>
      </w:r>
      <w:r>
        <w:rPr>
          <w:rStyle w:val="FootnoteReference"/>
        </w:rPr>
        <w:footnoteReference w:id="1724"/>
      </w:r>
      <w:r w:rsidRPr="006A21F9">
        <w:rPr>
          <w:lang w:val="ru-RU"/>
        </w:rPr>
        <w:t xml:space="preserve"> 关于后者——圣格里高利·尼西亚</w:t>
      </w:r>
      <w:r>
        <w:rPr>
          <w:rStyle w:val="FootnoteReference"/>
        </w:rPr>
        <w:footnoteReference w:id="1725"/>
      </w:r>
      <w:r w:rsidRPr="006A21F9">
        <w:rPr>
          <w:lang w:val="ru-RU"/>
        </w:rPr>
        <w:t xml:space="preserve"> 、圣大巴西尔</w:t>
      </w:r>
      <w:r>
        <w:rPr>
          <w:rStyle w:val="FootnoteReference"/>
        </w:rPr>
        <w:footnoteReference w:id="1726"/>
      </w:r>
      <w:r w:rsidRPr="006A21F9">
        <w:rPr>
          <w:lang w:val="ru-RU"/>
        </w:rPr>
        <w:t xml:space="preserve"> 以及福者狄奥多里特</w:t>
      </w:r>
      <w:r>
        <w:rPr>
          <w:rStyle w:val="FootnoteReference"/>
        </w:rPr>
        <w:footnoteReference w:id="1727"/>
      </w:r>
      <w:r w:rsidRPr="006A21F9">
        <w:rPr>
          <w:lang w:val="ru-RU"/>
        </w:rPr>
        <w:t xml:space="preserve"> 。至于为殉道者及其他圣人所作的颂词， </w:t>
      </w:r>
      <w:r w:rsidRPr="006A21F9">
        <w:rPr>
          <w:lang w:val="ru-RU"/>
        </w:rPr>
        <w:lastRenderedPageBreak/>
        <w:t>至今流传下来的，源自大巴西尔、格里高利·神学家、约翰·金口、格里高利·尼西亚、以弗所的以弗拉姆等人。</w:t>
      </w:r>
      <w:r>
        <w:rPr>
          <w:rStyle w:val="FootnoteReference"/>
        </w:rPr>
        <w:footnoteReference w:id="1728"/>
      </w:r>
    </w:p>
    <w:p w14:paraId="45D228A8" w14:textId="77777777" w:rsidR="00BE1885" w:rsidRPr="006A21F9" w:rsidRDefault="00BE1885" w:rsidP="00BE1885">
      <w:pPr>
        <w:ind w:firstLine="708"/>
        <w:rPr>
          <w:lang w:val="ru-RU"/>
        </w:rPr>
      </w:pPr>
      <w:r w:rsidRPr="006A21F9">
        <w:rPr>
          <w:b/>
          <w:bCs/>
          <w:lang w:val="ru-RU"/>
        </w:rPr>
        <w:t>3)</w:t>
      </w:r>
      <w:r w:rsidRPr="006A21F9">
        <w:rPr>
          <w:lang w:val="ru-RU"/>
        </w:rPr>
        <w:t xml:space="preserve"> 自古以来，为纪念圣徒——尤其是殉道者——而在他们受难和安葬之地建造的教堂，被称为“殉道堂”（源自</w:t>
      </w:r>
      <w:r w:rsidRPr="001E4083">
        <w:t>希腊语</w:t>
      </w:r>
      <w:r w:rsidRPr="0097554A">
        <w:rPr>
          <w:lang w:val="ru-RU"/>
        </w:rPr>
        <w:t>“</w:t>
      </w:r>
      <w:r w:rsidRPr="001E4083">
        <w:t>μάρτυρ</w:t>
      </w:r>
      <w:r w:rsidRPr="006A21F9">
        <w:rPr>
          <w:lang w:val="ru-RU"/>
        </w:rPr>
        <w:t>”，意为殉道者）。 关于古伊斯特拉、达夫纳、德里皮亚、尼科米迪亚、君士坦丁堡等地此类“殉道堂”，圣金口若望、</w:t>
      </w:r>
      <w:r>
        <w:rPr>
          <w:rStyle w:val="FootnoteReference"/>
        </w:rPr>
        <w:footnoteReference w:id="1729"/>
      </w:r>
      <w:r w:rsidRPr="006A21F9">
        <w:rPr>
          <w:lang w:val="ru-RU"/>
        </w:rPr>
        <w:t xml:space="preserve"> 优西比乌、</w:t>
      </w:r>
      <w:r>
        <w:rPr>
          <w:rStyle w:val="FootnoteReference"/>
        </w:rPr>
        <w:footnoteReference w:id="1730"/>
      </w:r>
      <w:r w:rsidRPr="006A21F9">
        <w:rPr>
          <w:lang w:val="ru-RU"/>
        </w:rPr>
        <w:t xml:space="preserve"> 奥古斯丁均有提及。</w:t>
      </w:r>
      <w:r>
        <w:rPr>
          <w:rStyle w:val="FootnoteReference"/>
        </w:rPr>
        <w:footnoteReference w:id="1731"/>
      </w:r>
      <w:r w:rsidRPr="006A21F9">
        <w:rPr>
          <w:lang w:val="ru-RU"/>
        </w:rPr>
        <w:t xml:space="preserve"> 众所周知，埃德萨曾有一座以圣使徒多马命名的著名教堂，</w:t>
      </w:r>
      <w:r>
        <w:rPr>
          <w:rStyle w:val="FootnoteReference"/>
        </w:rPr>
        <w:footnoteReference w:id="1732"/>
      </w:r>
      <w:r w:rsidRPr="006A21F9">
        <w:rPr>
          <w:lang w:val="ru-RU"/>
        </w:rPr>
        <w:t xml:space="preserve"> ；还有一座更为著名的、由君士坦丁大帝在君士坦丁堡建造的、以十二位圣使徒命名的教堂，</w:t>
      </w:r>
      <w:r>
        <w:rPr>
          <w:rStyle w:val="FootnoteReference"/>
        </w:rPr>
        <w:footnoteReference w:id="1733"/>
      </w:r>
      <w:r w:rsidRPr="006A21F9">
        <w:rPr>
          <w:lang w:val="ru-RU"/>
        </w:rPr>
        <w:t xml:space="preserve"> ；以及位于君士坦丁堡附近的一座以圣使徒约翰命名的教堂。</w:t>
      </w:r>
      <w:r>
        <w:rPr>
          <w:rStyle w:val="FootnoteReference"/>
        </w:rPr>
        <w:footnoteReference w:id="1734"/>
      </w:r>
      <w:r w:rsidRPr="006A21F9">
        <w:rPr>
          <w:lang w:val="ru-RU"/>
        </w:rPr>
        <w:t xml:space="preserve"> 此外，众所周知，以弗所大公会议是在圣玛利亚教堂召开的，而哈尔基顿大公会议则是在圣尤菲米娅教堂召开的。</w:t>
      </w:r>
      <w:r>
        <w:rPr>
          <w:rStyle w:val="FootnoteReference"/>
        </w:rPr>
        <w:footnoteReference w:id="1735"/>
      </w:r>
    </w:p>
    <w:p w14:paraId="2A6E8714" w14:textId="77777777" w:rsidR="00BE1885" w:rsidRPr="006A21F9" w:rsidRDefault="00BE1885" w:rsidP="00BE1885">
      <w:pPr>
        <w:ind w:firstLine="708"/>
        <w:rPr>
          <w:lang w:val="ru-RU"/>
        </w:rPr>
      </w:pPr>
      <w:r w:rsidRPr="006A21F9">
        <w:rPr>
          <w:b/>
          <w:bCs/>
          <w:lang w:val="ru-RU"/>
        </w:rPr>
        <w:t>4)</w:t>
      </w:r>
      <w:r w:rsidRPr="006A21F9">
        <w:rPr>
          <w:lang w:val="ru-RU"/>
        </w:rPr>
        <w:t xml:space="preserve"> 古代基督徒，尤其是教会牧者的信条，揭示了敬礼圣人的依据、形式和目的。例如，他们这样说道：</w:t>
      </w:r>
    </w:p>
    <w:p w14:paraId="6D40E022" w14:textId="77777777" w:rsidR="00BE1885" w:rsidRPr="006A21F9" w:rsidRDefault="00BE1885" w:rsidP="00BE1885">
      <w:pPr>
        <w:rPr>
          <w:lang w:val="ru-RU"/>
        </w:rPr>
      </w:pPr>
      <w:r w:rsidRPr="006A21F9">
        <w:rPr>
          <w:lang w:val="ru-RU"/>
        </w:rPr>
        <w:tab/>
        <w:t>士每拿教会的基督徒在关于圣波利卡普殉道的事迹中写道：“我们绝不能背弃为拯救全世界得救之人而受苦的基督，也绝不能向任何其他人下拜（</w:t>
      </w:r>
      <w:r w:rsidRPr="001E4083">
        <w:t>προσκυνείν</w:t>
      </w:r>
      <w:r w:rsidRPr="006A21F9">
        <w:rPr>
          <w:lang w:val="ru-RU"/>
        </w:rPr>
        <w:t>）： 因为我们敬拜祂，作为神的儿子；而对殉道者，我们则以应有的敬意向他们祈祷，视他们为主的门徒和效法者——并因他们对自己的君王和导师那坚定不移的忠诚而爱他们。”</w:t>
      </w:r>
      <w:r>
        <w:rPr>
          <w:rStyle w:val="FootnoteReference"/>
        </w:rPr>
        <w:footnoteReference w:id="1736"/>
      </w:r>
    </w:p>
    <w:p w14:paraId="6CE35855" w14:textId="77777777" w:rsidR="00BE1885" w:rsidRPr="006A21F9" w:rsidRDefault="00BE1885" w:rsidP="00BE1885">
      <w:pPr>
        <w:rPr>
          <w:lang w:val="ru-RU"/>
        </w:rPr>
      </w:pPr>
      <w:r w:rsidRPr="006A21F9">
        <w:rPr>
          <w:lang w:val="ru-RU"/>
        </w:rPr>
        <w:tab/>
        <w:t>大圣巴西尔：“敬爱殉道者的人，在纪念殉道者时会感到厌倦吗？我们向那些善良的同工所致以的敬意，正是我们对共同的主怀有好感的明证。”</w:t>
      </w:r>
      <w:r>
        <w:rPr>
          <w:rStyle w:val="FootnoteReference"/>
        </w:rPr>
        <w:footnoteReference w:id="1737"/>
      </w:r>
      <w:r w:rsidRPr="006A21F9">
        <w:rPr>
          <w:lang w:val="ru-RU"/>
        </w:rPr>
        <w:t xml:space="preserve"> “当我们讲述那些因虔诚而闻名于世的圣徒生平时，首先是在祂的仆人身上荣耀主；我们通过见证所知之事来赞美义人，并借着讲述美善之事使人们欢欣。因此，约瑟夫的一生是贞洁的劝诫，而关于参孙的叙述则是勇气的激励。”</w:t>
      </w:r>
      <w:r>
        <w:rPr>
          <w:rStyle w:val="FootnoteReference"/>
        </w:rPr>
        <w:footnoteReference w:id="1738"/>
      </w:r>
    </w:p>
    <w:p w14:paraId="68C0A8F1" w14:textId="77777777" w:rsidR="00BE1885" w:rsidRPr="006A21F9" w:rsidRDefault="00BE1885" w:rsidP="00BE1885">
      <w:pPr>
        <w:rPr>
          <w:lang w:val="ru-RU"/>
        </w:rPr>
      </w:pPr>
      <w:r w:rsidRPr="006A21F9">
        <w:rPr>
          <w:lang w:val="ru-RU"/>
        </w:rPr>
        <w:lastRenderedPageBreak/>
        <w:tab/>
        <w:t>“殉道者（马曼塔）的纪念使整个国家为之振奋；整座城市都参与了庆典；聚集在先辈坟墓前的并非亲属，而是所有人涌向这虔诚之地……你看，受尊崇的是美德，而非财富。因此，教会通过纪念先辈的方式，也激励着尚在世的人们。 她说道：‘不要追求财富，也不要追求这短暂世界中的智慧（林前2:6），更不要追求那会凋零的荣耀——这一切都会随生命一同消逝；但要成为虔诚的践行者；它将把你提升至天堂，它将为你预备永生，以及世人长久传颂的荣耀。’</w:t>
      </w:r>
      <w:r>
        <w:rPr>
          <w:rStyle w:val="FootnoteReference"/>
        </w:rPr>
        <w:footnoteReference w:id="1739"/>
      </w:r>
    </w:p>
    <w:p w14:paraId="421E0D54" w14:textId="77777777" w:rsidR="00BE1885" w:rsidRPr="006A21F9" w:rsidRDefault="00BE1885" w:rsidP="00BE1885">
      <w:pPr>
        <w:rPr>
          <w:lang w:val="ru-RU"/>
        </w:rPr>
      </w:pPr>
      <w:r w:rsidRPr="006A21F9">
        <w:rPr>
          <w:lang w:val="ru-RU"/>
        </w:rPr>
        <w:tab/>
        <w:t>圣约翰·金口：“告诉我，亚历山大的坟墓在哪里？指给我看，并告诉我，他是在哪一天去世的？而基督仆人们的坟墓却光辉灿烂，位于皇城之中；他们离世的日期众所周知；因为 ，这成为整个宇宙的庆典。 就连亚历山大的亲属也不知道他的坟墓；而连异教徒都知晓基督的坟墓。被钉十字架者的仆人们的坟墓，比王宫更为辉煌，不仅在于建筑的宏伟与美丽；因为在这方面，它们也更胜一筹； ——但更重要的是，在于朝圣者们蜂拥而至的虔诚。因为即便是身着紫袍者，也会前来亲吻这些圣龛，伫立其前，祈求圣徒们在上帝面前为他代祷。就连头戴双带冠的人，也需要已故的帐幕匠和渔夫的代祷。”</w:t>
      </w:r>
      <w:r>
        <w:rPr>
          <w:rStyle w:val="FootnoteReference"/>
        </w:rPr>
        <w:footnoteReference w:id="1740"/>
      </w:r>
    </w:p>
    <w:p w14:paraId="15F218F3" w14:textId="77777777" w:rsidR="00BE1885" w:rsidRPr="006A21F9" w:rsidRDefault="00BE1885" w:rsidP="00BE1885">
      <w:pPr>
        <w:rPr>
          <w:lang w:val="ru-RU"/>
        </w:rPr>
      </w:pPr>
      <w:r w:rsidRPr="006A21F9">
        <w:rPr>
          <w:lang w:val="ru-RU"/>
        </w:rPr>
        <w:tab/>
        <w:t>萨尔维安：“我敬重他们（诸圣）所有人，无非是视其为基督的追随者；我尊崇他们，无非是视其为基督的肢体，而我之所以提及他们，仅仅是为了配得上对他们的纪念。”</w:t>
      </w:r>
      <w:r>
        <w:rPr>
          <w:rStyle w:val="FootnoteReference"/>
        </w:rPr>
        <w:footnoteReference w:id="1741"/>
      </w:r>
    </w:p>
    <w:p w14:paraId="03B3D60F" w14:textId="77777777" w:rsidR="00BE1885" w:rsidRPr="006A21F9" w:rsidRDefault="00BE1885" w:rsidP="00BE1885">
      <w:pPr>
        <w:rPr>
          <w:lang w:val="ru-RU"/>
        </w:rPr>
      </w:pPr>
      <w:r w:rsidRPr="006A21F9">
        <w:rPr>
          <w:lang w:val="ru-RU"/>
        </w:rPr>
        <w:tab/>
        <w:t>圣奥古斯丁：“基督徒以信仰的隆重仪式（</w:t>
      </w:r>
      <w:r w:rsidRPr="001E4083">
        <w:t>religiosa</w:t>
      </w:r>
      <w:r w:rsidRPr="0097554A">
        <w:rPr>
          <w:lang w:val="ru-RU"/>
        </w:rPr>
        <w:t xml:space="preserve"> </w:t>
      </w:r>
      <w:r w:rsidRPr="001E4083">
        <w:t>soleranitate</w:t>
      </w:r>
      <w:r w:rsidRPr="006A21F9">
        <w:rPr>
          <w:lang w:val="ru-RU"/>
        </w:rPr>
        <w:t>）纪念殉道者……但我们并非向任何一位殉道者献祭（</w:t>
      </w:r>
      <w:r w:rsidRPr="001E4083">
        <w:t>sacrificemus</w:t>
      </w:r>
      <w:r w:rsidRPr="006A21F9">
        <w:rPr>
          <w:lang w:val="ru-RU"/>
        </w:rPr>
        <w:t>），而是仅向殉道者的上帝献祭，尽管我们为纪念殉道者而设立祭坛…… 所献上的祭品，是献给加冕殉道者的上帝的，以纪念那些被祂加冕的人……我们以爱与共融的敬礼（</w:t>
      </w:r>
      <w:r w:rsidRPr="001E4083">
        <w:t>cultu</w:t>
      </w:r>
      <w:r w:rsidRPr="0097554A">
        <w:rPr>
          <w:lang w:val="ru-RU"/>
        </w:rPr>
        <w:t xml:space="preserve"> </w:t>
      </w:r>
      <w:r w:rsidRPr="001E4083">
        <w:t>dilectionis</w:t>
      </w:r>
      <w:r w:rsidRPr="0097554A">
        <w:rPr>
          <w:lang w:val="ru-RU"/>
        </w:rPr>
        <w:t xml:space="preserve"> </w:t>
      </w:r>
      <w:r w:rsidRPr="001E4083">
        <w:t>et</w:t>
      </w:r>
      <w:r w:rsidRPr="0097554A">
        <w:rPr>
          <w:lang w:val="ru-RU"/>
        </w:rPr>
        <w:t xml:space="preserve"> </w:t>
      </w:r>
      <w:r w:rsidRPr="001E4083">
        <w:t>societatis</w:t>
      </w:r>
      <w:r w:rsidRPr="006A21F9">
        <w:rPr>
          <w:lang w:val="ru-RU"/>
        </w:rPr>
        <w:t>）来尊崇殉道者，正如在今生中尊崇上帝的圣徒一样…… 但那种在希腊语中称为“敬拜”（</w:t>
      </w:r>
      <w:r w:rsidRPr="001E4083">
        <w:t>λατρεία</w:t>
      </w:r>
      <w:r w:rsidRPr="006A21F9">
        <w:rPr>
          <w:lang w:val="ru-RU"/>
        </w:rPr>
        <w:t>）的敬礼（</w:t>
      </w:r>
      <w:r w:rsidRPr="001E4083">
        <w:t>cultu</w:t>
      </w:r>
      <w:r w:rsidRPr="006A21F9">
        <w:rPr>
          <w:lang w:val="ru-RU"/>
        </w:rPr>
        <w:t>）——即严格意义上仅属于神明应得的侍奉（</w:t>
      </w:r>
      <w:r w:rsidRPr="001E4083">
        <w:t>servitus</w:t>
      </w:r>
      <w:r w:rsidRPr="006A21F9">
        <w:rPr>
          <w:lang w:val="ru-RU"/>
        </w:rPr>
        <w:t>）——我们既不以此敬礼任何人，也不教导他人以此敬礼任何人，唯独敬礼独一真神。”</w:t>
      </w:r>
      <w:r>
        <w:rPr>
          <w:rStyle w:val="FootnoteReference"/>
        </w:rPr>
        <w:footnoteReference w:id="1742"/>
      </w:r>
    </w:p>
    <w:p w14:paraId="25279E45" w14:textId="77777777" w:rsidR="00BE1885" w:rsidRPr="006A21F9" w:rsidRDefault="00BE1885" w:rsidP="00BE1885">
      <w:pPr>
        <w:rPr>
          <w:lang w:val="ru-RU"/>
        </w:rPr>
      </w:pPr>
      <w:r w:rsidRPr="006A21F9">
        <w:rPr>
          <w:lang w:val="ru-RU"/>
        </w:rPr>
        <w:tab/>
        <w:t>第二次尼西亚大公会议（第七次普世大公会议）的教父们：“我们恪守主的、使徒的和先知的教导，借此我们学会了首先真正且切实地尊崇（</w:t>
      </w:r>
      <w:r w:rsidRPr="001E4083">
        <w:t>τιμάν</w:t>
      </w:r>
      <w:r w:rsidRPr="0097554A">
        <w:rPr>
          <w:lang w:val="ru-RU"/>
        </w:rPr>
        <w:t xml:space="preserve"> </w:t>
      </w:r>
      <w:r w:rsidRPr="001E4083">
        <w:t>καί</w:t>
      </w:r>
      <w:r w:rsidRPr="0097554A">
        <w:rPr>
          <w:lang w:val="ru-RU"/>
        </w:rPr>
        <w:t xml:space="preserve"> </w:t>
      </w:r>
      <w:r w:rsidRPr="001E4083">
        <w:t>μεγαλύνειν</w:t>
      </w:r>
      <w:r w:rsidRPr="006A21F9">
        <w:rPr>
          <w:lang w:val="ru-RU"/>
        </w:rPr>
        <w:t>）圣母玛利亚——以及圣洁的天使军团、使徒、 先知、光荣的殉道者、圣徒及蒙神眷顾的导师，以及所有圣洁之士，并祈求他们的代祷：因为他们能使我们蒙万王之王——上帝的喜悦。”</w:t>
      </w:r>
      <w:r>
        <w:rPr>
          <w:rStyle w:val="FootnoteReference"/>
        </w:rPr>
        <w:footnoteReference w:id="1743"/>
      </w:r>
    </w:p>
    <w:p w14:paraId="7BEF85F8" w14:textId="77777777" w:rsidR="00BE1885" w:rsidRPr="006A21F9" w:rsidRDefault="00BE1885" w:rsidP="00BE1885">
      <w:pPr>
        <w:rPr>
          <w:lang w:val="ru-RU"/>
        </w:rPr>
      </w:pPr>
      <w:r w:rsidRPr="006A21F9">
        <w:rPr>
          <w:lang w:val="ru-RU"/>
        </w:rPr>
        <w:tab/>
        <w:t>圣约翰·达马斯库斯：“应当尊崇圣徒，视他们为基督的朋友、上帝的儿女和继承人……他们战胜并制服了情欲，完好无损地保全了上帝的形象——他们正是按此形象被造的……； 他们自愿与上帝结合，将祂迎入内心深处，并在与祂结合后，因着恩典，成为了祂本性所是的那样。那些既是上帝的仆人、朋友，又是上帝之子的圣徒，我们怎能不敬重他们呢？ 给予最虔诚的同工的尊荣，正是对共同的主之爱的明证。圣徒们已成为上帝的宝库和纯净的居所；上帝</w:t>
      </w:r>
      <w:r w:rsidRPr="006A21F9">
        <w:rPr>
          <w:lang w:val="ru-RU"/>
        </w:rPr>
        <w:lastRenderedPageBreak/>
        <w:t>说：“我要住在他们里面，在他们中间行走；我要作他们的上帝”（林后6:16）…… 我们怎能不尊崇这些有生命的圣殿、有生命的上帝居所呢？……诚然，我们应当尊崇他们，以他们的名义为上帝建造圣殿，献上供物，纪念他们的纪念日，并在这些日子里以灵性欢庆…… 让我们尊崇圣母玛利亚，作为真正的上帝之母；尊崇先知约翰——作为先驱和施洗者、使徒及殉道者：因为，正如主所</w:t>
      </w:r>
      <w:r w:rsidRPr="006A21F9">
        <w:rPr>
          <w:i/>
          <w:iCs/>
          <w:lang w:val="ru-RU"/>
        </w:rPr>
        <w:t>说，在妇人所生的中，没有比施洗约翰更大的</w:t>
      </w:r>
      <w:r w:rsidRPr="006A21F9">
        <w:rPr>
          <w:lang w:val="ru-RU"/>
        </w:rPr>
        <w:t>（马太福音 11:11）。 他也是天国的首位传道者。让我们尊崇使徒们，视他们为主的弟兄，视他们为亲眼见证并侍奉主受难的人，上帝和天父</w:t>
      </w:r>
      <w:r w:rsidRPr="006A21F9">
        <w:rPr>
          <w:i/>
          <w:iCs/>
          <w:lang w:val="ru-RU"/>
        </w:rPr>
        <w:t>早已预知并预定他们要与祂儿子的形象相似</w:t>
      </w:r>
      <w:r w:rsidRPr="006A21F9">
        <w:rPr>
          <w:lang w:val="ru-RU"/>
        </w:rPr>
        <w:t>[(罗 8:29)； （林前12:28）]；首先是使徒，其次是先知，第三是牧师和教师（弗4:11）。 让我们敬奉主所拣选的、来自各行各业的殉道者，他们作为基督的战士，借着祂的死亡受了洗，是祂受难与荣耀的参与者，并敬奉他们的领袖——基督的大执事、使徒兼首位殉道者司提反。 让我们尊崇我们敬虔的父辈和蒙神眷顾的苦修者，他们经历了更长久、更艰难的良心殉道</w:t>
      </w:r>
      <w:r w:rsidRPr="006A21F9">
        <w:rPr>
          <w:i/>
          <w:iCs/>
          <w:lang w:val="ru-RU"/>
        </w:rPr>
        <w:t>，身着羊皮和山羊皮四处漂泊，忍受着缺乏、悲伤和恶意；他们是整个世界都不配拥有的</w:t>
      </w:r>
      <w:r w:rsidRPr="006A21F9">
        <w:rPr>
          <w:lang w:val="ru-RU"/>
        </w:rPr>
        <w:t>（希伯来书 11:37-38）。 让我们敬奉那些在恩典降临之前生活的先知、宗祖和义人，他们预先宣告了主的降临。仰望所有 这些圣徒的生活榜样，让我们效法他们的信心、爱心、盼望、热忱、生活操守、在苦难中的坚定，以及甚至流血的忍耐，好叫我们也能与他们一同蒙受荣耀的冠冕。”</w:t>
      </w:r>
      <w:r>
        <w:rPr>
          <w:rStyle w:val="FootnoteReference"/>
        </w:rPr>
        <w:footnoteReference w:id="1744"/>
      </w:r>
    </w:p>
    <w:p w14:paraId="2EF3712F" w14:textId="77777777" w:rsidR="00BE1885" w:rsidRPr="006A21F9" w:rsidRDefault="00BE1885" w:rsidP="00BE1885">
      <w:pPr>
        <w:rPr>
          <w:lang w:val="ru-RU"/>
        </w:rPr>
      </w:pPr>
      <w:r w:rsidRPr="006A21F9">
        <w:rPr>
          <w:lang w:val="ru-RU"/>
        </w:rPr>
        <w:tab/>
        <w:t>从这个意义上说，对圣徒的敬礼，毫无疑问，在任何头脑清醒的人看来都不会显得不合情理。</w:t>
      </w:r>
    </w:p>
    <w:p w14:paraId="4C49D5BD" w14:textId="77777777" w:rsidR="00BE1885" w:rsidRPr="006A21F9" w:rsidRDefault="00BE1885" w:rsidP="00BE1885">
      <w:pPr>
        <w:rPr>
          <w:lang w:val="ru-RU"/>
        </w:rPr>
      </w:pPr>
      <w:r w:rsidRPr="006A21F9">
        <w:rPr>
          <w:lang w:val="ru-RU"/>
        </w:rPr>
        <w:tab/>
      </w:r>
    </w:p>
    <w:p w14:paraId="4799A04E" w14:textId="77777777" w:rsidR="00BE1885" w:rsidRPr="006A21F9" w:rsidRDefault="00BE1885" w:rsidP="00BE1885">
      <w:pPr>
        <w:pStyle w:val="Heading5"/>
        <w:rPr>
          <w:lang w:val="ru-RU"/>
        </w:rPr>
      </w:pPr>
      <w:bookmarkStart w:id="1124" w:name="_Toc133143031"/>
      <w:bookmarkStart w:id="1125" w:name="_Toc133166388"/>
      <w:bookmarkStart w:id="1126" w:name="_Toc182221598"/>
      <w:bookmarkStart w:id="1127" w:name="_Toc238453165"/>
      <w:bookmarkStart w:id="1128" w:name="_Toc238453965"/>
      <w:bookmarkStart w:id="1129" w:name="_Toc238576625"/>
      <w:r w:rsidRPr="006A21F9">
        <w:rPr>
          <w:bCs/>
          <w:lang w:val="ru-RU"/>
        </w:rPr>
        <w:t>§254. bb)</w:t>
      </w:r>
      <w:r w:rsidRPr="006A21F9">
        <w:rPr>
          <w:lang w:val="ru-RU"/>
        </w:rPr>
        <w:t xml:space="preserve"> 呼求圣徒</w:t>
      </w:r>
      <w:bookmarkEnd w:id="1124"/>
      <w:bookmarkEnd w:id="1125"/>
      <w:bookmarkEnd w:id="1126"/>
      <w:bookmarkEnd w:id="1127"/>
      <w:bookmarkEnd w:id="1128"/>
      <w:bookmarkEnd w:id="1129"/>
    </w:p>
    <w:p w14:paraId="6BA7B8B5" w14:textId="77777777" w:rsidR="00BE1885" w:rsidRPr="006A21F9" w:rsidRDefault="00BE1885" w:rsidP="00BE1885">
      <w:pPr>
        <w:ind w:firstLine="708"/>
        <w:rPr>
          <w:lang w:val="ru-RU"/>
        </w:rPr>
      </w:pPr>
      <w:r w:rsidRPr="006A21F9">
        <w:rPr>
          <w:lang w:val="ru-RU"/>
        </w:rPr>
        <w:t>圣教会敬奉圣徒为上帝忠实的仆人、蒙悦纳者及朋友，同时在祷告中呼求他们，并非将他们视为能凭自身力量帮助我们的神明，而是视他们为我们在上帝面前的代祷者——上帝是万物恩赐与慈惠的唯一源头与施予者（雅各书 1:17）， ——作为我们的代祷者和恳求者，他们从基督那里获得了代祷的权能；基督是唯一真正意义上的、独立的中保，在神与人之间，为赎回众人而献上了自己（提摩太前书 2:5）。</w:t>
      </w:r>
      <w:r>
        <w:rPr>
          <w:rStyle w:val="FootnoteReference"/>
        </w:rPr>
        <w:footnoteReference w:id="1745"/>
      </w:r>
      <w:r w:rsidRPr="006A21F9">
        <w:rPr>
          <w:lang w:val="ru-RU"/>
        </w:rPr>
        <w:t xml:space="preserve"> （《正统信仰告白》</w:t>
      </w:r>
      <w:r w:rsidRPr="001E4083">
        <w:t>第三卷</w:t>
      </w:r>
      <w:r w:rsidRPr="006A21F9">
        <w:rPr>
          <w:lang w:val="ru-RU"/>
        </w:rPr>
        <w:t>，对第52个问题的回答； 《东方教父论正统信仰》第8条）。</w:t>
      </w:r>
    </w:p>
    <w:p w14:paraId="1C65F8EF" w14:textId="77777777" w:rsidR="00BE1885" w:rsidRPr="006A21F9" w:rsidRDefault="00BE1885" w:rsidP="00BE1885">
      <w:pPr>
        <w:rPr>
          <w:lang w:val="ru-RU"/>
        </w:rPr>
      </w:pPr>
      <w:r w:rsidRPr="006A21F9">
        <w:rPr>
          <w:lang w:val="ru-RU"/>
        </w:rPr>
        <w:lastRenderedPageBreak/>
        <w:tab/>
        <w:t>圣经通过以下方式向我们传授这一教义：</w:t>
      </w:r>
      <w:r w:rsidRPr="006A21F9">
        <w:rPr>
          <w:b/>
          <w:bCs/>
          <w:lang w:val="ru-RU"/>
        </w:rPr>
        <w:t>a)</w:t>
      </w:r>
      <w:r w:rsidRPr="006A21F9">
        <w:rPr>
          <w:lang w:val="ru-RU"/>
        </w:rPr>
        <w:t xml:space="preserve"> 教导我们向圣徒祈祷，因他们在神面前大有能力； </w:t>
      </w:r>
      <w:r w:rsidRPr="006A21F9">
        <w:rPr>
          <w:b/>
          <w:bCs/>
          <w:lang w:val="ru-RU"/>
        </w:rPr>
        <w:t>当——b)</w:t>
      </w:r>
      <w:r w:rsidRPr="006A21F9">
        <w:rPr>
          <w:lang w:val="ru-RU"/>
        </w:rPr>
        <w:t xml:space="preserve"> 同时表明，圣徒即使升天后仍能听见我们对他们的呼求；</w:t>
      </w:r>
      <w:r w:rsidRPr="006A21F9">
        <w:rPr>
          <w:b/>
          <w:bCs/>
          <w:lang w:val="ru-RU"/>
        </w:rPr>
        <w:t>以及——c)</w:t>
      </w:r>
      <w:r w:rsidRPr="006A21F9">
        <w:rPr>
          <w:lang w:val="ru-RU"/>
        </w:rPr>
        <w:t xml:space="preserve"> 最后，见证他们从未停止为留在世上的弟兄们祈祷并帮助他们。</w:t>
      </w:r>
    </w:p>
    <w:p w14:paraId="0F0BA1FF" w14:textId="77777777" w:rsidR="00BE1885" w:rsidRPr="006A21F9" w:rsidRDefault="00BE1885" w:rsidP="00BE1885">
      <w:pPr>
        <w:ind w:firstLine="708"/>
        <w:rPr>
          <w:lang w:val="ru-RU"/>
        </w:rPr>
      </w:pPr>
      <w:r w:rsidRPr="006A21F9">
        <w:rPr>
          <w:b/>
          <w:bCs/>
          <w:lang w:val="ru-RU"/>
        </w:rPr>
        <w:t>1)</w:t>
      </w:r>
      <w:r w:rsidRPr="006A21F9">
        <w:rPr>
          <w:lang w:val="ru-RU"/>
        </w:rPr>
        <w:t xml:space="preserve"> 圣经中此类经文不胜枚举。例如，在旧约中我们读到：— </w:t>
      </w:r>
      <w:r w:rsidRPr="006A21F9">
        <w:rPr>
          <w:b/>
          <w:bCs/>
          <w:lang w:val="ru-RU"/>
        </w:rPr>
        <w:t>a)</w:t>
      </w:r>
      <w:r w:rsidRPr="006A21F9">
        <w:rPr>
          <w:lang w:val="ru-RU"/>
        </w:rPr>
        <w:t xml:space="preserve"> 上帝亲自吩咐亚比米勒向亚伯拉罕求代祷，说：</w:t>
      </w:r>
      <w:r w:rsidRPr="006A21F9">
        <w:rPr>
          <w:i/>
          <w:iCs/>
          <w:lang w:val="ru-RU"/>
        </w:rPr>
        <w:t>“因为他是先知，他必为你祈求，你便活命</w:t>
      </w:r>
      <w:r w:rsidRPr="006A21F9">
        <w:rPr>
          <w:lang w:val="ru-RU"/>
        </w:rPr>
        <w:t xml:space="preserve">”（创世记 20:7）； </w:t>
      </w:r>
      <w:r w:rsidRPr="006A21F9">
        <w:rPr>
          <w:b/>
          <w:bCs/>
          <w:lang w:val="ru-RU"/>
        </w:rPr>
        <w:t>b)</w:t>
      </w:r>
      <w:r w:rsidRPr="006A21F9">
        <w:rPr>
          <w:lang w:val="ru-RU"/>
        </w:rPr>
        <w:t xml:space="preserve"> 随后又吩咐犯了罪的约伯的朋友们向这位义人求祷：</w:t>
      </w:r>
      <w:r w:rsidRPr="006A21F9">
        <w:rPr>
          <w:i/>
          <w:iCs/>
          <w:lang w:val="ru-RU"/>
        </w:rPr>
        <w:t>你们去见我的仆人约伯……我的仆人约伯必为你们祷告，因为我只悦纳他的面，免得不悦纳你们</w:t>
      </w:r>
      <w:r w:rsidRPr="006A21F9">
        <w:rPr>
          <w:lang w:val="ru-RU"/>
        </w:rPr>
        <w:t>（《约伯记》42:8）， 以及</w:t>
      </w:r>
      <w:r w:rsidRPr="006A21F9">
        <w:rPr>
          <w:b/>
          <w:bCs/>
          <w:lang w:val="ru-RU"/>
        </w:rPr>
        <w:t>——c)</w:t>
      </w:r>
      <w:r w:rsidRPr="006A21F9">
        <w:rPr>
          <w:lang w:val="ru-RU"/>
        </w:rPr>
        <w:t xml:space="preserve"> 犹太人因主如此明确的命令，深信义人的祷告大有能力且功效显著，便向撒母耳求祷；撒母耳却回答他们</w:t>
      </w:r>
      <w:r w:rsidRPr="006A21F9">
        <w:rPr>
          <w:i/>
          <w:iCs/>
          <w:lang w:val="ru-RU"/>
        </w:rPr>
        <w:t>说</w:t>
      </w:r>
      <w:r w:rsidRPr="006A21F9">
        <w:rPr>
          <w:lang w:val="ru-RU"/>
        </w:rPr>
        <w:t>：</w:t>
      </w:r>
      <w:r w:rsidRPr="006A21F9">
        <w:rPr>
          <w:i/>
          <w:iCs/>
          <w:lang w:val="ru-RU"/>
        </w:rPr>
        <w:t>“我绝不会背离我的主耶和华，也不会在祷告中为你们呼求</w:t>
      </w:r>
      <w:r w:rsidRPr="006A21F9">
        <w:rPr>
          <w:lang w:val="ru-RU"/>
        </w:rPr>
        <w:t>”[(撒上 7:8)；引自 （撒上12:23）]，他确实为以色列向耶和华呼求</w:t>
      </w:r>
      <w:r w:rsidRPr="006A21F9">
        <w:rPr>
          <w:i/>
          <w:iCs/>
          <w:lang w:val="ru-RU"/>
        </w:rPr>
        <w:t>，耶和华也垂听了他的祷告</w:t>
      </w:r>
      <w:r w:rsidRPr="006A21F9">
        <w:rPr>
          <w:lang w:val="ru-RU"/>
        </w:rPr>
        <w:t>（撒上7:9）。 在新约中，圣使徒保罗也以身作则地传授了这一真理：尽管他圣洁无比，却多次 恳求他虔诚的门徒为他祷告：</w:t>
      </w:r>
      <w:r w:rsidRPr="006A21F9">
        <w:rPr>
          <w:i/>
          <w:iCs/>
          <w:lang w:val="ru-RU"/>
        </w:rPr>
        <w:t>“弟兄们，我奉我们主耶稣基督的名，并凭圣灵的爱，恳求你们与我一同在祷告中为我向神竭力祈求</w:t>
      </w:r>
      <w:r w:rsidRPr="006A21F9">
        <w:rPr>
          <w:lang w:val="ru-RU"/>
        </w:rPr>
        <w:t xml:space="preserve"> （罗15:30）；又如：</w:t>
      </w:r>
      <w:r w:rsidRPr="006A21F9">
        <w:rPr>
          <w:i/>
          <w:iCs/>
          <w:lang w:val="ru-RU"/>
        </w:rPr>
        <w:t>“弟兄们，请为我们祷告”</w:t>
      </w:r>
      <w:r w:rsidRPr="006A21F9">
        <w:rPr>
          <w:lang w:val="ru-RU"/>
        </w:rPr>
        <w:t>（帖前5:25）</w:t>
      </w:r>
      <w:r w:rsidRPr="006A21F9">
        <w:rPr>
          <w:i/>
          <w:iCs/>
          <w:lang w:val="ru-RU"/>
        </w:rPr>
        <w:t>，要恒切地为众圣徒和我祈求</w:t>
      </w:r>
      <w:r w:rsidRPr="006A21F9">
        <w:rPr>
          <w:lang w:val="ru-RU"/>
        </w:rPr>
        <w:t>[（弗6:18-19）；参 （歌罗西书 4:3）；（哥林多后书 1:10-11）]。而圣使徒雅各在教导基督徒彼此代祷，并因此彼此求祷时，特别指出：</w:t>
      </w:r>
      <w:r w:rsidRPr="006A21F9">
        <w:rPr>
          <w:i/>
          <w:iCs/>
          <w:lang w:val="ru-RU"/>
        </w:rPr>
        <w:t>义人的恳切祷告大有功效</w:t>
      </w:r>
      <w:r w:rsidRPr="006A21F9">
        <w:rPr>
          <w:lang w:val="ru-RU"/>
        </w:rPr>
        <w:t>（雅各书 5:16）。 既然上帝的话语吩咐我们要向尚在世上的圣徒祈求，并称这些祈祷在神面前大有能力，能拯救我们； 既然如此，向那些仍与我们同在的圣徒祈求，既丝毫不冒犯天父的仁慈，也不贬损我们救主——神与人之间唯一中保——的尊严：</w:t>
      </w:r>
      <w:r>
        <w:rPr>
          <w:rStyle w:val="FootnoteReference"/>
        </w:rPr>
        <w:footnoteReference w:id="1746"/>
      </w:r>
      <w:r w:rsidRPr="006A21F9">
        <w:rPr>
          <w:lang w:val="ru-RU"/>
        </w:rPr>
        <w:t xml:space="preserve"> </w:t>
      </w:r>
      <w:r w:rsidRPr="006A21F9">
        <w:rPr>
          <w:lang w:val="ru-RU"/>
        </w:rPr>
        <w:lastRenderedPageBreak/>
        <w:t>那么，当圣徒们升入天堂，与主建立最亲密的交通时，我们岂不更应当求告他们的祷告吗？ 难道他们在全能者宝座前为我们代求的力量，不比那些已被尊为圣者的代求更为强大吗？ 将那些已成为上帝的继承人、基督的共同继承人（罗8:17）的圣徒奉为求助对象，这难道不是对天父的仁慈和我们救赎主的尊严的一种冒犯吗？</w:t>
      </w:r>
    </w:p>
    <w:p w14:paraId="4C527DD1" w14:textId="77777777" w:rsidR="00BE1885" w:rsidRPr="006A21F9" w:rsidRDefault="00BE1885" w:rsidP="00BE1885">
      <w:pPr>
        <w:ind w:firstLine="708"/>
        <w:rPr>
          <w:lang w:val="ru-RU"/>
        </w:rPr>
      </w:pPr>
      <w:r w:rsidRPr="006A21F9">
        <w:rPr>
          <w:b/>
          <w:bCs/>
          <w:lang w:val="ru-RU"/>
        </w:rPr>
        <w:t>2)</w:t>
      </w:r>
      <w:r w:rsidRPr="006A21F9">
        <w:rPr>
          <w:lang w:val="ru-RU"/>
        </w:rPr>
        <w:t xml:space="preserve"> 关于圣徒们即使升入天堂后，尽管与我们相隔遥远，却仍能听见我们的祈祷并知晓我们的需求，圣经中提供了许多鲜明的例证。 圣经见证说，我们在祷告中呼求的上帝的圣徒，在世时就常常拥有洞察人心深处的恩赐，正如圣彼得洞察了亚拿尼亚的心（使徒行传 5</w:t>
      </w:r>
      <w:r w:rsidRPr="006A21F9">
        <w:rPr>
          <w:rFonts w:cs="Cambria Math"/>
          <w:lang w:val="ru-RU"/>
        </w:rPr>
        <w:t>:</w:t>
      </w:r>
      <w:r w:rsidRPr="006A21F9">
        <w:rPr>
          <w:lang w:val="ru-RU"/>
        </w:rPr>
        <w:t>3）， 也能知晓远方发生的事情，正如以利沙得知基西斯的所作所为（《列王纪下》4:19-27），更令人惊奇的是，他还向以色列王揭示了叙利亚宫廷的所有隐秘意图（《列王纪下》6:12）。 这证明，圣徒们还在世时，便以灵进入天界，有些人看见了天使的军团，如雅各（创世记 32:1）和以利沙（列王纪下 6:17）， 另一些人则蒙恩得以亲见上帝本人，如以赛亚（</w:t>
      </w:r>
      <w:r>
        <w:rPr>
          <w:lang w:val="ru-RU"/>
        </w:rPr>
        <w:t>赛</w:t>
      </w:r>
      <w:r w:rsidRPr="006A21F9">
        <w:rPr>
          <w:lang w:val="ru-RU"/>
        </w:rPr>
        <w:t>6:1-5）和以西结（</w:t>
      </w:r>
      <w:r>
        <w:rPr>
          <w:lang w:val="ru-RU"/>
        </w:rPr>
        <w:t>结</w:t>
      </w:r>
      <w:r w:rsidRPr="006A21F9">
        <w:rPr>
          <w:lang w:val="ru-RU"/>
        </w:rPr>
        <w:t>2:1-8）；还有一些人被提到第三层天，并在那里听见不可言喻的话语，如圣保罗（林后12:2-6）。 最后，经文见证说</w:t>
      </w:r>
      <w:r w:rsidRPr="006A21F9">
        <w:rPr>
          <w:i/>
          <w:iCs/>
          <w:lang w:val="ru-RU"/>
        </w:rPr>
        <w:t>，</w:t>
      </w:r>
      <w:r w:rsidRPr="006A21F9">
        <w:rPr>
          <w:lang w:val="ru-RU"/>
        </w:rPr>
        <w:t>天上的</w:t>
      </w:r>
      <w:r w:rsidRPr="006A21F9">
        <w:rPr>
          <w:i/>
          <w:iCs/>
          <w:lang w:val="ru-RU"/>
        </w:rPr>
        <w:t>圣徒与天使平等</w:t>
      </w:r>
      <w:r w:rsidRPr="006A21F9">
        <w:rPr>
          <w:lang w:val="ru-RU"/>
        </w:rPr>
        <w:t>（路加福音 20:36），而天使确实知道罪人的内心状态以及他们归向神的历程：</w:t>
      </w:r>
      <w:r w:rsidRPr="006A21F9">
        <w:rPr>
          <w:i/>
          <w:iCs/>
          <w:lang w:val="ru-RU"/>
        </w:rPr>
        <w:t>因为，当一个悔改的罪人归向神时，神的天使便为此欢喜</w:t>
      </w:r>
      <w:r w:rsidRPr="006A21F9">
        <w:rPr>
          <w:lang w:val="ru-RU"/>
        </w:rPr>
        <w:t xml:space="preserve"> （路加福音15:10）——这表明亚伯拉罕在天上时，尽管有巨大的深渊将他们隔开，仍能听到在地狱中受苦的富人的哀号，而且这位先祖曾对富人说：</w:t>
      </w:r>
      <w:r w:rsidRPr="006A21F9">
        <w:rPr>
          <w:i/>
          <w:iCs/>
          <w:lang w:val="ru-RU"/>
        </w:rPr>
        <w:t>‘你的弟兄们有摩西和先知； 让他们听</w:t>
      </w:r>
      <w:r w:rsidRPr="006A21F9">
        <w:rPr>
          <w:lang w:val="ru-RU"/>
        </w:rPr>
        <w:t>从他们吧，——由此明确表明， 义人在升入天堂后，仍有能力知晓他们在世时发生的事情：因为摩西和先知们都生活在亚伯拉罕之后（路加福音16:19-31）。 毫无疑问，这一切都不是出于人类自然认知的例子，而是源于上帝非凡恩赐的恩典之知； 但为何不能认为，在天上的义人之魂同样蒙受来自上帝的至高启示——即他们直接侍立于祂的宝座前，在上帝面容的光辉中观照地上发生的一切呢？</w:t>
      </w:r>
      <w:r>
        <w:rPr>
          <w:rStyle w:val="FootnoteReference"/>
        </w:rPr>
        <w:footnoteReference w:id="1747"/>
      </w:r>
      <w:r w:rsidRPr="006A21F9">
        <w:rPr>
          <w:lang w:val="ru-RU"/>
        </w:rPr>
        <w:t xml:space="preserve"> 圣使徒写道：“如今我们是对着镜子观看，模糊不清；到那时就要面对面了。如今我所知道的有限，到那时就全知道，如同主知道我一样”（林前13:12）。</w:t>
      </w:r>
    </w:p>
    <w:p w14:paraId="13B18E06" w14:textId="77777777" w:rsidR="00BE1885" w:rsidRPr="006A21F9" w:rsidRDefault="00BE1885" w:rsidP="00BE1885">
      <w:pPr>
        <w:ind w:firstLine="708"/>
        <w:rPr>
          <w:lang w:val="ru-RU"/>
        </w:rPr>
      </w:pPr>
      <w:r w:rsidRPr="006A21F9">
        <w:rPr>
          <w:b/>
          <w:bCs/>
          <w:lang w:val="ru-RU"/>
        </w:rPr>
        <w:t>3)</w:t>
      </w:r>
      <w:r w:rsidRPr="006A21F9">
        <w:rPr>
          <w:lang w:val="ru-RU"/>
        </w:rPr>
        <w:t xml:space="preserve"> 最后，我们从圣经中确信，那些升入天堂的圣徒，既能知晓我们的需求，又能听见我们的祷告，确实在全能者的宝座前为我们代求。 从前，上帝亲自对耶利米说：</w:t>
      </w:r>
      <w:r w:rsidRPr="006A21F9">
        <w:rPr>
          <w:i/>
          <w:iCs/>
          <w:lang w:val="ru-RU"/>
        </w:rPr>
        <w:t>“纵使摩西和撒母耳站在我面前，我的心也不会向这百姓动摇……谁会怜</w:t>
      </w:r>
      <w:r w:rsidRPr="006A21F9">
        <w:rPr>
          <w:i/>
          <w:iCs/>
          <w:lang w:val="ru-RU"/>
        </w:rPr>
        <w:lastRenderedPageBreak/>
        <w:t>悯你，耶路撒冷？谁会对你施以怜悯？谁会来探望你，询问你的安危？</w:t>
      </w:r>
      <w:r w:rsidRPr="006A21F9">
        <w:rPr>
          <w:lang w:val="ru-RU"/>
        </w:rPr>
        <w:t xml:space="preserve"> （耶15:1-5）？主借此话表明，早已离世的摩西和撒母耳，仍能为犹太人向祂代求。 犹大·马加比在异象中看见已故的大祭司俄尼雅，他本人正在为全体犹太人祈祷；俄尼雅指着与他同在的另一位男子对犹大说：</w:t>
      </w:r>
      <w:r w:rsidRPr="006A21F9">
        <w:rPr>
          <w:i/>
          <w:iCs/>
          <w:lang w:val="ru-RU"/>
        </w:rPr>
        <w:t>“这位是爱弟兄的耶利米，他是神的先知，常为百姓和圣城祈祷”</w:t>
      </w:r>
      <w:r w:rsidRPr="006A21F9">
        <w:rPr>
          <w:lang w:val="ru-RU"/>
        </w:rPr>
        <w:t xml:space="preserve"> （《马加比下》15:12-14）。由此可推断，在犹太教会中无疑存在着对已故圣徒为在世者代祷的信仰。 在新约中，圣使徒彼得相当明确地向门徒们承诺，即使在他死后，他仍会在上帝面前继续关怀他们，他说：</w:t>
      </w:r>
      <w:r w:rsidRPr="006A21F9">
        <w:rPr>
          <w:i/>
          <w:iCs/>
          <w:lang w:val="ru-RU"/>
        </w:rPr>
        <w:t>“我也要竭力使你们在我离世之后，仍能常记念这些事</w:t>
      </w:r>
      <w:r w:rsidRPr="006A21F9">
        <w:rPr>
          <w:lang w:val="ru-RU"/>
        </w:rPr>
        <w:t>”（彼得后书 1:15）。 而圣约翰·神学家则蒙恩在天上的启示中</w:t>
      </w:r>
      <w:r w:rsidRPr="006A21F9">
        <w:rPr>
          <w:i/>
          <w:iCs/>
          <w:lang w:val="ru-RU"/>
        </w:rPr>
        <w:t>看见，二十四位长老俯伏在羔羊面前，每人手持琴和盛满乳香的金碗，这些乳香就是圣徒的祷告</w:t>
      </w:r>
      <w:r w:rsidRPr="006A21F9">
        <w:rPr>
          <w:lang w:val="ru-RU"/>
        </w:rPr>
        <w:t>（启示录 5:8）， 随后，天使被</w:t>
      </w:r>
      <w:r w:rsidRPr="006A21F9">
        <w:rPr>
          <w:i/>
          <w:iCs/>
          <w:lang w:val="ru-RU"/>
        </w:rPr>
        <w:t>赐予大量的乳香，好让他将这乳香连同所有圣徒的祈祷一同献在宝座前的金香坛上</w:t>
      </w:r>
      <w:r w:rsidRPr="006A21F9">
        <w:rPr>
          <w:lang w:val="ru-RU"/>
        </w:rPr>
        <w:t>（启示录 8:3-4）。</w:t>
      </w:r>
    </w:p>
    <w:p w14:paraId="1DA24084" w14:textId="77777777" w:rsidR="00BE1885" w:rsidRPr="006A21F9" w:rsidRDefault="00BE1885" w:rsidP="00BE1885">
      <w:pPr>
        <w:rPr>
          <w:lang w:val="ru-RU"/>
        </w:rPr>
      </w:pPr>
      <w:r w:rsidRPr="006A21F9">
        <w:rPr>
          <w:lang w:val="ru-RU"/>
        </w:rPr>
        <w:tab/>
      </w:r>
      <w:r w:rsidRPr="001E4083">
        <w:rPr>
          <w:b/>
          <w:bCs/>
        </w:rPr>
        <w:t>一</w:t>
      </w:r>
      <w:r w:rsidRPr="006A21F9">
        <w:rPr>
          <w:b/>
          <w:bCs/>
          <w:lang w:val="ru-RU"/>
        </w:rPr>
        <w:t>、</w:t>
      </w:r>
      <w:r w:rsidRPr="006A21F9">
        <w:rPr>
          <w:lang w:val="ru-RU"/>
        </w:rPr>
        <w:t>基于圣经及圣传，圣教会一直秉持呼求圣徒的教义，并完全确信他们在天上为我们向神代祷。教会的这一教义与信仰可见于：</w:t>
      </w:r>
    </w:p>
    <w:p w14:paraId="7491D49A" w14:textId="77777777" w:rsidR="00BE1885" w:rsidRPr="006A21F9" w:rsidRDefault="00BE1885" w:rsidP="00BE1885">
      <w:pPr>
        <w:ind w:firstLine="708"/>
        <w:rPr>
          <w:lang w:val="ru-RU"/>
        </w:rPr>
      </w:pPr>
      <w:r w:rsidRPr="006A21F9">
        <w:rPr>
          <w:b/>
          <w:bCs/>
          <w:lang w:val="ru-RU"/>
        </w:rPr>
        <w:t>1)</w:t>
      </w:r>
      <w:r w:rsidRPr="006A21F9">
        <w:rPr>
          <w:lang w:val="ru-RU"/>
        </w:rPr>
        <w:t xml:space="preserve"> 所有古代礼拜仪式中。在圣使徒雅各的礼拜仪式中写道：“我们尤其纪念圣洁而荣耀的永贞童女、蒙福的圣母。主上帝啊，求祢记念她，并因</w:t>
      </w:r>
      <w:r w:rsidRPr="001E4083">
        <w:t>她</w:t>
      </w:r>
      <w:r w:rsidRPr="006A21F9">
        <w:rPr>
          <w:lang w:val="ru-RU"/>
        </w:rPr>
        <w:t>纯洁而圣洁的祈祷，宽恕并怜悯我们……”</w:t>
      </w:r>
      <w:r>
        <w:rPr>
          <w:rStyle w:val="FootnoteReference"/>
        </w:rPr>
        <w:footnoteReference w:id="1748"/>
      </w:r>
      <w:r w:rsidRPr="006A21F9">
        <w:rPr>
          <w:lang w:val="ru-RU"/>
        </w:rPr>
        <w:t xml:space="preserve"> 同样见于以圣使徒彼得和福音书作者马可命名的礼拜仪式中，</w:t>
      </w:r>
      <w:r>
        <w:rPr>
          <w:rStyle w:val="FootnoteReference"/>
        </w:rPr>
        <w:footnoteReference w:id="1749"/>
      </w:r>
      <w:r w:rsidRPr="006A21F9">
        <w:rPr>
          <w:lang w:val="ru-RU"/>
        </w:rPr>
        <w:t xml:space="preserve"> 以及大圣巴西尔和约翰·金口（Zlatoust）的礼拜仪式中，</w:t>
      </w:r>
      <w:r>
        <w:rPr>
          <w:rStyle w:val="FootnoteReference"/>
        </w:rPr>
        <w:footnoteReference w:id="1750"/>
      </w:r>
      <w:r w:rsidRPr="006A21F9">
        <w:rPr>
          <w:lang w:val="ru-RU"/>
        </w:rPr>
        <w:t xml:space="preserve"> 还有罗马礼仪和圣格里高利大教宗的《祈祷书》中。</w:t>
      </w:r>
      <w:r>
        <w:rPr>
          <w:rStyle w:val="FootnoteReference"/>
        </w:rPr>
        <w:footnoteReference w:id="1751"/>
      </w:r>
      <w:r w:rsidRPr="006A21F9">
        <w:rPr>
          <w:lang w:val="ru-RU"/>
        </w:rPr>
        <w:t xml:space="preserve"> 圣基里尔·耶路撒冷在阐释耶路撒冷教会的圣礼时指出：“随后，我们（通过献上无血的祭品）纪念那些先我们而去的人，首先是宗主教、先知、使徒和殉道者，祈求上帝借着他们的祈祷和代祷，垂听我们的祈求。”</w:t>
      </w:r>
      <w:r>
        <w:rPr>
          <w:rStyle w:val="FootnoteReference"/>
        </w:rPr>
        <w:footnoteReference w:id="1752"/>
      </w:r>
    </w:p>
    <w:p w14:paraId="1996112F" w14:textId="77777777" w:rsidR="00BE1885" w:rsidRPr="006A21F9" w:rsidRDefault="00BE1885" w:rsidP="00BE1885">
      <w:pPr>
        <w:ind w:firstLine="708"/>
        <w:rPr>
          <w:lang w:val="ru-RU"/>
        </w:rPr>
      </w:pPr>
      <w:r w:rsidRPr="006A21F9">
        <w:rPr>
          <w:b/>
          <w:bCs/>
          <w:lang w:val="ru-RU"/>
        </w:rPr>
        <w:t xml:space="preserve">2) </w:t>
      </w:r>
      <w:r w:rsidRPr="006A21F9">
        <w:rPr>
          <w:lang w:val="ru-RU"/>
        </w:rPr>
        <w:t>在关于圣殉道者的古代传说中。 关于圣伊格纳提乌斯·神载者（公元二世纪初）殉道之死的见证记载道：“我们含泪返家后，举行了彻夜守夜礼……；随后， 稍作小憩，其中一些人突然看见他起身拥抱我们，另一些人则看见蒙福的伊格纳提乌斯正在为我们祈祷。”</w:t>
      </w:r>
      <w:r>
        <w:rPr>
          <w:rStyle w:val="FootnoteReference"/>
        </w:rPr>
        <w:footnoteReference w:id="1753"/>
      </w:r>
      <w:r w:rsidRPr="006A21F9">
        <w:rPr>
          <w:lang w:val="ru-RU"/>
        </w:rPr>
        <w:t xml:space="preserve"> 关于公元200年殉道的斯基利塔殉道者的叙述，由一位同时代的目击者撰写，内容如下：“基督的殉道者们于七月十七日离世，并在主耶稣基督面前为我们代祷。”</w:t>
      </w:r>
      <w:r>
        <w:rPr>
          <w:rStyle w:val="FootnoteReference"/>
        </w:rPr>
        <w:footnoteReference w:id="1754"/>
      </w:r>
      <w:r w:rsidRPr="006A21F9">
        <w:rPr>
          <w:lang w:val="ru-RU"/>
        </w:rPr>
        <w:t xml:space="preserve"> 公元250年殉道的圣马克西姆曾对他的行刑者说：“藉着基督的恩典和诸圣的祈祷，我将永远得享健康……”</w:t>
      </w:r>
      <w:r>
        <w:rPr>
          <w:rStyle w:val="FootnoteReference"/>
        </w:rPr>
        <w:footnoteReference w:id="1755"/>
      </w:r>
      <w:r w:rsidRPr="006A21F9">
        <w:rPr>
          <w:lang w:val="ru-RU"/>
        </w:rPr>
        <w:t xml:space="preserve"> 优西比乌记载了关于三世纪殉道女圣波塔米亚的传说：她在赴死途中，曾向保护她免受异教暴民侵害的士兵瓦西里德承诺，自己离世后将为他向主祈祷；而在她殉道身亡三天后， </w:t>
      </w:r>
      <w:r w:rsidRPr="006A21F9">
        <w:rPr>
          <w:lang w:val="ru-RU"/>
        </w:rPr>
        <w:lastRenderedPageBreak/>
        <w:t>正如瓦西里德本人所见证的，她在夜间向他显现，将冠冕戴在他的头上，并说她已向主为他祈祷，且</w:t>
      </w:r>
      <w:r w:rsidRPr="001E4083">
        <w:t>她的</w:t>
      </w:r>
      <w:r w:rsidRPr="006A21F9">
        <w:rPr>
          <w:lang w:val="ru-RU"/>
        </w:rPr>
        <w:t>祈祷已被应允。</w:t>
      </w:r>
      <w:r>
        <w:rPr>
          <w:rStyle w:val="FootnoteReference"/>
        </w:rPr>
        <w:footnoteReference w:id="1756"/>
      </w:r>
      <w:r w:rsidRPr="006A21F9">
        <w:rPr>
          <w:lang w:val="ru-RU"/>
        </w:rPr>
        <w:t xml:space="preserve"> 圣格里高利·神学家讲述了另一位三世纪的殉道者——圣尤斯蒂娜的故事：她为了在诱惑中守住贞洁，“祈求圣母玛利亚帮助这受苦的处女。”</w:t>
      </w:r>
      <w:r>
        <w:rPr>
          <w:rStyle w:val="FootnoteReference"/>
        </w:rPr>
        <w:footnoteReference w:id="1757"/>
      </w:r>
    </w:p>
    <w:p w14:paraId="2D1DE7A8" w14:textId="77777777" w:rsidR="00BE1885" w:rsidRPr="006A21F9" w:rsidRDefault="00BE1885" w:rsidP="00BE1885">
      <w:pPr>
        <w:ind w:firstLine="708"/>
        <w:rPr>
          <w:lang w:val="ru-RU"/>
        </w:rPr>
      </w:pPr>
      <w:r w:rsidRPr="006A21F9">
        <w:rPr>
          <w:b/>
          <w:bCs/>
          <w:lang w:val="ru-RU"/>
        </w:rPr>
        <w:t xml:space="preserve">3) </w:t>
      </w:r>
      <w:r w:rsidRPr="006A21F9">
        <w:rPr>
          <w:lang w:val="ru-RU"/>
        </w:rPr>
        <w:t>在古代教会导师的著作中。例如：</w:t>
      </w:r>
    </w:p>
    <w:p w14:paraId="6F4CD89E" w14:textId="77777777" w:rsidR="00BE1885" w:rsidRPr="006A21F9" w:rsidRDefault="00BE1885" w:rsidP="00BE1885">
      <w:pPr>
        <w:rPr>
          <w:lang w:val="ru-RU"/>
        </w:rPr>
      </w:pPr>
      <w:r w:rsidRPr="006A21F9">
        <w:rPr>
          <w:lang w:val="ru-RU"/>
        </w:rPr>
        <w:tab/>
        <w:t>圣狄奥尼修斯·阿雷奥帕吉塔：“圣徒的祈祷，无论是在他们生前，更不用说死后，都只对配得圣徒祈祷的人有益——这是智者的真实传统所教导我们的…… 因此，那些求取圣徒代祷却拒绝践行圣徒所特有的圣善之举、不求神恩、背离最清晰且能拯救人的诫命的人，正被这种无法实现且虚妄的希望所迷惑。”</w:t>
      </w:r>
      <w:r>
        <w:rPr>
          <w:rStyle w:val="FootnoteReference"/>
        </w:rPr>
        <w:footnoteReference w:id="1758"/>
      </w:r>
    </w:p>
    <w:p w14:paraId="721F1543" w14:textId="77777777" w:rsidR="00BE1885" w:rsidRPr="006A21F9" w:rsidRDefault="00BE1885" w:rsidP="00BE1885">
      <w:pPr>
        <w:rPr>
          <w:lang w:val="ru-RU"/>
        </w:rPr>
      </w:pPr>
      <w:r w:rsidRPr="006A21F9">
        <w:rPr>
          <w:lang w:val="ru-RU"/>
        </w:rPr>
        <w:tab/>
        <w:t>圣基普里安：“让我们彼此记念……无论何时何地，都要为彼此祈祷……倘若我们当中有人蒙上帝恩准先离世（升入天堂）：愿我们在主面前的彼此之爱得以延续，愿为我们的弟兄们所作的祈祷在天父的仁慈面前永不停止。”</w:t>
      </w:r>
      <w:r>
        <w:rPr>
          <w:rStyle w:val="FootnoteReference"/>
        </w:rPr>
        <w:footnoteReference w:id="1759"/>
      </w:r>
    </w:p>
    <w:p w14:paraId="2D7FB2E3" w14:textId="77777777" w:rsidR="00BE1885" w:rsidRPr="006A21F9" w:rsidRDefault="00BE1885" w:rsidP="00BE1885">
      <w:pPr>
        <w:rPr>
          <w:lang w:val="ru-RU"/>
        </w:rPr>
      </w:pPr>
      <w:r w:rsidRPr="006A21F9">
        <w:rPr>
          <w:lang w:val="ru-RU"/>
        </w:rPr>
        <w:tab/>
        <w:t>凯撒利亚的优西比乌：“我们有这样的习俗：探访（圣徒的）棺椁，在此祈祷，并尊崇他们蒙福的灵魂——我们认为这是正当之事。”</w:t>
      </w:r>
      <w:r>
        <w:rPr>
          <w:rStyle w:val="FootnoteReference"/>
        </w:rPr>
        <w:footnoteReference w:id="1760"/>
      </w:r>
    </w:p>
    <w:p w14:paraId="16FE7892" w14:textId="77777777" w:rsidR="00BE1885" w:rsidRPr="006A21F9" w:rsidRDefault="00BE1885" w:rsidP="00BE1885">
      <w:pPr>
        <w:rPr>
          <w:lang w:val="ru-RU"/>
        </w:rPr>
      </w:pPr>
      <w:r w:rsidRPr="006A21F9">
        <w:rPr>
          <w:lang w:val="ru-RU"/>
        </w:rPr>
        <w:tab/>
        <w:t>大圣巴西尔——在论及四十位殉道者的讲道中说：“你若要为自己向主寻找一位代祷者，该付出多少努力啊！——而这里却有四十位代祷者，正齐声献上祈祷</w:t>
      </w:r>
      <w:r w:rsidRPr="006A21F9">
        <w:rPr>
          <w:i/>
          <w:iCs/>
          <w:lang w:val="ru-RU"/>
        </w:rPr>
        <w:t>。因为‘凡有两三个人奉我的名聚会，我就在他们中间</w:t>
      </w:r>
      <w:r w:rsidRPr="006A21F9">
        <w:rPr>
          <w:lang w:val="ru-RU"/>
        </w:rPr>
        <w:t>’（马太福音18:20）； 而若有四十人，岂有人会怀疑上帝的临在？受压迫者投奔这四十位殉道者，欢欣者奔向他们——有人为求脱离困境，有人为守护自己的安康。 在这里，你会遇到虔诚的妻子，她为子女祈祷，恳求离家丈夫归来，并为患病者祈求康复。——愿你们的祈求配得上这些殉道者。少年们当效法他们，视其为同龄人；父亲们当祈求能成为这般子女的父母…… 圣洁的面容！神圣的队伍！坚不可摧的军团！人类共同的守护者！忧患中的良伴，祈祷中的同工，最强大的代祷者，宇宙的明灯，教会的荣光！大地并未将你们掩埋，而是被天堂接纳；天堂之门已为你们敞开。”</w:t>
      </w:r>
      <w:r>
        <w:rPr>
          <w:rStyle w:val="FootnoteReference"/>
        </w:rPr>
        <w:footnoteReference w:id="1761"/>
      </w:r>
    </w:p>
    <w:p w14:paraId="3B64452B" w14:textId="77777777" w:rsidR="00BE1885" w:rsidRPr="006A21F9" w:rsidRDefault="00BE1885" w:rsidP="00BE1885">
      <w:pPr>
        <w:rPr>
          <w:lang w:val="ru-RU"/>
        </w:rPr>
      </w:pPr>
      <w:r w:rsidRPr="006A21F9">
        <w:rPr>
          <w:lang w:val="ru-RU"/>
        </w:rPr>
        <w:tab/>
        <w:t>圣格里高利·神学家——在给父亲的墓前悼词中写道：“我确信，如今他通过祈祷所能成就的，将比以往通过教导所能成就的更多； 因为他已更接近上帝，卸下了肉身的枷锁，摆脱了蒙蔽心智的迷思，以无遮蔽之姿面见那无遮蔽的、至初至纯的智性，蒙受了（若我敢如此大胆地说）天使般的品级与胆识。”</w:t>
      </w:r>
      <w:r>
        <w:rPr>
          <w:rStyle w:val="FootnoteReference"/>
        </w:rPr>
        <w:footnoteReference w:id="1762"/>
      </w:r>
      <w:r w:rsidRPr="006A21F9">
        <w:rPr>
          <w:lang w:val="ru-RU"/>
        </w:rPr>
        <w:t xml:space="preserve"> 在致圣基普里安的颂词中写道：“求你从高天慈眼垂顾我，引导我的言语和 生活，牧养这神圣的羊群，或作我的同牧者，尽可能地引导他们走向更好， </w:t>
      </w:r>
      <w:r w:rsidRPr="006A21F9">
        <w:rPr>
          <w:lang w:val="ru-RU"/>
        </w:rPr>
        <w:lastRenderedPageBreak/>
        <w:t>将那些骚扰的狼以及所有追逐字句之人驱逐出这群羊群，赐予我们至圣三一最完美、最明亮的启示——你如今侍立于祂面前，我们亦敬拜祂。”</w:t>
      </w:r>
      <w:r>
        <w:rPr>
          <w:rStyle w:val="FootnoteReference"/>
        </w:rPr>
        <w:footnoteReference w:id="1763"/>
      </w:r>
    </w:p>
    <w:p w14:paraId="10BE4B14" w14:textId="77777777" w:rsidR="00BE1885" w:rsidRPr="006A21F9" w:rsidRDefault="00BE1885" w:rsidP="00BE1885">
      <w:pPr>
        <w:rPr>
          <w:lang w:val="ru-RU"/>
        </w:rPr>
      </w:pPr>
      <w:r w:rsidRPr="006A21F9">
        <w:rPr>
          <w:lang w:val="ru-RU"/>
        </w:rPr>
        <w:tab/>
        <w:t>圣约翰·金口：“圣徒的祈祷具有极大的力量，但仅当我们自己（为罪）悔改并改正时…… 不过，我这么说并非要大家在祈祷中不要呼求圣徒，而是为了让我们不要懒惰，不要沉溺于漫不经心和沉睡之中，将本应自己去做的事推卸给他人。”</w:t>
      </w:r>
      <w:r>
        <w:rPr>
          <w:rStyle w:val="FootnoteReference"/>
        </w:rPr>
        <w:footnoteReference w:id="1764"/>
      </w:r>
      <w:r w:rsidRPr="006A21F9">
        <w:rPr>
          <w:lang w:val="ru-RU"/>
        </w:rPr>
        <w:t xml:space="preserve"> “亲爱的弟兄们，既然知道这一点，我们就当求圣徒代祷，呼求他们为我们祈求；但不要仅仅依赖他们的祈祷，我们自己也要效法他们的榜样，按理而行。”</w:t>
      </w:r>
      <w:r>
        <w:rPr>
          <w:rStyle w:val="FootnoteReference"/>
        </w:rPr>
        <w:footnoteReference w:id="1765"/>
      </w:r>
    </w:p>
    <w:p w14:paraId="6F530A8A" w14:textId="77777777" w:rsidR="00BE1885" w:rsidRPr="006A21F9" w:rsidRDefault="00BE1885" w:rsidP="00BE1885">
      <w:pPr>
        <w:rPr>
          <w:lang w:val="ru-RU"/>
        </w:rPr>
      </w:pPr>
      <w:r w:rsidRPr="006A21F9">
        <w:rPr>
          <w:lang w:val="ru-RU"/>
        </w:rPr>
        <w:tab/>
        <w:t>圣埃弗拉姆·西里尔：“得胜的殉道者们，你们出于对上帝和救主的爱，自愿承受苦难，并在主面前有胆量，请为 啊，圣徒们，为我们这些懒散、有罪且充满惰性的人代祷，愿基督的恩典降临于你们，并照亮所有懒惰之人的心，使我们能爱主。”</w:t>
      </w:r>
      <w:r>
        <w:rPr>
          <w:rStyle w:val="FootnoteReference"/>
        </w:rPr>
        <w:footnoteReference w:id="1766"/>
      </w:r>
    </w:p>
    <w:p w14:paraId="5FC84CE3" w14:textId="77777777" w:rsidR="00BE1885" w:rsidRPr="006A21F9" w:rsidRDefault="00BE1885" w:rsidP="00BE1885">
      <w:pPr>
        <w:rPr>
          <w:lang w:val="ru-RU"/>
        </w:rPr>
      </w:pPr>
      <w:r w:rsidRPr="006A21F9">
        <w:rPr>
          <w:lang w:val="ru-RU"/>
        </w:rPr>
        <w:tab/>
        <w:t>同样——圣安布罗斯，</w:t>
      </w:r>
      <w:r>
        <w:rPr>
          <w:rStyle w:val="FootnoteReference"/>
        </w:rPr>
        <w:footnoteReference w:id="1767"/>
      </w:r>
      <w:r w:rsidRPr="006A21F9">
        <w:rPr>
          <w:lang w:val="ru-RU"/>
        </w:rPr>
        <w:t xml:space="preserve"> 圣格里高利·尼西的，</w:t>
      </w:r>
      <w:r>
        <w:rPr>
          <w:rStyle w:val="FootnoteReference"/>
        </w:rPr>
        <w:footnoteReference w:id="1768"/>
      </w:r>
      <w:r w:rsidRPr="006A21F9">
        <w:rPr>
          <w:lang w:val="ru-RU"/>
        </w:rPr>
        <w:t xml:space="preserve"> 亚历山大的迪迪莫，</w:t>
      </w:r>
      <w:r>
        <w:rPr>
          <w:rStyle w:val="FootnoteReference"/>
        </w:rPr>
        <w:footnoteReference w:id="1769"/>
      </w:r>
      <w:r w:rsidRPr="006A21F9">
        <w:rPr>
          <w:lang w:val="ru-RU"/>
        </w:rPr>
        <w:t xml:space="preserve"> 赫拉克利乌斯的狄奥多尔，</w:t>
      </w:r>
      <w:r>
        <w:rPr>
          <w:rStyle w:val="FootnoteReference"/>
        </w:rPr>
        <w:footnoteReference w:id="1770"/>
      </w:r>
      <w:r w:rsidRPr="006A21F9">
        <w:rPr>
          <w:lang w:val="ru-RU"/>
        </w:rPr>
        <w:t xml:space="preserve"> 圣杰罗姆，</w:t>
      </w:r>
      <w:r>
        <w:rPr>
          <w:rStyle w:val="FootnoteReference"/>
        </w:rPr>
        <w:footnoteReference w:id="1771"/>
      </w:r>
      <w:r w:rsidRPr="006A21F9">
        <w:rPr>
          <w:lang w:val="ru-RU"/>
        </w:rPr>
        <w:t xml:space="preserve"> 狄奥多里特，</w:t>
      </w:r>
      <w:r>
        <w:rPr>
          <w:rStyle w:val="FootnoteReference"/>
        </w:rPr>
        <w:footnoteReference w:id="1772"/>
      </w:r>
      <w:r w:rsidRPr="006A21F9">
        <w:rPr>
          <w:lang w:val="ru-RU"/>
        </w:rPr>
        <w:t xml:space="preserve"> 奥古斯丁，</w:t>
      </w:r>
      <w:r>
        <w:rPr>
          <w:rStyle w:val="FootnoteReference"/>
        </w:rPr>
        <w:footnoteReference w:id="1773"/>
      </w:r>
      <w:r w:rsidRPr="006A21F9">
        <w:rPr>
          <w:lang w:val="ru-RU"/>
        </w:rPr>
        <w:t xml:space="preserve"> 以及其他人。</w:t>
      </w:r>
      <w:r>
        <w:rPr>
          <w:rStyle w:val="FootnoteReference"/>
        </w:rPr>
        <w:footnoteReference w:id="1774"/>
      </w:r>
    </w:p>
    <w:p w14:paraId="223A8AF1" w14:textId="77777777" w:rsidR="00BE1885" w:rsidRPr="006A21F9" w:rsidRDefault="00BE1885" w:rsidP="00BE1885">
      <w:pPr>
        <w:ind w:firstLine="708"/>
        <w:rPr>
          <w:lang w:val="ru-RU"/>
        </w:rPr>
      </w:pPr>
      <w:r w:rsidRPr="006A21F9">
        <w:rPr>
          <w:b/>
          <w:bCs/>
          <w:lang w:val="ru-RU"/>
        </w:rPr>
        <w:lastRenderedPageBreak/>
        <w:t xml:space="preserve">4) </w:t>
      </w:r>
      <w:r w:rsidRPr="006A21F9">
        <w:rPr>
          <w:lang w:val="ru-RU"/>
        </w:rPr>
        <w:t>在《大公会议纪要》中。例如，第四次大公会议的教父们在聆听了弗拉维安的信函后，异口同声地高呼：“愿弗拉维安永受纪念！…… 弗拉维安在死后依然存活：他是殉道者，愿他为我们祈祷。”</w:t>
      </w:r>
      <w:r>
        <w:rPr>
          <w:rStyle w:val="FootnoteReference"/>
        </w:rPr>
        <w:footnoteReference w:id="1775"/>
      </w:r>
      <w:r w:rsidRPr="006A21F9">
        <w:rPr>
          <w:lang w:val="ru-RU"/>
        </w:rPr>
        <w:t xml:space="preserve"> 在第七次大公会议上，教父们在讨论对圣人的敬礼与呼求时，除其他事项外，还规定： “若有人不承认：自亘古以来所有蒙神喜悦的圣徒——无论是在律法之前、律法之下还是恩典之下——在灵魂与肉体上皆在神面前蒙尊荣（</w:t>
      </w:r>
      <w:r w:rsidRPr="001E4083">
        <w:t>τίμιους</w:t>
      </w:r>
      <w:r w:rsidRPr="006A21F9">
        <w:rPr>
          <w:lang w:val="ru-RU"/>
        </w:rPr>
        <w:t>）；或不求圣徒代祷，因他们蒙准为世人代求（</w:t>
      </w:r>
      <w:r w:rsidRPr="001E4083">
        <w:t>υπέρ</w:t>
      </w:r>
      <w:r w:rsidRPr="0097554A">
        <w:rPr>
          <w:lang w:val="ru-RU"/>
        </w:rPr>
        <w:t xml:space="preserve"> </w:t>
      </w:r>
      <w:r w:rsidRPr="001E4083">
        <w:t>τού</w:t>
      </w:r>
      <w:r w:rsidRPr="0097554A">
        <w:rPr>
          <w:lang w:val="ru-RU"/>
        </w:rPr>
        <w:t xml:space="preserve"> </w:t>
      </w:r>
      <w:r w:rsidRPr="001E4083">
        <w:t>κόσμου</w:t>
      </w:r>
      <w:r w:rsidRPr="0097554A">
        <w:rPr>
          <w:lang w:val="ru-RU"/>
        </w:rPr>
        <w:t xml:space="preserve"> </w:t>
      </w:r>
      <w:r w:rsidRPr="001E4083">
        <w:t>πρεσβεύειν</w:t>
      </w:r>
      <w:r w:rsidRPr="006A21F9">
        <w:rPr>
          <w:lang w:val="ru-RU"/>
        </w:rPr>
        <w:t>）， 根据教会传统：予以绝罚。”</w:t>
      </w:r>
      <w:r>
        <w:rPr>
          <w:rStyle w:val="FootnoteReference"/>
        </w:rPr>
        <w:footnoteReference w:id="1776"/>
      </w:r>
    </w:p>
    <w:p w14:paraId="3AF0F74C" w14:textId="77777777" w:rsidR="00BE1885" w:rsidRPr="006A21F9" w:rsidRDefault="00BE1885" w:rsidP="00BE1885">
      <w:pPr>
        <w:rPr>
          <w:lang w:val="ru-RU"/>
        </w:rPr>
      </w:pPr>
      <w:r w:rsidRPr="006A21F9">
        <w:rPr>
          <w:lang w:val="ru-RU"/>
        </w:rPr>
        <w:tab/>
        <w:t>我们也不应忽视这样一个事实：根据东正教会的教义，关于呼求圣徒及圣徒代祷的教义，也包含并被所有自古以来脱离东正教会的持不同见解的基督徒所信奉：不仅包括拉丁礼派，还包括聂斯托里派（</w:t>
      </w:r>
      <w:r>
        <w:rPr>
          <w:rStyle w:val="FootnoteReference"/>
        </w:rPr>
        <w:footnoteReference w:id="1777"/>
      </w:r>
      <w:r w:rsidRPr="006A21F9">
        <w:rPr>
          <w:lang w:val="ru-RU"/>
        </w:rPr>
        <w:t xml:space="preserve"> ）、阿比西尼亚人（</w:t>
      </w:r>
      <w:r>
        <w:rPr>
          <w:rStyle w:val="FootnoteReference"/>
        </w:rPr>
        <w:footnoteReference w:id="1778"/>
      </w:r>
      <w:r w:rsidRPr="006A21F9">
        <w:rPr>
          <w:lang w:val="ru-RU"/>
        </w:rPr>
        <w:t xml:space="preserve"> ）、科普特人（</w:t>
      </w:r>
      <w:r>
        <w:rPr>
          <w:rStyle w:val="FootnoteReference"/>
        </w:rPr>
        <w:footnoteReference w:id="1779"/>
      </w:r>
      <w:r w:rsidRPr="006A21F9">
        <w:rPr>
          <w:lang w:val="ru-RU"/>
        </w:rPr>
        <w:t xml:space="preserve"> ）、亚美尼亚人（</w:t>
      </w:r>
      <w:r>
        <w:rPr>
          <w:rStyle w:val="FootnoteReference"/>
        </w:rPr>
        <w:footnoteReference w:id="1780"/>
      </w:r>
      <w:r w:rsidRPr="006A21F9">
        <w:rPr>
          <w:lang w:val="ru-RU"/>
        </w:rPr>
        <w:t xml:space="preserve"> ），唯独新教徒除外。</w:t>
      </w:r>
      <w:r>
        <w:rPr>
          <w:rStyle w:val="FootnoteReference"/>
        </w:rPr>
        <w:footnoteReference w:id="1781"/>
      </w:r>
    </w:p>
    <w:p w14:paraId="494BFDD8" w14:textId="77777777" w:rsidR="00BE1885" w:rsidRPr="006A21F9" w:rsidRDefault="00BE1885" w:rsidP="00BE1885">
      <w:pPr>
        <w:rPr>
          <w:lang w:val="ru-RU"/>
        </w:rPr>
      </w:pPr>
      <w:r w:rsidRPr="006A21F9">
        <w:rPr>
          <w:lang w:val="ru-RU"/>
        </w:rPr>
        <w:tab/>
      </w:r>
    </w:p>
    <w:p w14:paraId="03561C24" w14:textId="77777777" w:rsidR="00BE1885" w:rsidRPr="006A21F9" w:rsidRDefault="00BE1885" w:rsidP="00BE1885">
      <w:pPr>
        <w:pStyle w:val="Heading5"/>
        <w:rPr>
          <w:lang w:val="ru-RU"/>
        </w:rPr>
      </w:pPr>
      <w:bookmarkStart w:id="1130" w:name="_Toc133143032"/>
      <w:bookmarkStart w:id="1131" w:name="_Toc133166389"/>
      <w:bookmarkStart w:id="1132" w:name="_Toc182221599"/>
      <w:bookmarkStart w:id="1133" w:name="_Toc238453166"/>
      <w:bookmarkStart w:id="1134" w:name="_Toc238453966"/>
      <w:bookmarkStart w:id="1135" w:name="_Toc238576626"/>
      <w:r w:rsidRPr="006A21F9">
        <w:rPr>
          <w:bCs/>
          <w:lang w:val="ru-RU"/>
        </w:rPr>
        <w:t>§255. vv)</w:t>
      </w:r>
      <w:r w:rsidRPr="006A21F9">
        <w:rPr>
          <w:lang w:val="ru-RU"/>
        </w:rPr>
        <w:t xml:space="preserve"> 敬礼圣髑及上帝圣徒的其他遗骸</w:t>
      </w:r>
      <w:bookmarkEnd w:id="1130"/>
      <w:bookmarkEnd w:id="1131"/>
      <w:bookmarkEnd w:id="1132"/>
      <w:bookmarkEnd w:id="1133"/>
      <w:bookmarkEnd w:id="1134"/>
      <w:bookmarkEnd w:id="1135"/>
    </w:p>
    <w:p w14:paraId="19824E4C" w14:textId="77777777" w:rsidR="00BE1885" w:rsidRPr="006A21F9" w:rsidRDefault="00BE1885" w:rsidP="00BE1885">
      <w:pPr>
        <w:ind w:firstLine="708"/>
        <w:rPr>
          <w:lang w:val="ru-RU"/>
        </w:rPr>
      </w:pPr>
      <w:r w:rsidRPr="006A21F9">
        <w:rPr>
          <w:lang w:val="ru-RU"/>
        </w:rPr>
        <w:t>在向那些灵魂已升入天堂的上帝圣徒致以应有的敬意时——尤其是因为独一圣洁、安息于圣者之中的上帝曾安息且仍安息于他们之中——圣教会自然也会同时尊崇那些留存于世上的圣徒遗骸或躯体，这些遗骸或躯体同样有幸成为圣灵的殿宇 [(林前 6:19)；参见 (林前 3:16-17)]，以及从他们那里或通过他们而蒙受圣化的其他圣徒遗物，例如——圣母的圣衣和圣带、圣使徒彼得的锁链等。（《基督教教理问答》</w:t>
      </w:r>
      <w:r w:rsidRPr="001E4083">
        <w:t>第九条</w:t>
      </w:r>
      <w:r w:rsidRPr="006A21F9">
        <w:rPr>
          <w:lang w:val="ru-RU"/>
        </w:rPr>
        <w:t>）</w:t>
      </w:r>
    </w:p>
    <w:p w14:paraId="37027C72" w14:textId="77777777" w:rsidR="00BE1885" w:rsidRPr="006A21F9" w:rsidRDefault="00BE1885" w:rsidP="00BE1885">
      <w:pPr>
        <w:rPr>
          <w:lang w:val="ru-RU"/>
        </w:rPr>
      </w:pPr>
      <w:r w:rsidRPr="006A21F9">
        <w:rPr>
          <w:lang w:val="ru-RU"/>
        </w:rPr>
        <w:tab/>
      </w:r>
      <w:r w:rsidRPr="001E4083">
        <w:rPr>
          <w:b/>
          <w:bCs/>
        </w:rPr>
        <w:t>一</w:t>
      </w:r>
      <w:r w:rsidRPr="006A21F9">
        <w:rPr>
          <w:lang w:val="ru-RU"/>
        </w:rPr>
        <w:t>、这种对圣髑及上帝圣徒其他遗骸的自然敬礼，其坚实依据在于：上帝亲自以无数的神迹奇事来尊荣并颂扬了这些圣物。例如：</w:t>
      </w:r>
    </w:p>
    <w:p w14:paraId="756CFC26" w14:textId="77777777" w:rsidR="00BE1885" w:rsidRPr="006A21F9" w:rsidRDefault="00BE1885" w:rsidP="00BE1885">
      <w:pPr>
        <w:ind w:firstLine="708"/>
        <w:rPr>
          <w:lang w:val="ru-RU"/>
        </w:rPr>
      </w:pPr>
      <w:r w:rsidRPr="006A21F9">
        <w:rPr>
          <w:b/>
          <w:bCs/>
          <w:lang w:val="ru-RU"/>
        </w:rPr>
        <w:t xml:space="preserve">1) </w:t>
      </w:r>
      <w:r w:rsidRPr="006A21F9">
        <w:rPr>
          <w:lang w:val="ru-RU"/>
        </w:rPr>
        <w:t>在圣经中我们读到：</w:t>
      </w:r>
      <w:r w:rsidRPr="006A21F9">
        <w:rPr>
          <w:b/>
          <w:bCs/>
          <w:lang w:val="ru-RU"/>
        </w:rPr>
        <w:t>a)</w:t>
      </w:r>
      <w:r w:rsidRPr="006A21F9">
        <w:rPr>
          <w:lang w:val="ru-RU"/>
        </w:rPr>
        <w:t xml:space="preserve"> 有一具尸体，刚一触碰到先知以利沙棺材里的骸骨，便立刻复活，死者站了起来 [(列王纪下 13:21)；引自 (《西拉书》48:14-16)]；</w:t>
      </w:r>
      <w:r>
        <w:rPr>
          <w:rStyle w:val="FootnoteReference"/>
        </w:rPr>
        <w:footnoteReference w:id="1782"/>
      </w:r>
      <w:r w:rsidRPr="006A21F9">
        <w:rPr>
          <w:lang w:val="ru-RU"/>
        </w:rPr>
        <w:t xml:space="preserve"> </w:t>
      </w:r>
      <w:r w:rsidRPr="006A21F9">
        <w:rPr>
          <w:b/>
          <w:bCs/>
          <w:lang w:val="ru-RU"/>
        </w:rPr>
        <w:t xml:space="preserve">b) </w:t>
      </w:r>
      <w:r w:rsidRPr="006A21F9">
        <w:rPr>
          <w:lang w:val="ru-RU"/>
        </w:rPr>
        <w:t>以利亚留给以利沙的恩典，仅凭其触碰便使约旦河的水分开，以便这位最后的先知过河 [(《列王纪下》2:14)；引自 （《列王纪下》8章）]；</w:t>
      </w:r>
      <w:r w:rsidRPr="006A21F9">
        <w:rPr>
          <w:b/>
          <w:bCs/>
          <w:lang w:val="ru-RU"/>
        </w:rPr>
        <w:t>c)</w:t>
      </w:r>
      <w:r w:rsidRPr="006A21F9">
        <w:rPr>
          <w:lang w:val="ru-RU"/>
        </w:rPr>
        <w:t xml:space="preserve"> 甚至圣使徒保罗的头巾和毛巾，在他不在场时，只要放在病人和被恶灵附身的人身上，就能治愈疾病并驱逐污秽之灵（《使徒行传》19:12）。</w:t>
      </w:r>
    </w:p>
    <w:p w14:paraId="71123CBB" w14:textId="77777777" w:rsidR="00BE1885" w:rsidRPr="006A21F9" w:rsidRDefault="00BE1885" w:rsidP="00BE1885">
      <w:pPr>
        <w:ind w:firstLine="708"/>
        <w:rPr>
          <w:lang w:val="ru-RU"/>
        </w:rPr>
      </w:pPr>
      <w:r w:rsidRPr="006A21F9">
        <w:rPr>
          <w:b/>
          <w:bCs/>
          <w:lang w:val="ru-RU"/>
        </w:rPr>
        <w:t xml:space="preserve">2) </w:t>
      </w:r>
      <w:r w:rsidRPr="006A21F9">
        <w:rPr>
          <w:lang w:val="ru-RU"/>
        </w:rPr>
        <w:t>在教会历史上，我们可以发现无数此类奇迹，这些奇迹是主通过圣徒的圣髑和其他遗骸，为所有怀着信</w:t>
      </w:r>
      <w:r w:rsidRPr="006A21F9">
        <w:rPr>
          <w:lang w:val="ru-RU"/>
        </w:rPr>
        <w:lastRenderedPageBreak/>
        <w:t>心前来朝拜的人所行的。就连古代的圣父们和教会导师们，也曾以绝对的信念向他们的同时代人作此见证，并常常呼吁他们自己成为真理的见证人。例如：</w:t>
      </w:r>
    </w:p>
    <w:p w14:paraId="63B0C6BF" w14:textId="77777777" w:rsidR="00BE1885" w:rsidRPr="006A21F9" w:rsidRDefault="00BE1885" w:rsidP="00BE1885">
      <w:pPr>
        <w:rPr>
          <w:lang w:val="ru-RU"/>
        </w:rPr>
      </w:pPr>
      <w:r w:rsidRPr="006A21F9">
        <w:rPr>
          <w:lang w:val="ru-RU"/>
        </w:rPr>
        <w:tab/>
        <w:t>圣格里高利·神学家——在致圣殉道者基普里安的讲道中说道：“你们自己应当回想其余的一切，例如：驱逐恶魔、医治疾病、预知未来。 这一切，在信仰的帮助下，就连基普里安的遗骸也能施展，正如那些亲身经历过的人所知，正是他们将关于奇迹的记忆传给了我们，并将继续传给后世。”</w:t>
      </w:r>
      <w:r>
        <w:rPr>
          <w:rStyle w:val="FootnoteReference"/>
        </w:rPr>
        <w:footnoteReference w:id="1783"/>
      </w:r>
      <w:r w:rsidRPr="006A21F9">
        <w:rPr>
          <w:lang w:val="ru-RU"/>
        </w:rPr>
        <w:t xml:space="preserve"> 在另一段话中提到：“他们（圣殉道者）因盛大的礼仪和节日而备受尊崇，他们驱逐恶魔、医治疾病、显现神迹、预言未来； 当人们触摸并敬奉他们的遗体时，这些遗体所发挥的作用与他们圣洁的灵魂同样强大；甚至一滴血，以及所有带有他们受难痕迹之物，其效力都与他们的身体一样真实。”</w:t>
      </w:r>
      <w:r>
        <w:rPr>
          <w:rStyle w:val="FootnoteReference"/>
        </w:rPr>
        <w:footnoteReference w:id="1784"/>
      </w:r>
    </w:p>
    <w:p w14:paraId="0FC56E1F" w14:textId="77777777" w:rsidR="00BE1885" w:rsidRPr="006A21F9" w:rsidRDefault="00BE1885" w:rsidP="00BE1885">
      <w:pPr>
        <w:rPr>
          <w:lang w:val="ru-RU"/>
        </w:rPr>
      </w:pPr>
      <w:r w:rsidRPr="006A21F9">
        <w:rPr>
          <w:lang w:val="ru-RU"/>
        </w:rPr>
        <w:tab/>
        <w:t>圣安布罗斯——在圣赫尔瓦西乌斯和普罗塔西乌斯圣髑开棺仪式上的讲道中说道：“你们已经知道，甚至亲眼目睹了许多人从恶魔手中得释放，还有更多的人，只要用手触摸圣人的衣袍，便立刻从疾病中痊愈。 自那以来，古时的奇迹便重现了， 因为随着主耶稣的降临，最丰沛的恩典倾注于大地：你们看到许多人仿佛因圣徒的影子而痊愈。有多少手帕在人们手中传递！ 有多少曾覆盖在至圣遗骸上的衣物——仅因一次触碰便具有了治愈之力——正被信徒们彼此索求！所有人都竭力争取哪怕只触碰一下，而触碰过的人便会痊愈。”</w:t>
      </w:r>
      <w:r>
        <w:rPr>
          <w:rStyle w:val="FootnoteReference"/>
        </w:rPr>
        <w:footnoteReference w:id="1785"/>
      </w:r>
    </w:p>
    <w:p w14:paraId="241E61D9" w14:textId="77777777" w:rsidR="00BE1885" w:rsidRPr="006A21F9" w:rsidRDefault="00BE1885" w:rsidP="00BE1885">
      <w:pPr>
        <w:rPr>
          <w:lang w:val="ru-RU"/>
        </w:rPr>
      </w:pPr>
      <w:r w:rsidRPr="006A21F9">
        <w:rPr>
          <w:lang w:val="ru-RU"/>
        </w:rPr>
        <w:tab/>
        <w:t>圣埃弗拉姆·西里尔：“即使在死后，他们（殉道者）依然如同活人一般，医治病人，驱逐恶魔，并凭着主的权能抵御他们那残暴统治所带来的各种邪恶影响。因为圣髑中始终蕴含着圣灵行奇迹的恩典。”</w:t>
      </w:r>
      <w:r>
        <w:rPr>
          <w:rStyle w:val="FootnoteReference"/>
        </w:rPr>
        <w:footnoteReference w:id="1786"/>
      </w:r>
    </w:p>
    <w:p w14:paraId="3C9C795B" w14:textId="77777777" w:rsidR="00BE1885" w:rsidRPr="006A21F9" w:rsidRDefault="00BE1885" w:rsidP="00BE1885">
      <w:pPr>
        <w:rPr>
          <w:lang w:val="ru-RU"/>
        </w:rPr>
      </w:pPr>
      <w:r w:rsidRPr="006A21F9">
        <w:rPr>
          <w:lang w:val="ru-RU"/>
        </w:rPr>
        <w:tab/>
        <w:t>圣约翰·金口：“不仅圣徒的遗体，就连他们的坟墓本身也充满了恩典。 因为若在以利沙时代曾发生过类似之事——死者仅因触碰他的坟墓便挣脱了死亡的枷锁，重获新生——那么如今，当恩典更为丰沛、圣灵的作为更为丰硕之时，那些怀着信心触摸（圣徒）坟墓的人，自然能从中获得巨大的益处。 因此，上帝将圣徒的遗骸留给我们，仿佛要亲手引领我们效法他们当年的热忱，并赐予我们一处避风港，以及对抗四面八方环绕我们的邪恶的可靠良药。”</w:t>
      </w:r>
      <w:r>
        <w:rPr>
          <w:rStyle w:val="FootnoteReference"/>
        </w:rPr>
        <w:footnoteReference w:id="1787"/>
      </w:r>
      <w:r w:rsidRPr="006A21F9">
        <w:rPr>
          <w:lang w:val="ru-RU"/>
        </w:rPr>
        <w:t xml:space="preserve"> “圣徒的骸骨……制服并折磨恶魔，解开被其残酷枷锁束缚的灵魂…… 尘土、骸骨与灰烬，折磨着那些无形之物。”</w:t>
      </w:r>
      <w:r>
        <w:rPr>
          <w:rStyle w:val="FootnoteReference"/>
        </w:rPr>
        <w:footnoteReference w:id="1788"/>
      </w:r>
      <w:r w:rsidRPr="006A21F9">
        <w:rPr>
          <w:lang w:val="ru-RU"/>
        </w:rPr>
        <w:t xml:space="preserve"> “不要只看眼前这具赤裸且失去灵魂活动的殉道者躯体，而要看其中蕴含着另一种、比灵魂本身更强大的力量——圣灵的恩典，它通过自己的神迹，使我们确信复活的真理。 因为，倘若上帝赐予那些已死并化为尘土的躯体一种活人所不具备的力量，那么在审判之日，祂岂不更会赐予他们比以往更美好、更幸福的生命吗？”</w:t>
      </w:r>
      <w:r>
        <w:rPr>
          <w:rStyle w:val="FootnoteReference"/>
        </w:rPr>
        <w:footnoteReference w:id="1789"/>
      </w:r>
    </w:p>
    <w:p w14:paraId="59E86263" w14:textId="77777777" w:rsidR="00BE1885" w:rsidRPr="006A21F9" w:rsidRDefault="00BE1885" w:rsidP="00BE1885">
      <w:pPr>
        <w:rPr>
          <w:lang w:val="ru-RU"/>
        </w:rPr>
      </w:pPr>
      <w:r w:rsidRPr="006A21F9">
        <w:rPr>
          <w:lang w:val="ru-RU"/>
        </w:rPr>
        <w:lastRenderedPageBreak/>
        <w:tab/>
        <w:t>圣奥古斯丁特别讲述了在他那个时代，在众多见证人面前，从圣殉道者斯蒂芬的圣髑中发生的许多奇迹，并指出： “这些圣髑被安放在希波还不到两年，虽然自那时以来发生的奇迹并非全部都记录在案，但已记录下来的数量已达七十起。 而在卡拉梅，那里自古以来就供奉着这位圣殉道者的圣髑，且当地人更致力于收集有关神迹的资料，其数量则高出许多。”</w:t>
      </w:r>
      <w:r>
        <w:rPr>
          <w:rStyle w:val="FootnoteReference"/>
        </w:rPr>
        <w:footnoteReference w:id="1790"/>
      </w:r>
    </w:p>
    <w:p w14:paraId="431350FF" w14:textId="77777777" w:rsidR="00BE1885" w:rsidRPr="006A21F9" w:rsidRDefault="00BE1885" w:rsidP="00BE1885">
      <w:pPr>
        <w:rPr>
          <w:lang w:val="ru-RU"/>
        </w:rPr>
      </w:pPr>
      <w:r w:rsidRPr="006A21F9">
        <w:rPr>
          <w:lang w:val="ru-RU"/>
        </w:rPr>
        <w:tab/>
        <w:t>关于圣徒遗骸乃至所有上帝圣徒遗骸在各个时代所显神迹的类似见证，在后来的教会导师</w:t>
      </w:r>
      <w:r>
        <w:rPr>
          <w:rStyle w:val="FootnoteReference"/>
        </w:rPr>
        <w:footnoteReference w:id="1791"/>
      </w:r>
      <w:r w:rsidRPr="006A21F9">
        <w:rPr>
          <w:lang w:val="ru-RU"/>
        </w:rPr>
        <w:t xml:space="preserve"> 和历史学家</w:t>
      </w:r>
      <w:r>
        <w:rPr>
          <w:rStyle w:val="FootnoteReference"/>
        </w:rPr>
        <w:footnoteReference w:id="1792"/>
      </w:r>
      <w:r w:rsidRPr="006A21F9">
        <w:rPr>
          <w:lang w:val="ru-RU"/>
        </w:rPr>
        <w:t xml:space="preserve"> 的著作中屡见不鲜，同样见于圣徒传记</w:t>
      </w:r>
      <w:r>
        <w:rPr>
          <w:rStyle w:val="FootnoteReference"/>
        </w:rPr>
        <w:footnoteReference w:id="1793"/>
      </w:r>
      <w:r w:rsidRPr="006A21F9">
        <w:rPr>
          <w:lang w:val="ru-RU"/>
        </w:rPr>
        <w:t xml:space="preserve"> 及其他流传至今的传说中。</w:t>
      </w:r>
      <w:r>
        <w:rPr>
          <w:rStyle w:val="FootnoteReference"/>
        </w:rPr>
        <w:footnoteReference w:id="1794"/>
      </w:r>
    </w:p>
    <w:p w14:paraId="57172917" w14:textId="77777777" w:rsidR="00BE1885" w:rsidRPr="006A21F9" w:rsidRDefault="00BE1885" w:rsidP="00BE1885">
      <w:pPr>
        <w:ind w:firstLine="708"/>
        <w:rPr>
          <w:lang w:val="ru-RU"/>
        </w:rPr>
      </w:pPr>
      <w:r w:rsidRPr="006A21F9">
        <w:rPr>
          <w:b/>
          <w:bCs/>
          <w:lang w:val="ru-RU"/>
        </w:rPr>
        <w:t>3)</w:t>
      </w:r>
      <w:r w:rsidRPr="006A21F9">
        <w:rPr>
          <w:lang w:val="ru-RU"/>
        </w:rPr>
        <w:t xml:space="preserve"> 主借以荣耀许多祂的圣徒之躯的奇迹中，尤为引人注目的是他们的不朽——当这一奇迹在现实中得以实现时，便应验了那位先知君王所预言的：</w:t>
      </w:r>
      <w:r w:rsidRPr="006A21F9">
        <w:rPr>
          <w:i/>
          <w:iCs/>
          <w:lang w:val="ru-RU"/>
        </w:rPr>
        <w:t>“主啊，祢必不将朽坏赐给祢的圣者”</w:t>
      </w:r>
      <w:r w:rsidRPr="006A21F9">
        <w:rPr>
          <w:lang w:val="ru-RU"/>
        </w:rPr>
        <w:t xml:space="preserve"> （诗篇 15:10），这一预言首先在从死里复活的首生者耶稣基督身上应验了（使徒行传 2:27）——以及古代以色列智者对义人的祝福：他们的骸骨 将从安息之地繁茂生长[（德训篇 46:14）； 注。（《便西拉智训》49:12）；（《以赛亚书》58:11）]。</w:t>
      </w:r>
      <w:r>
        <w:rPr>
          <w:rStyle w:val="FootnoteReference"/>
        </w:rPr>
        <w:footnoteReference w:id="1795"/>
      </w:r>
      <w:r w:rsidRPr="006A21F9">
        <w:rPr>
          <w:lang w:val="ru-RU"/>
        </w:rPr>
        <w:t xml:space="preserve"> 圣髑的不朽，即它们因上帝的神迹之力而超脱于普遍的腐朽法则之外，这仿佛是给我们关于未来身体复活的生动教训，也是对我们最强有力的激励——让我们敬奉这些蒙上帝荣耀的义人的圣髑，并效法他们的信仰，</w:t>
      </w:r>
      <w:r>
        <w:rPr>
          <w:rStyle w:val="FootnoteReference"/>
        </w:rPr>
        <w:footnoteReference w:id="1796"/>
      </w:r>
      <w:r w:rsidRPr="006A21F9">
        <w:rPr>
          <w:lang w:val="ru-RU"/>
        </w:rPr>
        <w:t xml:space="preserve"> 这一点毫无疑问。 </w:t>
      </w:r>
      <w:r w:rsidRPr="006A21F9">
        <w:rPr>
          <w:lang w:val="ru-RU"/>
        </w:rPr>
        <w:lastRenderedPageBreak/>
        <w:t>在基辅、诺夫哥罗德、莫斯科、沃洛格达，以及我们这片蒙上帝庇佑的祖国许多其他地方，都有许多不朽的遗骸公开展示：这些圣徒的遗骸，通过源源不断的奇迹，向怀着信仰前来朝拜的人们大声见证着其不朽的真理。</w:t>
      </w:r>
      <w:r>
        <w:rPr>
          <w:rStyle w:val="FootnoteReference"/>
        </w:rPr>
        <w:footnoteReference w:id="1797"/>
      </w:r>
    </w:p>
    <w:p w14:paraId="2E904B1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与此同时，正如主上帝历来通过无数神迹来荣耀祂的圣徒遗骸一样，圣教会也历来遵循神圣传统，对圣徒遗骸给予应有的敬礼。</w:t>
      </w:r>
    </w:p>
    <w:p w14:paraId="709EB016" w14:textId="77777777" w:rsidR="00BE1885" w:rsidRPr="006A21F9" w:rsidRDefault="00BE1885" w:rsidP="00BE1885">
      <w:pPr>
        <w:ind w:firstLine="708"/>
        <w:rPr>
          <w:lang w:val="ru-RU"/>
        </w:rPr>
      </w:pPr>
      <w:r w:rsidRPr="006A21F9">
        <w:rPr>
          <w:b/>
          <w:bCs/>
          <w:lang w:val="ru-RU"/>
        </w:rPr>
        <w:t>1)</w:t>
      </w:r>
      <w:r w:rsidRPr="006A21F9">
        <w:rPr>
          <w:lang w:val="ru-RU"/>
        </w:rPr>
        <w:t xml:space="preserve"> 这种敬意表现为：</w:t>
      </w:r>
      <w:r w:rsidRPr="006A21F9">
        <w:rPr>
          <w:b/>
          <w:bCs/>
          <w:lang w:val="ru-RU"/>
        </w:rPr>
        <w:t>a)</w:t>
      </w:r>
      <w:r w:rsidRPr="006A21F9">
        <w:rPr>
          <w:lang w:val="ru-RU"/>
        </w:rPr>
        <w:t xml:space="preserve"> 虔诚地收集和保存上帝圣徒的遗骸，这一点可从二世纪关于圣伊格纳提乌斯·神载者</w:t>
      </w:r>
      <w:r>
        <w:rPr>
          <w:rStyle w:val="FootnoteReference"/>
        </w:rPr>
        <w:footnoteReference w:id="1798"/>
      </w:r>
      <w:r w:rsidRPr="006A21F9">
        <w:rPr>
          <w:lang w:val="ru-RU"/>
        </w:rPr>
        <w:t xml:space="preserve"> 和圣波利卡普</w:t>
      </w:r>
      <w:r>
        <w:rPr>
          <w:rStyle w:val="FootnoteReference"/>
        </w:rPr>
        <w:footnoteReference w:id="1799"/>
      </w:r>
      <w:r w:rsidRPr="006A21F9">
        <w:rPr>
          <w:lang w:val="ru-RU"/>
        </w:rPr>
        <w:t xml:space="preserve"> 殉道的事迹，以及后世的记载中得知；</w:t>
      </w:r>
      <w:r>
        <w:rPr>
          <w:rStyle w:val="FootnoteReference"/>
        </w:rPr>
        <w:footnoteReference w:id="1800"/>
      </w:r>
      <w:r w:rsidRPr="006A21F9">
        <w:rPr>
          <w:lang w:val="ru-RU"/>
        </w:rPr>
        <w:t xml:space="preserve"> </w:t>
      </w:r>
      <w:r w:rsidRPr="006A21F9">
        <w:rPr>
          <w:b/>
          <w:bCs/>
          <w:lang w:val="ru-RU"/>
        </w:rPr>
        <w:t xml:space="preserve">b) </w:t>
      </w:r>
      <w:r w:rsidRPr="006A21F9">
        <w:rPr>
          <w:lang w:val="ru-RU"/>
        </w:rPr>
        <w:t>在圣髑的隆重出土与迁移仪式中，</w:t>
      </w:r>
      <w:r>
        <w:rPr>
          <w:rStyle w:val="FootnoteReference"/>
        </w:rPr>
        <w:footnoteReference w:id="1801"/>
      </w:r>
      <w:r w:rsidRPr="006A21F9">
        <w:rPr>
          <w:lang w:val="ru-RU"/>
        </w:rPr>
        <w:t xml:space="preserve"> </w:t>
      </w:r>
      <w:r w:rsidRPr="006A21F9">
        <w:rPr>
          <w:b/>
          <w:bCs/>
          <w:lang w:val="ru-RU"/>
        </w:rPr>
        <w:t xml:space="preserve">c) </w:t>
      </w:r>
      <w:r w:rsidRPr="006A21F9">
        <w:rPr>
          <w:lang w:val="ru-RU"/>
        </w:rPr>
        <w:t>在圣髑之上建造圣殿或祭坛；</w:t>
      </w:r>
      <w:r>
        <w:rPr>
          <w:rStyle w:val="FootnoteReference"/>
        </w:rPr>
        <w:footnoteReference w:id="1802"/>
      </w:r>
      <w:r w:rsidRPr="006A21F9">
        <w:rPr>
          <w:lang w:val="ru-RU"/>
        </w:rPr>
        <w:t xml:space="preserve"> </w:t>
      </w:r>
      <w:r w:rsidRPr="006A21F9">
        <w:rPr>
          <w:b/>
          <w:bCs/>
          <w:lang w:val="ru-RU"/>
        </w:rPr>
        <w:t>d)</w:t>
      </w:r>
      <w:r w:rsidRPr="006A21F9">
        <w:rPr>
          <w:lang w:val="ru-RU"/>
        </w:rPr>
        <w:t xml:space="preserve"> 设立纪念圣髑出土或迁移的庆节；</w:t>
      </w:r>
      <w:r>
        <w:rPr>
          <w:rStyle w:val="FootnoteReference"/>
        </w:rPr>
        <w:footnoteReference w:id="1803"/>
      </w:r>
      <w:r w:rsidRPr="006A21F9">
        <w:rPr>
          <w:lang w:val="ru-RU"/>
        </w:rPr>
        <w:t xml:space="preserve"> </w:t>
      </w:r>
      <w:r w:rsidRPr="006A21F9">
        <w:rPr>
          <w:b/>
          <w:bCs/>
          <w:lang w:val="ru-RU"/>
        </w:rPr>
        <w:t>e)</w:t>
      </w:r>
      <w:r w:rsidRPr="006A21F9">
        <w:rPr>
          <w:lang w:val="ru-RU"/>
        </w:rPr>
        <w:t xml:space="preserve"> 前往圣墓朝圣并加以装饰；</w:t>
      </w:r>
      <w:r>
        <w:rPr>
          <w:rStyle w:val="FootnoteReference"/>
        </w:rPr>
        <w:footnoteReference w:id="1804"/>
      </w:r>
      <w:r w:rsidRPr="006A21F9">
        <w:rPr>
          <w:lang w:val="ru-RU"/>
        </w:rPr>
        <w:t xml:space="preserve"> </w:t>
      </w:r>
      <w:r w:rsidRPr="006A21F9">
        <w:rPr>
          <w:b/>
          <w:bCs/>
          <w:lang w:val="ru-RU"/>
        </w:rPr>
        <w:t xml:space="preserve">e) </w:t>
      </w:r>
      <w:r w:rsidRPr="006A21F9">
        <w:rPr>
          <w:lang w:val="ru-RU"/>
        </w:rPr>
        <w:t>在教会的恒久规条中——将圣殉道者的圣髑置于祭坛基座之下，否则不予祝圣教堂。</w:t>
      </w:r>
      <w:r>
        <w:rPr>
          <w:rStyle w:val="FootnoteReference"/>
        </w:rPr>
        <w:footnoteReference w:id="1805"/>
      </w:r>
      <w:r w:rsidRPr="006A21F9">
        <w:rPr>
          <w:lang w:val="ru-RU"/>
        </w:rPr>
        <w:t xml:space="preserve"> 基督徒对上帝圣徒的敬意 不仅延伸至他们的遗体或圣髑，还延伸至殉道者受难和死亡的器具，</w:t>
      </w:r>
      <w:r>
        <w:rPr>
          <w:rStyle w:val="FootnoteReference"/>
        </w:rPr>
        <w:footnoteReference w:id="1806"/>
      </w:r>
      <w:r w:rsidRPr="006A21F9">
        <w:rPr>
          <w:lang w:val="ru-RU"/>
        </w:rPr>
        <w:t xml:space="preserve"> 以及圣徒生前使用过的物品。 </w:t>
      </w:r>
      <w:r w:rsidRPr="006A21F9">
        <w:rPr>
          <w:lang w:val="ru-RU"/>
        </w:rPr>
        <w:lastRenderedPageBreak/>
        <w:t>正如优西比乌所见证的：“雅各的讲台——他最先从救主本人（基督教教会中有传统认为雅各是由救主亲自按立为主教的）和使徒们那里获得了耶路撒冷教会的首任主教职位，且被神圣经文 （加拉太书1:19）所称的‘基督的兄弟’——至今仍被保存下来。那里的弟兄们代代守护着它，借此向所有人清楚地表明，无论是古代还是当今的基督徒，都因圣徒们对上帝的爱而对他们怀有敬畏之心。”</w:t>
      </w:r>
      <w:r>
        <w:rPr>
          <w:rStyle w:val="FootnoteReference"/>
        </w:rPr>
        <w:footnoteReference w:id="1807"/>
      </w:r>
    </w:p>
    <w:p w14:paraId="12D6354E" w14:textId="77777777" w:rsidR="00BE1885" w:rsidRPr="006A21F9" w:rsidRDefault="00BE1885" w:rsidP="00BE1885">
      <w:pPr>
        <w:ind w:firstLine="708"/>
        <w:rPr>
          <w:lang w:val="ru-RU"/>
        </w:rPr>
      </w:pPr>
      <w:r w:rsidRPr="006A21F9">
        <w:rPr>
          <w:b/>
          <w:bCs/>
          <w:lang w:val="ru-RU"/>
        </w:rPr>
        <w:t>2)</w:t>
      </w:r>
      <w:r w:rsidRPr="006A21F9">
        <w:rPr>
          <w:lang w:val="ru-RU"/>
        </w:rPr>
        <w:t xml:space="preserve"> 圣父们和教会的导师们不断在基督徒心中激发并维护这种对上帝仆人圣髑的敬意，阐明其真正的精神，并保护信徒免受异端思想的侵害。例如：</w:t>
      </w:r>
    </w:p>
    <w:p w14:paraId="3EC7A7CF" w14:textId="77777777" w:rsidR="00BE1885" w:rsidRPr="006A21F9" w:rsidRDefault="00BE1885" w:rsidP="00BE1885">
      <w:pPr>
        <w:rPr>
          <w:lang w:val="ru-RU"/>
        </w:rPr>
      </w:pPr>
      <w:r w:rsidRPr="006A21F9">
        <w:rPr>
          <w:lang w:val="ru-RU"/>
        </w:rPr>
        <w:tab/>
        <w:t>圣约翰·金口在赞美伊格纳提乌斯·神载者的讲道中对听众说：“让我们日日奔向这位圣人，从他那里领受属灵的恩赐。 凡怀着信心亲近他的人，都将获得巨大的恩惠。因为不仅圣徒的遗体，就连他们的圣龛也充满了恩典的属灵恩赐…… 因此，我呼吁你们所有人——无论谁正处于悲伤之中、身患疾病、遭受委屈、遭遇其他世俗不幸，抑或深陷罪孽之中——都请怀着信心奔向这里：你们将获得帮助，并满怀喜乐地从这里离开，仅凭一瞥便能使你们的良心得到宽慰…… 这宝藏对所有人都是必需的，这避难所是可靠的——对不幸者而言，因为它能使他们脱离灾难；对幸福者而言，因为它能巩固他们的幸福；对患病者而言，因为它能使他们恢复健康；对健康者而言，因为它能驱除疾病。”</w:t>
      </w:r>
      <w:r>
        <w:rPr>
          <w:rStyle w:val="FootnoteReference"/>
        </w:rPr>
        <w:footnoteReference w:id="1808"/>
      </w:r>
      <w:r w:rsidRPr="006A21F9">
        <w:rPr>
          <w:lang w:val="ru-RU"/>
        </w:rPr>
        <w:t xml:space="preserve"> 在赞颂圣殉道者尤文丁和马克西姆的词中写道：“让我们时刻前往他们面前，触摸他们的圣龛，并怀着虔诚之心拥抱他们的遗骸，以便从他们那里获得某种祝福。 因为，正如战士向君王展示他们从敌人那里受的伤时，会大胆地对他说话；同样，这些殉道者手持自己被砍下的头颅，走到众人中间，便能向天上的君王恳求他们所愿的一切。”</w:t>
      </w:r>
      <w:r>
        <w:rPr>
          <w:rStyle w:val="FootnoteReference"/>
        </w:rPr>
        <w:footnoteReference w:id="1809"/>
      </w:r>
      <w:r w:rsidRPr="006A21F9">
        <w:rPr>
          <w:lang w:val="ru-RU"/>
        </w:rPr>
        <w:t xml:space="preserve"> 在赞美埃及殉道者的词中写道：“如果从前那些行奇事的人，会呼求圣徒之名求助， 亚伯拉罕、以撒和雅各，仅凭对这些名字的追念便获得了巨大的恩惠，借此使上帝动了慈心；那么，我们这些不仅追念圣名，更仰赖那些为上帝之名奋战的殉道者遗骸的人，岂不更能使祂动了慈心吗？”</w:t>
      </w:r>
      <w:r>
        <w:rPr>
          <w:rStyle w:val="FootnoteReference"/>
        </w:rPr>
        <w:footnoteReference w:id="1810"/>
      </w:r>
    </w:p>
    <w:p w14:paraId="0C7D8C11" w14:textId="77777777" w:rsidR="00BE1885" w:rsidRPr="006A21F9" w:rsidRDefault="00BE1885" w:rsidP="00BE1885">
      <w:pPr>
        <w:rPr>
          <w:lang w:val="ru-RU"/>
        </w:rPr>
      </w:pPr>
      <w:r w:rsidRPr="006A21F9">
        <w:rPr>
          <w:lang w:val="ru-RU"/>
        </w:rPr>
        <w:tab/>
        <w:t>福者杰罗姆曾致信鲁佩里乌斯长老说：“我并非说——我们敬奉（</w:t>
      </w:r>
      <w:r w:rsidRPr="001E4083">
        <w:t>colimus</w:t>
      </w:r>
      <w:r w:rsidRPr="0097554A">
        <w:rPr>
          <w:lang w:val="ru-RU"/>
        </w:rPr>
        <w:t xml:space="preserve"> </w:t>
      </w:r>
      <w:r w:rsidRPr="001E4083">
        <w:t>et</w:t>
      </w:r>
      <w:r w:rsidRPr="0097554A">
        <w:rPr>
          <w:lang w:val="ru-RU"/>
        </w:rPr>
        <w:t xml:space="preserve"> </w:t>
      </w:r>
      <w:r w:rsidRPr="001E4083">
        <w:t>adoramus</w:t>
      </w:r>
      <w:r w:rsidRPr="006A21F9">
        <w:rPr>
          <w:lang w:val="ru-RU"/>
        </w:rPr>
        <w:t>）殉道者的遗骸，以免我们更尊崇受造之物，而非造物主。 而是我们尊崇（</w:t>
      </w:r>
      <w:r w:rsidRPr="001E4083">
        <w:t>honoramus</w:t>
      </w:r>
      <w:r w:rsidRPr="006A21F9">
        <w:rPr>
          <w:lang w:val="ru-RU"/>
        </w:rPr>
        <w:t>）殉道者的遗骸，为要神圣地敬拜（</w:t>
      </w:r>
      <w:r w:rsidRPr="001E4083">
        <w:t>ut</w:t>
      </w:r>
      <w:r w:rsidRPr="0097554A">
        <w:rPr>
          <w:lang w:val="ru-RU"/>
        </w:rPr>
        <w:t xml:space="preserve"> </w:t>
      </w:r>
      <w:r w:rsidRPr="001E4083">
        <w:t>adoremus</w:t>
      </w:r>
      <w:r w:rsidRPr="006A21F9">
        <w:rPr>
          <w:lang w:val="ru-RU"/>
        </w:rPr>
        <w:t>）那位使他们成为殉道者的主。我们尊崇这些仆人，使对他们的尊崇归于那位</w:t>
      </w:r>
      <w:r w:rsidRPr="006A21F9">
        <w:rPr>
          <w:i/>
          <w:iCs/>
          <w:lang w:val="ru-RU"/>
        </w:rPr>
        <w:t>曾说‘接待你们的，就是接待我’</w:t>
      </w:r>
      <w:r w:rsidRPr="006A21F9">
        <w:rPr>
          <w:lang w:val="ru-RU"/>
        </w:rPr>
        <w:t>（玛10:40）的主。”</w:t>
      </w:r>
      <w:r>
        <w:rPr>
          <w:rStyle w:val="FootnoteReference"/>
        </w:rPr>
        <w:footnoteReference w:id="1811"/>
      </w:r>
    </w:p>
    <w:p w14:paraId="47730FD0" w14:textId="77777777" w:rsidR="00BE1885" w:rsidRPr="006A21F9" w:rsidRDefault="00BE1885" w:rsidP="00BE1885">
      <w:pPr>
        <w:rPr>
          <w:lang w:val="ru-RU"/>
        </w:rPr>
      </w:pPr>
      <w:r w:rsidRPr="006A21F9">
        <w:rPr>
          <w:lang w:val="ru-RU"/>
        </w:rPr>
        <w:tab/>
        <w:t xml:space="preserve">第七次大公会议的教父们裁定：‘我们的主耶稣基督将圣徒的遗骸赐予我们，作为救赎之泉，以多种方式将恩惠倾注于软弱之人。 </w:t>
      </w:r>
      <w:r w:rsidRPr="006A21F9">
        <w:rPr>
          <w:lang w:val="ru-RU"/>
        </w:rPr>
        <w:lastRenderedPageBreak/>
        <w:t>因此，那些明知殉道者圣髑真实可信却仍胆敢否认的人：若是主教或神职人员，当予以罢免；若是修士或平信徒，当剥夺其领圣体之权。”</w:t>
      </w:r>
      <w:r>
        <w:rPr>
          <w:rStyle w:val="FootnoteReference"/>
        </w:rPr>
        <w:footnoteReference w:id="1812"/>
      </w:r>
    </w:p>
    <w:p w14:paraId="24327BC6" w14:textId="77777777" w:rsidR="00BE1885" w:rsidRPr="006A21F9" w:rsidRDefault="00BE1885" w:rsidP="00BE1885">
      <w:pPr>
        <w:rPr>
          <w:lang w:val="ru-RU"/>
        </w:rPr>
      </w:pPr>
      <w:r w:rsidRPr="006A21F9">
        <w:rPr>
          <w:lang w:val="ru-RU"/>
        </w:rPr>
        <w:tab/>
      </w:r>
    </w:p>
    <w:p w14:paraId="3FC33345" w14:textId="77777777" w:rsidR="00BE1885" w:rsidRPr="006A21F9" w:rsidRDefault="00BE1885" w:rsidP="00BE1885">
      <w:pPr>
        <w:pStyle w:val="Heading5"/>
        <w:rPr>
          <w:lang w:val="ru-RU"/>
        </w:rPr>
      </w:pPr>
      <w:bookmarkStart w:id="1136" w:name="_Toc133143033"/>
      <w:bookmarkStart w:id="1137" w:name="_Toc133166390"/>
      <w:bookmarkStart w:id="1138" w:name="_Toc182221600"/>
      <w:bookmarkStart w:id="1139" w:name="_Toc238453167"/>
      <w:bookmarkStart w:id="1140" w:name="_Toc238453967"/>
      <w:bookmarkStart w:id="1141" w:name="_Toc238576627"/>
      <w:r w:rsidRPr="006A21F9">
        <w:rPr>
          <w:bCs/>
          <w:lang w:val="ru-RU"/>
        </w:rPr>
        <w:t xml:space="preserve">§256. (gg) </w:t>
      </w:r>
      <w:r w:rsidRPr="006A21F9">
        <w:rPr>
          <w:lang w:val="ru-RU"/>
        </w:rPr>
        <w:t>对圣像的敬礼</w:t>
      </w:r>
      <w:bookmarkEnd w:id="1136"/>
      <w:bookmarkEnd w:id="1137"/>
      <w:bookmarkEnd w:id="1138"/>
      <w:bookmarkEnd w:id="1139"/>
      <w:bookmarkEnd w:id="1140"/>
      <w:bookmarkEnd w:id="1141"/>
    </w:p>
    <w:p w14:paraId="3E92BDD3" w14:textId="77777777" w:rsidR="00BE1885" w:rsidRPr="006A21F9" w:rsidRDefault="00BE1885" w:rsidP="00BE1885">
      <w:pPr>
        <w:ind w:firstLine="708"/>
        <w:rPr>
          <w:lang w:val="ru-RU"/>
        </w:rPr>
      </w:pPr>
      <w:r w:rsidRPr="006A21F9">
        <w:rPr>
          <w:lang w:val="ru-RU"/>
        </w:rPr>
        <w:t>在敬奉已升入天国的圣徒，并尊崇他们在世上的圣髑的同时，东正教会也虔诚地使用并敬奉上帝恩人的圣像，以及主上帝和天使们的圣像。 关于圣像的教义由第七次大公会议明确阐述如下：“遵循我们圣父们所传讲的上帝之道，以及普世教会的传统（因为我们确信，圣灵就居住在其中），我们以绝对的确定性和审慎的考量断定： 如同尊崇那圣洁且赐予生命之十字架一般，允许在神的圣殿中、在受过祝圣的器皿和圣衣上、在墙壁和木板上、在家中以及道路上， 那些用颜料绘制、以细小宝石镶嵌，或以其他适宜材料制作的尊贵而神圣的圣像，例如我们主、上帝及救主耶稣基督的圣像，我们无瑕的圣母——圣母玛利亚的圣像，以及尊贵的天使和所有圣徒与敬虔之人的圣像。 因为他们常在圣像上显现，所以凝视圣像的人便会努力追念并爱慕他们的原型，并通过亲吻和恭敬的敬拜来尊崇他们——这并非根据我们的信仰所应有的、 那唯独属于唯一神性本体的敬拜，而是像对尊贵且赐予生命的圣十字架、圣福音书及其他圣物那样，通过焚香和点燃蜡烛来表达敬意——这正是古人虔诚的习俗。 因为对圣像所献的敬意，会传递到原型之上；敬拜圣像的人，实际上是在敬拜圣像所描绘的本体。因此，我们的圣父们的教义——即普世教会（从地极到地极都接受了福音的教会）的传统——便是如此确立的”（《规条集》 第5、6页）。从这些话中可以看出，圣教会诫命：</w:t>
      </w:r>
      <w:r w:rsidRPr="006A21F9">
        <w:rPr>
          <w:b/>
          <w:bCs/>
          <w:lang w:val="ru-RU"/>
        </w:rPr>
        <w:t>a）</w:t>
      </w:r>
      <w:r w:rsidRPr="006A21F9">
        <w:rPr>
          <w:lang w:val="ru-RU"/>
        </w:rPr>
        <w:t>不仅要在教堂、家中及其他场所使用圣像，以激发我们追念上帝及其圣徒并效法他们，</w:t>
      </w:r>
      <w:r w:rsidRPr="006A21F9">
        <w:rPr>
          <w:b/>
          <w:bCs/>
          <w:lang w:val="ru-RU"/>
        </w:rPr>
        <w:t xml:space="preserve">而且——b） </w:t>
      </w:r>
      <w:r w:rsidRPr="006A21F9">
        <w:rPr>
          <w:lang w:val="ru-RU"/>
        </w:rPr>
        <w:t>还要尊崇或敬礼这些神圣的图像——这种敬礼并非以唯一神所应得的敬拜或侍奉（</w:t>
      </w:r>
      <w:r w:rsidRPr="001E4083">
        <w:t>λατρεία</w:t>
      </w:r>
      <w:r w:rsidRPr="006A21F9">
        <w:rPr>
          <w:lang w:val="ru-RU"/>
        </w:rPr>
        <w:t>）形式进行，而是仅以尊崇性的敬礼（</w:t>
      </w:r>
      <w:r w:rsidRPr="001E4083">
        <w:t>τιμητική</w:t>
      </w:r>
      <w:r w:rsidRPr="0097554A">
        <w:rPr>
          <w:lang w:val="ru-RU"/>
        </w:rPr>
        <w:t xml:space="preserve"> </w:t>
      </w:r>
      <w:r w:rsidRPr="001E4083">
        <w:t>προσκύνησις</w:t>
      </w:r>
      <w:r w:rsidRPr="006A21F9">
        <w:rPr>
          <w:lang w:val="ru-RU"/>
        </w:rPr>
        <w:t>）形式进行，</w:t>
      </w:r>
      <w:r>
        <w:rPr>
          <w:rStyle w:val="FootnoteReference"/>
        </w:rPr>
        <w:footnoteReference w:id="1813"/>
      </w:r>
      <w:r w:rsidRPr="006A21F9">
        <w:rPr>
          <w:lang w:val="ru-RU"/>
        </w:rPr>
        <w:t xml:space="preserve"> 同时通过在圣像前焚香、点燃蜡烛等方式来表达这种敬意， ——所敬礼的并非圣像本身，也非木料与颜料，而是使对圣像所给予的敬意转归于原型，敬拜圣像者实则是敬拜圣像所描绘的本体（详见《正统信条》</w:t>
      </w:r>
      <w:r w:rsidRPr="001E4083">
        <w:t>第三卷</w:t>
      </w:r>
      <w:r w:rsidRPr="006A21F9">
        <w:rPr>
          <w:lang w:val="ru-RU"/>
        </w:rPr>
        <w:t>，对第55个问题的回答； 《东方宗主教论正统信仰》对第3个问题的回答）。因此，东正教会同样谴责：</w:t>
      </w:r>
      <w:r w:rsidRPr="006A21F9">
        <w:rPr>
          <w:b/>
          <w:bCs/>
          <w:lang w:val="ru-RU"/>
        </w:rPr>
        <w:t>a）</w:t>
      </w:r>
      <w:r w:rsidRPr="006A21F9">
        <w:rPr>
          <w:lang w:val="ru-RU"/>
        </w:rPr>
        <w:t>古代的圣像反对者，他们既拒绝敬奉圣像，也反对使用圣像；</w:t>
      </w:r>
      <w:r>
        <w:rPr>
          <w:rStyle w:val="FootnoteReference"/>
        </w:rPr>
        <w:footnoteReference w:id="1814"/>
      </w:r>
      <w:r w:rsidRPr="006A21F9">
        <w:rPr>
          <w:lang w:val="ru-RU"/>
        </w:rPr>
        <w:t xml:space="preserve"> </w:t>
      </w:r>
      <w:r w:rsidRPr="006A21F9">
        <w:rPr>
          <w:b/>
          <w:bCs/>
          <w:lang w:val="ru-RU"/>
        </w:rPr>
        <w:t>b)</w:t>
      </w:r>
      <w:r w:rsidRPr="006A21F9">
        <w:rPr>
          <w:lang w:val="ru-RU"/>
        </w:rPr>
        <w:t xml:space="preserve"> </w:t>
      </w:r>
      <w:r w:rsidRPr="006A21F9">
        <w:rPr>
          <w:lang w:val="ru-RU"/>
        </w:rPr>
        <w:lastRenderedPageBreak/>
        <w:t>以及新异端，即新教徒，他们虽然允许使用圣像来装饰教堂或作为对上帝的提醒，但不接受对圣像的敬礼；</w:t>
      </w:r>
      <w:r>
        <w:rPr>
          <w:rStyle w:val="FootnoteReference"/>
        </w:rPr>
        <w:footnoteReference w:id="1815"/>
      </w:r>
      <w:r w:rsidRPr="006A21F9">
        <w:rPr>
          <w:lang w:val="ru-RU"/>
        </w:rPr>
        <w:t xml:space="preserve"> </w:t>
      </w:r>
      <w:r w:rsidRPr="006A21F9">
        <w:rPr>
          <w:b/>
          <w:bCs/>
          <w:lang w:val="ru-RU"/>
        </w:rPr>
        <w:t>c)</w:t>
      </w:r>
      <w:r w:rsidRPr="006A21F9">
        <w:rPr>
          <w:lang w:val="ru-RU"/>
        </w:rPr>
        <w:t xml:space="preserve"> 最后，所有那些不加区分地敬奉圣像、将其作为偶像崇拜，或将其神化的人。</w:t>
      </w:r>
      <w:r>
        <w:rPr>
          <w:rStyle w:val="FootnoteReference"/>
        </w:rPr>
        <w:footnoteReference w:id="1816"/>
      </w:r>
    </w:p>
    <w:p w14:paraId="1E8926BD" w14:textId="77777777" w:rsidR="00BE1885" w:rsidRPr="006A21F9" w:rsidRDefault="00BE1885" w:rsidP="00BE1885">
      <w:pPr>
        <w:rPr>
          <w:lang w:val="ru-RU"/>
        </w:rPr>
      </w:pPr>
      <w:r w:rsidRPr="006A21F9">
        <w:rPr>
          <w:lang w:val="ru-RU"/>
        </w:rPr>
        <w:tab/>
      </w:r>
      <w:r w:rsidRPr="001E4083">
        <w:rPr>
          <w:b/>
          <w:bCs/>
        </w:rPr>
        <w:t>一</w:t>
      </w:r>
      <w:r w:rsidRPr="006A21F9">
        <w:rPr>
          <w:b/>
          <w:bCs/>
          <w:lang w:val="ru-RU"/>
        </w:rPr>
        <w:t>、</w:t>
      </w:r>
      <w:r w:rsidRPr="006A21F9">
        <w:rPr>
          <w:lang w:val="ru-RU"/>
        </w:rPr>
        <w:t>东正教会关于圣像的教义在圣经中有着坚实的依据。</w:t>
      </w:r>
      <w:r>
        <w:rPr>
          <w:rStyle w:val="FootnoteReference"/>
        </w:rPr>
        <w:footnoteReference w:id="1817"/>
      </w:r>
    </w:p>
    <w:p w14:paraId="0E9FE765" w14:textId="77777777" w:rsidR="00BE1885" w:rsidRPr="006A21F9" w:rsidRDefault="00BE1885" w:rsidP="00BE1885">
      <w:pPr>
        <w:ind w:firstLine="708"/>
        <w:rPr>
          <w:lang w:val="ru-RU"/>
        </w:rPr>
      </w:pPr>
      <w:r w:rsidRPr="006A21F9">
        <w:rPr>
          <w:b/>
          <w:bCs/>
          <w:lang w:val="ru-RU"/>
        </w:rPr>
        <w:t>1.</w:t>
      </w:r>
      <w:r w:rsidRPr="006A21F9">
        <w:rPr>
          <w:lang w:val="ru-RU"/>
        </w:rPr>
        <w:t xml:space="preserve"> 教会于圣堂及其他场所使用圣像（图画），以虔敬地纪念主及其诸圣。 而且，根据圣经的记载，上帝亲自吩咐摩西制作约柜，并将其安放在旧约第一座圣殿的最核心之处——至圣所中</w:t>
      </w:r>
      <w:r w:rsidRPr="006B15F8">
        <w:rPr>
          <w:lang w:val="ru-RU"/>
        </w:rPr>
        <w:t>[</w:t>
      </w:r>
      <w:r w:rsidRPr="006A21F9">
        <w:rPr>
          <w:lang w:val="ru-RU"/>
        </w:rPr>
        <w:t>（出埃及记 25</w:t>
      </w:r>
      <w:r>
        <w:rPr>
          <w:lang w:val="ru-RU"/>
        </w:rPr>
        <w:t>）</w:t>
      </w:r>
      <w:r w:rsidRPr="006A21F9">
        <w:rPr>
          <w:lang w:val="ru-RU"/>
        </w:rPr>
        <w:t>；（出埃及记 26:33</w:t>
      </w:r>
      <w:r>
        <w:rPr>
          <w:lang w:val="ru-RU"/>
        </w:rPr>
        <w:t>）</w:t>
      </w:r>
      <w:r w:rsidRPr="006A21F9">
        <w:rPr>
          <w:lang w:val="ru-RU"/>
        </w:rPr>
        <w:t>；</w:t>
      </w:r>
      <w:r>
        <w:rPr>
          <w:lang w:val="ru-RU"/>
        </w:rPr>
        <w:t>（</w:t>
      </w:r>
      <w:r w:rsidRPr="006A21F9">
        <w:rPr>
          <w:lang w:val="ru-RU"/>
        </w:rPr>
        <w:t>申命记 10:1-5）</w:t>
      </w:r>
      <w:r w:rsidRPr="006B15F8">
        <w:rPr>
          <w:lang w:val="ru-RU"/>
        </w:rPr>
        <w:t>]</w:t>
      </w:r>
      <w:r w:rsidRPr="006A21F9">
        <w:rPr>
          <w:lang w:val="ru-RU"/>
        </w:rPr>
        <w:t>。 而约柜无非是不可见之神的临在的可见象征——这一象征时刻提醒犹太人耶和华的存在，并将他们的思想引向原型：经上记载关于摩西的事，当他们竖立约柜时，摩西说：“耶和华啊，求你兴起！”（民数记 10:34）。大卫因在约柜前跳舞而遭到扫罗之女米甲的责备时，便回应道：“</w:t>
      </w:r>
      <w:r w:rsidRPr="006A21F9">
        <w:rPr>
          <w:i/>
          <w:iCs/>
          <w:lang w:val="ru-RU"/>
        </w:rPr>
        <w:t>我要在耶和华面前跳舞</w:t>
      </w:r>
      <w:r w:rsidRPr="006A21F9">
        <w:rPr>
          <w:lang w:val="ru-RU"/>
        </w:rPr>
        <w:t>、</w:t>
      </w:r>
      <w:r w:rsidRPr="006A21F9">
        <w:rPr>
          <w:i/>
          <w:iCs/>
          <w:lang w:val="ru-RU"/>
        </w:rPr>
        <w:t>欢呼</w:t>
      </w:r>
      <w:r w:rsidRPr="006A21F9">
        <w:rPr>
          <w:lang w:val="ru-RU"/>
        </w:rPr>
        <w:t>。”（撒下6:21）。 上帝亲自吩咐摩西制作两个基路伯的雕像，并将它们安置在至圣所中，位于遮盖约柜并作为耶和华宝座的施恩座两侧（出埃及记 25:19-22）； 还吩咐在将至圣所与圣所隔开的会幕幔子上制作镌刻的基路伯像（出埃及记 26:31-33），正如如今圣像屏风将祭坛与圣殿本身隔开一样； 并同时在那些细麻布幔上制作同样的基路伯图案，这些幔子不仅覆盖会幕的顶部，还覆盖其两侧，并充当会幕的墙壁（出埃及记 26:1-37）。 众所周知，上帝亲自吩咐摩西在旷野竖立铜蛇（民数记 21:8）；而这条铜蛇实际上正是我们被高举在十字架上的救主的预表（约翰福音 3:14-15）。</w:t>
      </w:r>
    </w:p>
    <w:p w14:paraId="277CD327" w14:textId="77777777" w:rsidR="00BE1885" w:rsidRPr="006A21F9" w:rsidRDefault="00BE1885" w:rsidP="00BE1885">
      <w:pPr>
        <w:rPr>
          <w:lang w:val="ru-RU"/>
        </w:rPr>
      </w:pPr>
      <w:r w:rsidRPr="006A21F9">
        <w:rPr>
          <w:lang w:val="ru-RU"/>
        </w:rPr>
        <w:tab/>
        <w:t xml:space="preserve">所罗门为上帝建造另一座永久圣殿时，仿照会幕的样式，在至圣所的正中央安置了两尊用香柏木制成并镀金的基路伯雕像，它们的一对翅膀相互接触，另一对则延伸至圣殿的两端 </w:t>
      </w:r>
      <w:r w:rsidRPr="006B15F8">
        <w:rPr>
          <w:lang w:val="ru-RU"/>
        </w:rPr>
        <w:t>[</w:t>
      </w:r>
      <w:r w:rsidRPr="006A21F9">
        <w:rPr>
          <w:lang w:val="ru-RU"/>
        </w:rPr>
        <w:t>(列王纪下 6:27)；</w:t>
      </w:r>
      <w:r w:rsidRPr="006A21F9">
        <w:rPr>
          <w:rFonts w:cs="Cambria Math"/>
          <w:lang w:val="ru-RU"/>
        </w:rPr>
        <w:t xml:space="preserve"> （</w:t>
      </w:r>
      <w:r w:rsidRPr="006A21F9">
        <w:rPr>
          <w:lang w:val="ru-RU"/>
        </w:rPr>
        <w:t>《历代志下》3:10-13）]，并在圣殿的所有墙壁上雕刻并绘制了基路伯的图案（《列王纪下》6:29；</w:t>
      </w:r>
      <w:r w:rsidRPr="00430F02">
        <w:rPr>
          <w:lang w:val="ru-RU"/>
        </w:rPr>
        <w:t>《</w:t>
      </w:r>
      <w:r w:rsidRPr="006A21F9">
        <w:rPr>
          <w:lang w:val="ru-RU"/>
        </w:rPr>
        <w:t>历代志下</w:t>
      </w:r>
      <w:r w:rsidRPr="00430F02">
        <w:rPr>
          <w:lang w:val="ru-RU"/>
        </w:rPr>
        <w:t>》</w:t>
      </w:r>
      <w:r w:rsidRPr="006A21F9">
        <w:rPr>
          <w:lang w:val="ru-RU"/>
        </w:rPr>
        <w:t>3:7</w:t>
      </w:r>
      <w:r w:rsidRPr="00430F02">
        <w:rPr>
          <w:lang w:val="ru-RU"/>
        </w:rPr>
        <w:t>）</w:t>
      </w:r>
      <w:r w:rsidRPr="006A21F9">
        <w:rPr>
          <w:lang w:val="ru-RU"/>
        </w:rPr>
        <w:t>，还在圣所幔子后面织造了同样的基路伯图案（《历代志下》3:14）。 上帝非但没有因此责备所罗门，反而向圣殿的建造者和圣殿本身表达了特别的恩宠：</w:t>
      </w:r>
      <w:r w:rsidRPr="006A21F9">
        <w:rPr>
          <w:i/>
          <w:iCs/>
          <w:lang w:val="ru-RU"/>
        </w:rPr>
        <w:t>“我已听见你的祷告</w:t>
      </w:r>
      <w:r w:rsidRPr="006A21F9">
        <w:rPr>
          <w:lang w:val="ru-RU"/>
        </w:rPr>
        <w:t>，”耶和华对所罗门说</w:t>
      </w:r>
      <w:r w:rsidRPr="006A21F9">
        <w:rPr>
          <w:i/>
          <w:iCs/>
          <w:lang w:val="ru-RU"/>
        </w:rPr>
        <w:t>，“也听见了你向我所求的一切；[照着你的祷告成就了一切]。” “我已将你所建造的这圣殿分别为圣，使我的名永远住在那里；我的眼、我的心也必永远在那里</w:t>
      </w:r>
      <w:r w:rsidRPr="006A21F9">
        <w:rPr>
          <w:lang w:val="ru-RU"/>
        </w:rPr>
        <w:t>”（《列王纪下》9:3）。</w:t>
      </w:r>
    </w:p>
    <w:p w14:paraId="7ABD4140" w14:textId="77777777" w:rsidR="00BE1885" w:rsidRPr="006A21F9" w:rsidRDefault="00BE1885" w:rsidP="00BE1885">
      <w:pPr>
        <w:rPr>
          <w:lang w:val="ru-RU"/>
        </w:rPr>
      </w:pPr>
      <w:r w:rsidRPr="006A21F9">
        <w:rPr>
          <w:lang w:val="ru-RU"/>
        </w:rPr>
        <w:tab/>
        <w:t>既然上帝亲自吩咐在会幕内和会幕外使用圣像，并认可在所罗门圣殿中使用圣像，那么为什么它们不能在新约时代的圣殿内和圣殿外使用呢？</w:t>
      </w:r>
    </w:p>
    <w:p w14:paraId="497D3C65" w14:textId="77777777" w:rsidR="00BE1885" w:rsidRPr="006A21F9" w:rsidRDefault="00BE1885" w:rsidP="00BE1885">
      <w:pPr>
        <w:ind w:firstLine="708"/>
        <w:rPr>
          <w:lang w:val="ru-RU"/>
        </w:rPr>
      </w:pPr>
      <w:r w:rsidRPr="006A21F9">
        <w:rPr>
          <w:b/>
          <w:bCs/>
          <w:lang w:val="ru-RU"/>
        </w:rPr>
        <w:t>2.</w:t>
      </w:r>
      <w:r w:rsidRPr="006A21F9">
        <w:rPr>
          <w:lang w:val="ru-RU"/>
        </w:rPr>
        <w:t xml:space="preserve"> 教会敬奉圣像，并以各种形式表达这种敬奉。确实，根据上帝本人的命令，旧约时代的教会也敬奉了其中存在的圣像。具体而言：</w:t>
      </w:r>
    </w:p>
    <w:p w14:paraId="6482CA2D" w14:textId="77777777" w:rsidR="00BE1885" w:rsidRPr="006A21F9" w:rsidRDefault="00BE1885" w:rsidP="00BE1885">
      <w:pPr>
        <w:rPr>
          <w:lang w:val="ru-RU"/>
        </w:rPr>
      </w:pPr>
      <w:r w:rsidRPr="006A21F9">
        <w:rPr>
          <w:lang w:val="ru-RU"/>
        </w:rPr>
        <w:tab/>
        <w:t xml:space="preserve">我们敬拜圣像或圣画：犹太人也曾敬拜约柜，它象征着上帝的临在。 </w:t>
      </w:r>
      <w:r w:rsidRPr="006A21F9">
        <w:rPr>
          <w:i/>
          <w:iCs/>
          <w:lang w:val="ru-RU"/>
        </w:rPr>
        <w:t>“当尊崇我们的主——我们的上帝，并敬拜祂的脚凳：那脚凳是圣洁的</w:t>
      </w:r>
      <w:r w:rsidRPr="006A21F9">
        <w:rPr>
          <w:lang w:val="ru-RU"/>
        </w:rPr>
        <w:t xml:space="preserve">，”受上帝感召的先知大卫曾说（《诗篇》98:5），而他所指的“上帝的脚凳”，正是主的约柜（《历代志上》28:2）。 </w:t>
      </w:r>
      <w:r w:rsidRPr="006A21F9">
        <w:rPr>
          <w:lang w:val="ru-RU"/>
        </w:rPr>
        <w:lastRenderedPageBreak/>
        <w:t>犹太人还敬拜主的圣殿，</w:t>
      </w:r>
      <w:r w:rsidRPr="006A21F9">
        <w:rPr>
          <w:i/>
          <w:iCs/>
          <w:lang w:val="ru-RU"/>
        </w:rPr>
        <w:t>即天上的形像和影子</w:t>
      </w:r>
      <w:r w:rsidRPr="006A21F9">
        <w:rPr>
          <w:lang w:val="ru-RU"/>
        </w:rPr>
        <w:t>[（希伯来书 8:5）； （出埃及记 33:10）]，圣殿中的幔子和所有墙壁上都绘有基路伯的图像：经上记载，以色列王——即圣大卫——从地上</w:t>
      </w:r>
      <w:r w:rsidRPr="006A21F9">
        <w:rPr>
          <w:i/>
          <w:iCs/>
          <w:lang w:val="ru-RU"/>
        </w:rPr>
        <w:t>起身，洗了脸，抹了膏油，换上新衣，进入耶和华的殿，祷告</w:t>
      </w:r>
      <w:r w:rsidRPr="006A21F9">
        <w:rPr>
          <w:lang w:val="ru-RU"/>
        </w:rPr>
        <w:t xml:space="preserve"> （《撒下》12:20）。</w:t>
      </w:r>
      <w:r w:rsidRPr="006A21F9">
        <w:rPr>
          <w:i/>
          <w:iCs/>
          <w:lang w:val="ru-RU"/>
        </w:rPr>
        <w:t>“我进入你的殿</w:t>
      </w:r>
      <w:r w:rsidRPr="006A21F9">
        <w:rPr>
          <w:lang w:val="ru-RU"/>
        </w:rPr>
        <w:t>，”大卫本人如此呼求</w:t>
      </w:r>
      <w:r w:rsidRPr="006A21F9">
        <w:rPr>
          <w:i/>
          <w:iCs/>
          <w:lang w:val="ru-RU"/>
        </w:rPr>
        <w:t>，“要在敬畏你的心意中，向你的圣所下拜</w:t>
      </w:r>
      <w:r w:rsidRPr="006A21F9">
        <w:rPr>
          <w:lang w:val="ru-RU"/>
        </w:rPr>
        <w:t>”（《诗篇》5:8）。</w:t>
      </w:r>
    </w:p>
    <w:p w14:paraId="0893183D" w14:textId="77777777" w:rsidR="00BE1885" w:rsidRPr="006A21F9" w:rsidRDefault="00BE1885" w:rsidP="00BE1885">
      <w:pPr>
        <w:rPr>
          <w:lang w:val="ru-RU"/>
        </w:rPr>
      </w:pPr>
      <w:r w:rsidRPr="006A21F9">
        <w:rPr>
          <w:lang w:val="ru-RU"/>
        </w:rPr>
        <w:tab/>
        <w:t>我们通过在圣像前焚香来敬拜圣像。从圣经中我们得知，上帝亲自吩咐要在约柜上焚香：“亚伦要在清晨用调和的香在约柜上焚香……， 这香要常在耶和华面前，世世代代作为常献之香[（出埃及记 30:7-8）；参见（出埃及记 40:5）]； 祂还吩咐要在香坛上焚烧乳香，该香坛位于幔子对面，如前所述，幔子上绘有圣洁的基路伯图画 [(出埃及记 30:7-8)；参见 (出埃及记 40:5)]；(历代志下 26:16-19)；(路加福音 1:9)]。</w:t>
      </w:r>
    </w:p>
    <w:p w14:paraId="0E158141" w14:textId="77777777" w:rsidR="00BE1885" w:rsidRPr="006A21F9" w:rsidRDefault="00BE1885" w:rsidP="00BE1885">
      <w:pPr>
        <w:rPr>
          <w:lang w:val="ru-RU"/>
        </w:rPr>
      </w:pPr>
      <w:r w:rsidRPr="006A21F9">
        <w:rPr>
          <w:lang w:val="ru-RU"/>
        </w:rPr>
        <w:tab/>
        <w:t>我们通过在圣像前点燃蜡烛来敬礼圣像。 而在主吩咐犹太大祭司在约柜前焚香的同一条诫命中，也提到了在约柜前点燃灯具的事：</w:t>
      </w:r>
      <w:r w:rsidRPr="006A21F9">
        <w:rPr>
          <w:i/>
          <w:iCs/>
          <w:lang w:val="ru-RU"/>
        </w:rPr>
        <w:t>当他预备灯具时，就要用香熏香；当亚伦在傍晚点燃灯具 时，也要用香熏香</w:t>
      </w:r>
      <w:r w:rsidRPr="006A21F9">
        <w:rPr>
          <w:lang w:val="ru-RU"/>
        </w:rPr>
        <w:t>（出埃及记 30:7-8）。 此外，耶和华还吩咐摩西在幔子南侧竖立一盏有七盏灯的灯台，由犹太祭司从傍晚到次日清晨不间断地点燃它 [(出埃及记 26:34)；(利未记 24:2-4)]。</w:t>
      </w:r>
    </w:p>
    <w:p w14:paraId="6A0C4AB7" w14:textId="77777777" w:rsidR="00BE1885" w:rsidRPr="006A21F9" w:rsidRDefault="00BE1885" w:rsidP="00BE1885">
      <w:pPr>
        <w:ind w:firstLine="708"/>
        <w:rPr>
          <w:lang w:val="ru-RU"/>
        </w:rPr>
      </w:pPr>
      <w:r w:rsidRPr="006A21F9">
        <w:rPr>
          <w:b/>
          <w:bCs/>
          <w:lang w:val="ru-RU"/>
        </w:rPr>
        <w:t>3.</w:t>
      </w:r>
      <w:r w:rsidRPr="006A21F9">
        <w:rPr>
          <w:lang w:val="ru-RU"/>
        </w:rPr>
        <w:t xml:space="preserve"> 然而，教会在使用并尊崇圣像时，所敬拜的并非圣像本身，也非木头与颜料，而是将其尊荣归于圣像所描绘的原型；同时，教会谴责那些无条件地尊崇圣像、将其当作偶像崇拜、视之为神明的人。 在此事上，教会的做法完全符合圣经。因为，尽管上帝亲自吩咐摩西在会幕中安放约柜， 在其前焚香、点燃灯台，甚至在其前敬拜，但也吩咐制作基路伯的形像，用它们装饰圣所的所有墙壁和幔子——在那幔子前，七枝灯台常亮，香火不绝——并在旷野中竖立铜蛇； 但与此同时，上帝吩咐摩西说</w:t>
      </w:r>
      <w:r w:rsidRPr="006A21F9">
        <w:rPr>
          <w:i/>
          <w:iCs/>
          <w:lang w:val="ru-RU"/>
        </w:rPr>
        <w:t>：“不可有别的神在我面前。” 不可为自己雕刻偶像，也不可做天上、地上和地底下水中任何形像的雕像；不可向它们下拜，也不可事奉它们，因为我是耶和华——你的神</w:t>
      </w:r>
      <w:r w:rsidRPr="006A21F9">
        <w:rPr>
          <w:lang w:val="ru-RU"/>
        </w:rPr>
        <w:t>（出埃及记 20:2-5）。 这意味着，以色列人不仅不可敬拜任何其他的外邦神明，不仅不可为自己制造偶像或天上、地上及地底任何事物的形像，以供敬拜和侍奉， 而且对于上帝亲自吩咐他们制作的那些形像或图画，也不可盲目地尊崇，不可将其视为神明或偶像——而是要确保，例如对约柜所献上的所有敬意，都归于耶和华本人，约柜对祂而言不过是脚凳罢了。 正因如此，当随着时间的推移，犹太人开始在旷野中将铜蛇当作偶像来敬拜并将其神化时——希西家王尽管知道这铜蛇是摩西奉上帝之命所竖立的，仍将其砸碎，并因此赢得了赞许 （《列王纪下》18:4）；《正教信条》</w:t>
      </w:r>
      <w:r w:rsidRPr="001E4083">
        <w:t>第三卷</w:t>
      </w:r>
      <w:r w:rsidRPr="006A21F9">
        <w:rPr>
          <w:lang w:val="ru-RU"/>
        </w:rPr>
        <w:t>，对第56个问题的回答）。</w:t>
      </w:r>
    </w:p>
    <w:p w14:paraId="749B3FD8" w14:textId="77777777" w:rsidR="00BE1885" w:rsidRPr="006A21F9" w:rsidRDefault="00BE1885" w:rsidP="00BE1885">
      <w:pPr>
        <w:rPr>
          <w:lang w:val="ru-RU"/>
        </w:rPr>
      </w:pPr>
      <w:r w:rsidRPr="006A21F9">
        <w:rPr>
          <w:lang w:val="ru-RU"/>
        </w:rPr>
        <w:tab/>
      </w:r>
      <w:r w:rsidRPr="001E4083">
        <w:rPr>
          <w:b/>
          <w:bCs/>
        </w:rPr>
        <w:t>二</w:t>
      </w:r>
      <w:r w:rsidRPr="006A21F9">
        <w:rPr>
          <w:b/>
          <w:bCs/>
          <w:lang w:val="ru-RU"/>
        </w:rPr>
        <w:t>、</w:t>
      </w:r>
      <w:r w:rsidRPr="006A21F9">
        <w:rPr>
          <w:lang w:val="ru-RU"/>
        </w:rPr>
        <w:t>既然在《旧约》圣经中已有如此明确的依据，关于圣像的教义在新约神圣传统中则拥有更为明确且直接的依据。 一位普世信仰导师——大瓦西里——在其《信经》中如此说道：“我接纳圣使徒、先知和殉道者，并恳求他们在上帝面前为我代祷，愿借着他们——即通过他们的代求——那爱人的上帝向我施恩，并赐予我罪的赦免。 我之所以尊崇他们的圣像并向其敬拜，主要是因为这些圣像源自圣使徒的传承，并未被禁止，而且在我们所有的教堂中都有供奉。”</w:t>
      </w:r>
      <w:r>
        <w:rPr>
          <w:rStyle w:val="FootnoteReference"/>
        </w:rPr>
        <w:footnoteReference w:id="1818"/>
      </w:r>
      <w:r w:rsidRPr="006A21F9">
        <w:rPr>
          <w:lang w:val="ru-RU"/>
        </w:rPr>
        <w:t xml:space="preserve"> 第七次大公会议后来——用它自己的话来说——以绝对的可靠性并经过仔细审查，研究了关于敬礼圣像的教义，也同样将这一教义称为——正如我们所见——普世教会的传统，该传统已将福音传遍了地极。 这一传统的证据包括：</w:t>
      </w:r>
    </w:p>
    <w:p w14:paraId="02ED3ADB"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两则最古老的传说。第一则传说称，我们的主耶稣基督亲自以奇妙的方式将自己的圣容显现在一块布上，并将这幅非人手所造的圣像送给了埃德萨的统治者阿瓦格（Avgar），</w:t>
      </w:r>
      <w:r>
        <w:rPr>
          <w:rStyle w:val="FootnoteReference"/>
        </w:rPr>
        <w:footnoteReference w:id="1819"/>
      </w:r>
      <w:r w:rsidRPr="006A21F9">
        <w:rPr>
          <w:lang w:val="ru-RU"/>
        </w:rPr>
        <w:t xml:space="preserve"> ——这一传说，</w:t>
      </w:r>
      <w:r w:rsidRPr="001E4083">
        <w:t>连</w:t>
      </w:r>
      <w:r w:rsidRPr="006A21F9">
        <w:rPr>
          <w:lang w:val="ru-RU"/>
        </w:rPr>
        <w:t>第七次大公会议的教父们也毫不怀疑地承认其真实性。</w:t>
      </w:r>
      <w:r>
        <w:rPr>
          <w:rStyle w:val="FootnoteReference"/>
        </w:rPr>
        <w:footnoteReference w:id="1820"/>
      </w:r>
      <w:r w:rsidRPr="006A21F9">
        <w:rPr>
          <w:lang w:val="ru-RU"/>
        </w:rPr>
        <w:t xml:space="preserve"> 另一种说法是，四位福音书作者之一路加精通绘画艺术，他绘制并留下了圣母像，</w:t>
      </w:r>
      <w:r>
        <w:rPr>
          <w:rStyle w:val="FootnoteReference"/>
        </w:rPr>
        <w:footnoteReference w:id="1821"/>
      </w:r>
      <w:r w:rsidRPr="006A21F9">
        <w:rPr>
          <w:lang w:val="ru-RU"/>
        </w:rPr>
        <w:t xml:space="preserve"> 这些圣像在东正教会中一直被虔诚地代代相传。</w:t>
      </w:r>
      <w:r>
        <w:rPr>
          <w:rStyle w:val="FootnoteReference"/>
        </w:rPr>
        <w:footnoteReference w:id="1822"/>
      </w:r>
    </w:p>
    <w:p w14:paraId="61F7A0EC" w14:textId="77777777" w:rsidR="00BE1885" w:rsidRPr="006A21F9" w:rsidRDefault="00BE1885" w:rsidP="00BE1885">
      <w:pPr>
        <w:ind w:firstLine="708"/>
        <w:rPr>
          <w:lang w:val="ru-RU"/>
        </w:rPr>
      </w:pPr>
      <w:r w:rsidRPr="006A21F9">
        <w:rPr>
          <w:b/>
          <w:bCs/>
          <w:lang w:val="ru-RU"/>
        </w:rPr>
        <w:t>2)</w:t>
      </w:r>
      <w:r w:rsidRPr="006A21F9">
        <w:rPr>
          <w:lang w:val="ru-RU"/>
        </w:rPr>
        <w:t xml:space="preserve"> 古代文献中关于前三个世纪圣像使用与敬礼的记载。例如，特土良曾提及教堂圣爵上以“善牧”形象描绘的救世主。</w:t>
      </w:r>
      <w:r>
        <w:rPr>
          <w:rStyle w:val="FootnoteReference"/>
        </w:rPr>
        <w:footnoteReference w:id="1823"/>
      </w:r>
      <w:r w:rsidRPr="006A21F9">
        <w:rPr>
          <w:lang w:val="ru-RU"/>
        </w:rPr>
        <w:t xml:space="preserve"> 同样，特土良、米努提乌斯·费利克斯和奥利金都记载了异教徒如何指责基督徒，说他们似乎将十字架神化，即崇敬那幅描绘主救世主被钉十字架的圣像。</w:t>
      </w:r>
      <w:r>
        <w:rPr>
          <w:rStyle w:val="FootnoteReference"/>
        </w:rPr>
        <w:footnoteReference w:id="1824"/>
      </w:r>
      <w:r w:rsidRPr="006A21F9">
        <w:rPr>
          <w:lang w:val="ru-RU"/>
        </w:rPr>
        <w:t xml:space="preserve"> 优西比乌讲述道，他曾见过用颜料绘制的使徒彼得、保罗以及救世主本人的圣像，这些圣像由从异教皈依的古代基督徒留存下来。</w:t>
      </w:r>
      <w:r>
        <w:rPr>
          <w:rStyle w:val="FootnoteReference"/>
        </w:rPr>
        <w:footnoteReference w:id="1825"/>
      </w:r>
      <w:r w:rsidRPr="006A21F9">
        <w:rPr>
          <w:lang w:val="ru-RU"/>
        </w:rPr>
        <w:t xml:space="preserve"> 亚历山大的克利门特似乎指出，在他那个时代，不仅有救主的圣像，还有许多宗主教、先知和天使的圣像，当他谈到一位基督徒时说： “当他凝视这些精美的图像时，他的思绪便投向了那些在他之前已臻完美的众宗主教、无数先知、数不胜数的天使，以及万有的主本人——祂教导我们，我们也能过上与这些崇高典范相称的生活。”</w:t>
      </w:r>
      <w:r>
        <w:rPr>
          <w:rStyle w:val="FootnoteReference"/>
        </w:rPr>
        <w:footnoteReference w:id="1826"/>
      </w:r>
      <w:r w:rsidRPr="006A21F9">
        <w:rPr>
          <w:lang w:val="ru-RU"/>
        </w:rPr>
        <w:t xml:space="preserve"> 圣帕塔拉的梅福迪乌斯明确指出：“我们用黄金制作祂（上帝）的天使、诸位元首和权柄的圣像，以此来尊崇祂并荣耀祂。”</w:t>
      </w:r>
      <w:r>
        <w:rPr>
          <w:rStyle w:val="FootnoteReference"/>
        </w:rPr>
        <w:footnoteReference w:id="1827"/>
      </w:r>
    </w:p>
    <w:p w14:paraId="73E574DF" w14:textId="77777777" w:rsidR="00BE1885" w:rsidRPr="006A21F9" w:rsidRDefault="00BE1885" w:rsidP="00BE1885">
      <w:pPr>
        <w:ind w:firstLine="708"/>
        <w:rPr>
          <w:lang w:val="ru-RU"/>
        </w:rPr>
      </w:pPr>
      <w:r w:rsidRPr="006A21F9">
        <w:rPr>
          <w:b/>
          <w:bCs/>
          <w:lang w:val="ru-RU"/>
        </w:rPr>
        <w:t>3)</w:t>
      </w:r>
      <w:r w:rsidRPr="006A21F9">
        <w:rPr>
          <w:lang w:val="ru-RU"/>
        </w:rPr>
        <w:t xml:space="preserve"> 关于圣像在前三个世纪中实际使用和受敬仰的实物遗迹。 这里所指的是在地下墓穴、洞穴以及殉道者陵寝中发现的圣像——早期基督徒在遭受迫害的日子里，曾前往这些地方祈祷——</w:t>
      </w:r>
      <w:r w:rsidRPr="006A21F9">
        <w:rPr>
          <w:lang w:val="ru-RU"/>
        </w:rPr>
        <w:lastRenderedPageBreak/>
        <w:t>这些圣像绘制于墙壁、墓室、器皿、灯具、画作等之上。 这些图像大多描绘了以牧者形象出现的救世主，他将迷途的羔羊扛在肩上； 头戴冠冕或身披光环的圣母玛利亚，怀中抱着同样戴着光辉冠冕的永恒圣婴；十二使徒、救世主的降生及东方三博士朝拜、用五饼二鱼奇迹般地喂饱众人、拉撒路复活； 来自旧约的故事——诺亚方舟与鸽子、以撒献祭、手持杖和石板的摩西、被鱼吐出的约拿、身陷坑中的但以理、火窑中的三少年等。</w:t>
      </w:r>
      <w:r>
        <w:rPr>
          <w:rStyle w:val="FootnoteReference"/>
        </w:rPr>
        <w:footnoteReference w:id="1828"/>
      </w:r>
      <w:r w:rsidRPr="006A21F9">
        <w:rPr>
          <w:lang w:val="ru-RU"/>
        </w:rPr>
        <w:t xml:space="preserve"> 其中部分图像无疑可追溯至公元二世纪，</w:t>
      </w:r>
      <w:r>
        <w:rPr>
          <w:rStyle w:val="FootnoteReference"/>
        </w:rPr>
        <w:footnoteReference w:id="1829"/>
      </w:r>
      <w:r w:rsidRPr="006A21F9">
        <w:rPr>
          <w:lang w:val="ru-RU"/>
        </w:rPr>
        <w:t xml:space="preserve"> 而绝大多数极有可能——总体而言——属于教会遭受迫害的时期，</w:t>
      </w:r>
      <w:r w:rsidRPr="001E4083">
        <w:t>即其</w:t>
      </w:r>
      <w:r w:rsidRPr="006A21F9">
        <w:rPr>
          <w:lang w:val="ru-RU"/>
        </w:rPr>
        <w:t>最初的三个世纪。</w:t>
      </w:r>
      <w:r>
        <w:rPr>
          <w:rStyle w:val="FootnoteReference"/>
        </w:rPr>
        <w:footnoteReference w:id="1830"/>
      </w:r>
      <w:r w:rsidRPr="006A21F9">
        <w:rPr>
          <w:lang w:val="ru-RU"/>
        </w:rPr>
        <w:t xml:space="preserve"> 而这些图像恰恰被用于基督徒聚集进行礼拜、并在此献上无血祭的地方； 即头戴光辉冠冕的救世主与圣母的圣像——这自古以来便是表达特殊敬意的象征；</w:t>
      </w:r>
      <w:r>
        <w:rPr>
          <w:rStyle w:val="FootnoteReference"/>
        </w:rPr>
        <w:footnoteReference w:id="1831"/>
      </w:r>
      <w:r w:rsidRPr="006A21F9">
        <w:rPr>
          <w:lang w:val="ru-RU"/>
        </w:rPr>
        <w:t xml:space="preserve"> 最后，异教徒直接指责基督徒将十字架神化的言论——这些都证明，在基督教最初的三个世纪里，圣像确实受到了应有的尊崇。 如果基督徒无疑敬奉主十字架的图像，那么他们岂能不敬奉无疑也曾使用的、主本人的图像呢？</w:t>
      </w:r>
    </w:p>
    <w:p w14:paraId="44C17883" w14:textId="77777777" w:rsidR="00BE1885" w:rsidRPr="006A21F9" w:rsidRDefault="00BE1885" w:rsidP="00BE1885">
      <w:pPr>
        <w:rPr>
          <w:lang w:val="ru-RU"/>
        </w:rPr>
      </w:pPr>
      <w:r w:rsidRPr="006A21F9">
        <w:rPr>
          <w:lang w:val="ru-RU"/>
        </w:rPr>
        <w:tab/>
        <w:t>不过，必须指出的是，在基督教最初的三个世纪里，由于教会所处的艰难处境，圣像的使用既不像后来那样公开，也不像后来那样普遍。 在异教徒无休止的迫害之中，基督徒被迫隐藏并频繁更换礼拜场所，且必须时刻提防他们虔诚敬拜的对象——圣像——免遭迫害者的亵渎；而迫于贫困、 审慎，以及对圣像本身的敬重，都要求基督徒不要在所有地方使用圣像， 将它们隐藏起来，甚至在某些地方完全不使用。至少，据记载，异教徒有时会带着责备的语气问基督徒：“为什么你们没有任何已知的图像？”</w:t>
      </w:r>
      <w:r>
        <w:rPr>
          <w:rStyle w:val="FootnoteReference"/>
        </w:rPr>
        <w:footnoteReference w:id="1832"/>
      </w:r>
    </w:p>
    <w:p w14:paraId="4D3909D6" w14:textId="77777777" w:rsidR="00BE1885" w:rsidRPr="006A21F9" w:rsidRDefault="00BE1885" w:rsidP="00BE1885">
      <w:pPr>
        <w:ind w:firstLine="708"/>
        <w:rPr>
          <w:lang w:val="ru-RU"/>
        </w:rPr>
      </w:pPr>
      <w:r w:rsidRPr="006A21F9">
        <w:rPr>
          <w:b/>
          <w:bCs/>
          <w:lang w:val="ru-RU"/>
        </w:rPr>
        <w:t>4)</w:t>
      </w:r>
      <w:r w:rsidRPr="006A21F9">
        <w:rPr>
          <w:lang w:val="ru-RU"/>
        </w:rPr>
        <w:t xml:space="preserve"> 同时代人留下的关于四、五世纪圣像使用与敬礼的见证。从这些见证中可以看出：</w:t>
      </w:r>
    </w:p>
    <w:p w14:paraId="203B4530"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当时圣像在教堂中被使用。除了圣大巴西尔明确指出四世纪时所有教堂都绘有圣像外，</w:t>
      </w:r>
      <w:r>
        <w:rPr>
          <w:rStyle w:val="FootnoteReference"/>
        </w:rPr>
        <w:footnoteReference w:id="1833"/>
      </w:r>
      <w:r w:rsidRPr="006A21F9">
        <w:rPr>
          <w:lang w:val="ru-RU"/>
        </w:rPr>
        <w:t xml:space="preserve"> 圣格里高利·神学家还特别提到了他父亲在纳齐安兹建造的教堂拱顶上的圣像；</w:t>
      </w:r>
      <w:r>
        <w:rPr>
          <w:rStyle w:val="FootnoteReference"/>
        </w:rPr>
        <w:footnoteReference w:id="1834"/>
      </w:r>
      <w:r w:rsidRPr="006A21F9">
        <w:rPr>
          <w:lang w:val="ru-RU"/>
        </w:rPr>
        <w:t xml:space="preserve"> 圣格里高利·尼西亚记载，圣殉道者狄奥多尔的教堂内，除了救世主的画像外，还遍布着描绘他受难场景的图像；</w:t>
      </w:r>
      <w:r>
        <w:rPr>
          <w:rStyle w:val="FootnoteReference"/>
        </w:rPr>
        <w:footnoteReference w:id="1835"/>
      </w:r>
      <w:r w:rsidRPr="006A21F9">
        <w:rPr>
          <w:lang w:val="ru-RU"/>
        </w:rPr>
        <w:t xml:space="preserve"> 阿马西亚主教阿斯特里乌斯描述了圣殉道女圣尤菲米娅的圣像，该圣像同样展现了</w:t>
      </w:r>
      <w:r w:rsidRPr="001E4083">
        <w:t>她的</w:t>
      </w:r>
      <w:r w:rsidRPr="006A21F9">
        <w:rPr>
          <w:lang w:val="ru-RU"/>
        </w:rPr>
        <w:t>受难场景，并供奉于以</w:t>
      </w:r>
      <w:r w:rsidRPr="001E4083">
        <w:t>她之</w:t>
      </w:r>
      <w:r w:rsidRPr="006A21F9">
        <w:rPr>
          <w:lang w:val="ru-RU"/>
        </w:rPr>
        <w:t>名建造的哈尔基顿某座教堂内。</w:t>
      </w:r>
      <w:r>
        <w:rPr>
          <w:rStyle w:val="FootnoteReference"/>
        </w:rPr>
        <w:footnoteReference w:id="1836"/>
      </w:r>
      <w:r w:rsidRPr="006A21F9">
        <w:rPr>
          <w:lang w:val="ru-RU"/>
        </w:rPr>
        <w:t xml:space="preserve"> 五世纪时，诺兰的帕夫林和苏尔皮基乌斯·塞韦鲁斯用大量取材于《新约》和《旧约》的圣像装饰了他们建造的教堂，正如前者所言，这些圣像旨在代替书籍和文字，为民众服务；</w:t>
      </w:r>
      <w:r>
        <w:rPr>
          <w:rStyle w:val="FootnoteReference"/>
        </w:rPr>
        <w:footnoteReference w:id="1837"/>
      </w:r>
      <w:r w:rsidRPr="006A21F9">
        <w:rPr>
          <w:lang w:val="ru-RU"/>
        </w:rPr>
        <w:t xml:space="preserve"> </w:t>
      </w:r>
      <w:r w:rsidRPr="006A21F9">
        <w:rPr>
          <w:lang w:val="ru-RU"/>
        </w:rPr>
        <w:lastRenderedPageBreak/>
        <w:t>圣尼尔，即“金口”约翰的门徒，在回答行政长官奥林匹奥多尔关于“应以何种图像装饰他计划建造的教堂”这一问题时，建议：在祭坛上悬挂十字架，而在教堂墙壁上绘制旧约与新约历史中的图像。</w:t>
      </w:r>
      <w:r>
        <w:rPr>
          <w:rStyle w:val="FootnoteReference"/>
        </w:rPr>
        <w:footnoteReference w:id="1838"/>
      </w:r>
    </w:p>
    <w:p w14:paraId="1CDA123D"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当时圣像不仅用于教堂内，也用于家庭及其他场所。 优西比乌记载了一幅生动的圣像，它位于上帝与两位天使一同向亚伯拉罕显现的玛姆雷橡树旁，描绘了这一事件，</w:t>
      </w:r>
      <w:r>
        <w:rPr>
          <w:rStyle w:val="FootnoteReference"/>
        </w:rPr>
        <w:footnoteReference w:id="1839"/>
      </w:r>
      <w:r w:rsidRPr="006A21F9">
        <w:rPr>
          <w:lang w:val="ru-RU"/>
        </w:rPr>
        <w:t xml:space="preserve"> ；他还提到了君士坦丁大帝的圣像，这些圣像在他去世后，在首都居民乃至整个帝国范围内广为流传。</w:t>
      </w:r>
      <w:r>
        <w:rPr>
          <w:rStyle w:val="FootnoteReference"/>
        </w:rPr>
        <w:footnoteReference w:id="1840"/>
      </w:r>
      <w:r w:rsidRPr="006A21F9">
        <w:rPr>
          <w:lang w:val="ru-RU"/>
        </w:rPr>
        <w:t xml:space="preserve"> 圣格里高利·神学家曾提及某位青年家中供奉的圣波莱蒙圣像；</w:t>
      </w:r>
      <w:r>
        <w:rPr>
          <w:rStyle w:val="FootnoteReference"/>
        </w:rPr>
        <w:footnoteReference w:id="1841"/>
      </w:r>
      <w:r w:rsidRPr="006A21F9">
        <w:rPr>
          <w:lang w:val="ru-RU"/>
        </w:rPr>
        <w:t xml:space="preserve"> 圣格里高利·尼西亚则提及一幅描绘以撒献祭场景的圣像；</w:t>
      </w:r>
      <w:r>
        <w:rPr>
          <w:rStyle w:val="FootnoteReference"/>
        </w:rPr>
        <w:footnoteReference w:id="1842"/>
      </w:r>
      <w:r w:rsidRPr="006A21F9">
        <w:rPr>
          <w:lang w:val="ru-RU"/>
        </w:rPr>
        <w:t xml:space="preserve"> 圣安布罗斯——提及圣使徒保罗的圣像；</w:t>
      </w:r>
      <w:r>
        <w:rPr>
          <w:rStyle w:val="FootnoteReference"/>
        </w:rPr>
        <w:footnoteReference w:id="1843"/>
      </w:r>
      <w:r w:rsidRPr="006A21F9">
        <w:rPr>
          <w:lang w:val="ru-RU"/>
        </w:rPr>
        <w:t xml:space="preserve"> 圣约翰·金口——提及圣十字架的图像，无论是挂在房屋上、墙壁上还是门上，</w:t>
      </w:r>
      <w:r>
        <w:rPr>
          <w:rStyle w:val="FootnoteReference"/>
        </w:rPr>
        <w:footnoteReference w:id="1844"/>
      </w:r>
      <w:r w:rsidRPr="006A21F9">
        <w:rPr>
          <w:lang w:val="ru-RU"/>
        </w:rPr>
        <w:t xml:space="preserve"> 亦或在荒野、集市、路旁、山间及其他场所。</w:t>
      </w:r>
      <w:r>
        <w:rPr>
          <w:rStyle w:val="FootnoteReference"/>
        </w:rPr>
        <w:footnoteReference w:id="1845"/>
      </w:r>
      <w:r w:rsidRPr="006A21F9">
        <w:rPr>
          <w:lang w:val="ru-RU"/>
        </w:rPr>
        <w:t xml:space="preserve"> 五世纪时，圣奥古斯丁谈到了基督救主与使徒彼得、保罗一同出现的圣像，这些圣像遍布许多地方，</w:t>
      </w:r>
      <w:r>
        <w:rPr>
          <w:rStyle w:val="FootnoteReference"/>
        </w:rPr>
        <w:footnoteReference w:id="1846"/>
      </w:r>
      <w:r w:rsidRPr="006A21F9">
        <w:rPr>
          <w:lang w:val="ru-RU"/>
        </w:rPr>
        <w:t xml:space="preserve"> 还谈到了以撒献祭的圣像，这些圣像同样遍布许多地方；</w:t>
      </w:r>
      <w:r>
        <w:rPr>
          <w:rStyle w:val="FootnoteReference"/>
        </w:rPr>
        <w:footnoteReference w:id="1847"/>
      </w:r>
      <w:r w:rsidRPr="006A21F9">
        <w:rPr>
          <w:lang w:val="ru-RU"/>
        </w:rPr>
        <w:t xml:space="preserve"> 圣 狄奥多里特则提到圣西梅昂柱上修道士的小型画像，这些画像曾被钉在罗马所有劳动圣殿的门上，人们希望借此获得庇护与安全；</w:t>
      </w:r>
      <w:r>
        <w:rPr>
          <w:rStyle w:val="FootnoteReference"/>
        </w:rPr>
        <w:footnoteReference w:id="1848"/>
      </w:r>
      <w:r w:rsidRPr="006A21F9">
        <w:rPr>
          <w:lang w:val="ru-RU"/>
        </w:rPr>
        <w:t xml:space="preserve"> 诵经师狄奥多尔讲述了一位名叫尤利安的人的如下事迹：“他在主教府中，当着民事长官的面，突然被自己的侍从们抓获；当他被迫诅咒迦克墩大公会议的决议时，他俯身向已故神职人员、 即大主教弗拉维安和阿纳托利乌斯—— ——他们的圣像供奉于君士坦丁堡，正是他们批准了此次迦克墩大公会议——他高声呼喊道：‘若你们不愿采纳上述圣公会议的决议，那就将这些主教的圣像一并诅咒，并将他们的名字从圣名录中抹去。’”</w:t>
      </w:r>
      <w:r>
        <w:rPr>
          <w:rStyle w:val="FootnoteReference"/>
        </w:rPr>
        <w:footnoteReference w:id="1849"/>
      </w:r>
    </w:p>
    <w:p w14:paraId="74FA72CB"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当时，圣像受到了应有的尊崇。正如我们所见，圣大瓦西里曾作证说，他尊崇圣像并在其前敬拜，</w:t>
      </w:r>
      <w:r>
        <w:rPr>
          <w:rStyle w:val="FootnoteReference"/>
        </w:rPr>
        <w:footnoteReference w:id="1850"/>
      </w:r>
      <w:r w:rsidRPr="006A21F9">
        <w:rPr>
          <w:lang w:val="ru-RU"/>
        </w:rPr>
        <w:t xml:space="preserve"> ，而他的门徒兼继任者这样描述他： “有一次，尊贵的瓦西里站在我们圣母的圣像前——那圣像上还绘有光荣殉道者墨丘利的面容——</w:t>
      </w:r>
      <w:r w:rsidRPr="006A21F9">
        <w:rPr>
          <w:lang w:val="ru-RU"/>
        </w:rPr>
        <w:lastRenderedPageBreak/>
        <w:t>他站在那里，为背教者和无神论的迫害者尤利安的灭亡祈祷，并从这幅圣像上获得了关于此事的启示。”</w:t>
      </w:r>
      <w:r>
        <w:rPr>
          <w:rStyle w:val="FootnoteReference"/>
        </w:rPr>
        <w:footnoteReference w:id="1851"/>
      </w:r>
      <w:r w:rsidRPr="006A21F9">
        <w:rPr>
          <w:lang w:val="ru-RU"/>
        </w:rPr>
        <w:t xml:space="preserve"> 背教者尤利安曾指责基督徒将十字架的图像奉若神明，</w:t>
      </w:r>
      <w:r>
        <w:rPr>
          <w:rStyle w:val="FootnoteReference"/>
        </w:rPr>
        <w:footnoteReference w:id="1852"/>
      </w:r>
      <w:r w:rsidRPr="006A21F9">
        <w:rPr>
          <w:lang w:val="ru-RU"/>
        </w:rPr>
        <w:t xml:space="preserve"> ——而阿马西亚的阿斯特里乌斯在详细描述圣像上所展现的圣女尤菲米娅受难故事时说道： “接着可见一座牢房，一位身着深色衣裳、值得尊敬的少女独自坐在其中，她将双手伸向天空，祈求上帝施以援手，以减轻她的苦难。在祈祷期间，基督徒所崇拜并随处描绘的那个标志（十字架的标志）出现在</w:t>
      </w:r>
      <w:r w:rsidRPr="001E4083">
        <w:t>她的</w:t>
      </w:r>
      <w:r w:rsidRPr="006A21F9">
        <w:rPr>
          <w:lang w:val="ru-RU"/>
        </w:rPr>
        <w:t>头顶之上。”</w:t>
      </w:r>
      <w:r>
        <w:rPr>
          <w:rStyle w:val="FootnoteReference"/>
        </w:rPr>
        <w:footnoteReference w:id="1853"/>
      </w:r>
      <w:r w:rsidRPr="006A21F9">
        <w:rPr>
          <w:lang w:val="ru-RU"/>
        </w:rPr>
        <w:t xml:space="preserve"> 福者狄奥多里特和菲洛斯托吉乌斯都证实，基督徒对君士坦丁大帝的画像怀有极大的敬意，向其膜拜，在像前点燃蜡烛、焚烧乳香等。</w:t>
      </w:r>
      <w:r>
        <w:rPr>
          <w:rStyle w:val="FootnoteReference"/>
        </w:rPr>
        <w:footnoteReference w:id="1854"/>
      </w:r>
    </w:p>
    <w:p w14:paraId="4712BE45" w14:textId="77777777" w:rsidR="00BE1885" w:rsidRPr="006A21F9" w:rsidRDefault="00BE1885" w:rsidP="00BE1885">
      <w:pPr>
        <w:rPr>
          <w:lang w:val="ru-RU"/>
        </w:rPr>
      </w:pPr>
      <w:r w:rsidRPr="006A21F9">
        <w:rPr>
          <w:lang w:val="ru-RU"/>
        </w:rPr>
        <w:tab/>
        <w:t>在此列举后世关于教会中圣像的使用与敬奉的证据已属多余，因为据持不同意见者自己的观点，</w:t>
      </w:r>
      <w:r>
        <w:rPr>
          <w:rStyle w:val="FootnoteReference"/>
        </w:rPr>
        <w:footnoteReference w:id="1855"/>
      </w:r>
      <w:r w:rsidRPr="006A21F9">
        <w:rPr>
          <w:lang w:val="ru-RU"/>
        </w:rPr>
        <w:t xml:space="preserve"> 自五世纪起，这一现象无疑已经存在。</w:t>
      </w:r>
      <w:r>
        <w:rPr>
          <w:rStyle w:val="FootnoteReference"/>
        </w:rPr>
        <w:footnoteReference w:id="1856"/>
      </w:r>
    </w:p>
    <w:p w14:paraId="351A45E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主通过圣像为信徒施予了无数的神迹与奇事，这些正是我们尊崇圣像的又一动力。无论是整个教会的编年史，还是我们教会的编年史，都记载了关于这些神迹的传说。</w:t>
      </w:r>
      <w:r>
        <w:rPr>
          <w:rStyle w:val="FootnoteReference"/>
        </w:rPr>
        <w:footnoteReference w:id="1857"/>
      </w:r>
      <w:r w:rsidRPr="006A21F9">
        <w:rPr>
          <w:lang w:val="ru-RU"/>
        </w:rPr>
        <w:t xml:space="preserve"> 某些基督救世主、祂至洁的圣母、圣尼古拉及其他上帝所喜悦之人的圣像，因其所显的奇迹众多， 自古以来便以“奇迹圣像”之名闻名于世；它们分布于东正教会的各个角落，承蒙赐福于我们的主之安排，至今仍不断作为祂那拯救我们的奇迹之力的通道或媒介而存在。</w:t>
      </w:r>
      <w:r>
        <w:rPr>
          <w:rStyle w:val="FootnoteReference"/>
        </w:rPr>
        <w:footnoteReference w:id="1858"/>
      </w:r>
    </w:p>
    <w:p w14:paraId="4BF81A16"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理性而言，我们不得不承认，在东正教会中使用和敬奉圣像完全符合自然法则，且具有深远的益处。</w:t>
      </w:r>
    </w:p>
    <w:p w14:paraId="080DAB2B" w14:textId="77777777" w:rsidR="00BE1885" w:rsidRPr="006A21F9" w:rsidRDefault="00BE1885" w:rsidP="00BE1885">
      <w:pPr>
        <w:rPr>
          <w:lang w:val="ru-RU"/>
        </w:rPr>
      </w:pPr>
      <w:r w:rsidRPr="006A21F9">
        <w:rPr>
          <w:lang w:val="ru-RU"/>
        </w:rPr>
        <w:tab/>
        <w:t>出于我们内心的自然倾向，对于我们真正爱戴和尊敬的人，我们总希望尽可能多地见到他们，并随时准备向其表达我们真诚的敬意。由于无法经常见到我们所爱所敬的人，我们便顺应这种自然倾向，至少会设法拥有他们的肖像， ——用父亲、母亲、兄弟以及其他我们心爱且值得尊敬之人的肖像来装饰我们的居所，并将我们对原型所怀有的爱与敬意，仿佛转移到了这些肖像之上。 既然如此，基督徒拥有并敬奉他们主、至福童贞圣母、圣天使以及已被上帝荣耀的人们的圣像，难道不自然吗？ 难道不自然地在这些圣像前敬拜，使我们对圣像所献上的敬意，最终归于它们所象征的原型本身吗？难道有人能真正敬重被描绘的对象，却同时诋毁其形象吗？</w:t>
      </w:r>
    </w:p>
    <w:p w14:paraId="0F6C36B0" w14:textId="77777777" w:rsidR="00BE1885" w:rsidRPr="006A21F9" w:rsidRDefault="00BE1885" w:rsidP="00BE1885">
      <w:pPr>
        <w:rPr>
          <w:lang w:val="ru-RU"/>
        </w:rPr>
      </w:pPr>
      <w:r w:rsidRPr="006A21F9">
        <w:rPr>
          <w:lang w:val="ru-RU"/>
        </w:rPr>
        <w:tab/>
        <w:t>圣像将我们主及其至洁之母的面容、天使与圣徒的面容，以及旧约和新约历史中形形色色的神圣事件呈现在我们眼前，生动地提醒我们那些被描绘的原型，同时也让我们想起他们为我们所行、并仍在</w:t>
      </w:r>
      <w:r w:rsidRPr="006A21F9">
        <w:rPr>
          <w:lang w:val="ru-RU"/>
        </w:rPr>
        <w:lastRenderedPageBreak/>
        <w:t>行的无数恩惠， 提醒我们应当对他们怀有怎样的敬意，以及他们留给我们作为榜样的高尚虔诚事迹；由此在我们心中激发并滋养信仰、希望、仁爱以及一切基督教美德的情感。 从这个意义上说，用古人的话来说，圣像仿佛是书籍，对所有人——无论受过教育还是未受过教育——都公开可及且通俗易懂，只是用面孔和事物代替了文字。</w:t>
      </w:r>
      <w:r>
        <w:rPr>
          <w:rStyle w:val="FootnoteReference"/>
        </w:rPr>
        <w:footnoteReference w:id="1859"/>
      </w:r>
      <w:r w:rsidRPr="006A21F9">
        <w:rPr>
          <w:lang w:val="ru-RU"/>
        </w:rPr>
        <w:t xml:space="preserve"> 这些“书”对我们的影响甚至可能比普通书籍更强烈：因为当我们阅读或聆听文字中关于某些人物或事物的叙述时，通常会将它们想象成与自己相距甚远，仅仅是凭空想象； 相反，当我们凝视人物和事物的形象本身时，却仿佛看到它们鲜活地展现在眼前，从而直接、真切地被它们所震撼。 埃及的玛利亚便是明证：她有一次偶然看到一幅圣母像，那圣像散发着无瑕与纯洁的光辉，令她深受震撼，以至于当即决心摒弃以往堕落的生活方式，转而归向上帝；同样，我们的大公弗拉基米尔看到“最后审判”的图像时深受震撼，这一事例也清楚地证明了这一点。</w:t>
      </w:r>
      <w:r>
        <w:rPr>
          <w:rStyle w:val="FootnoteReference"/>
        </w:rPr>
        <w:footnoteReference w:id="1860"/>
      </w:r>
    </w:p>
    <w:p w14:paraId="457ABBE7" w14:textId="77777777" w:rsidR="00BE1885" w:rsidRPr="006A21F9" w:rsidRDefault="00BE1885" w:rsidP="00BE1885">
      <w:pPr>
        <w:rPr>
          <w:lang w:val="ru-RU"/>
        </w:rPr>
      </w:pPr>
      <w:r w:rsidRPr="006A21F9">
        <w:rPr>
          <w:lang w:val="ru-RU"/>
        </w:rPr>
        <w:tab/>
      </w:r>
      <w:r w:rsidRPr="001E4083">
        <w:rPr>
          <w:b/>
          <w:bCs/>
        </w:rPr>
        <w:t>五</w:t>
      </w:r>
      <w:r w:rsidRPr="006A21F9">
        <w:rPr>
          <w:b/>
          <w:bCs/>
          <w:lang w:val="ru-RU"/>
        </w:rPr>
        <w:t>、</w:t>
      </w:r>
      <w:r w:rsidRPr="006A21F9">
        <w:rPr>
          <w:lang w:val="ru-RU"/>
        </w:rPr>
        <w:t>反对敬奉圣像的人主要提出以下异议：</w:t>
      </w:r>
    </w:p>
    <w:p w14:paraId="10876F14" w14:textId="77777777" w:rsidR="00BE1885" w:rsidRPr="006A21F9" w:rsidRDefault="00BE1885" w:rsidP="00BE1885">
      <w:pPr>
        <w:ind w:firstLine="708"/>
        <w:rPr>
          <w:i/>
          <w:iCs/>
          <w:lang w:val="ru-RU"/>
        </w:rPr>
      </w:pPr>
      <w:r w:rsidRPr="006A21F9">
        <w:rPr>
          <w:b/>
          <w:bCs/>
          <w:lang w:val="ru-RU"/>
        </w:rPr>
        <w:t xml:space="preserve">1) </w:t>
      </w:r>
      <w:r w:rsidRPr="006A21F9">
        <w:rPr>
          <w:lang w:val="ru-RU"/>
        </w:rPr>
        <w:t>“上帝本人曾颁布诫命，禁止敬拜任何偶像和图像：</w:t>
      </w:r>
      <w:r w:rsidRPr="006A21F9">
        <w:rPr>
          <w:i/>
          <w:iCs/>
          <w:lang w:val="ru-RU"/>
        </w:rPr>
        <w:t>‘不可为自己雕刻偶像，也不可做天上、地上和地底下水中任何形像的偶像；不可跪拜那些像，也不可事奉它们</w:t>
      </w:r>
      <w:r w:rsidRPr="006A21F9">
        <w:rPr>
          <w:lang w:val="ru-RU"/>
        </w:rPr>
        <w:t>（出埃及记 20:4-5）。’” 但要正确理解这些话，必须将其置于完整的语境中，原文如下：</w:t>
      </w:r>
      <w:r w:rsidRPr="006A21F9">
        <w:rPr>
          <w:i/>
          <w:iCs/>
          <w:lang w:val="ru-RU"/>
        </w:rPr>
        <w:t>‘我是耶和华——你的上帝，曾将你从埃及地、从为奴之家领出来；除了我以外，你不可有别的神。’ 不可为自己雕刻偶像，也不可做天上、地上和地底下水中任何形像的偶像；不可向它们下拜，也不可事奉它们，因为我是耶和华——你的神，是忌邪的神</w:t>
      </w:r>
      <w:r w:rsidRPr="006A21F9">
        <w:rPr>
          <w:lang w:val="ru-RU"/>
        </w:rPr>
        <w:t>（出埃及记 20:2-5）。 显然，神在此首先禁止制造偶像及任何其他虚假之神的形像；其次，禁止以本应唯独归于祂的敬拜方式来敬拜和侍奉这些形像。 但我们所制作和使用的圣像，并非虚假之神，而是真神及其圣徒——神就住在他们里面；我们敬拜并尊崇圣像，并非将其视为某种神明或偶像，而是仅在某种意义上——即把我们的敬意归向圣像中所描绘的原型。 从这个意义上说，上帝不仅不会禁止使用和敬奉圣像，相反，正如我们所见，祂甚至吩咐了这一点，命令摩西制作约柜——这对犹太人而言是耶和华临在的可见象征——并在至圣所中安置两个基路伯的形象， 用同样的形象装饰幔子和会幕的墙壁，在约柜和幔子前焚烧乳香，点亮灯台等等。</w:t>
      </w:r>
    </w:p>
    <w:p w14:paraId="36BD03CB" w14:textId="77777777" w:rsidR="00BE1885" w:rsidRPr="006A21F9" w:rsidRDefault="00BE1885" w:rsidP="00BE1885">
      <w:pPr>
        <w:ind w:firstLine="708"/>
        <w:rPr>
          <w:lang w:val="ru-RU"/>
        </w:rPr>
      </w:pPr>
      <w:r w:rsidRPr="006A21F9">
        <w:rPr>
          <w:b/>
          <w:bCs/>
          <w:lang w:val="ru-RU"/>
        </w:rPr>
        <w:t xml:space="preserve">2) </w:t>
      </w:r>
      <w:r w:rsidRPr="006A21F9">
        <w:rPr>
          <w:lang w:val="ru-RU"/>
        </w:rPr>
        <w:t>“古代异教徒曾指责基督徒没有神圣的形象——而基督教的捍卫者并未否认这一指责，他们指出，上帝的形象已铭刻在人的灵魂之中。”</w:t>
      </w:r>
      <w:r>
        <w:rPr>
          <w:rStyle w:val="FootnoteReference"/>
        </w:rPr>
        <w:footnoteReference w:id="1861"/>
      </w:r>
      <w:r w:rsidRPr="006A21F9">
        <w:rPr>
          <w:lang w:val="ru-RU"/>
        </w:rPr>
        <w:t xml:space="preserve"> </w:t>
      </w:r>
      <w:r w:rsidRPr="006A21F9">
        <w:rPr>
          <w:b/>
          <w:bCs/>
          <w:lang w:val="ru-RU"/>
        </w:rPr>
        <w:t>但是——a)</w:t>
      </w:r>
      <w:r w:rsidRPr="006A21F9">
        <w:rPr>
          <w:lang w:val="ru-RU"/>
        </w:rPr>
        <w:t xml:space="preserve"> 异教徒指责基督徒的真正原因，是他们没有像异教徒那样拥有偶像、雕像（</w:t>
      </w:r>
      <w:r w:rsidRPr="001E4083">
        <w:t>simulacra</w:t>
      </w:r>
      <w:r w:rsidRPr="006A21F9">
        <w:rPr>
          <w:lang w:val="ru-RU"/>
        </w:rPr>
        <w:t xml:space="preserve">），而基督教圣像与偶像截然不同； </w:t>
      </w:r>
      <w:r w:rsidRPr="006A21F9">
        <w:rPr>
          <w:b/>
          <w:bCs/>
          <w:lang w:val="ru-RU"/>
        </w:rPr>
        <w:t>——b)</w:t>
      </w:r>
      <w:r w:rsidRPr="006A21F9">
        <w:rPr>
          <w:lang w:val="ru-RU"/>
        </w:rPr>
        <w:t xml:space="preserve"> 他们还指责基督徒为何没有公开（</w:t>
      </w:r>
      <w:r w:rsidRPr="001E4083">
        <w:t>nota</w:t>
      </w:r>
      <w:r w:rsidRPr="006A21F9">
        <w:rPr>
          <w:lang w:val="ru-RU"/>
        </w:rPr>
        <w:t xml:space="preserve">）或显眼的雕像，相反，却始终试图隐藏他们敬拜的对象——但这绝不意味着基督徒完全没有图像； </w:t>
      </w:r>
      <w:r w:rsidRPr="006A21F9">
        <w:rPr>
          <w:b/>
          <w:bCs/>
          <w:lang w:val="ru-RU"/>
        </w:rPr>
        <w:t>c)</w:t>
      </w:r>
      <w:r w:rsidRPr="006A21F9">
        <w:rPr>
          <w:lang w:val="ru-RU"/>
        </w:rPr>
        <w:t xml:space="preserve"> 与此同时，异教徒还指责基督徒没有教堂和祭坛——但既然后者完全是虚假的，那么可以推断，第一项指责也是不公正的； </w:t>
      </w:r>
      <w:r w:rsidRPr="006A21F9">
        <w:rPr>
          <w:b/>
          <w:bCs/>
          <w:lang w:val="ru-RU"/>
        </w:rPr>
        <w:t>г)</w:t>
      </w:r>
      <w:r w:rsidRPr="006A21F9">
        <w:rPr>
          <w:lang w:val="ru-RU"/>
        </w:rPr>
        <w:t xml:space="preserve"> 基督教的捍卫者在回应异教徒的这些指责时，如果对基督教圣像保持沉默，那么对基督教教堂和祭坛也同样保持沉默，尽管 后者无疑是存在的；</w:t>
      </w:r>
      <w:r>
        <w:rPr>
          <w:rStyle w:val="FootnoteReference"/>
        </w:rPr>
        <w:footnoteReference w:id="1862"/>
      </w:r>
      <w:r w:rsidRPr="006A21F9">
        <w:rPr>
          <w:lang w:val="ru-RU"/>
        </w:rPr>
        <w:t xml:space="preserve"> </w:t>
      </w:r>
      <w:r w:rsidRPr="006A21F9">
        <w:rPr>
          <w:lang w:val="ru-RU"/>
        </w:rPr>
        <w:lastRenderedPageBreak/>
        <w:t>他们之所以保持沉默，当然是因为不愿向敌人暴露自己的事业，也不愿在他们面前显露教会当时确实在隐藏的圣物。</w:t>
      </w:r>
    </w:p>
    <w:p w14:paraId="0C475F10" w14:textId="77777777" w:rsidR="00BE1885" w:rsidRPr="006A21F9" w:rsidRDefault="00BE1885" w:rsidP="00BE1885">
      <w:pPr>
        <w:rPr>
          <w:lang w:val="ru-RU"/>
        </w:rPr>
      </w:pPr>
      <w:r w:rsidRPr="006A21F9">
        <w:rPr>
          <w:lang w:val="ru-RU"/>
        </w:rPr>
        <w:t>) “古代教会导师将崇拜圣像视为对异端——诺斯替派和卡尔波克拉特追随者——的指控。”</w:t>
      </w:r>
      <w:r>
        <w:rPr>
          <w:rStyle w:val="FootnoteReference"/>
        </w:rPr>
        <w:footnoteReference w:id="1863"/>
      </w:r>
      <w:r w:rsidRPr="006A21F9">
        <w:rPr>
          <w:lang w:val="ru-RU"/>
        </w:rPr>
        <w:t xml:space="preserve"> 但古代导师们指责上述异端分子并非因为他们崇拜圣像，而是因为这些</w:t>
      </w:r>
      <w:r w:rsidRPr="006A21F9">
        <w:rPr>
          <w:b/>
          <w:bCs/>
          <w:lang w:val="ru-RU"/>
        </w:rPr>
        <w:t>异端分子——a)</w:t>
      </w:r>
      <w:r w:rsidRPr="006A21F9">
        <w:rPr>
          <w:lang w:val="ru-RU"/>
        </w:rPr>
        <w:t xml:space="preserve"> 不仅崇拜基督救世主和使徒保罗的形象，还崇拜荷马、毕达哥拉斯、 柏拉图、亚里士多德的肖像；而且</w:t>
      </w:r>
      <w:r w:rsidRPr="006A21F9">
        <w:rPr>
          <w:b/>
          <w:bCs/>
          <w:lang w:val="ru-RU"/>
        </w:rPr>
        <w:t>——b)</w:t>
      </w:r>
      <w:r w:rsidRPr="006A21F9">
        <w:rPr>
          <w:lang w:val="ru-RU"/>
        </w:rPr>
        <w:t xml:space="preserve"> 按照异教仪式，向所有这些肖像致以神圣的敬意，因此陷入了偶像崇拜。</w:t>
      </w:r>
      <w:r>
        <w:rPr>
          <w:rStyle w:val="FootnoteReference"/>
        </w:rPr>
        <w:footnoteReference w:id="1864"/>
      </w:r>
    </w:p>
    <w:p w14:paraId="291693E6" w14:textId="77777777" w:rsidR="00BE1885" w:rsidRPr="006A21F9" w:rsidRDefault="00BE1885" w:rsidP="00BE1885">
      <w:pPr>
        <w:rPr>
          <w:lang w:val="ru-RU"/>
        </w:rPr>
      </w:pPr>
      <w:r w:rsidRPr="006A21F9">
        <w:rPr>
          <w:lang w:val="ru-RU"/>
        </w:rPr>
        <w:t>) “西班牙的埃尔维拉大公会议于305年召开，其第36条规则明确禁止在教堂内使用圣像。”</w:t>
      </w:r>
      <w:r>
        <w:rPr>
          <w:rStyle w:val="FootnoteReference"/>
        </w:rPr>
        <w:footnoteReference w:id="1865"/>
      </w:r>
      <w:r w:rsidRPr="006A21F9">
        <w:rPr>
          <w:lang w:val="ru-RU"/>
        </w:rPr>
        <w:t xml:space="preserve"> </w:t>
      </w:r>
      <w:r w:rsidRPr="006A21F9">
        <w:rPr>
          <w:b/>
          <w:bCs/>
          <w:lang w:val="ru-RU"/>
        </w:rPr>
        <w:t>但是——a)</w:t>
      </w:r>
      <w:r w:rsidRPr="006A21F9">
        <w:rPr>
          <w:lang w:val="ru-RU"/>
        </w:rPr>
        <w:t xml:space="preserve"> 首先，这条规则无疑暗示当时教堂中确实使用过圣像；</w:t>
      </w:r>
      <w:r w:rsidRPr="006A21F9">
        <w:rPr>
          <w:b/>
          <w:bCs/>
          <w:lang w:val="ru-RU"/>
        </w:rPr>
        <w:t>b)</w:t>
      </w:r>
      <w:r w:rsidRPr="006A21F9">
        <w:rPr>
          <w:lang w:val="ru-RU"/>
        </w:rPr>
        <w:t xml:space="preserve"> 该规则禁止在教堂墙壁上描绘基督徒所崇拜和敬拜的对象（</w:t>
      </w:r>
      <w:r w:rsidRPr="001E4083">
        <w:t>quod</w:t>
      </w:r>
      <w:r w:rsidRPr="0097554A">
        <w:rPr>
          <w:lang w:val="ru-RU"/>
        </w:rPr>
        <w:t xml:space="preserve"> </w:t>
      </w:r>
      <w:r w:rsidRPr="001E4083">
        <w:t>colitur</w:t>
      </w:r>
      <w:r w:rsidRPr="0097554A">
        <w:rPr>
          <w:lang w:val="ru-RU"/>
        </w:rPr>
        <w:t xml:space="preserve"> </w:t>
      </w:r>
      <w:r w:rsidRPr="001E4083">
        <w:t>et</w:t>
      </w:r>
      <w:r w:rsidRPr="0097554A">
        <w:rPr>
          <w:lang w:val="ru-RU"/>
        </w:rPr>
        <w:t xml:space="preserve"> </w:t>
      </w:r>
      <w:r w:rsidRPr="001E4083">
        <w:t>adoratur</w:t>
      </w:r>
      <w:r w:rsidRPr="006A21F9">
        <w:rPr>
          <w:lang w:val="ru-RU"/>
        </w:rPr>
        <w:t>），即如人们所推测的那样，</w:t>
      </w:r>
      <w:r>
        <w:rPr>
          <w:rStyle w:val="FootnoteReference"/>
        </w:rPr>
        <w:footnoteReference w:id="1866"/>
      </w:r>
      <w:r w:rsidRPr="006A21F9">
        <w:rPr>
          <w:lang w:val="ru-RU"/>
        </w:rPr>
        <w:t xml:space="preserve"> ，禁止描绘上帝的本质，因为祂是不可见且不可描绘的； </w:t>
      </w:r>
      <w:r w:rsidRPr="006A21F9">
        <w:rPr>
          <w:b/>
          <w:bCs/>
          <w:lang w:val="ru-RU"/>
        </w:rPr>
        <w:t>c)</w:t>
      </w:r>
      <w:r w:rsidRPr="006A21F9">
        <w:rPr>
          <w:lang w:val="ru-RU"/>
        </w:rPr>
        <w:t xml:space="preserve"> 不过，另一种推测也并非不可信，即该规定是根据当时当地的具体情况制定的： 当时西班牙正遭受戴克里先迫害的肆虐，异教徒频繁闯入基督教教堂，亵渎主及其圣徒的神圣形象——为防止此类事件发生，才在特定时期采纳了上述规定。</w:t>
      </w:r>
      <w:r>
        <w:rPr>
          <w:rStyle w:val="FootnoteReference"/>
        </w:rPr>
        <w:footnoteReference w:id="1867"/>
      </w:r>
    </w:p>
    <w:p w14:paraId="6234A30A" w14:textId="77777777" w:rsidR="00BE1885" w:rsidRPr="006A21F9" w:rsidRDefault="00BE1885" w:rsidP="00BE1885">
      <w:pPr>
        <w:rPr>
          <w:lang w:val="ru-RU"/>
        </w:rPr>
      </w:pPr>
      <w:r w:rsidRPr="006A21F9">
        <w:rPr>
          <w:lang w:val="ru-RU"/>
        </w:rPr>
        <w:tab/>
      </w:r>
    </w:p>
    <w:p w14:paraId="185F9139" w14:textId="77777777" w:rsidR="00BE1885" w:rsidRPr="006A21F9" w:rsidRDefault="00BE1885" w:rsidP="00BE1885">
      <w:pPr>
        <w:pStyle w:val="Heading5"/>
        <w:rPr>
          <w:lang w:val="ru-RU"/>
        </w:rPr>
      </w:pPr>
      <w:bookmarkStart w:id="1142" w:name="_Toc133143034"/>
      <w:bookmarkStart w:id="1143" w:name="_Toc133166391"/>
      <w:bookmarkStart w:id="1144" w:name="_Toc182221601"/>
      <w:bookmarkStart w:id="1145" w:name="_Toc238453168"/>
      <w:bookmarkStart w:id="1146" w:name="_Toc238453968"/>
      <w:bookmarkStart w:id="1147" w:name="_Toc238576628"/>
      <w:r w:rsidRPr="006A21F9">
        <w:rPr>
          <w:bCs/>
          <w:lang w:val="ru-RU"/>
        </w:rPr>
        <w:t xml:space="preserve">§257. </w:t>
      </w:r>
      <w:r w:rsidRPr="006A21F9">
        <w:rPr>
          <w:lang w:val="ru-RU"/>
        </w:rPr>
        <w:t>对罪人的报应：</w:t>
      </w:r>
      <w:r w:rsidRPr="006A21F9">
        <w:rPr>
          <w:bCs/>
          <w:lang w:val="ru-RU"/>
        </w:rPr>
        <w:t>a)</w:t>
      </w:r>
      <w:r w:rsidRPr="006A21F9">
        <w:rPr>
          <w:lang w:val="ru-RU"/>
        </w:rPr>
        <w:t xml:space="preserve"> 他们在阴间的惩罚</w:t>
      </w:r>
      <w:bookmarkEnd w:id="1142"/>
      <w:bookmarkEnd w:id="1143"/>
      <w:bookmarkEnd w:id="1144"/>
      <w:bookmarkEnd w:id="1145"/>
      <w:bookmarkEnd w:id="1146"/>
      <w:bookmarkEnd w:id="1147"/>
    </w:p>
    <w:p w14:paraId="25530256" w14:textId="77777777" w:rsidR="00BE1885" w:rsidRPr="006A21F9" w:rsidRDefault="00BE1885" w:rsidP="00BE1885">
      <w:pPr>
        <w:ind w:firstLine="708"/>
        <w:rPr>
          <w:lang w:val="ru-RU"/>
        </w:rPr>
      </w:pPr>
      <w:r w:rsidRPr="006A21F9">
        <w:rPr>
          <w:lang w:val="ru-RU"/>
        </w:rPr>
        <w:t>正如义人在肉体死亡并接受个别审判后，其灵魂会立即升入天堂并获得福乐一样，罪人的灵魂也会前往地狱——那个充满悲伤与痛苦的地方；不过，正如前者尚未感受到完全的福乐，后者在末日审判之前也不会遭受完全的折磨。</w:t>
      </w:r>
    </w:p>
    <w:p w14:paraId="7C8D73C8" w14:textId="77777777" w:rsidR="00BE1885" w:rsidRPr="006A21F9" w:rsidRDefault="00BE1885" w:rsidP="00BE1885">
      <w:pPr>
        <w:rPr>
          <w:lang w:val="ru-RU"/>
        </w:rPr>
      </w:pPr>
      <w:r w:rsidRPr="006A21F9">
        <w:rPr>
          <w:lang w:val="ru-RU"/>
        </w:rPr>
        <w:tab/>
      </w:r>
      <w:r w:rsidRPr="001E4083">
        <w:rPr>
          <w:b/>
          <w:bCs/>
        </w:rPr>
        <w:t>一</w:t>
      </w:r>
      <w:r w:rsidRPr="006A21F9">
        <w:rPr>
          <w:lang w:val="ru-RU"/>
        </w:rPr>
        <w:t>、罪人在死后及接受个别审判后，其灵魂便立即前往那个充满悲伤与痛苦的地方。</w:t>
      </w:r>
    </w:p>
    <w:p w14:paraId="599FB7FD" w14:textId="77777777" w:rsidR="00BE1885" w:rsidRPr="006A21F9" w:rsidRDefault="00BE1885" w:rsidP="00BE1885">
      <w:pPr>
        <w:ind w:firstLine="708"/>
        <w:rPr>
          <w:lang w:val="ru-RU"/>
        </w:rPr>
      </w:pPr>
      <w:r w:rsidRPr="006A21F9">
        <w:rPr>
          <w:b/>
          <w:bCs/>
          <w:lang w:val="ru-RU"/>
        </w:rPr>
        <w:t>1)</w:t>
      </w:r>
      <w:r w:rsidRPr="006A21F9">
        <w:rPr>
          <w:lang w:val="ru-RU"/>
        </w:rPr>
        <w:t xml:space="preserve"> 这一真理是由救主基督亲自宣告的。首先，当他说：</w:t>
      </w:r>
      <w:r w:rsidRPr="006A21F9">
        <w:rPr>
          <w:i/>
          <w:iCs/>
          <w:lang w:val="ru-RU"/>
        </w:rPr>
        <w:t>“不要怕那些杀害身体、之后便无能为力的；但我告诉你们，该怕谁：要怕那位在杀害之后，能把人扔进地狱的</w:t>
      </w:r>
      <w:r w:rsidRPr="006A21F9">
        <w:rPr>
          <w:lang w:val="ru-RU"/>
        </w:rPr>
        <w:t>”（路加福音12:4-5）。 其次，在“财主与拉撒路”的比喻中，这一点表现得更为清晰：</w:t>
      </w:r>
      <w:r w:rsidRPr="006A21F9">
        <w:rPr>
          <w:i/>
          <w:iCs/>
          <w:lang w:val="ru-RU"/>
        </w:rPr>
        <w:t>那个穷人死了，被天使带到了亚伯拉罕的怀里。财主也死了，被人安葬了。 他在阴间受苦时，举目远望，看见亚伯拉罕和拉撒路在他怀里，便大声呼喊说：“亚伯拉罕啊！ 求你可怜我，打发拉撒路来，用指头尖蘸点水，凉凉我的舌头，因为我在这火焰中极其痛苦。”但亚伯拉罕说：“孩子啊！你要回想，你在生前已经得了你的福分，拉撒路却受了苦； 如今他在这里得安慰，你却受痛苦</w:t>
      </w:r>
      <w:r w:rsidRPr="006A21F9">
        <w:rPr>
          <w:lang w:val="ru-RU"/>
        </w:rPr>
        <w:t>（路加福音16:22-25）。</w:t>
      </w:r>
    </w:p>
    <w:p w14:paraId="5F625A52" w14:textId="77777777" w:rsidR="00BE1885" w:rsidRPr="006A21F9" w:rsidRDefault="00BE1885" w:rsidP="00BE1885">
      <w:pPr>
        <w:ind w:firstLine="708"/>
        <w:rPr>
          <w:lang w:val="ru-RU"/>
        </w:rPr>
      </w:pPr>
      <w:r w:rsidRPr="006A21F9">
        <w:rPr>
          <w:b/>
          <w:bCs/>
          <w:lang w:val="ru-RU"/>
        </w:rPr>
        <w:t>2)</w:t>
      </w:r>
      <w:r w:rsidRPr="006A21F9">
        <w:rPr>
          <w:lang w:val="ru-RU"/>
        </w:rPr>
        <w:t xml:space="preserve"> 圣正教会始终秉持这一真理，并通过其牧者的口加以宣讲。例如，以下是：</w:t>
      </w:r>
    </w:p>
    <w:p w14:paraId="5B2FEDD4" w14:textId="77777777" w:rsidR="00BE1885" w:rsidRPr="006A21F9" w:rsidRDefault="00BE1885" w:rsidP="00BE1885">
      <w:pPr>
        <w:rPr>
          <w:lang w:val="ru-RU"/>
        </w:rPr>
      </w:pPr>
      <w:r w:rsidRPr="006A21F9">
        <w:rPr>
          <w:lang w:val="ru-RU"/>
        </w:rPr>
        <w:tab/>
        <w:t>殉道者圣尤斯丁的话：“如果你们现在同意转向与他们迷误相反的一方，你们就不会对我们的祖先（那些在异教中离世的人）犯下任何过错。 他们如今，恐怕正因迟来的悔恨而备受煎熬，在阴间受苦；倘若他们能从那里向你们告知，在今生结束之后他们遭遇了什么——你们便会真正明白，他们是想保护你们免受何种灾祸。”</w:t>
      </w:r>
      <w:r>
        <w:rPr>
          <w:rStyle w:val="FootnoteReference"/>
        </w:rPr>
        <w:footnoteReference w:id="1868"/>
      </w:r>
    </w:p>
    <w:p w14:paraId="58C3C963" w14:textId="77777777" w:rsidR="00BE1885" w:rsidRPr="006A21F9" w:rsidRDefault="00BE1885" w:rsidP="00BE1885">
      <w:pPr>
        <w:rPr>
          <w:lang w:val="ru-RU"/>
        </w:rPr>
      </w:pPr>
      <w:r w:rsidRPr="006A21F9">
        <w:rPr>
          <w:lang w:val="ru-RU"/>
        </w:rPr>
        <w:lastRenderedPageBreak/>
        <w:tab/>
        <w:t>圣基普里安：“让那些离开尘世后将遭受永恒烈火无休止折磨的人，去恐惧死亡吧……义人被召往清凉之地，罪人则被拖往刑罚之所。”</w:t>
      </w:r>
      <w:r>
        <w:rPr>
          <w:rStyle w:val="FootnoteReference"/>
        </w:rPr>
        <w:footnoteReference w:id="1869"/>
      </w:r>
    </w:p>
    <w:p w14:paraId="6A11BFF7" w14:textId="77777777" w:rsidR="00BE1885" w:rsidRPr="006A21F9" w:rsidRDefault="00BE1885" w:rsidP="00BE1885">
      <w:pPr>
        <w:rPr>
          <w:lang w:val="ru-RU"/>
        </w:rPr>
      </w:pPr>
      <w:r w:rsidRPr="006A21F9">
        <w:rPr>
          <w:lang w:val="ru-RU"/>
        </w:rPr>
        <w:tab/>
        <w:t>伊拉里乌斯：“当义人偏离正道而灭亡时（《诗篇》2:12），那并非任性的愤怒；切莫因审判迟缓而误以为刑罚不会很快降临。” 愤怒很快就会爆发（《诗篇》2:13）：因为地狱的复仇者会立刻将我们接走，如果我们生前如此生活，一旦脱离肉体，便会立即偏离义人的道路而灭亡。 《福音书》中的富人和穷人便是我们的见证：天使将其中一人安置在福乐之所和亚伯拉罕的怀中，另一人则立刻被带入刑罚之地。这位亡者所受的惩罚来得如此之快，以至于他的兄弟们当时还活着。那里没有拖延，也没有迟缓……”</w:t>
      </w:r>
      <w:r>
        <w:rPr>
          <w:rStyle w:val="FootnoteReference"/>
        </w:rPr>
        <w:footnoteReference w:id="1870"/>
      </w:r>
    </w:p>
    <w:p w14:paraId="45FE613D" w14:textId="77777777" w:rsidR="00BE1885" w:rsidRPr="006A21F9" w:rsidRDefault="00BE1885" w:rsidP="00BE1885">
      <w:pPr>
        <w:rPr>
          <w:lang w:val="ru-RU"/>
        </w:rPr>
      </w:pPr>
      <w:r w:rsidRPr="006A21F9">
        <w:rPr>
          <w:lang w:val="ru-RU"/>
        </w:rPr>
        <w:tab/>
        <w:t>圣以弗所·西里尔说：“当罪人的生命期限届满时，一位被派遣的威严天使便会前来，索取他的灵魂，并说：‘你今生的道路已尽；现在去另一个世界吧，去你该去的地方。’ 此后，他便要舍弃此生那些本以为能永远享乐的欢愉，在邪恶天使的牵引下，前往受苦之地；一见到那地方，他便惊恐万分，双手捶打自己的脸颊，四处张望，企图逃跑。 但他无法逃脱，因为押解者将他牢牢捆绑着。这时，捆绑他的天使会对他说：“你这可怜虫，为何如此胆怯？是什么让你心烦意乱、悲伤不已？你这可怜人，你在怕什么？你这不幸者，你在战栗什么？是你自己为自己预备了这个地方。你种什么，就收什么。”</w:t>
      </w:r>
      <w:r>
        <w:rPr>
          <w:rStyle w:val="FootnoteReference"/>
        </w:rPr>
        <w:footnoteReference w:id="1871"/>
      </w:r>
    </w:p>
    <w:p w14:paraId="4AE53A53" w14:textId="77777777" w:rsidR="00BE1885" w:rsidRPr="006A21F9" w:rsidRDefault="00BE1885" w:rsidP="00BE1885">
      <w:pPr>
        <w:rPr>
          <w:lang w:val="ru-RU"/>
        </w:rPr>
      </w:pPr>
      <w:r w:rsidRPr="006A21F9">
        <w:rPr>
          <w:lang w:val="ru-RU"/>
        </w:rPr>
        <w:tab/>
        <w:t>圣雅各·尼西比的言论：“我们的信仰教导我们，当人死去时，义人的灵魂归于上帝，而罪人的灵魂则下地狱。”</w:t>
      </w:r>
      <w:r>
        <w:rPr>
          <w:rStyle w:val="FootnoteReference"/>
        </w:rPr>
        <w:footnoteReference w:id="1872"/>
      </w:r>
    </w:p>
    <w:p w14:paraId="56FB61D6" w14:textId="77777777" w:rsidR="00BE1885" w:rsidRPr="006A21F9" w:rsidRDefault="00BE1885" w:rsidP="00BE1885">
      <w:pPr>
        <w:rPr>
          <w:lang w:val="ru-RU"/>
        </w:rPr>
      </w:pPr>
      <w:r w:rsidRPr="006A21F9">
        <w:rPr>
          <w:lang w:val="ru-RU"/>
        </w:rPr>
        <w:tab/>
        <w:t>大圣巴西尔：“死亡并非邪恶：难道有人会将罪人的死亡称为邪恶吗？因为对他而言，离开此世便是地狱折磨的开端。”</w:t>
      </w:r>
      <w:r>
        <w:rPr>
          <w:rStyle w:val="FootnoteReference"/>
        </w:rPr>
        <w:footnoteReference w:id="1873"/>
      </w:r>
      <w:r w:rsidRPr="006A21F9">
        <w:rPr>
          <w:lang w:val="ru-RU"/>
        </w:rPr>
        <w:t xml:space="preserve"> </w:t>
      </w:r>
      <w:r w:rsidRPr="006A21F9">
        <w:rPr>
          <w:i/>
          <w:iCs/>
          <w:lang w:val="ru-RU"/>
        </w:rPr>
        <w:t>“不要让人用虚浮的话欺骗你们</w:t>
      </w:r>
      <w:r w:rsidRPr="006A21F9">
        <w:rPr>
          <w:lang w:val="ru-RU"/>
        </w:rPr>
        <w:t>（弗5:6）。 因为</w:t>
      </w:r>
      <w:r w:rsidRPr="006A21F9">
        <w:rPr>
          <w:i/>
          <w:iCs/>
          <w:lang w:val="ru-RU"/>
        </w:rPr>
        <w:t>毁灭将忽然临到他们</w:t>
      </w:r>
      <w:r w:rsidRPr="006A21F9">
        <w:rPr>
          <w:lang w:val="ru-RU"/>
        </w:rPr>
        <w:t>（帖前 5:3），灾祸将如风暴一般降临。 一位威严的天使将降临，强行牵引并拖走你的灵魂——那被罪恶捆绑、频频回望尘世所留之物、无声抽泣的灵魂，因为哭泣的渠道早已闭塞。——哦，你将如何折磨自己！ 当你看到义人在庄严的赏赐仪式上光芒四射，而罪人在最深的黑暗中黯然失色时，你将如何站起来，徒劳地为自己的所作所为悔恨呢？那时，在你内心的煎熬中，你会说什么呢？ 唉，我何等悲哀，当初本可轻易卸下沉重的罪孽重担，却未曾如此做，反而招致了这堆罪恶！唉，我何等悲哀，未曾洗净自身的污秽，反而被罪孽烙上了印记！若当初如此，我如今本可与天使同在，本可享受天上的福乐。 啊，我那诡诈的思虑！为了罪恶暂时的欢愉，我承受着永恒的折磨；为了肉体的享乐，我如今被投入火中。”</w:t>
      </w:r>
      <w:r>
        <w:rPr>
          <w:rStyle w:val="FootnoteReference"/>
        </w:rPr>
        <w:footnoteReference w:id="1874"/>
      </w:r>
    </w:p>
    <w:p w14:paraId="04E526DD" w14:textId="77777777" w:rsidR="00BE1885" w:rsidRPr="006A21F9" w:rsidRDefault="00BE1885" w:rsidP="00BE1885">
      <w:pPr>
        <w:rPr>
          <w:lang w:val="ru-RU"/>
        </w:rPr>
      </w:pPr>
      <w:r w:rsidRPr="006A21F9">
        <w:rPr>
          <w:lang w:val="ru-RU"/>
        </w:rPr>
        <w:lastRenderedPageBreak/>
        <w:tab/>
        <w:t>同样持此教导的还有：特土良（Tertullian）、亚历山大的克利门特（Clement of Alexandria）、圣尼西亚的格里高利（St. Gregory of Nyssa）、</w:t>
      </w:r>
      <w:r>
        <w:rPr>
          <w:rStyle w:val="FootnoteReference"/>
        </w:rPr>
        <w:footnoteReference w:id="1875"/>
      </w:r>
      <w:r w:rsidRPr="006A21F9">
        <w:rPr>
          <w:lang w:val="ru-RU"/>
        </w:rPr>
        <w:t xml:space="preserve"> 、圣杰罗姆（St. Jerome）、</w:t>
      </w:r>
      <w:r>
        <w:rPr>
          <w:rStyle w:val="FootnoteReference"/>
        </w:rPr>
        <w:footnoteReference w:id="1876"/>
      </w:r>
      <w:r w:rsidRPr="006A21F9">
        <w:rPr>
          <w:lang w:val="ru-RU"/>
        </w:rPr>
        <w:t xml:space="preserve"> 、奥古斯丁（St. Augustine）</w:t>
      </w:r>
      <w:r>
        <w:rPr>
          <w:rStyle w:val="FootnoteReference"/>
        </w:rPr>
        <w:footnoteReference w:id="1877"/>
      </w:r>
      <w:r w:rsidRPr="006A21F9">
        <w:rPr>
          <w:lang w:val="ru-RU"/>
        </w:rPr>
        <w:t xml:space="preserve"> 等人。</w:t>
      </w:r>
      <w:r>
        <w:rPr>
          <w:rStyle w:val="FootnoteReference"/>
        </w:rPr>
        <w:footnoteReference w:id="1878"/>
      </w:r>
    </w:p>
    <w:p w14:paraId="661090C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关于罪人的灵魂在个别审判后将去往何处，以及他们在那里所受的苦难，所能说的实在寥寥无几。</w:t>
      </w:r>
    </w:p>
    <w:p w14:paraId="248EE761" w14:textId="77777777" w:rsidR="00BE1885" w:rsidRPr="006A21F9" w:rsidRDefault="00BE1885" w:rsidP="00BE1885">
      <w:pPr>
        <w:rPr>
          <w:lang w:val="ru-RU"/>
        </w:rPr>
      </w:pPr>
      <w:r w:rsidRPr="006A21F9">
        <w:rPr>
          <w:lang w:val="ru-RU"/>
        </w:rPr>
        <w:tab/>
        <w:t>圣经和古代教会导师的著作中，将此处称为：地狱</w:t>
      </w:r>
      <w:r w:rsidRPr="006B15F8">
        <w:rPr>
          <w:lang w:val="ru-RU"/>
        </w:rPr>
        <w:t>[</w:t>
      </w:r>
      <w:r w:rsidRPr="006A21F9">
        <w:rPr>
          <w:lang w:val="ru-RU"/>
        </w:rPr>
        <w:t>(路加福音 16:23</w:t>
      </w:r>
      <w:r w:rsidRPr="006B15F8">
        <w:rPr>
          <w:lang w:val="ru-RU"/>
        </w:rPr>
        <w:t>)</w:t>
      </w:r>
      <w:r w:rsidRPr="006A21F9">
        <w:rPr>
          <w:lang w:val="ru-RU"/>
        </w:rPr>
        <w:t>；</w:t>
      </w:r>
      <w:r w:rsidRPr="006B15F8">
        <w:rPr>
          <w:lang w:val="ru-RU"/>
        </w:rPr>
        <w:t>(</w:t>
      </w:r>
      <w:r w:rsidRPr="006A21F9">
        <w:rPr>
          <w:lang w:val="ru-RU"/>
        </w:rPr>
        <w:t>使徒行传 2:51)</w:t>
      </w:r>
      <w:r w:rsidRPr="006B15F8">
        <w:rPr>
          <w:lang w:val="ru-RU"/>
        </w:rPr>
        <w:t>]</w:t>
      </w:r>
      <w:r w:rsidRPr="006A21F9">
        <w:rPr>
          <w:lang w:val="ru-RU"/>
        </w:rPr>
        <w:t>、极深的黑暗[(马太福音 22:13)；</w:t>
      </w:r>
      <w:r w:rsidRPr="006A21F9">
        <w:rPr>
          <w:rFonts w:cs="Cambria Math"/>
          <w:lang w:val="ru-RU"/>
        </w:rPr>
        <w:t xml:space="preserve"> </w:t>
      </w:r>
      <w:r w:rsidRPr="006A21F9">
        <w:rPr>
          <w:lang w:val="ru-RU"/>
        </w:rPr>
        <w:t>(马太福音 25:30-46)]、灵的牢狱（彼得前书 3:18）、无底坑 （路加福音 8:31）、阴间（腓立比书 2:11）、地狱（马太福音 5:22；</w:t>
      </w:r>
      <w:r w:rsidRPr="006A21F9">
        <w:rPr>
          <w:rFonts w:cs="Cambria Math"/>
          <w:lang w:val="ru-RU"/>
        </w:rPr>
        <w:t xml:space="preserve"> </w:t>
      </w:r>
      <w:r w:rsidRPr="006A21F9">
        <w:rPr>
          <w:lang w:val="ru-RU"/>
        </w:rPr>
        <w:t>10:28）、火炉 [(太 13:50)；(路 12:2)]</w:t>
      </w:r>
      <w:r>
        <w:rPr>
          <w:rStyle w:val="FootnoteReference"/>
        </w:rPr>
        <w:footnoteReference w:id="1879"/>
      </w:r>
      <w:r w:rsidRPr="006A21F9">
        <w:rPr>
          <w:b/>
          <w:bCs/>
          <w:lang w:val="ru-RU"/>
        </w:rPr>
        <w:t xml:space="preserve"> </w:t>
      </w:r>
      <w:r w:rsidRPr="006A21F9">
        <w:rPr>
          <w:lang w:val="ru-RU"/>
        </w:rPr>
        <w:t xml:space="preserve">，以及其他名称。不过，这些名称都表达同一个意思，即那些带着罪孽离开人世之人的灵魂所去之处，正是受审判和承受上帝忿怒的地方 （《正统信条》第1卷，对第68个问题的回答）。至于地狱或火湖究竟位于何处，人们仅持有各种观点。有些人依据圣经经文 </w:t>
      </w:r>
      <w:r w:rsidRPr="006B15F8">
        <w:rPr>
          <w:lang w:val="ru-RU"/>
        </w:rPr>
        <w:t>[</w:t>
      </w:r>
      <w:r w:rsidRPr="006A21F9">
        <w:rPr>
          <w:lang w:val="ru-RU"/>
        </w:rPr>
        <w:t>(民数记 16:30-34</w:t>
      </w:r>
      <w:r w:rsidRPr="006B15F8">
        <w:rPr>
          <w:lang w:val="ru-RU"/>
        </w:rPr>
        <w:t>)</w:t>
      </w:r>
      <w:r w:rsidRPr="006A21F9">
        <w:rPr>
          <w:lang w:val="ru-RU"/>
        </w:rPr>
        <w:t>；</w:t>
      </w:r>
      <w:r w:rsidRPr="006B15F8">
        <w:rPr>
          <w:lang w:val="ru-RU"/>
        </w:rPr>
        <w:t>(</w:t>
      </w:r>
      <w:r w:rsidRPr="006A21F9">
        <w:rPr>
          <w:lang w:val="ru-RU"/>
        </w:rPr>
        <w:t>以西结书 26:20</w:t>
      </w:r>
      <w:r w:rsidRPr="006B15F8">
        <w:rPr>
          <w:lang w:val="ru-RU"/>
        </w:rPr>
        <w:t>)</w:t>
      </w:r>
      <w:r w:rsidRPr="006A21F9">
        <w:rPr>
          <w:lang w:val="ru-RU"/>
        </w:rPr>
        <w:t xml:space="preserve">； </w:t>
      </w:r>
      <w:r w:rsidRPr="006B15F8">
        <w:rPr>
          <w:lang w:val="ru-RU"/>
        </w:rPr>
        <w:t>（《</w:t>
      </w:r>
      <w:r w:rsidRPr="006A21F9">
        <w:rPr>
          <w:lang w:val="ru-RU"/>
        </w:rPr>
        <w:t>以西结书</w:t>
      </w:r>
      <w:r w:rsidRPr="006B15F8">
        <w:rPr>
          <w:lang w:val="ru-RU"/>
        </w:rPr>
        <w:t>》</w:t>
      </w:r>
      <w:r w:rsidRPr="006A21F9">
        <w:rPr>
          <w:lang w:val="ru-RU"/>
        </w:rPr>
        <w:t>31:18</w:t>
      </w:r>
      <w:r w:rsidRPr="006B15F8">
        <w:rPr>
          <w:lang w:val="ru-RU"/>
        </w:rPr>
        <w:t>）</w:t>
      </w:r>
      <w:r w:rsidRPr="006A21F9">
        <w:rPr>
          <w:lang w:val="ru-RU"/>
        </w:rPr>
        <w:t>等</w:t>
      </w:r>
      <w:r w:rsidRPr="006B15F8">
        <w:rPr>
          <w:lang w:val="ru-RU"/>
        </w:rPr>
        <w:t>]</w:t>
      </w:r>
      <w:r w:rsidRPr="006A21F9">
        <w:rPr>
          <w:lang w:val="ru-RU"/>
        </w:rPr>
        <w:t>，将地狱想象为位于大地内部或极深处，即阴间。</w:t>
      </w:r>
      <w:r>
        <w:rPr>
          <w:rStyle w:val="FootnoteReference"/>
        </w:rPr>
        <w:footnoteReference w:id="1880"/>
      </w:r>
      <w:r w:rsidRPr="006A21F9">
        <w:rPr>
          <w:lang w:val="ru-RU"/>
        </w:rPr>
        <w:t xml:space="preserve"> 另一些人，例如圣约翰·金口，则认为火湖位于世界之外。</w:t>
      </w:r>
      <w:r>
        <w:rPr>
          <w:rStyle w:val="FootnoteReference"/>
        </w:rPr>
        <w:footnoteReference w:id="1881"/>
      </w:r>
      <w:r w:rsidRPr="006A21F9">
        <w:rPr>
          <w:lang w:val="ru-RU"/>
        </w:rPr>
        <w:t xml:space="preserve"> 但在此最值得铭记的，还是这位金口若望的话：“你问，地狱会在何处、在什么地方？但这与你何干？重要的是要知道它的存在，而非它隐藏在何处、在什么地方……因此，我们不应探究它在哪里，而应探究如何避免落入其中。”</w:t>
      </w:r>
      <w:r>
        <w:rPr>
          <w:rStyle w:val="FootnoteReference"/>
        </w:rPr>
        <w:footnoteReference w:id="1882"/>
      </w:r>
    </w:p>
    <w:p w14:paraId="194F39D9" w14:textId="77777777" w:rsidR="00BE1885" w:rsidRPr="006A21F9" w:rsidRDefault="00BE1885" w:rsidP="00BE1885">
      <w:pPr>
        <w:rPr>
          <w:lang w:val="ru-RU"/>
        </w:rPr>
      </w:pPr>
      <w:r w:rsidRPr="006A21F9">
        <w:rPr>
          <w:lang w:val="ru-RU"/>
        </w:rPr>
        <w:tab/>
        <w:t>根据圣经的记载，罪人在地狱所受的折磨在于：</w:t>
      </w:r>
      <w:r w:rsidRPr="006A21F9">
        <w:rPr>
          <w:b/>
          <w:bCs/>
          <w:lang w:val="ru-RU"/>
        </w:rPr>
        <w:t>a)</w:t>
      </w:r>
      <w:r w:rsidRPr="006A21F9">
        <w:rPr>
          <w:lang w:val="ru-RU"/>
        </w:rPr>
        <w:t xml:space="preserve"> 他们被隔绝于上帝面光之外（太7:23），并被囚禁在灵的牢狱中（彼前3:18）——单是这种被上帝弃绝，本身就是最严厉的惩罚；</w:t>
      </w:r>
      <w:r>
        <w:rPr>
          <w:rStyle w:val="FootnoteReference"/>
        </w:rPr>
        <w:footnoteReference w:id="1883"/>
      </w:r>
      <w:r w:rsidRPr="006A21F9">
        <w:rPr>
          <w:lang w:val="ru-RU"/>
        </w:rPr>
        <w:t xml:space="preserve"> </w:t>
      </w:r>
      <w:r w:rsidRPr="006A21F9">
        <w:rPr>
          <w:b/>
          <w:bCs/>
          <w:lang w:val="ru-RU"/>
        </w:rPr>
        <w:t>b)</w:t>
      </w:r>
      <w:r w:rsidRPr="006A21F9">
        <w:rPr>
          <w:lang w:val="ru-RU"/>
        </w:rPr>
        <w:t xml:space="preserve"> 被剥夺了进入天国、分享义人福乐的权利，反而被投入极深的黑暗之中（马太福音 22:13）；</w:t>
      </w:r>
      <w:r w:rsidRPr="006A21F9">
        <w:rPr>
          <w:b/>
          <w:bCs/>
          <w:lang w:val="ru-RU"/>
        </w:rPr>
        <w:t>c)</w:t>
      </w:r>
      <w:r w:rsidRPr="006A21F9">
        <w:rPr>
          <w:lang w:val="ru-RU"/>
        </w:rPr>
        <w:t xml:space="preserve"> 因自己的罪而感到良心的谴责，这种谴责如同不死的虫子一样，不断地折磨着他们（马可福音 9:44）； </w:t>
      </w:r>
      <w:r w:rsidRPr="006A21F9">
        <w:rPr>
          <w:b/>
          <w:bCs/>
          <w:lang w:val="ru-RU"/>
        </w:rPr>
        <w:t>d)</w:t>
      </w:r>
      <w:r w:rsidRPr="006A21F9">
        <w:rPr>
          <w:lang w:val="ru-RU"/>
        </w:rPr>
        <w:t xml:space="preserve"> 与邪恶的、被弃绝的灵为伍；</w:t>
      </w:r>
      <w:r w:rsidRPr="006A21F9">
        <w:rPr>
          <w:b/>
          <w:bCs/>
          <w:lang w:val="ru-RU"/>
        </w:rPr>
        <w:t>e)</w:t>
      </w:r>
      <w:r w:rsidRPr="006A21F9">
        <w:rPr>
          <w:lang w:val="ru-RU"/>
        </w:rPr>
        <w:t xml:space="preserve"> 最后，承受各种具体的折磨 [(路16:23)； </w:t>
      </w:r>
      <w:r w:rsidRPr="006A21F9">
        <w:rPr>
          <w:lang w:val="ru-RU"/>
        </w:rPr>
        <w:lastRenderedPageBreak/>
        <w:t>（太22:1等）。</w:t>
      </w:r>
      <w:r>
        <w:rPr>
          <w:rStyle w:val="FootnoteReference"/>
        </w:rPr>
        <w:footnoteReference w:id="1884"/>
      </w:r>
      <w:r w:rsidRPr="006A21F9">
        <w:rPr>
          <w:lang w:val="ru-RU"/>
        </w:rPr>
        <w:t xml:space="preserve"> 不过，必须记住，罪人在阴间所受的折磨无疑并非一律相同，而是根据上帝公义（尽管是个别）的审判，与每个人的罪行相称（路12:47-48）。 据此，可以推测地狱拥有各自独立的居所、牢房和灵魂的囚室（《以斯拉记》第三卷 4:32-41），以及特殊的区域，其中一个被称为“地狱”本身，另一个被称为“火湖”，第三个被称为“塔尔塔罗斯”，第四个被称为“火湖”等等。 至少在《启示录》中有一处将地狱与火湖区分开来（启20:13-14）。</w:t>
      </w:r>
    </w:p>
    <w:p w14:paraId="0F6B09D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此外，罪人在个别审判后于地狱所受的这些各不相同的折磨，并非完全且彻底的折磨，而仅仅是初步的折磨。 因为，正如上帝的话语所教导的，对罪人的完全而彻底的报应将在本世纪末到来：</w:t>
      </w:r>
      <w:r w:rsidRPr="006A21F9">
        <w:rPr>
          <w:i/>
          <w:iCs/>
          <w:lang w:val="ru-RU"/>
        </w:rPr>
        <w:t>人子将差遣他的天使，从他的国度中收集一切引诱人犯罪和行不法之事的人，并将他们扔进火炉里</w:t>
      </w:r>
      <w:r w:rsidRPr="006A21F9">
        <w:rPr>
          <w:lang w:val="ru-RU"/>
        </w:rPr>
        <w:t>[（太13:41-42）；参见（林后5:10）]。教会的教师们也曾说过：</w:t>
      </w:r>
    </w:p>
    <w:p w14:paraId="1865F01A" w14:textId="77777777" w:rsidR="00BE1885" w:rsidRPr="006A21F9" w:rsidRDefault="00BE1885" w:rsidP="00BE1885">
      <w:pPr>
        <w:rPr>
          <w:lang w:val="ru-RU"/>
        </w:rPr>
      </w:pPr>
      <w:r w:rsidRPr="006A21F9">
        <w:rPr>
          <w:lang w:val="ru-RU"/>
        </w:rPr>
        <w:tab/>
        <w:t>圣贾斯汀：“虔诚之人的灵魂身处最佳之地，而邪恶之人的灵魂则身处最糟之地，等待着审判之日。”</w:t>
      </w:r>
      <w:r>
        <w:rPr>
          <w:rStyle w:val="FootnoteReference"/>
        </w:rPr>
        <w:footnoteReference w:id="1885"/>
      </w:r>
    </w:p>
    <w:p w14:paraId="19B8CB3F" w14:textId="77777777" w:rsidR="00BE1885" w:rsidRPr="006A21F9" w:rsidRDefault="00BE1885" w:rsidP="00BE1885">
      <w:pPr>
        <w:rPr>
          <w:lang w:val="ru-RU"/>
        </w:rPr>
      </w:pPr>
      <w:r w:rsidRPr="006A21F9">
        <w:rPr>
          <w:lang w:val="ru-RU"/>
        </w:rPr>
        <w:tab/>
        <w:t>圣亚他那修：“圣徒的灵魂如今所感受到的喜乐，是一种私人的享受，正如罪人的悲伤是一种私人的惩罚。 正如君王召聚朋友与他共进晚餐，同时也召来受刑者予以惩罚；受邀赴宴者在晚宴开始前，便在君王府邸前欢欣等候；而受刑者被囚禁在牢房中，直到君王到来之前，都沉浸在悲伤之中： 我们也应当如此思考那些如今已从我们中间离世、前往彼岸的义人和罪人的灵魂。”</w:t>
      </w:r>
      <w:r>
        <w:rPr>
          <w:rStyle w:val="FootnoteReference"/>
        </w:rPr>
        <w:footnoteReference w:id="1886"/>
      </w:r>
    </w:p>
    <w:p w14:paraId="6159F365" w14:textId="77777777" w:rsidR="00BE1885" w:rsidRPr="006A21F9" w:rsidRDefault="00BE1885" w:rsidP="00BE1885">
      <w:pPr>
        <w:rPr>
          <w:lang w:val="ru-RU"/>
        </w:rPr>
      </w:pPr>
      <w:r w:rsidRPr="006A21F9">
        <w:rPr>
          <w:lang w:val="ru-RU"/>
        </w:rPr>
        <w:tab/>
        <w:t>圣安布罗斯：“在等待时辰到来之际，（逝者的）灵魂正等待着应得的报应。有人将受惩罚，有人将得赏赐——然而，前者不会免于痛苦，后者也不会缺乏喜乐。”</w:t>
      </w:r>
      <w:r>
        <w:rPr>
          <w:rStyle w:val="FootnoteReference"/>
        </w:rPr>
        <w:footnoteReference w:id="1887"/>
      </w:r>
    </w:p>
    <w:p w14:paraId="52DB5CC8" w14:textId="77777777" w:rsidR="00BE1885" w:rsidRPr="006A21F9" w:rsidRDefault="00BE1885" w:rsidP="00BE1885">
      <w:pPr>
        <w:rPr>
          <w:lang w:val="ru-RU"/>
        </w:rPr>
      </w:pPr>
      <w:r w:rsidRPr="006A21F9">
        <w:rPr>
          <w:lang w:val="ru-RU"/>
        </w:rPr>
        <w:tab/>
        <w:t>圣约翰·金口：“至于罪人的灵魂在死后也不能留在此地，请听听那个曾为此多次恳求却未得所愿的富人。倘若这是可能的，他本会亲自前来，讲述那里发生的一切。 由此可见，灵魂离开此地后会被带往某处，且无法再从那里返回，只能等待那可怕的日子。”</w:t>
      </w:r>
      <w:r>
        <w:rPr>
          <w:rStyle w:val="FootnoteReference"/>
        </w:rPr>
        <w:footnoteReference w:id="1888"/>
      </w:r>
    </w:p>
    <w:p w14:paraId="44833E7F" w14:textId="77777777" w:rsidR="00BE1885" w:rsidRPr="006A21F9" w:rsidRDefault="00BE1885" w:rsidP="00BE1885">
      <w:pPr>
        <w:rPr>
          <w:lang w:val="ru-RU"/>
        </w:rPr>
      </w:pPr>
      <w:r w:rsidRPr="006A21F9">
        <w:rPr>
          <w:lang w:val="ru-RU"/>
        </w:rPr>
        <w:tab/>
        <w:t>圣奥古斯丁：“所有离开人世的灵魂都会得到不同的报应，行善者得享喜乐，作恶者受苦。但当复活来临时：那时行善者的喜乐将更加圆满，作恶者的痛苦也将更加沉重，因为他们将与肉体一同受苦。”</w:t>
      </w:r>
      <w:r>
        <w:rPr>
          <w:rStyle w:val="FootnoteReference"/>
        </w:rPr>
        <w:footnoteReference w:id="1889"/>
      </w:r>
    </w:p>
    <w:p w14:paraId="7A015FCE" w14:textId="77777777" w:rsidR="00BE1885" w:rsidRPr="006A21F9" w:rsidRDefault="00BE1885" w:rsidP="00BE1885">
      <w:pPr>
        <w:rPr>
          <w:lang w:val="ru-RU"/>
        </w:rPr>
      </w:pPr>
      <w:r w:rsidRPr="006A21F9">
        <w:rPr>
          <w:lang w:val="ru-RU"/>
        </w:rPr>
        <w:tab/>
      </w:r>
    </w:p>
    <w:p w14:paraId="21C56197" w14:textId="77777777" w:rsidR="00BE1885" w:rsidRPr="006A21F9" w:rsidRDefault="00BE1885" w:rsidP="00BE1885">
      <w:pPr>
        <w:pStyle w:val="Heading5"/>
        <w:rPr>
          <w:lang w:val="ru-RU"/>
        </w:rPr>
      </w:pPr>
      <w:bookmarkStart w:id="1148" w:name="_Toc133143035"/>
      <w:bookmarkStart w:id="1149" w:name="_Toc133166392"/>
      <w:bookmarkStart w:id="1150" w:name="_Toc182221602"/>
      <w:bookmarkStart w:id="1151" w:name="_Toc238453169"/>
      <w:bookmarkStart w:id="1152" w:name="_Toc238453969"/>
      <w:bookmarkStart w:id="1153" w:name="_Toc238576629"/>
      <w:r w:rsidRPr="006A21F9">
        <w:rPr>
          <w:lang w:val="ru-RU"/>
        </w:rPr>
        <w:t xml:space="preserve">§258. </w:t>
      </w:r>
      <w:r w:rsidRPr="006A21F9">
        <w:rPr>
          <w:bCs/>
          <w:lang w:val="ru-RU"/>
        </w:rPr>
        <w:t>b)</w:t>
      </w:r>
      <w:r w:rsidRPr="006A21F9">
        <w:rPr>
          <w:lang w:val="ru-RU"/>
        </w:rPr>
        <w:t xml:space="preserve"> 某些罪人通过教会的祈祷，有可能获得地狱刑罚的减轻甚至免除</w:t>
      </w:r>
      <w:bookmarkEnd w:id="1148"/>
      <w:bookmarkEnd w:id="1149"/>
      <w:bookmarkEnd w:id="1150"/>
      <w:bookmarkEnd w:id="1151"/>
      <w:bookmarkEnd w:id="1152"/>
      <w:bookmarkEnd w:id="1153"/>
    </w:p>
    <w:p w14:paraId="2C3DAC28" w14:textId="77777777" w:rsidR="00BE1885" w:rsidRPr="006A21F9" w:rsidRDefault="00BE1885" w:rsidP="00BE1885">
      <w:pPr>
        <w:ind w:firstLine="708"/>
        <w:rPr>
          <w:lang w:val="ru-RU"/>
        </w:rPr>
      </w:pPr>
      <w:r w:rsidRPr="006A21F9">
        <w:rPr>
          <w:lang w:val="ru-RU"/>
        </w:rPr>
        <w:t xml:space="preserve">不过，东正教会虽然教导说，所有罪人在死后经过个别审判，都会同样下地狱——那个充满悲伤与痛苦的地方，但同时也承认：对于那些在离开现世之前已经悔改，只是尚未结出与悔改相称的果实 （例如：祈祷、痛悔、安慰穷人，以及通过行为表达对上帝和邻人的爱），他们仍有机会减轻苦难，甚至完全摆脱地狱的枷锁。 </w:t>
      </w:r>
      <w:r w:rsidRPr="006A21F9">
        <w:rPr>
          <w:lang w:val="ru-RU"/>
        </w:rPr>
        <w:lastRenderedPageBreak/>
        <w:t>罪人能够获得这种缓解与解脱，并非基于自身任何功德或通过忏悔（因为死后及个人审判之后，既无忏悔之地，亦无功德可言），而仅凭上帝无尽的仁慈，通过教会为亡者所做的祈祷及生者所行的善举， 尤其是凭借那无血的牺牲——这种牺牲由神职人员为每位基督徒及其在世亲属特别献上，而天主教会和使徒教会则每日为所有人献上（《正统信条》第1章，对第64、65问的回答； 《东方宗主教关于正统信仰的通谕》第18条）。</w:t>
      </w:r>
    </w:p>
    <w:p w14:paraId="55024D40"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这一教义认为，那些在悔改中离世的罪人，可以通过尚在世的弟兄们的祈祷及其善行（其目的也在于激励他人为已故者祈祷），或者说，通过教会凭借无血牺牲的力量所作的祈祷，从而获得减轻甚至免除地狱之苦， ——这一教义在圣经中是有依据的。经上说：</w:t>
      </w:r>
    </w:p>
    <w:p w14:paraId="545A7E78" w14:textId="77777777" w:rsidR="00BE1885" w:rsidRPr="006A21F9" w:rsidRDefault="00BE1885" w:rsidP="00BE1885">
      <w:pPr>
        <w:ind w:firstLine="708"/>
        <w:rPr>
          <w:lang w:val="ru-RU"/>
        </w:rPr>
      </w:pPr>
      <w:r w:rsidRPr="006A21F9">
        <w:rPr>
          <w:b/>
          <w:bCs/>
          <w:lang w:val="ru-RU"/>
        </w:rPr>
        <w:t>1)</w:t>
      </w:r>
      <w:r w:rsidRPr="006A21F9">
        <w:rPr>
          <w:lang w:val="ru-RU"/>
        </w:rPr>
        <w:t xml:space="preserve"> 圣经普遍吩咐我们要彼此代祷（雅各书 5:16），为所有的人祷告[(提摩太前书 2:1)；引自 （以弗所书 6:18-19）]，并未限定地点、时间及其他具体情况。因此，无论我们的邻舍与我们同在，还是不在； 无论他们尚在世上，还是因死亡而迁往另一个世界：因为</w:t>
      </w:r>
      <w:r w:rsidRPr="006A21F9">
        <w:rPr>
          <w:i/>
          <w:iCs/>
          <w:lang w:val="ru-RU"/>
        </w:rPr>
        <w:t>我们无论是活着还是死了，都永远属于主</w:t>
      </w:r>
      <w:r w:rsidRPr="006A21F9">
        <w:rPr>
          <w:lang w:val="ru-RU"/>
        </w:rPr>
        <w:t>（罗马书 14:8），而死人，正如活人一样，在神面前都同样活着（路加福音 20:38）。</w:t>
      </w:r>
    </w:p>
    <w:p w14:paraId="2EB2A2DA" w14:textId="77777777" w:rsidR="00BE1885" w:rsidRPr="006A21F9" w:rsidRDefault="00BE1885" w:rsidP="00BE1885">
      <w:pPr>
        <w:ind w:firstLine="708"/>
        <w:rPr>
          <w:lang w:val="ru-RU"/>
        </w:rPr>
      </w:pPr>
      <w:r w:rsidRPr="006A21F9">
        <w:rPr>
          <w:b/>
          <w:bCs/>
          <w:lang w:val="ru-RU"/>
        </w:rPr>
        <w:t>2)</w:t>
      </w:r>
      <w:r w:rsidRPr="006A21F9">
        <w:rPr>
          <w:lang w:val="ru-RU"/>
        </w:rPr>
        <w:t xml:space="preserve"> 具体而言：为了防止我们为邻舍作不蒙神喜悦且对他们毫无益处的祷告，另有诫命如此规定：</w:t>
      </w:r>
      <w:r w:rsidRPr="006A21F9">
        <w:rPr>
          <w:i/>
          <w:iCs/>
          <w:lang w:val="ru-RU"/>
        </w:rPr>
        <w:t>若有人看见弟兄犯了不至于死的罪，就当为他祷告，神必将生命赐给他，即赐给那犯了不至于死的罪的人。 有致死的罪：我并非指他应当为此祷告</w:t>
      </w:r>
      <w:r w:rsidRPr="006A21F9">
        <w:rPr>
          <w:lang w:val="ru-RU"/>
        </w:rPr>
        <w:t>（约壹5:16）。但所有带着真诚悔改离世的人，仅因他们已悔改这一事实，便已脱离了致死的罪： “因为致死的罪，——第七次大公会议的教父们说，——就是当某些人犯罪后仍不悔改，并且顽固地反对虔诚与真理……在这样的人里面没有主上帝，除非他们谦卑下来，并从自己的堕落中清醒过来”（规则第5条）。 因此，所有带着真诚悔改离世的人，即使此前曾陷于致命罪中——更不用说未曾陷于其中的人——都属于我们的邻人， ，我们受命为他们祈祷。 那些在致命罪中离世、心怀顽固不悔且与教会断绝共融的人，根据这条使徒诫命，无权</w:t>
      </w:r>
      <w:r w:rsidRPr="001E4083">
        <w:t>蒙受</w:t>
      </w:r>
      <w:r w:rsidRPr="006A21F9">
        <w:rPr>
          <w:lang w:val="ru-RU"/>
        </w:rPr>
        <w:t>教会的祈祷。</w:t>
      </w:r>
    </w:p>
    <w:p w14:paraId="161E5632" w14:textId="77777777" w:rsidR="00BE1885" w:rsidRPr="006A21F9" w:rsidRDefault="00BE1885" w:rsidP="00BE1885">
      <w:pPr>
        <w:ind w:firstLine="708"/>
        <w:rPr>
          <w:lang w:val="ru-RU"/>
        </w:rPr>
      </w:pPr>
      <w:r w:rsidRPr="006A21F9">
        <w:rPr>
          <w:b/>
          <w:bCs/>
          <w:lang w:val="ru-RU"/>
        </w:rPr>
        <w:t>3)</w:t>
      </w:r>
      <w:r w:rsidRPr="006A21F9">
        <w:rPr>
          <w:lang w:val="ru-RU"/>
        </w:rPr>
        <w:t xml:space="preserve"> 据说，我们为邻舍的祷告，即使在道德层面上，对他们也普遍有益 [(帖后 1:11-12)； (以弗所书 6:18-19)]；</w:t>
      </w:r>
      <w:r w:rsidRPr="006A21F9">
        <w:rPr>
          <w:i/>
          <w:iCs/>
          <w:lang w:val="ru-RU"/>
        </w:rPr>
        <w:t>义人为邻舍的热切祷告</w:t>
      </w:r>
      <w:r w:rsidRPr="006A21F9">
        <w:rPr>
          <w:lang w:val="ru-RU"/>
        </w:rPr>
        <w:t>尤其</w:t>
      </w:r>
      <w:r w:rsidRPr="006A21F9">
        <w:rPr>
          <w:i/>
          <w:iCs/>
          <w:lang w:val="ru-RU"/>
        </w:rPr>
        <w:t>大有功效</w:t>
      </w:r>
      <w:r w:rsidRPr="006A21F9">
        <w:rPr>
          <w:lang w:val="ru-RU"/>
        </w:rPr>
        <w:t>（雅各书 5:16）；特别是，我们为那些未陷于致命罪中的弟兄所做的祷告，能赐予他们生命（约翰一书 5:16）。 因此，尽管我们无法理解我们的祷告在我们的邻舍尚在世时是如何发挥作用的（尽管如此，这些祷告对他们而言仍是有效且具有救赎意义的）。 同样，即使我们无法理解我们的祷告如何影响那些已离世且真正悔改的弟兄，我们也没有权利怀疑这些祷告对他们的有效性和救赎性。</w:t>
      </w:r>
    </w:p>
    <w:p w14:paraId="24DD7D34" w14:textId="77777777" w:rsidR="00BE1885" w:rsidRPr="006A21F9" w:rsidRDefault="00BE1885" w:rsidP="00BE1885">
      <w:pPr>
        <w:ind w:firstLine="708"/>
        <w:rPr>
          <w:lang w:val="ru-RU"/>
        </w:rPr>
      </w:pPr>
      <w:r w:rsidRPr="006A21F9">
        <w:rPr>
          <w:b/>
          <w:bCs/>
          <w:lang w:val="ru-RU"/>
        </w:rPr>
        <w:t>4)</w:t>
      </w:r>
      <w:r w:rsidRPr="006A21F9">
        <w:rPr>
          <w:lang w:val="ru-RU"/>
        </w:rPr>
        <w:t xml:space="preserve"> 据说，我们向神所作的任何祷告——包括为活人及亡者代求的祷告——唯有奉主耶稣的名（约14:14）献上时，才具有力量和功效；祂是神与人之间唯一的中保（提后2:5）； 特别是，当祂在十字架上将自己——祂自己的身体和宝血——作为赎罪祭献给上帝时，祂使我们与上帝和好，并赎清了我们一切的罪 [(希伯来书 9:14-26)；</w:t>
      </w:r>
      <w:r w:rsidRPr="006A21F9">
        <w:rPr>
          <w:rFonts w:cs="Cambria Math"/>
          <w:lang w:val="ru-RU"/>
        </w:rPr>
        <w:t xml:space="preserve"> </w:t>
      </w:r>
      <w:r w:rsidRPr="006A21F9">
        <w:rPr>
          <w:lang w:val="ru-RU"/>
        </w:rPr>
        <w:t>（希伯来书 10:10)]；并且在圣餐礼中，至今仍向神献上同样的赎罪祭，我们救赎主的同样圣洁的身体为世人的生命而被擘开（约翰福音 6:51），祂同样圣洁的宝血为赦免罪孽而被倾洒 [（马太福音 26:26-28）；（路加福音 22:19-20）]。 因此，如果我们为在世的，以及已故的弟兄们所做的祷告，既能蒙神喜悦，又能对他们有益，那么，当这种祷告与为他们献上的无血赎罪祭结合在一起时，其功效尤为显著。</w:t>
      </w:r>
    </w:p>
    <w:p w14:paraId="601900D7" w14:textId="77777777" w:rsidR="00BE1885" w:rsidRPr="006A21F9" w:rsidRDefault="00BE1885" w:rsidP="00BE1885">
      <w:pPr>
        <w:ind w:firstLine="708"/>
        <w:rPr>
          <w:lang w:val="ru-RU"/>
        </w:rPr>
      </w:pPr>
      <w:r w:rsidRPr="006A21F9">
        <w:rPr>
          <w:b/>
          <w:bCs/>
          <w:lang w:val="ru-RU"/>
        </w:rPr>
        <w:lastRenderedPageBreak/>
        <w:t>5)</w:t>
      </w:r>
      <w:r w:rsidRPr="006A21F9">
        <w:rPr>
          <w:lang w:val="ru-RU"/>
        </w:rPr>
        <w:t xml:space="preserve"> 经上说：</w:t>
      </w:r>
      <w:r w:rsidRPr="006A21F9">
        <w:rPr>
          <w:i/>
          <w:iCs/>
          <w:lang w:val="ru-RU"/>
        </w:rPr>
        <w:t>凡说话冒犯人子，还可得赦免；但凡说话冒犯圣灵的，今世来世都不得赦免</w:t>
      </w:r>
      <w:r w:rsidRPr="006A21F9">
        <w:rPr>
          <w:lang w:val="ru-RU"/>
        </w:rPr>
        <w:t>（太12:32）——由此自然可以推断，罪人在死后仍有可能获得罪的赦免。</w:t>
      </w:r>
      <w:r>
        <w:rPr>
          <w:rStyle w:val="FootnoteReference"/>
        </w:rPr>
        <w:footnoteReference w:id="1890"/>
      </w:r>
      <w:r w:rsidRPr="006A21F9">
        <w:rPr>
          <w:lang w:val="ru-RU"/>
        </w:rPr>
        <w:t xml:space="preserve"> 同样，经上也说，主耶稣如今拥有阴间和死亡的钥匙（启1:18）——因此，祂可以用这些钥匙打开阴间的门，将那里的囚徒释放出来。 但既然死后，罪人自己既无悔改之机，亦无行善之余地；那么，要解释这种赦免罪人罪孽并使他们脱离地狱枷锁的可能性，除了主是借着教会的祷告，并凭着为亡者献上的无血的、赎罪的祭物来成就此事之外，别无他法。 对于那些亵渎圣灵——即犯了死罪且未悔改——而离世的人，教会不为他们祈祷；正因如此，正如救主所言，亵渎圣灵的罪，无论在此世还是来世，都不会被赦免。</w:t>
      </w:r>
    </w:p>
    <w:p w14:paraId="3A4226DA" w14:textId="77777777" w:rsidR="00BE1885" w:rsidRPr="006A21F9" w:rsidRDefault="00BE1885" w:rsidP="00BE1885">
      <w:pPr>
        <w:ind w:firstLine="708"/>
        <w:rPr>
          <w:lang w:val="ru-RU"/>
        </w:rPr>
      </w:pPr>
      <w:r w:rsidRPr="006A21F9">
        <w:rPr>
          <w:b/>
          <w:bCs/>
          <w:lang w:val="ru-RU"/>
        </w:rPr>
        <w:t>6)</w:t>
      </w:r>
      <w:r w:rsidRPr="006A21F9">
        <w:rPr>
          <w:lang w:val="ru-RU"/>
        </w:rPr>
        <w:t xml:space="preserve"> 据记载，早在旧约时代的教会中就已存在为亡者祈祷的习俗。例如，在虔诚的犹太领袖犹大·马加比的时代，当人们检查战场上的阵亡者时，发现他们的衣物中藏有来自偶像祭品的战利品（这正是他们阵亡的原因）， 所有犹太人都赞美了主的公义审判，随即开始祈祷，恳求这所犯的罪能被彻底赦免（《马加比下》12:39-42）。 而犹大·马加比本人，当时便筹集了献给真神的供物，派人前往耶路撒冷为死者的罪献上赎罪祭，行事既美好又虔诚，心中思念着复活……随即为死者献上祈祷，祈求他们得以从罪中洁净（43-46）。</w:t>
      </w:r>
    </w:p>
    <w:p w14:paraId="16D93E82" w14:textId="77777777" w:rsidR="00BE1885" w:rsidRPr="006A21F9" w:rsidRDefault="00BE1885" w:rsidP="00BE1885">
      <w:pPr>
        <w:rPr>
          <w:lang w:val="ru-RU"/>
        </w:rPr>
      </w:pPr>
      <w:r w:rsidRPr="006A21F9">
        <w:rPr>
          <w:lang w:val="ru-RU"/>
        </w:rPr>
        <w:tab/>
      </w:r>
      <w:r w:rsidRPr="001E4083">
        <w:rPr>
          <w:b/>
          <w:bCs/>
        </w:rPr>
        <w:t>二</w:t>
      </w:r>
      <w:r w:rsidRPr="006A21F9">
        <w:rPr>
          <w:b/>
          <w:bCs/>
          <w:lang w:val="ru-RU"/>
        </w:rPr>
        <w:t>、</w:t>
      </w:r>
      <w:r w:rsidRPr="006A21F9">
        <w:rPr>
          <w:lang w:val="ru-RU"/>
        </w:rPr>
        <w:t>在新约教会中，纪念亡者的传统作为使徒传承，</w:t>
      </w:r>
      <w:r w:rsidRPr="001E4083">
        <w:t>自教会</w:t>
      </w:r>
      <w:r w:rsidRPr="006A21F9">
        <w:rPr>
          <w:lang w:val="ru-RU"/>
        </w:rPr>
        <w:t>创立之初便已存在。以下几点可作为佐证：</w:t>
      </w:r>
    </w:p>
    <w:p w14:paraId="273FB561" w14:textId="77777777" w:rsidR="00BE1885" w:rsidRPr="006A21F9" w:rsidRDefault="00BE1885" w:rsidP="00BE1885">
      <w:pPr>
        <w:ind w:firstLine="708"/>
        <w:rPr>
          <w:lang w:val="ru-RU"/>
        </w:rPr>
      </w:pPr>
      <w:r w:rsidRPr="006A21F9">
        <w:rPr>
          <w:b/>
          <w:bCs/>
          <w:lang w:val="ru-RU"/>
        </w:rPr>
        <w:t>1)</w:t>
      </w:r>
      <w:r w:rsidRPr="006A21F9">
        <w:rPr>
          <w:lang w:val="ru-RU"/>
        </w:rPr>
        <w:t xml:space="preserve"> 所有古代礼拜仪式，无论是东方正教会中曾使用或现仍使用的——如以圣雅各（主的兄弟）、</w:t>
      </w:r>
      <w:r>
        <w:rPr>
          <w:rStyle w:val="FootnoteReference"/>
        </w:rPr>
        <w:footnoteReference w:id="1891"/>
      </w:r>
      <w:r w:rsidRPr="006A21F9">
        <w:rPr>
          <w:lang w:val="ru-RU"/>
        </w:rPr>
        <w:t xml:space="preserve"> 圣大巴西尔、圣 圣约翰·金口、圣格里高利·双语者之名闻名的礼拜仪式； 以及西方教会（罗马、西班牙或摩萨拉布、高卢等）的礼拜仪式；最后，还有自古以来存在于东方的各种非东正教教派的礼拜仪式：雅各派、科普特派、亚美尼亚派、埃塞俄比亚派、叙利亚派、聂斯托里派等。 在所有这些圣礼中，无论其数量多么庞大、形式多么多样，没有一种不包含为亡者祈祷的内容。</w:t>
      </w:r>
      <w:r>
        <w:rPr>
          <w:rStyle w:val="FootnoteReference"/>
        </w:rPr>
        <w:footnoteReference w:id="1892"/>
      </w:r>
      <w:r w:rsidRPr="006A21F9">
        <w:rPr>
          <w:lang w:val="ru-RU"/>
        </w:rPr>
        <w:t xml:space="preserve"> 这表明，自使徒们将神圣礼拜仪式传承给教会以来，基督徒从未有过不为已故弟兄祈祷的时期，尤其是在举行其最重要的集体礼拜仪式之时。</w:t>
      </w:r>
      <w:r>
        <w:rPr>
          <w:rStyle w:val="FootnoteReference"/>
        </w:rPr>
        <w:footnoteReference w:id="1893"/>
      </w:r>
    </w:p>
    <w:p w14:paraId="521E0DE6" w14:textId="77777777" w:rsidR="00BE1885" w:rsidRPr="006A21F9" w:rsidRDefault="00BE1885" w:rsidP="00BE1885">
      <w:pPr>
        <w:ind w:firstLine="708"/>
        <w:rPr>
          <w:lang w:val="ru-RU"/>
        </w:rPr>
      </w:pPr>
      <w:r w:rsidRPr="006A21F9">
        <w:rPr>
          <w:b/>
          <w:bCs/>
          <w:lang w:val="ru-RU"/>
        </w:rPr>
        <w:lastRenderedPageBreak/>
        <w:t>2)</w:t>
      </w:r>
      <w:r w:rsidRPr="006A21F9">
        <w:rPr>
          <w:lang w:val="ru-RU"/>
        </w:rPr>
        <w:t xml:space="preserve"> 圣教父和教会导师们的见证，其中一些人直接将纪念亡者称为使徒传统，而另一些人至少也提到它在教会中确实存在。</w:t>
      </w:r>
    </w:p>
    <w:p w14:paraId="66080B37" w14:textId="77777777" w:rsidR="00BE1885" w:rsidRPr="006A21F9" w:rsidRDefault="00BE1885" w:rsidP="00BE1885">
      <w:pPr>
        <w:rPr>
          <w:lang w:val="ru-RU"/>
        </w:rPr>
      </w:pPr>
      <w:r w:rsidRPr="006A21F9">
        <w:rPr>
          <w:lang w:val="ru-RU"/>
        </w:rPr>
        <w:tab/>
        <w:t>在前者中，我们特别指出以下见证：</w:t>
      </w:r>
    </w:p>
    <w:p w14:paraId="5DA334F0" w14:textId="77777777" w:rsidR="00BE1885" w:rsidRPr="006A21F9" w:rsidRDefault="00BE1885" w:rsidP="00BE1885">
      <w:pPr>
        <w:rPr>
          <w:lang w:val="ru-RU"/>
        </w:rPr>
      </w:pPr>
      <w:r w:rsidRPr="006A21F9">
        <w:rPr>
          <w:lang w:val="ru-RU"/>
        </w:rPr>
        <w:tab/>
        <w:t>圣狄奥尼修斯·阿雷奥帕吉塔： “司祭为亡者诵念祷文，祷告结束后亲吻亡者，随后所有在场者亦在祷告中恳求上帝无尽的仁慈，愿祂赦免亡者因人性软弱所犯的一切罪过，并使他在光明之中、在生者之国、在亚伯拉罕、 以撒和雅各的怀抱中，在那个远离一切疾病、悲伤与叹息的地方……”稍后又写道：“关于神职人员为逝者诵念的上述祷文，有必要阐述这一由我们受神启示的导师们传承给我们的传统。”</w:t>
      </w:r>
      <w:r>
        <w:rPr>
          <w:rStyle w:val="FootnoteReference"/>
        </w:rPr>
        <w:footnoteReference w:id="1894"/>
      </w:r>
    </w:p>
    <w:p w14:paraId="5932D3F8" w14:textId="77777777" w:rsidR="00BE1885" w:rsidRPr="006A21F9" w:rsidRDefault="00BE1885" w:rsidP="00BE1885">
      <w:pPr>
        <w:rPr>
          <w:lang w:val="ru-RU"/>
        </w:rPr>
      </w:pPr>
      <w:r w:rsidRPr="006A21F9">
        <w:rPr>
          <w:lang w:val="ru-RU"/>
        </w:rPr>
        <w:tab/>
        <w:t>大圣亚法纳西： “那些奉神之言传道的使徒、蒙圣化恩典的导师和属灵的父亲们，因着他们的尊荣，被圣灵充满，并按其容量领受了那使他们充满喜乐的圣灵大能，便以受神感召的嘴唇，设立了蒙神喜悦的礼拜仪式、祷文和诗篇吟唱， 以及对亡者的年度纪念；这一传统，蒙仁爱之神的恩典，直至今日仍在不断加强并从日出之东传至日落之西，遍及南北，以尊崇并荣耀那位统御万主、统治万王的主。”</w:t>
      </w:r>
      <w:r>
        <w:rPr>
          <w:rStyle w:val="FootnoteReference"/>
        </w:rPr>
        <w:footnoteReference w:id="1895"/>
      </w:r>
    </w:p>
    <w:p w14:paraId="0DFAC9CE" w14:textId="77777777" w:rsidR="00BE1885" w:rsidRPr="006A21F9" w:rsidRDefault="00BE1885" w:rsidP="00BE1885">
      <w:pPr>
        <w:rPr>
          <w:lang w:val="ru-RU"/>
        </w:rPr>
      </w:pPr>
      <w:r w:rsidRPr="006A21F9">
        <w:rPr>
          <w:lang w:val="ru-RU"/>
        </w:rPr>
        <w:tab/>
        <w:t>圣格里高利·尼萨的言论：“基督的传道者和门徒所传授的，以及普世教会所接纳的，没有一件是未经深思熟虑的，也没有一件是无益的；而在神圣而荣耀的圣礼中，为持守正信的亡者举行追思，这确实是一项极受上帝喜悦且有益的事。”</w:t>
      </w:r>
      <w:r>
        <w:rPr>
          <w:rStyle w:val="FootnoteReference"/>
        </w:rPr>
        <w:footnoteReference w:id="1896"/>
      </w:r>
    </w:p>
    <w:p w14:paraId="691CAF36" w14:textId="77777777" w:rsidR="00BE1885" w:rsidRPr="006A21F9" w:rsidRDefault="00BE1885" w:rsidP="00BE1885">
      <w:pPr>
        <w:rPr>
          <w:lang w:val="ru-RU"/>
        </w:rPr>
      </w:pPr>
      <w:r w:rsidRPr="006A21F9">
        <w:rPr>
          <w:lang w:val="ru-RU"/>
        </w:rPr>
        <w:tab/>
        <w:t>圣约翰·金口：“使徒们规定在庄严的圣礼前为亡者举行追思，绝非徒然：他们深知，这对于亡者大有裨益，是莫大的恩惠。”</w:t>
      </w:r>
      <w:r>
        <w:rPr>
          <w:rStyle w:val="FootnoteReference"/>
        </w:rPr>
        <w:footnoteReference w:id="1897"/>
      </w:r>
      <w:r w:rsidRPr="006A21F9">
        <w:rPr>
          <w:lang w:val="ru-RU"/>
        </w:rPr>
        <w:t xml:space="preserve"> “为亡者献祭并非徒然，祈祷并非徒然，施舍也并非徒然：这一切都是圣灵所设立的，旨在让我们彼此受益。”</w:t>
      </w:r>
      <w:r>
        <w:rPr>
          <w:rStyle w:val="FootnoteReference"/>
        </w:rPr>
        <w:footnoteReference w:id="1898"/>
      </w:r>
    </w:p>
    <w:p w14:paraId="0C7AA07C" w14:textId="77777777" w:rsidR="00BE1885" w:rsidRPr="006A21F9" w:rsidRDefault="00BE1885" w:rsidP="00BE1885">
      <w:pPr>
        <w:rPr>
          <w:lang w:val="ru-RU"/>
        </w:rPr>
      </w:pPr>
      <w:r w:rsidRPr="006A21F9">
        <w:rPr>
          <w:lang w:val="ru-RU"/>
        </w:rPr>
        <w:tab/>
        <w:t>圣约翰·达马斯库斯：“那些通晓奥秘、亲见圣言、征服尘世的人，救主的神圣门徒与使徒们，并非无故， 并非徒然，也非无益，才在那些庄严、至洁且赐予生命的神圣奥秘中，设立了为已故信徒举行追思礼仪的传统；这一传统，从地极到地极，由基督和上帝的使徒及大公教会所掌管，自那时起直至今日，始终坚定不移、毫无疑义地坚守，并将一直坚守到世界末日。 因为基督教信仰远离谬误，从未采纳任何无益之事，也不会永远不可动摇地持守无益之事，而是持守一切有益、蒙神喜悦且极具救赎意义的事。”</w:t>
      </w:r>
      <w:r>
        <w:rPr>
          <w:rStyle w:val="FootnoteReference"/>
        </w:rPr>
        <w:footnoteReference w:id="1899"/>
      </w:r>
    </w:p>
    <w:p w14:paraId="576B5DCF" w14:textId="77777777" w:rsidR="00BE1885" w:rsidRPr="006A21F9" w:rsidRDefault="00BE1885" w:rsidP="00BE1885">
      <w:pPr>
        <w:rPr>
          <w:lang w:val="ru-RU"/>
        </w:rPr>
      </w:pPr>
      <w:r w:rsidRPr="006A21F9">
        <w:rPr>
          <w:lang w:val="ru-RU"/>
        </w:rPr>
        <w:tab/>
        <w:t>以下言论直截了当地表明了教会中为亡者祈祷的习俗确实存在：</w:t>
      </w:r>
      <w:r w:rsidRPr="006A21F9">
        <w:rPr>
          <w:b/>
          <w:bCs/>
          <w:lang w:val="ru-RU"/>
        </w:rPr>
        <w:t>a)</w:t>
      </w:r>
      <w:r w:rsidRPr="006A21F9">
        <w:rPr>
          <w:lang w:val="ru-RU"/>
        </w:rPr>
        <w:t xml:space="preserve"> 特土良：“我们每年都在亡者离世之日为他们献上祭礼；”</w:t>
      </w:r>
      <w:r>
        <w:rPr>
          <w:rStyle w:val="FootnoteReference"/>
        </w:rPr>
        <w:footnoteReference w:id="1900"/>
      </w:r>
      <w:r w:rsidRPr="006A21F9">
        <w:rPr>
          <w:lang w:val="ru-RU"/>
        </w:rPr>
        <w:t xml:space="preserve"> </w:t>
      </w:r>
      <w:r w:rsidRPr="006A21F9">
        <w:rPr>
          <w:b/>
          <w:bCs/>
          <w:lang w:val="ru-RU"/>
        </w:rPr>
        <w:t>b)</w:t>
      </w:r>
      <w:r w:rsidRPr="006A21F9">
        <w:rPr>
          <w:lang w:val="ru-RU"/>
        </w:rPr>
        <w:t xml:space="preserve"> 基普里安： “我们的前任主教们，基于虔诚的思考并关切救赎之事，已作出规定：任何临终的弟兄都不得将自己的</w:t>
      </w:r>
      <w:r w:rsidRPr="006A21F9">
        <w:rPr>
          <w:lang w:val="ru-RU"/>
        </w:rPr>
        <w:lastRenderedPageBreak/>
        <w:t>照料与庇护托付给神职人员；若有人如此行事，则不会为其举行献祭，也不会为他的安息举行祭礼： 因为凡企图使神父和祭坛侍者远离上帝祭坛者，都不配在神父于上帝祭坛前的祷文中被提及；”</w:t>
      </w:r>
      <w:r>
        <w:rPr>
          <w:rStyle w:val="FootnoteReference"/>
        </w:rPr>
        <w:footnoteReference w:id="1901"/>
      </w:r>
      <w:r w:rsidRPr="006A21F9">
        <w:rPr>
          <w:lang w:val="ru-RU"/>
        </w:rPr>
        <w:t xml:space="preserve"> </w:t>
      </w:r>
      <w:r w:rsidRPr="006A21F9">
        <w:rPr>
          <w:b/>
          <w:bCs/>
          <w:lang w:val="ru-RU"/>
        </w:rPr>
        <w:t xml:space="preserve">c) </w:t>
      </w:r>
      <w:r w:rsidRPr="006A21F9">
        <w:rPr>
          <w:lang w:val="ru-RU"/>
        </w:rPr>
        <w:t>优西比乌：“全体民众与神职人员一同，不无泪水与深切的叹息，向神为国王的灵魂献上祈祷，以此履行了这位蒙神喜悦之人的心愿；”</w:t>
      </w:r>
      <w:r>
        <w:rPr>
          <w:rStyle w:val="FootnoteReference"/>
        </w:rPr>
        <w:footnoteReference w:id="1902"/>
      </w:r>
      <w:r w:rsidRPr="006A21F9">
        <w:rPr>
          <w:lang w:val="ru-RU"/>
        </w:rPr>
        <w:t xml:space="preserve"> </w:t>
      </w:r>
      <w:r w:rsidRPr="006A21F9">
        <w:rPr>
          <w:b/>
          <w:bCs/>
          <w:lang w:val="ru-RU"/>
        </w:rPr>
        <w:t xml:space="preserve">d) </w:t>
      </w:r>
      <w:r w:rsidRPr="006A21F9">
        <w:rPr>
          <w:lang w:val="ru-RU"/>
        </w:rPr>
        <w:t>耶路撒冷的西里尔：“我们也纪念先逝者，首先是宗主教、先知、使徒和殉道者，祈求上帝借着他们的祷告和代求，垂听我们的祈求； 其次，我们为已安息的圣父和主教们祈祷，也为我们当中所有先我们而去的人祈祷，深信当这神圣而庄严的牺牲呈献之时，那些被我们代祷的灵魂必将获得极大的益处；”</w:t>
      </w:r>
      <w:r>
        <w:rPr>
          <w:rStyle w:val="FootnoteReference"/>
        </w:rPr>
        <w:footnoteReference w:id="1903"/>
      </w:r>
      <w:r w:rsidRPr="006A21F9">
        <w:rPr>
          <w:lang w:val="ru-RU"/>
        </w:rPr>
        <w:t xml:space="preserve"> </w:t>
      </w:r>
      <w:r w:rsidRPr="006A21F9">
        <w:rPr>
          <w:b/>
          <w:bCs/>
          <w:lang w:val="ru-RU"/>
        </w:rPr>
        <w:t xml:space="preserve">d) </w:t>
      </w:r>
      <w:r w:rsidRPr="006A21F9">
        <w:rPr>
          <w:lang w:val="ru-RU"/>
        </w:rPr>
        <w:t>安布罗斯：“主啊，求祢赐予祢的仆人狄奥多西（皇帝）安息，那正是祢为祢的仆人们预备的安息；”</w:t>
      </w:r>
      <w:r>
        <w:rPr>
          <w:rStyle w:val="FootnoteReference"/>
        </w:rPr>
        <w:footnoteReference w:id="1904"/>
      </w:r>
      <w:r w:rsidRPr="006A21F9">
        <w:rPr>
          <w:lang w:val="ru-RU"/>
        </w:rPr>
        <w:t xml:space="preserve"> </w:t>
      </w:r>
      <w:r w:rsidRPr="006A21F9">
        <w:rPr>
          <w:b/>
          <w:bCs/>
          <w:lang w:val="ru-RU"/>
        </w:rPr>
        <w:t xml:space="preserve">e) </w:t>
      </w:r>
      <w:r w:rsidRPr="006A21F9">
        <w:rPr>
          <w:lang w:val="ru-RU"/>
        </w:rPr>
        <w:t>叙利亚的以弗所：“倘若旧约时代的祭司能借着祭祀来洁净在战场上阵亡者的罪孽——因他们被不义之行玷污，正如经上所记（《马加比下》12章）： 那么，基督新约的祭司们，岂不更能借着圣洁的祭物和口中的祷告，真正洗净那些已离世之罪人的罪孽吗？”</w:t>
      </w:r>
      <w:r>
        <w:rPr>
          <w:rStyle w:val="FootnoteReference"/>
        </w:rPr>
        <w:footnoteReference w:id="1905"/>
      </w:r>
      <w:r w:rsidRPr="006A21F9">
        <w:rPr>
          <w:lang w:val="ru-RU"/>
        </w:rPr>
        <w:t xml:space="preserve"> 我们暂且不提阿诺比、埃皮法尼乌斯、神学家格里高利、奥古斯丁以及许多其他人，</w:t>
      </w:r>
      <w:r>
        <w:rPr>
          <w:rStyle w:val="FootnoteReference"/>
        </w:rPr>
        <w:footnoteReference w:id="1906"/>
      </w:r>
      <w:r w:rsidRPr="006A21F9">
        <w:rPr>
          <w:lang w:val="ru-RU"/>
        </w:rPr>
        <w:t xml:space="preserve"> ——更何况，即使在持不同意见者看来，在最初的十三个世纪里，所有圣父和教会导师都一致教导要为亡者祈祷。</w:t>
      </w:r>
      <w:r>
        <w:rPr>
          <w:rStyle w:val="FootnoteReference"/>
        </w:rPr>
        <w:footnoteReference w:id="1907"/>
      </w:r>
    </w:p>
    <w:p w14:paraId="4CFAA0D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在古代教会导师的著作中，我们也能找到与上帝圣言相符的解释，说明我们的祈祷为何以及如何能对那些在信仰和悔改中离世的人产生益处。</w:t>
      </w:r>
    </w:p>
    <w:p w14:paraId="45F965B8" w14:textId="77777777" w:rsidR="00BE1885" w:rsidRPr="006A21F9" w:rsidRDefault="00BE1885" w:rsidP="00BE1885">
      <w:pPr>
        <w:ind w:firstLine="708"/>
        <w:rPr>
          <w:lang w:val="ru-RU"/>
        </w:rPr>
      </w:pPr>
      <w:r w:rsidRPr="006A21F9">
        <w:rPr>
          <w:b/>
          <w:bCs/>
          <w:lang w:val="ru-RU"/>
        </w:rPr>
        <w:t xml:space="preserve">1. </w:t>
      </w:r>
      <w:r w:rsidRPr="006A21F9">
        <w:rPr>
          <w:lang w:val="ru-RU"/>
        </w:rPr>
        <w:t>我们为亡者所做的祷告、施舍，尤其是献上无血的祭物，能使上帝向他们施恩；上帝自己曾吩咐我们要为邻舍祷告[(雅各书 5:16)； （约壹5:16）]，并多次乐意因他人的信心与代祷，向信徒显明祂的怜悯</w:t>
      </w:r>
      <w:r w:rsidRPr="004C5A56">
        <w:rPr>
          <w:lang w:val="ru-RU"/>
        </w:rPr>
        <w:t>[</w:t>
      </w:r>
      <w:r w:rsidRPr="006A21F9">
        <w:rPr>
          <w:lang w:val="ru-RU"/>
        </w:rPr>
        <w:t>（太8:13</w:t>
      </w:r>
      <w:r w:rsidRPr="004C5A56">
        <w:rPr>
          <w:lang w:val="ru-RU"/>
        </w:rPr>
        <w:t>）</w:t>
      </w:r>
      <w:r w:rsidRPr="006A21F9">
        <w:rPr>
          <w:lang w:val="ru-RU"/>
        </w:rPr>
        <w:t>；（太9:2</w:t>
      </w:r>
      <w:r w:rsidRPr="004C5A56">
        <w:rPr>
          <w:lang w:val="ru-RU"/>
        </w:rPr>
        <w:t>）</w:t>
      </w:r>
      <w:r w:rsidRPr="006A21F9">
        <w:rPr>
          <w:lang w:val="ru-RU"/>
        </w:rPr>
        <w:t>；（太15:28）</w:t>
      </w:r>
      <w:r w:rsidRPr="004C5A56">
        <w:rPr>
          <w:lang w:val="ru-RU"/>
        </w:rPr>
        <w:t>]</w:t>
      </w:r>
      <w:r w:rsidRPr="006A21F9">
        <w:rPr>
          <w:lang w:val="ru-RU"/>
        </w:rPr>
        <w:t>。</w:t>
      </w:r>
    </w:p>
    <w:p w14:paraId="0BC0293A" w14:textId="77777777" w:rsidR="00BE1885" w:rsidRPr="006A21F9" w:rsidRDefault="00BE1885" w:rsidP="00BE1885">
      <w:pPr>
        <w:rPr>
          <w:lang w:val="ru-RU"/>
        </w:rPr>
      </w:pPr>
      <w:r w:rsidRPr="006A21F9">
        <w:rPr>
          <w:lang w:val="ru-RU"/>
        </w:rPr>
        <w:tab/>
        <w:t>这一思想在以下论述中得到了阐明：</w:t>
      </w:r>
    </w:p>
    <w:p w14:paraId="65FA4054" w14:textId="77777777" w:rsidR="00BE1885" w:rsidRPr="006A21F9" w:rsidRDefault="00BE1885" w:rsidP="00BE1885">
      <w:pPr>
        <w:rPr>
          <w:lang w:val="ru-RU"/>
        </w:rPr>
      </w:pPr>
      <w:r w:rsidRPr="006A21F9">
        <w:rPr>
          <w:lang w:val="ru-RU"/>
        </w:rPr>
        <w:tab/>
        <w:t>耶路撒冷的圣西里尔：“我想用一个例子来向你们证明——因为我知道，许多人会说：无论带着罪孽还是没有罪孽离开这个世界，若在祷告中被记念，对灵魂有何益处？ ——倘若某位君王将惹他厌烦的人流放，而他们的亲友随后编织一顶花冠，为受罚者献给他；他难道不会减轻他们的刑罚吗？ 因此，我们为亡者——即使他们是罪人——</w:t>
      </w:r>
      <w:r w:rsidRPr="006A21F9">
        <w:rPr>
          <w:lang w:val="ru-RU"/>
        </w:rPr>
        <w:lastRenderedPageBreak/>
        <w:t>向上帝献上祈祷时，并非编织花冠，而是将为我们的罪孽被钉十字架的基督献上，以此为他们和我们向仁爱之神求得宽恕。”</w:t>
      </w:r>
      <w:r>
        <w:rPr>
          <w:rStyle w:val="FootnoteReference"/>
        </w:rPr>
        <w:footnoteReference w:id="1908"/>
      </w:r>
    </w:p>
    <w:p w14:paraId="4C82C170" w14:textId="77777777" w:rsidR="00BE1885" w:rsidRPr="006A21F9" w:rsidRDefault="00BE1885" w:rsidP="00BE1885">
      <w:pPr>
        <w:rPr>
          <w:lang w:val="ru-RU"/>
        </w:rPr>
      </w:pPr>
      <w:r w:rsidRPr="006A21F9">
        <w:rPr>
          <w:lang w:val="ru-RU"/>
        </w:rPr>
        <w:tab/>
        <w:t>圣约翰·金口：“当全体信众和神职人员都举手向天站立，当那庄严的牺牲摆在面前时：我们为他们（逝者）祈祷，怎能不使上帝动容呢？ 但这仅限于那些在信仰中离世的人。”</w:t>
      </w:r>
      <w:r>
        <w:rPr>
          <w:rStyle w:val="FootnoteReference"/>
        </w:rPr>
        <w:footnoteReference w:id="1909"/>
      </w:r>
      <w:r w:rsidRPr="006A21F9">
        <w:rPr>
          <w:lang w:val="ru-RU"/>
        </w:rPr>
        <w:t xml:space="preserve"> 另有一处写道：“事实上，如果我们愿意，确实还有机会 减轻已故罪人的惩罚。 如果我们为他频繁祈祷并施舍：那么，即使他本身不配，上帝也会垂听你们。如果祂曾为了使徒保罗而拯救他人，又为了某些人而宽恕了其他人：那么，祂怎会不为我们做同样的事呢？”</w:t>
      </w:r>
      <w:r>
        <w:rPr>
          <w:rStyle w:val="FootnoteReference"/>
        </w:rPr>
        <w:footnoteReference w:id="1910"/>
      </w:r>
    </w:p>
    <w:p w14:paraId="4F43C73E" w14:textId="77777777" w:rsidR="00BE1885" w:rsidRPr="006A21F9" w:rsidRDefault="00BE1885" w:rsidP="00BE1885">
      <w:pPr>
        <w:rPr>
          <w:lang w:val="ru-RU"/>
        </w:rPr>
      </w:pPr>
      <w:r w:rsidRPr="006A21F9">
        <w:rPr>
          <w:lang w:val="ru-RU"/>
        </w:rPr>
        <w:tab/>
        <w:t>福者奥古斯丁：“毫无疑问，圣教会为亡者灵魂所献上的祈祷、救赎的牺牲和施舍，将帮助他们使主对他们的怜悯，超过他们因罪所应得的。 因为整个教会都恪守这一由教父们传承下来的传统：在适当时机于献祭仪式中纪念那些在基督圣体圣血的共融中离世的人，并为他们祈祷，表明这祭献也是为他们而献上的。 谁还会怀疑，那些为他们赎罪而行的仁爱之举，对那些为之向神献上祷告的人——这些祷告绝非徒劳——同样有益呢？”</w:t>
      </w:r>
      <w:r>
        <w:rPr>
          <w:rStyle w:val="FootnoteReference"/>
        </w:rPr>
        <w:footnoteReference w:id="1911"/>
      </w:r>
    </w:p>
    <w:p w14:paraId="763F8264" w14:textId="77777777" w:rsidR="00BE1885" w:rsidRPr="006A21F9" w:rsidRDefault="00BE1885" w:rsidP="00BE1885">
      <w:pPr>
        <w:ind w:firstLine="708"/>
        <w:rPr>
          <w:lang w:val="ru-RU"/>
        </w:rPr>
      </w:pPr>
      <w:r w:rsidRPr="006A21F9">
        <w:rPr>
          <w:b/>
          <w:bCs/>
          <w:lang w:val="ru-RU"/>
        </w:rPr>
        <w:t>4.</w:t>
      </w:r>
      <w:r w:rsidRPr="006A21F9">
        <w:rPr>
          <w:lang w:val="ru-RU"/>
        </w:rPr>
        <w:t xml:space="preserve"> 我们的祷告既能帮助那些仍在世上、但肉身与我们分离的弟兄——无论是旅途中的、被掳的、被囚禁的，还是身陷牢狱的——也能同样帮助已故者；正如父母的祷告能帮助他们体弱多病的子女一样 [(腓 1:4-19)； （歌罗西书 1:9）；（提摩太后书 1:3）；（哥林多后书 1:11）；（使徒行传 12:5-12）]。以下人士曾指出这一相似之处：</w:t>
      </w:r>
    </w:p>
    <w:p w14:paraId="7D7A339B" w14:textId="77777777" w:rsidR="00BE1885" w:rsidRPr="006A21F9" w:rsidRDefault="00BE1885" w:rsidP="00BE1885">
      <w:pPr>
        <w:rPr>
          <w:lang w:val="ru-RU"/>
        </w:rPr>
      </w:pPr>
      <w:r w:rsidRPr="006A21F9">
        <w:rPr>
          <w:lang w:val="ru-RU"/>
        </w:rPr>
        <w:tab/>
        <w:t>圣埃皮法尼乌斯：“活着和留在（世上）的人相信，那些离世和逝去的人并未失去存在，而是在上帝面前活着。 正如圣教会教导我们为旅途中的弟兄们祈祷时，要怀着信心与盼望，相信为他们所做的祷告对他们有益；同样，我们也应当这样理解为那些已离开这个世界的人所做的祷告。”</w:t>
      </w:r>
      <w:r>
        <w:rPr>
          <w:rStyle w:val="FootnoteReference"/>
        </w:rPr>
        <w:footnoteReference w:id="1912"/>
      </w:r>
    </w:p>
    <w:p w14:paraId="541AB61F" w14:textId="77777777" w:rsidR="00BE1885" w:rsidRPr="006A21F9" w:rsidRDefault="00BE1885" w:rsidP="00BE1885">
      <w:pPr>
        <w:rPr>
          <w:lang w:val="ru-RU"/>
        </w:rPr>
      </w:pPr>
      <w:r w:rsidRPr="006A21F9">
        <w:rPr>
          <w:lang w:val="ru-RU"/>
        </w:rPr>
        <w:tab/>
        <w:t>圣阿法纳西大主教：“为亡者献祭的人也应当想到，那有一个年幼、虚弱无力的儿子的人，当他的儿子患病时，会满怀信心地带着蜡烛、乳香和圣油前往上帝的圣殿为儿子献祭， 并将这一切为少年焚烧，但并非少年本人亲自持奉并献上——这与在集体复活仪式中的誓言和许愿的情况不同。 因此，我们应当这样想象：逝者本人也在亲手持奉蜡烛、圣油以及为他的得救所献上的所有供物；如此，藉着上帝的恩典，他凭着信心所追求的目标，其努力便不会徒劳无功。”</w:t>
      </w:r>
      <w:r>
        <w:rPr>
          <w:rStyle w:val="FootnoteReference"/>
        </w:rPr>
        <w:footnoteReference w:id="1913"/>
      </w:r>
    </w:p>
    <w:p w14:paraId="1FC9A3FF" w14:textId="77777777" w:rsidR="00BE1885" w:rsidRPr="006A21F9" w:rsidRDefault="00BE1885" w:rsidP="00BE1885">
      <w:pPr>
        <w:ind w:firstLine="708"/>
        <w:rPr>
          <w:lang w:val="ru-RU"/>
        </w:rPr>
      </w:pPr>
      <w:r w:rsidRPr="006A21F9">
        <w:rPr>
          <w:b/>
          <w:bCs/>
          <w:lang w:val="ru-RU"/>
        </w:rPr>
        <w:t>3.</w:t>
      </w:r>
      <w:r w:rsidRPr="006A21F9">
        <w:rPr>
          <w:lang w:val="ru-RU"/>
        </w:rPr>
        <w:t xml:space="preserve"> 我们的祷告可以直接作用于逝者的灵魂，只要他们是在正统信仰中并怀着真诚的悔改离世的，即与教会及主耶稣保持着团契关系： 因为在这种情况下，尽管他们表面上与我们相隔甚远，但他们仍与我们一同属于同一个基督的身体[（弗 1:23）； （歌罗西书 1:18）），在这个身体中，成员之间必然会保持着同情与相互影响，正如我们身体的所有肢体之间自然存在的那样（哥林多前书 </w:t>
      </w:r>
      <w:r w:rsidRPr="006A21F9">
        <w:rPr>
          <w:lang w:val="ru-RU"/>
        </w:rPr>
        <w:lastRenderedPageBreak/>
        <w:t>12:26），也正如在外部自然界中，同一种类的生物虽然各自生活，却共享同一生命所体现的那样。 “对于亡者而言，”叙利亚的圣以弗所说，“圣徒在世时所做的纪念祷告是极有益处的。 看哪，上帝的某些造物便提供了这样的例证，例如葡萄——田野里成熟的葡萄串和器皿中榨出的葡萄酒：当葡萄藤上的果实成熟时，存放在屋内一动不动的葡萄酒便开始起泡翻腾，仿佛想要逃离一般。 似乎洋葱这种植物也是如此：因为田间种植的洋葱一经成熟，屋内的洋葱便会同时萌发新芽。 因此，如果连植物之间都存在这种相互感应，那么对逝者而言，祈祷的奉献岂不更为切实可感？当你明智地认同这一切都符合受造物的自然法则时，请试想：你正是上帝所造万物的开端。”</w:t>
      </w:r>
      <w:r>
        <w:rPr>
          <w:rStyle w:val="FootnoteReference"/>
        </w:rPr>
        <w:footnoteReference w:id="1914"/>
      </w:r>
      <w:r w:rsidRPr="006A21F9">
        <w:rPr>
          <w:lang w:val="ru-RU"/>
        </w:rPr>
        <w:t xml:space="preserve"> 1914。</w:t>
      </w:r>
      <w:r w:rsidRPr="006A21F9">
        <w:rPr>
          <w:b/>
          <w:bCs/>
          <w:lang w:val="ru-RU"/>
        </w:rPr>
        <w:t xml:space="preserve"> </w:t>
      </w:r>
      <w:r w:rsidRPr="006A21F9">
        <w:rPr>
          <w:lang w:val="ru-RU"/>
        </w:rPr>
        <w:t>同样，另一位圣父也指出：“正如盛在器皿中的酒，当田野里的葡萄开花时，它能闻到香气并随之绽放；你也要这样思考罪人的灵魂 ： 他们从为他们献上的无血祭和善行中获得某种恩惠，正如生者与死者唯一的统治者——我们的上帝所知晓并所命定的那样。”</w:t>
      </w:r>
      <w:r>
        <w:rPr>
          <w:rStyle w:val="FootnoteReference"/>
        </w:rPr>
        <w:footnoteReference w:id="1915"/>
      </w:r>
    </w:p>
    <w:p w14:paraId="15A53439" w14:textId="77777777" w:rsidR="00BE1885" w:rsidRPr="006A21F9" w:rsidRDefault="00BE1885" w:rsidP="00BE1885">
      <w:pPr>
        <w:ind w:firstLine="708"/>
        <w:rPr>
          <w:lang w:val="ru-RU"/>
        </w:rPr>
      </w:pPr>
      <w:r w:rsidRPr="006A21F9">
        <w:rPr>
          <w:b/>
          <w:bCs/>
          <w:lang w:val="ru-RU"/>
        </w:rPr>
        <w:t>4.</w:t>
      </w:r>
      <w:r w:rsidRPr="006A21F9">
        <w:rPr>
          <w:lang w:val="ru-RU"/>
        </w:rPr>
        <w:t xml:space="preserve"> 我们的祈祷对那些秉持正信并怀有真诚悔意而离世的人是有益的，因为他们虽已离世进入另一个世界，却仍与教会保持着共融， 他们同时在自身中带去了善的萌芽或新生命的种子——这只是他们未及在此世绽放的，而这种子在我们的热切祈祷感召下，蒙上帝的祝福，便能逐渐生长并结出果实，正如良种在土壤中，在阳光的滋养和空气的调和下生长一样。 然而，对于那些在不敬虔和未悔改的状态中离世、且在自己内心完全熄灭了基督之灵的人 （《帖前》5:19），活着的弟兄们无论如何祈祷都无济于事，正如腐烂的种子一旦丧失了植物生命的源头，无论阳光、宜人的空气还是滋养的水分，都无法使其复苏一样。例如，以下人士便是如此论述的：</w:t>
      </w:r>
    </w:p>
    <w:p w14:paraId="7DD1263A" w14:textId="77777777" w:rsidR="00BE1885" w:rsidRPr="006A21F9" w:rsidRDefault="00BE1885" w:rsidP="00BE1885">
      <w:pPr>
        <w:rPr>
          <w:lang w:val="ru-RU"/>
        </w:rPr>
      </w:pPr>
      <w:r w:rsidRPr="006A21F9">
        <w:rPr>
          <w:lang w:val="ru-RU"/>
        </w:rPr>
        <w:tab/>
        <w:t>圣奥古斯丁：“毫无疑问，（圣教会的祈祷、救赎的祭献和施舍）对亡者有益——但仅限于那些在死前过着使这一切在死后对他们有益的生活的人。 因为对于那些在离世时既无伴以仁爱的信仰，也未参与圣礼的人而言，邻人所行的虔敬之举都是徒劳的——因为他们在世时，既未在自己内里拥有这些虔敬的根基，也未接受或徒然接受上帝的恩典，所积蓄的不是仁慈，而是愤怒。 因此，当熟人为逝者行善时，并非为逝者赢得新的功德，而只是从他们先前所奠定的根基中收获相应的果效。”</w:t>
      </w:r>
      <w:r>
        <w:rPr>
          <w:rStyle w:val="FootnoteReference"/>
        </w:rPr>
        <w:footnoteReference w:id="1916"/>
      </w:r>
    </w:p>
    <w:p w14:paraId="5BB46FC3" w14:textId="77777777" w:rsidR="00BE1885" w:rsidRPr="006A21F9" w:rsidRDefault="00BE1885" w:rsidP="00BE1885">
      <w:pPr>
        <w:rPr>
          <w:lang w:val="ru-RU"/>
        </w:rPr>
      </w:pPr>
      <w:r w:rsidRPr="006A21F9">
        <w:rPr>
          <w:lang w:val="ru-RU"/>
        </w:rPr>
        <w:tab/>
        <w:t>圣约翰·达马斯库斯： “每一个心中虽有微小的美德之种，却未能将其转化为面包的人——无论是因为尽管心有此愿却因懒惰、疏忽，或是因一拖再拖而未能实现，抑或因出乎意料地遭遇死亡而戛然而止， ——不会被公义的审判者与主所遗忘；主将在他死后激励他的亲属、邻舍和朋友，引导他们的思想，感化他们的心，使他们的灵魂倾心于向他提供援助与帮助。当上帝激励他们，而主触动他们的心时，他们便会急切地弥补逝者生前的疏漏。 至于那个过着堕落生活的人——他的生活处处布满荆棘，充满污秽与不洁；他从未听从良心的呼唤，而是因疏忽大意和盲目沉溺于情欲的污秽之中，满足肉体的一切欲望，却丝毫不关心自己的灵魂， ——</w:t>
      </w:r>
      <w:r w:rsidRPr="006A21F9">
        <w:rPr>
          <w:lang w:val="ru-RU"/>
        </w:rPr>
        <w:lastRenderedPageBreak/>
        <w:t>其所有思绪皆被纵欲所占据，且在此状态下离世者，无人会向他伸出援手；他将遭受这样的对待：无论是配偶、子女、兄弟、亲属还是朋友，都不会向他提供帮助；因为上帝不会垂顾他。”</w:t>
      </w:r>
      <w:r>
        <w:rPr>
          <w:rStyle w:val="FootnoteReference"/>
        </w:rPr>
        <w:footnoteReference w:id="1917"/>
      </w:r>
      <w:r w:rsidRPr="006A21F9">
        <w:rPr>
          <w:lang w:val="ru-RU"/>
        </w:rPr>
        <w:t xml:space="preserve"> </w:t>
      </w:r>
    </w:p>
    <w:p w14:paraId="34306CDF" w14:textId="77777777" w:rsidR="00BE1885" w:rsidRPr="006A21F9" w:rsidRDefault="00BE1885" w:rsidP="00BE1885">
      <w:pPr>
        <w:ind w:firstLine="708"/>
        <w:rPr>
          <w:lang w:val="ru-RU"/>
        </w:rPr>
      </w:pPr>
      <w:r w:rsidRPr="001E4083">
        <w:rPr>
          <w:b/>
          <w:bCs/>
        </w:rPr>
        <w:t>IV</w:t>
      </w:r>
      <w:r w:rsidRPr="006A21F9">
        <w:rPr>
          <w:b/>
          <w:bCs/>
          <w:lang w:val="ru-RU"/>
        </w:rPr>
        <w:t>.</w:t>
      </w:r>
      <w:r w:rsidRPr="006A21F9">
        <w:rPr>
          <w:lang w:val="ru-RU"/>
        </w:rPr>
        <w:t xml:space="preserve"> 最后，我们认为有必要——尽管简要——澄清一些问题和困惑，这些问题或疑虑，要么是在思考关于为亡者祈祷的教会教义时自然浮现在脑海中的，要么是由持错误观点者提出的。</w:t>
      </w:r>
    </w:p>
    <w:p w14:paraId="40CD8978" w14:textId="77777777" w:rsidR="00BE1885" w:rsidRPr="006A21F9" w:rsidRDefault="00BE1885" w:rsidP="00BE1885">
      <w:pPr>
        <w:ind w:firstLine="708"/>
        <w:rPr>
          <w:lang w:val="ru-RU"/>
        </w:rPr>
      </w:pPr>
      <w:r w:rsidRPr="006A21F9">
        <w:rPr>
          <w:b/>
          <w:bCs/>
          <w:lang w:val="ru-RU"/>
        </w:rPr>
        <w:t xml:space="preserve">1) </w:t>
      </w:r>
      <w:r w:rsidRPr="006A21F9">
        <w:rPr>
          <w:lang w:val="ru-RU"/>
        </w:rPr>
        <w:t>“对于所有未悔改且未领受基督圣礼而离世的人，都不应为他们祈祷吗？”不， 圣教会严格区分两类人：一类是因自身过错和顽固不化，在未悔改且未领受基督圣事的情况下离世者；另一类则是因不可抗力导致突发或非自愿死亡，以致在临终前未能领受悔改圣事和圣体圣事的人。 因此，例如，对于自愿自杀者或未悔改的异端分子，教会虽不为之祈祷；但对于所有因非自然死亡而离世的子女，教会却以真正母亲的悲恸之心，恳求主怜悯他们，并呼求道： “被水淹没者，被战乱收割者，被地震吞噬者，被凶手杀害者，被烈火吞噬者——仁慈的主啊，请将这些忠信者列入义人的行列”（《肉斋节前周日赞美诗》第1首，第4段）。 “那些被利剑斩杀、被战马践踏、被冰雹、大雪和密云吞噬的人；那些被砖块勒死或被泥土掩埋的人，我们的救主基督，求祢赐予他们安息” （</w:t>
      </w:r>
      <w:r w:rsidRPr="001E4083">
        <w:t>第四首</w:t>
      </w:r>
      <w:r w:rsidRPr="006A21F9">
        <w:rPr>
          <w:lang w:val="ru-RU"/>
        </w:rPr>
        <w:t>，第4节）。 “因意外而无辜离世者，因毒蛇的嘶鸣、急流的湍急与溺水，因窒息、跌倒而逝者，荣耀的主啊，求祢以信德永世宽恕这些已故者”（</w:t>
      </w:r>
      <w:r w:rsidRPr="001E4083">
        <w:t>第八</w:t>
      </w:r>
      <w:r w:rsidRPr="006A21F9">
        <w:rPr>
          <w:lang w:val="ru-RU"/>
        </w:rPr>
        <w:t>首，第四段）。 “因上帝的旨意而逝者，因从天而降的各种致命雷击、大地崩裂、大海翻腾而逝者，所有信徒，基督啊，求祢赐予安息”——（</w:t>
      </w:r>
      <w:r w:rsidRPr="001E4083">
        <w:t>第九</w:t>
      </w:r>
      <w:r w:rsidRPr="006A21F9">
        <w:rPr>
          <w:lang w:val="ru-RU"/>
        </w:rPr>
        <w:t>首，第三段）。</w:t>
      </w:r>
      <w:r>
        <w:rPr>
          <w:rStyle w:val="FootnoteReference"/>
        </w:rPr>
        <w:footnoteReference w:id="1918"/>
      </w:r>
    </w:p>
    <w:p w14:paraId="281F8DFF" w14:textId="77777777" w:rsidR="00BE1885" w:rsidRPr="006A21F9" w:rsidRDefault="00BE1885" w:rsidP="00BE1885">
      <w:pPr>
        <w:ind w:firstLine="708"/>
        <w:rPr>
          <w:lang w:val="ru-RU"/>
        </w:rPr>
      </w:pPr>
      <w:r w:rsidRPr="006A21F9">
        <w:rPr>
          <w:b/>
          <w:bCs/>
          <w:lang w:val="ru-RU"/>
        </w:rPr>
        <w:t xml:space="preserve">2) </w:t>
      </w:r>
      <w:r w:rsidRPr="006A21F9">
        <w:rPr>
          <w:lang w:val="ru-RU"/>
        </w:rPr>
        <w:t>“为何要为那些在临终前已悔改，并因此通过悔改圣事从主那里获得了罪的宽恕和赦免的亡者祈祷？” 但首先，所有临终前悔改的人，是否都进行了恰当的、真诚的、深刻的、鲜活的、足以使他们从公义的审判者那里获得完全赦免的悔改呢？ 甚至在死亡那沉重而可怕的时刻，所有人是否都能够做到这样的忏悔？对于所有这些已忏悔的人来说，显然需要教会的代祷，以弥补他们所欠缺的部分。 其次，接受忏悔圣事的人必须（§224）不仅在神面前承认自己的罪，而且随后真正悔改，并结出与忏悔相称的果子[</w:t>
      </w:r>
      <w:r>
        <w:rPr>
          <w:lang w:val="ru-RU"/>
        </w:rPr>
        <w:t>《耶》</w:t>
      </w:r>
      <w:r w:rsidRPr="006A21F9">
        <w:rPr>
          <w:lang w:val="ru-RU"/>
        </w:rPr>
        <w:t>18:21-22]； （玛3:8）；（宗3:19）；（默2:5））。而那些在忏悔后不久便离世的人，来不及通过实际行动来证明并完成他们在忏悔中仅是初窥一二之事。 这正是所有在悔改后不久便离世之人所欠缺的，而教会正通过自己的祷告一点一点地弥补这一缺失（《东方教父论正统信仰书》第18条）。 第三，为了在死后获得天上的福乐，仅从上帝那里得到罪的宽恕是不够的，必须真正从罪中洁净并得着医治： 因为罪人——即便是已被宽恕却仍背负罪孽者——在至圣者面前，置身于义人天居者之中时，会感到格格不入；甚至因其灵性上的失调，根本无法领受乐园的福乐。 但正如我们所见，教会的祈祷、生者为死者所行的善举，尤其是献上无血的祭物，都能帮助所有带着新生命种子离世的人，使这良善的种子在他们里面逐渐萌发， 长成大树，结出果实，从而使他们得以全然更新，脱去旧人。</w:t>
      </w:r>
    </w:p>
    <w:p w14:paraId="5D973B76" w14:textId="77777777" w:rsidR="00BE1885" w:rsidRPr="006A21F9" w:rsidRDefault="00BE1885" w:rsidP="00BE1885">
      <w:pPr>
        <w:rPr>
          <w:lang w:val="ru-RU"/>
        </w:rPr>
      </w:pPr>
      <w:r w:rsidRPr="006A21F9">
        <w:rPr>
          <w:lang w:val="ru-RU"/>
        </w:rPr>
        <w:t>）“如何将教会的代祷以及活人替死人祈祷，与上帝话语的教导相协调——即基督是</w:t>
      </w:r>
      <w:r w:rsidRPr="006A21F9">
        <w:rPr>
          <w:i/>
          <w:iCs/>
          <w:lang w:val="ru-RU"/>
        </w:rPr>
        <w:t>神与人之间唯一的仲介</w:t>
      </w:r>
      <w:r w:rsidRPr="006A21F9">
        <w:rPr>
          <w:lang w:val="ru-RU"/>
        </w:rPr>
        <w:t>（提摩太前书 2:5），并且为所有罪人作了完全的赎罪 [(加拉太书 3:13)； （来7:27）]”这恰如教会代求以及活人为活人祷告——</w:t>
      </w:r>
      <w:r w:rsidRPr="006A21F9">
        <w:rPr>
          <w:lang w:val="ru-RU"/>
        </w:rPr>
        <w:lastRenderedPageBreak/>
        <w:t>这两者正是上帝的话语所吩咐的（雅5:17）。 教会为亡者及生者向神代求，并非凭自己的名，而是凭主耶稣的名（约14:13-14），并凭祂那无血之祭的大能——这祭献为要拯救一切活人与死人，且永不停止。 教会通过祷告和代求，只为使自己的儿女领受那位既是神又是人的唯一中保——祂为众人赎罪——所拥有的无尽功德。</w:t>
      </w:r>
    </w:p>
    <w:p w14:paraId="0DD1172E" w14:textId="77777777" w:rsidR="00BE1885" w:rsidRPr="006A21F9" w:rsidRDefault="00BE1885" w:rsidP="00BE1885">
      <w:pPr>
        <w:ind w:firstLine="708"/>
        <w:rPr>
          <w:lang w:val="ru-RU"/>
        </w:rPr>
      </w:pPr>
      <w:r w:rsidRPr="006A21F9">
        <w:rPr>
          <w:lang w:val="ru-RU"/>
        </w:rPr>
        <w:t>) “如何将‘教会祷告对亡者有裨益’的教义，与上帝话语中的教导相协调？</w:t>
      </w:r>
      <w:r w:rsidRPr="006A21F9">
        <w:rPr>
          <w:i/>
          <w:iCs/>
          <w:lang w:val="ru-RU"/>
        </w:rPr>
        <w:t>即人只能死一次，死后必受审判</w:t>
      </w:r>
      <w:r w:rsidRPr="006A21F9">
        <w:rPr>
          <w:lang w:val="ru-RU"/>
        </w:rPr>
        <w:t>（希伯来书 9:27），而且在审判时，上帝必按各人的行为报应各人（罗马书 2:6）？” 人死后，确实会面临上帝的审判和赏罚，但那只是初步的审判，赏罚也尚未最终确定。正是在这一点上，主对我们的无尽恩典与怜悯再次显明出来：即使在死后经过初步审判之后， 祂并未对罪人作出最终的惩罚，而只是初步的惩戒，并留出漫长的时间，在此期间，悔改的罪人带入永恒的善的种子，能在教会祷告的良善影响下，在他们心中发芽生长，并使他们从一切污秽中得洁净。 待这一时期届满之时，当主的无限仁慈——可以说——已为那些被祂宝血救赎之人尽其所能地成就了一切善事之后，祂的无限公义便将施行普世而最终的审判，届时将按各人的行为最终予以报应。</w:t>
      </w:r>
      <w:r>
        <w:rPr>
          <w:rStyle w:val="FootnoteReference"/>
        </w:rPr>
        <w:footnoteReference w:id="1919"/>
      </w:r>
    </w:p>
    <w:p w14:paraId="2972F61C" w14:textId="77777777" w:rsidR="00BE1885" w:rsidRPr="006A21F9" w:rsidRDefault="00BE1885" w:rsidP="00BE1885">
      <w:pPr>
        <w:ind w:firstLine="708"/>
        <w:rPr>
          <w:lang w:val="ru-RU"/>
        </w:rPr>
      </w:pPr>
      <w:r w:rsidRPr="006A21F9">
        <w:rPr>
          <w:b/>
          <w:bCs/>
          <w:lang w:val="ru-RU"/>
        </w:rPr>
        <w:t xml:space="preserve">5) </w:t>
      </w:r>
      <w:r w:rsidRPr="006A21F9">
        <w:rPr>
          <w:lang w:val="ru-RU"/>
        </w:rPr>
        <w:t>“倘若某些基督徒在死后因教会的祷告而得到罪的赦免，那么使徒所说的话——‘在末日审判之日，各人必按着自己所行的（无论是善是恶）受报’（林后5:10）——又将如何应验呢？ 使徒的话是不可动摇的，它不仅将应验在所有人的身上，也同样确切地应验在那些死后因教会祷告的权能而蒙赦免的基督徒身上。 因为这些基督徒在世时，便通过临终前的自我悔罪，为之奠定了基础；因此，他们在世时便已因自己的悔罪而配得教会的祈祷，并能在离世后从中获益。</w:t>
      </w:r>
    </w:p>
    <w:p w14:paraId="3A586511" w14:textId="77777777" w:rsidR="00BE1885" w:rsidRPr="006A21F9" w:rsidRDefault="00BE1885" w:rsidP="00BE1885">
      <w:pPr>
        <w:ind w:firstLine="708"/>
        <w:rPr>
          <w:lang w:val="ru-RU"/>
        </w:rPr>
      </w:pPr>
      <w:r w:rsidRPr="006A21F9">
        <w:rPr>
          <w:b/>
          <w:bCs/>
          <w:lang w:val="ru-RU"/>
        </w:rPr>
        <w:t xml:space="preserve">6) </w:t>
      </w:r>
      <w:r w:rsidRPr="006A21F9">
        <w:rPr>
          <w:lang w:val="ru-RU"/>
        </w:rPr>
        <w:t>“倘若那些带着悔改之心离世的罪人身处阴间：既然阴间没有解脱，也无法从那里进入天堂（路加福音16:27），那么教会的祈祷又如何能帮助他们获得解脱呢？” 诚然，圣经某处提到，从阴间没有解脱，也无法进入亚伯拉罕的怀抱； 但在另一处经文中我们读到，救主基督在死后，以神的身分，用祂的灵降临阴间，为要在那里传讲救恩；而且，正如教会所信的，祂从那里领出了所有旧约时代的义人，或是所有信靠祂的人[彼得前书 3:19]； 《正统信条》第1卷，对第49个问题的回答]。 由此可得出什么结论呢？那就是，对于某些人——例如福音书中的那个财主（路加福音16:26）——虽无法从阴间得救；但对于另一些人，即信靠主耶稣的人而言，在祂已经摧毁阴间并从那里救出许多人之后，得救便成为可能。 正如在天堂里，根据义人的道德状态，有许多不同的居所和各样的赏赐（约翰福音14:2）；同样，毫无疑问，在地狱里，根据罪人各不相同的道德状态，也有各自不同的居所、牢房和灵魂的囚室 （《以斯拉记》第三卷 4:32-41）；而在这可怕的居所中，有些地方，就像福音书中的那个财主一样，那些死时未悔改和不信的人正</w:t>
      </w:r>
      <w:r w:rsidRPr="006A21F9">
        <w:rPr>
          <w:lang w:val="ru-RU"/>
        </w:rPr>
        <w:lastRenderedPageBreak/>
        <w:t>在火焰中受苦（路加福音 16:23）， 而在另一些居所中——当然不会遭受此类苦难——甚至旧约时代的义人，在基督降临到他们那里之前，都曾居住其中；那些带着真诚悔改之心并信靠主耶稣的罪人，死后也能居住在那里； 正如在地狱的第一类居所或牢狱中，囚徒因其道德状态本身而无法得救；同样，在后一类居所中，旧约义人已经获得了这样的救赎，那些在信仰和悔改中离世的罪人也有可能获得救赎。 在世俗的监狱中，既有那些按法律无法获释、已被判处死刑的罪犯，也有罪行较轻、在他人帮助下能够且常常获得自由的罪犯；关于灵界的监狱——地狱（彼得前书3:19），也应当作同样的理解。 正因如此，东正教会向主祈求的正是从地狱中得救，而非从其他任何地方得救，</w:t>
      </w:r>
      <w:r>
        <w:rPr>
          <w:rStyle w:val="FootnoteReference"/>
        </w:rPr>
        <w:footnoteReference w:id="1920"/>
      </w:r>
      <w:r w:rsidRPr="006A21F9">
        <w:rPr>
          <w:lang w:val="ru-RU"/>
        </w:rPr>
        <w:t xml:space="preserve"> 那些带着悔改之心离世之人的灵魂，</w:t>
      </w:r>
      <w:r w:rsidRPr="001E4083">
        <w:t>这一点</w:t>
      </w:r>
      <w:r w:rsidRPr="006A21F9">
        <w:rPr>
          <w:lang w:val="ru-RU"/>
        </w:rPr>
        <w:t>在圣灵降临节当天的以下祷文中尤为明显： 万有的主，我们的救主上帝，大地四方及远在海上的众人的希望，祢在这最后且伟大的五旬节救赎之日，向我们显明了圣而同质、同位的三一奥秘， 不可分割、不可混同的圣三一奥秘，并使祢圣而赐生命的圣灵，以火焰舌头的形像降临在祢的圣使徒身上，立他们为我们虔诚信仰的传道者、见证者和真神学的宣讲者： 他们也在这至臻完美、救赎的节期——即祈求净化的圣节——中，使那些被囚于阴间者得以参与其中；并赐予我们伟大的希望，使受污秽所困者得以解脱，并降下祢的安慰： 求祢垂听我们这些谦卑的、向祢祈求的仆人，并使祢那些先逝的仆人之魂，安息在光明之地、安乐之地、清凉之地： ，愿一切疾病、悲伤与叹息皆远离那里，使他们的灵魂居于义人之居所，并赐予他们平安与宽慰： “因为，主啊，死人不能赞美祢，在地狱中的也不敢向祢作见证；惟有我们活着的人，要称颂祢、祈求祢，并为他们的灵魂向祢献上洁净的祷告和祭物。”（五旬节后祷文第5篇）。</w:t>
      </w:r>
    </w:p>
    <w:p w14:paraId="6C2A0F4B" w14:textId="77777777" w:rsidR="00BE1885" w:rsidRPr="006A21F9" w:rsidRDefault="00BE1885" w:rsidP="00BE1885">
      <w:pPr>
        <w:ind w:firstLine="708"/>
        <w:rPr>
          <w:lang w:val="ru-RU"/>
        </w:rPr>
      </w:pPr>
      <w:r w:rsidRPr="006A21F9">
        <w:rPr>
          <w:b/>
          <w:bCs/>
          <w:lang w:val="ru-RU"/>
        </w:rPr>
        <w:t xml:space="preserve">7) </w:t>
      </w:r>
      <w:r w:rsidRPr="006A21F9">
        <w:rPr>
          <w:lang w:val="ru-RU"/>
        </w:rPr>
        <w:t>“为什么教会命令为亡者祈祷，并主要在他们去世后的第三、第九和第四十天为他们举行追思仪式？” 首先需要指出的是，这一习俗在教会中自古便已存在：《使徒规条》一书中便已明确提及；</w:t>
      </w:r>
      <w:r>
        <w:rPr>
          <w:rStyle w:val="FootnoteReference"/>
        </w:rPr>
        <w:footnoteReference w:id="1921"/>
      </w:r>
      <w:r w:rsidRPr="006A21F9">
        <w:rPr>
          <w:lang w:val="ru-RU"/>
        </w:rPr>
        <w:t xml:space="preserve"> 随后，在圣以弗所、亚历山大的马卡里、安布罗斯、帕拉迪乌斯、佩卢西奥的伊西多尔——这些四世纪或五世纪初的教师——的著作中，也或多或少地明确记载了这一习俗；</w:t>
      </w:r>
      <w:r>
        <w:rPr>
          <w:rStyle w:val="FootnoteReference"/>
        </w:rPr>
        <w:footnoteReference w:id="1922"/>
      </w:r>
      <w:r w:rsidRPr="006A21F9">
        <w:rPr>
          <w:lang w:val="ru-RU"/>
        </w:rPr>
        <w:t xml:space="preserve"> 随后在查士丁尼皇帝的《新律令》、君士坦丁堡长老尤斯特拉提乌斯（660年）、圣约翰·达马斯库斯、隐士菲利普（1095年）等人的著作中，这一观点得到了极为清晰的阐述。</w:t>
      </w:r>
      <w:r>
        <w:rPr>
          <w:rStyle w:val="FootnoteReference"/>
        </w:rPr>
        <w:footnoteReference w:id="1923"/>
      </w:r>
      <w:r w:rsidRPr="006A21F9">
        <w:rPr>
          <w:lang w:val="ru-RU"/>
        </w:rPr>
        <w:t xml:space="preserve"> </w:t>
      </w:r>
      <w:r w:rsidRPr="006A21F9">
        <w:rPr>
          <w:lang w:val="ru-RU"/>
        </w:rPr>
        <w:lastRenderedPageBreak/>
        <w:t>但关于这一习俗的解释却寥寥无几，尽管解释各不相同，但总体上都符合虔诚的精神。例如，在《使徒法令》一书中我们读到：“逝者离世后的第三天，应当通过吟唱诗篇、诵读经文和祈祷来纪念那位在第三天从死里复活的主； 第九天——为纪念生者与逝者；第四十天——遵循古例；因为百姓曾为摩西哀悼了这么多天；最后，周年纪念日——为纪念逝者本人。”</w:t>
      </w:r>
      <w:r>
        <w:rPr>
          <w:rStyle w:val="FootnoteReference"/>
        </w:rPr>
        <w:footnoteReference w:id="1924"/>
      </w:r>
      <w:r w:rsidRPr="006A21F9">
        <w:rPr>
          <w:lang w:val="ru-RU"/>
        </w:rPr>
        <w:t xml:space="preserve"> 亚历山大的圣马卡里乌斯曾指出，在四十天的时间里，逝者的灵魂会在炼狱中徘徊，而在第三、第九和第四十天为</w:t>
      </w:r>
      <w:r w:rsidRPr="001E4083">
        <w:t>她</w:t>
      </w:r>
      <w:r w:rsidRPr="006A21F9">
        <w:rPr>
          <w:lang w:val="ru-RU"/>
        </w:rPr>
        <w:t>举行追思仪式，正对应着天使们在这些特定日子将她的灵魂呈献给天上的审判者，这位审判者最终 在第四十天，为他确定了直至最后审判前的命运。</w:t>
      </w:r>
      <w:r>
        <w:rPr>
          <w:rStyle w:val="FootnoteReference"/>
        </w:rPr>
        <w:footnoteReference w:id="1925"/>
      </w:r>
      <w:r w:rsidRPr="006A21F9">
        <w:rPr>
          <w:lang w:val="ru-RU"/>
        </w:rPr>
        <w:t xml:space="preserve"> 君士坦丁堡的长老埃夫斯特拉提乌斯和隐士菲利普给出了如下解释：第三天举行对逝者的首次隆重追思，是因为基督在第三天复活，并首次向门徒显现； 第九天举行同样的追思仪式——因为在复活后的第八天，即第九天，主第二次向门徒显现；最后，在第四十天举行最后一次同样的追思仪式，因为在第四十天，主最后一次向使徒们显现并升入天堂。</w:t>
      </w:r>
      <w:r>
        <w:rPr>
          <w:rStyle w:val="FootnoteReference"/>
        </w:rPr>
        <w:footnoteReference w:id="1926"/>
      </w:r>
      <w:r w:rsidRPr="006A21F9">
        <w:rPr>
          <w:lang w:val="ru-RU"/>
        </w:rPr>
        <w:t xml:space="preserve"> 后世的作家们还对这一古老的教会习俗提出了其他虔诚的解释。</w:t>
      </w:r>
      <w:r>
        <w:rPr>
          <w:rStyle w:val="FootnoteReference"/>
        </w:rPr>
        <w:footnoteReference w:id="1927"/>
      </w:r>
    </w:p>
    <w:p w14:paraId="2499B373" w14:textId="77777777" w:rsidR="00BE1885" w:rsidRPr="006A21F9" w:rsidRDefault="00BE1885" w:rsidP="00BE1885">
      <w:pPr>
        <w:ind w:firstLine="708"/>
        <w:rPr>
          <w:lang w:val="ru-RU"/>
        </w:rPr>
      </w:pPr>
      <w:r w:rsidRPr="006A21F9">
        <w:rPr>
          <w:b/>
          <w:bCs/>
          <w:lang w:val="ru-RU"/>
        </w:rPr>
        <w:t xml:space="preserve">8) </w:t>
      </w:r>
      <w:r w:rsidRPr="006A21F9">
        <w:rPr>
          <w:lang w:val="ru-RU"/>
        </w:rPr>
        <w:t>“当我们无法确切知晓逝者将面临何种命运时，我们为逝者所做的祷告岂非徒劳？或许我们所祈祷的许多人早已身处天国，而另一些人则因上帝的个别审判，已被归入被弃者之列？” 尽管如此，我们为亡者所做的祈祷并非徒劳。 教会教导我们为所有在东正教信仰中并怀着悔改之心离世的人祈祷，但明显的不信者和未悔改者除外；至于谁能接受我们的祈祷、谁会被拒绝——这完全取决于主，因为祂知道属于祂的人，也知道谁配得祂的怜悯（提后2:19）。 我们为那些或许已身在天国或已被弃绝之人所做的祷告，即使对他们无益，也绝无害处。但我们为所有虔诚离世、只是尚未结出与悔改相称的果实、因此尚未蒙受天国恩典之人所做的祷告，毫无疑问对他们是有益的。 此外，为亡者祈祷无论如何对祈祷者自身都有益处，正如诗篇作者所言：“我的祷告必归于我”（诗篇34:13），以及救主所言：“你们的平安必归于你们”（马太福音10:13）。 “如果有人，”圣约翰·达马斯库斯指出，“想要用圣油或其他神圣的膏油为病人涂抹，那么首先他自己——即施膏者——要先领受涂抹的恩典 ，然后才为病人涂抹： 凡为邻人之得救而努力者，先是自己获益，然后将这益处带给邻人：因为上帝并非不公义，不会忘记所行之事，正如神圣使徒所言。”</w:t>
      </w:r>
      <w:r>
        <w:rPr>
          <w:rStyle w:val="FootnoteReference"/>
        </w:rPr>
        <w:footnoteReference w:id="1928"/>
      </w:r>
    </w:p>
    <w:p w14:paraId="3785F85A" w14:textId="77777777" w:rsidR="00BE1885" w:rsidRPr="006A21F9" w:rsidRDefault="00BE1885" w:rsidP="00BE1885">
      <w:pPr>
        <w:ind w:firstLine="708"/>
        <w:rPr>
          <w:lang w:val="ru-RU"/>
        </w:rPr>
      </w:pPr>
      <w:r w:rsidRPr="006A21F9">
        <w:rPr>
          <w:b/>
          <w:bCs/>
          <w:lang w:val="ru-RU"/>
        </w:rPr>
        <w:t xml:space="preserve">9) </w:t>
      </w:r>
      <w:r w:rsidRPr="006A21F9">
        <w:rPr>
          <w:lang w:val="ru-RU"/>
        </w:rPr>
        <w:t>“如果教会为所有带着悔改之心离世的人祈祷，且</w:t>
      </w:r>
      <w:r w:rsidRPr="001E4083">
        <w:t>她的</w:t>
      </w:r>
      <w:r w:rsidRPr="006A21F9">
        <w:rPr>
          <w:lang w:val="ru-RU"/>
        </w:rPr>
        <w:t xml:space="preserve">祈祷在神面前大有能力，并对他们大有裨益：那么，她所祈祷的所有人都会得救，没有人会失去福乐吗？” 对此，让我们与同处的圣约翰·达马斯库斯一同说：“但愿如此，啊，但愿这能实现！因为至善的主正是渴求、愿意、渴望此事，并为此欢欣鼓舞，愿无人失去祂的神圣恩赐。 难道祂为天使预备了奖赏和冠冕吗？难道祂为了拯救灵体而降临人间，从童贞女身上以不朽之身道成肉身，成为人，并经历了苦难与死亡吗？难道祂会对天使说：‘来吧，我父所赐福的，承受为你们预备的国度吧’吗？ </w:t>
      </w:r>
      <w:r w:rsidRPr="006A21F9">
        <w:rPr>
          <w:lang w:val="ru-RU"/>
        </w:rPr>
        <w:lastRenderedPageBreak/>
        <w:t>你不能这么说，反对者；但祂所预备的一切都是为了那人，祂正是为那人受苦的。因为谁若设摆筵席，召集朋友，会不希望他们全都前来，饱享他的恩惠呢？否则，他设筵席是为了什么，若不是为了款待他的朋友呢？ 如果我们仅为此事操心，那么对于那位恩赐丰厚、本性唯一、至善且爱人的上帝，又该作何评价呢？祂在施予和赐予时，所感到的喜乐与欢欣，岂不比那接受并为自己赢得至大救恩之人更为深切吗？”</w:t>
      </w:r>
      <w:r>
        <w:rPr>
          <w:rStyle w:val="FootnoteReference"/>
        </w:rPr>
        <w:footnoteReference w:id="1929"/>
      </w:r>
      <w:r w:rsidRPr="006A21F9">
        <w:rPr>
          <w:lang w:val="ru-RU"/>
        </w:rPr>
        <w:t xml:space="preserve"> 我们也不应忘记，天父的居所众多，永恒福乐的等级也将因那些有幸获得此福乐之人的自身品德而大不相同。</w:t>
      </w:r>
    </w:p>
    <w:p w14:paraId="299569AA" w14:textId="77777777" w:rsidR="00BE1885" w:rsidRPr="006A21F9" w:rsidRDefault="00BE1885" w:rsidP="00BE1885">
      <w:pPr>
        <w:rPr>
          <w:lang w:val="ru-RU"/>
        </w:rPr>
      </w:pPr>
      <w:r w:rsidRPr="006A21F9">
        <w:rPr>
          <w:lang w:val="ru-RU"/>
        </w:rPr>
        <w:tab/>
      </w:r>
    </w:p>
    <w:p w14:paraId="640377D8" w14:textId="77777777" w:rsidR="00BE1885" w:rsidRPr="006A21F9" w:rsidRDefault="00BE1885" w:rsidP="00BE1885">
      <w:pPr>
        <w:pStyle w:val="Heading5"/>
        <w:rPr>
          <w:lang w:val="ru-RU"/>
        </w:rPr>
      </w:pPr>
      <w:bookmarkStart w:id="1154" w:name="_Toc133143036"/>
      <w:bookmarkStart w:id="1155" w:name="_Toc133166393"/>
      <w:bookmarkStart w:id="1156" w:name="_Toc182221603"/>
      <w:bookmarkStart w:id="1157" w:name="_Toc238453170"/>
      <w:bookmarkStart w:id="1158" w:name="_Toc238453970"/>
      <w:bookmarkStart w:id="1159" w:name="_Toc238576630"/>
      <w:r w:rsidRPr="006A21F9">
        <w:rPr>
          <w:lang w:val="ru-RU"/>
        </w:rPr>
        <w:t xml:space="preserve">§259. </w:t>
      </w:r>
      <w:r w:rsidRPr="006A21F9">
        <w:rPr>
          <w:bCs/>
          <w:lang w:val="ru-RU"/>
        </w:rPr>
        <w:t>c)</w:t>
      </w:r>
      <w:r w:rsidRPr="006A21F9">
        <w:rPr>
          <w:lang w:val="ru-RU"/>
        </w:rPr>
        <w:t xml:space="preserve"> 关于炼狱的说明</w:t>
      </w:r>
      <w:bookmarkEnd w:id="1154"/>
      <w:bookmarkEnd w:id="1155"/>
      <w:bookmarkEnd w:id="1156"/>
      <w:bookmarkEnd w:id="1157"/>
      <w:bookmarkEnd w:id="1158"/>
      <w:bookmarkEnd w:id="1159"/>
    </w:p>
    <w:p w14:paraId="7419988B" w14:textId="77777777" w:rsidR="00BE1885" w:rsidRPr="006A21F9" w:rsidRDefault="00BE1885" w:rsidP="00BE1885">
      <w:pPr>
        <w:ind w:firstLine="708"/>
        <w:rPr>
          <w:lang w:val="ru-RU"/>
        </w:rPr>
      </w:pPr>
      <w:r w:rsidRPr="006A21F9">
        <w:rPr>
          <w:lang w:val="ru-RU"/>
        </w:rPr>
        <w:t>关于某些罪人可以通过在世者的祈祷从地狱枷锁中解脱出来的东正教教义，与罗马天主教会关于炼狱的教义存在某种相似之处，尽管二者也有其区别。为了更准确地评判这两者，有必要深入了解罗马神学家们是如何阐述这一教义的。</w:t>
      </w:r>
    </w:p>
    <w:p w14:paraId="14FE0F19" w14:textId="77777777" w:rsidR="00BE1885" w:rsidRPr="006A21F9" w:rsidRDefault="00BE1885" w:rsidP="00BE1885">
      <w:pPr>
        <w:rPr>
          <w:lang w:val="ru-RU"/>
        </w:rPr>
      </w:pPr>
      <w:r w:rsidRPr="006A21F9">
        <w:rPr>
          <w:lang w:val="ru-RU"/>
        </w:rPr>
        <w:tab/>
      </w:r>
      <w:r w:rsidRPr="001E4083">
        <w:rPr>
          <w:b/>
          <w:bCs/>
        </w:rPr>
        <w:t>一</w:t>
      </w:r>
      <w:r w:rsidRPr="006A21F9">
        <w:rPr>
          <w:b/>
          <w:bCs/>
          <w:lang w:val="ru-RU"/>
        </w:rPr>
        <w:t>、</w:t>
      </w:r>
      <w:r w:rsidRPr="006A21F9">
        <w:rPr>
          <w:lang w:val="ru-RU"/>
        </w:rPr>
        <w:t>他们在炼狱教义中区分了两个部分：实质部分，即由其教会确定并作为教义传授的内容；以及非实质部分——即未被其教会确定、仅属于神学观点范畴的内容。 第一部分仅包含两项主张：</w:t>
      </w:r>
      <w:r w:rsidRPr="006A21F9">
        <w:rPr>
          <w:b/>
          <w:bCs/>
          <w:lang w:val="ru-RU"/>
        </w:rPr>
        <w:t>a)</w:t>
      </w:r>
      <w:r w:rsidRPr="006A21F9">
        <w:rPr>
          <w:lang w:val="ru-RU"/>
        </w:rPr>
        <w:t xml:space="preserve"> 炼狱是真实存在的，即一种净化之地或状态（</w:t>
      </w:r>
      <w:r w:rsidRPr="001E4083">
        <w:t>status</w:t>
      </w:r>
      <w:r w:rsidRPr="0097554A">
        <w:rPr>
          <w:lang w:val="ru-RU"/>
        </w:rPr>
        <w:t xml:space="preserve"> </w:t>
      </w:r>
      <w:r w:rsidRPr="001E4083">
        <w:t>expiationis</w:t>
      </w:r>
      <w:r w:rsidRPr="006A21F9">
        <w:rPr>
          <w:lang w:val="ru-RU"/>
        </w:rPr>
        <w:t>），在其中，那些尚未获得某些轻罪赦免的亡者灵魂，或者虽已获得罪赦但生前未因罪行承受暂时惩罚的亡者灵魂， 为满足上帝的公义而承受苦难——直到通过这些苦难得以净化，并成为配得永恒福乐之人；</w:t>
      </w:r>
      <w:r w:rsidRPr="006A21F9">
        <w:rPr>
          <w:b/>
          <w:bCs/>
          <w:lang w:val="ru-RU"/>
        </w:rPr>
        <w:t>b)</w:t>
      </w:r>
      <w:r w:rsidRPr="006A21F9">
        <w:rPr>
          <w:lang w:val="ru-RU"/>
        </w:rPr>
        <w:t xml:space="preserve"> 教会为炼狱中的灵魂所做的祈祷、施舍，尤其是献上无血祭，对它们大有裨益。 属于非实质性部分的问题包括：</w:t>
      </w:r>
      <w:r w:rsidRPr="006A21F9">
        <w:rPr>
          <w:b/>
          <w:bCs/>
          <w:lang w:val="ru-RU"/>
        </w:rPr>
        <w:t>a)</w:t>
      </w:r>
      <w:r w:rsidRPr="006A21F9">
        <w:rPr>
          <w:lang w:val="ru-RU"/>
        </w:rPr>
        <w:t xml:space="preserve"> 炼狱是否为某个特定的地方，或者是否根本不存在，以及它位于何处；</w:t>
      </w:r>
      <w:r w:rsidRPr="006A21F9">
        <w:rPr>
          <w:b/>
          <w:bCs/>
          <w:lang w:val="ru-RU"/>
        </w:rPr>
        <w:t>b)</w:t>
      </w:r>
      <w:r w:rsidRPr="006A21F9">
        <w:rPr>
          <w:lang w:val="ru-RU"/>
        </w:rPr>
        <w:t xml:space="preserve"> 灵魂在那里承受何种苦难，炼狱之火是实体存在的，还是比喻性的；</w:t>
      </w:r>
      <w:r w:rsidRPr="006A21F9">
        <w:rPr>
          <w:b/>
          <w:bCs/>
          <w:lang w:val="ru-RU"/>
        </w:rPr>
        <w:t>c)</w:t>
      </w:r>
      <w:r w:rsidRPr="006A21F9">
        <w:rPr>
          <w:lang w:val="ru-RU"/>
        </w:rPr>
        <w:t xml:space="preserve"> 灵魂在炼狱中停留多长时间；</w:t>
      </w:r>
      <w:r w:rsidRPr="006A21F9">
        <w:rPr>
          <w:b/>
          <w:bCs/>
          <w:lang w:val="ru-RU"/>
        </w:rPr>
        <w:t>d)</w:t>
      </w:r>
      <w:r w:rsidRPr="006A21F9">
        <w:rPr>
          <w:lang w:val="ru-RU"/>
        </w:rPr>
        <w:t xml:space="preserve"> 教会的祈祷如何帮助他们等等。</w:t>
      </w:r>
      <w:r>
        <w:rPr>
          <w:rStyle w:val="FootnoteReference"/>
        </w:rPr>
        <w:footnoteReference w:id="1930"/>
      </w:r>
    </w:p>
    <w:p w14:paraId="7195FCA2" w14:textId="77777777" w:rsidR="00BE1885" w:rsidRPr="006A21F9" w:rsidRDefault="00BE1885" w:rsidP="00BE1885">
      <w:pPr>
        <w:rPr>
          <w:lang w:val="ru-RU"/>
        </w:rPr>
      </w:pPr>
      <w:r w:rsidRPr="006A21F9">
        <w:rPr>
          <w:lang w:val="ru-RU"/>
        </w:rPr>
        <w:tab/>
      </w:r>
      <w:r w:rsidRPr="001E4083">
        <w:rPr>
          <w:b/>
          <w:bCs/>
        </w:rPr>
        <w:t>二</w:t>
      </w:r>
      <w:r w:rsidRPr="006A21F9">
        <w:rPr>
          <w:b/>
          <w:bCs/>
          <w:lang w:val="ru-RU"/>
        </w:rPr>
        <w:t>、</w:t>
      </w:r>
      <w:r w:rsidRPr="006A21F9">
        <w:rPr>
          <w:lang w:val="ru-RU"/>
        </w:rPr>
        <w:t>若将注意力集中在罗马天主教关于炼狱教义的实质部分，我们会发现其中既与东正教会关于为亡者祈祷的教义存在相似之处，也存在差异。</w:t>
      </w:r>
    </w:p>
    <w:p w14:paraId="2209C8CA" w14:textId="77777777" w:rsidR="00BE1885" w:rsidRPr="006A21F9" w:rsidRDefault="00BE1885" w:rsidP="00BE1885">
      <w:pPr>
        <w:ind w:firstLine="708"/>
        <w:rPr>
          <w:lang w:val="ru-RU"/>
        </w:rPr>
      </w:pPr>
      <w:r w:rsidRPr="006A21F9">
        <w:rPr>
          <w:b/>
          <w:bCs/>
          <w:lang w:val="ru-RU"/>
        </w:rPr>
        <w:t>1)</w:t>
      </w:r>
      <w:r w:rsidRPr="006A21F9">
        <w:rPr>
          <w:lang w:val="ru-RU"/>
        </w:rPr>
        <w:t xml:space="preserve"> 相似之处在于基本思想（理念）。因为无论是罗马教会还是东正教会都教导： </w:t>
      </w:r>
      <w:r w:rsidRPr="006A21F9">
        <w:rPr>
          <w:b/>
          <w:bCs/>
          <w:lang w:val="ru-RU"/>
        </w:rPr>
        <w:t>a)</w:t>
      </w:r>
      <w:r w:rsidRPr="006A21F9">
        <w:rPr>
          <w:lang w:val="ru-RU"/>
        </w:rPr>
        <w:t xml:space="preserve"> 某些亡者的灵魂——即那些在信仰中并怀着悔改之心离世，但生前未能结出与悔改相称的果实，因而未能从上帝那里获得对其罪孽的完全宽恕，也未能通过实际行动从罪中得洁净的人——正在承受痛苦，直到他们真正获得这种宽恕并得洁净为止；</w:t>
      </w:r>
    </w:p>
    <w:p w14:paraId="6C68C39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在这种情况下，尚在世的基督弟兄们为逝者所做的祈祷、施舍，尤其是献上无血祭，都将对逝者的灵魂有所助益。</w:t>
      </w:r>
    </w:p>
    <w:p w14:paraId="0A25AD97" w14:textId="77777777" w:rsidR="00BE1885" w:rsidRPr="006A21F9" w:rsidRDefault="00BE1885" w:rsidP="00BE1885">
      <w:pPr>
        <w:ind w:firstLine="708"/>
        <w:rPr>
          <w:lang w:val="ru-RU"/>
        </w:rPr>
      </w:pPr>
      <w:r w:rsidRPr="006A21F9">
        <w:rPr>
          <w:b/>
          <w:bCs/>
          <w:lang w:val="ru-RU"/>
        </w:rPr>
        <w:t>2)</w:t>
      </w:r>
      <w:r w:rsidRPr="006A21F9">
        <w:rPr>
          <w:lang w:val="ru-RU"/>
        </w:rPr>
        <w:t xml:space="preserve"> 差异——在于细节。 </w:t>
      </w:r>
      <w:r w:rsidRPr="006A21F9">
        <w:rPr>
          <w:b/>
          <w:bCs/>
          <w:lang w:val="ru-RU"/>
        </w:rPr>
        <w:t>因为——a)</w:t>
      </w:r>
      <w:r w:rsidRPr="006A21F9">
        <w:rPr>
          <w:lang w:val="ru-RU"/>
        </w:rPr>
        <w:t xml:space="preserve"> 根据东正教会的教义，上述亡者的灵魂之所以承受苦难，是因为他们虽然在临终前已悔改，但未能结出与悔改相称的果实，未能从上帝那里赢得罪孽的完全宽恕，也未能通过实际行动洗净罪孽，从而摆脱罪孽的自然后果——即惩罚； 而根据罗马教会的教义，这些亡者的灵魂之所以在炼狱中受苦，恰恰是因为他们在世时未曾为罪孽承受暂时的惩罚以满足上帝的公义，而他们所受的苦难正是为了满足这一公义； </w:t>
      </w:r>
      <w:r w:rsidRPr="006A21F9">
        <w:rPr>
          <w:b/>
          <w:bCs/>
          <w:lang w:val="ru-RU"/>
        </w:rPr>
        <w:t>b)</w:t>
      </w:r>
      <w:r w:rsidRPr="006A21F9">
        <w:rPr>
          <w:lang w:val="ru-RU"/>
        </w:rPr>
        <w:t xml:space="preserve"> 根据东正教的教义，上述灵魂并非凭自身之力，也非通过自身的苦难，而是借由教会的祈祷及无血牺牲</w:t>
      </w:r>
      <w:r w:rsidRPr="006A21F9">
        <w:rPr>
          <w:lang w:val="ru-RU"/>
        </w:rPr>
        <w:lastRenderedPageBreak/>
        <w:t>的力量，得以从罪中洁净并蒙受上帝的宽恕；这些祈祷不仅帮助受苦者、减轻他们的苦难，更能使他们从苦难中解脱（《正统信条》 第1卷，对第64个问题的回答）；而根据罗马教会的教义，灵魂在炼狱中通过自身的苦难——无论这些苦难具体表现为何——得以净化并满足上帝的公义，而教会的祈祷仅有助于减轻这些苦难。</w:t>
      </w:r>
      <w:r>
        <w:rPr>
          <w:rStyle w:val="FootnoteReference"/>
        </w:rPr>
        <w:footnoteReference w:id="1931"/>
      </w:r>
    </w:p>
    <w:p w14:paraId="62813306" w14:textId="77777777" w:rsidR="00BE1885" w:rsidRPr="006A21F9" w:rsidRDefault="00BE1885" w:rsidP="00BE1885">
      <w:pPr>
        <w:ind w:firstLine="708"/>
        <w:rPr>
          <w:lang w:val="ru-RU"/>
        </w:rPr>
      </w:pPr>
      <w:r w:rsidRPr="006A21F9">
        <w:rPr>
          <w:b/>
          <w:bCs/>
          <w:lang w:val="ru-RU"/>
        </w:rPr>
        <w:t>3)</w:t>
      </w:r>
      <w:r w:rsidRPr="006A21F9">
        <w:rPr>
          <w:lang w:val="ru-RU"/>
        </w:rPr>
        <w:t xml:space="preserve"> 不过，罗马教会关于炼狱的教义与东正教关于为亡者祈祷的教义之间所指出的这两点差异，尽管涉及细节，但依然十分重要且无法被接受：因为这两点都是不公正的，并且歪曲了该教义最根本的思想。</w:t>
      </w:r>
    </w:p>
    <w:p w14:paraId="118F5DB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正如我们在相关章节</w:t>
      </w:r>
      <w:r>
        <w:rPr>
          <w:rStyle w:val="FootnoteReference"/>
        </w:rPr>
        <w:footnoteReference w:id="1932"/>
      </w:r>
      <w:r w:rsidRPr="006A21F9">
        <w:rPr>
          <w:lang w:val="ru-RU"/>
        </w:rPr>
        <w:t xml:space="preserve"> 中已经指出的，那种认为已悔改的罪人还必须为自己的罪过向神的公义作出某种补偿——为此承受某种暂时的惩罚——以及认为未在此世承受此类惩罚者必须在炼狱中为同一目的承受惩罚的观点是不公正的： 基督救主曾一次而永远地为所有罪人向神的公义作出了完全甚至过剩的赎罪，祂亲自承担了世上一切的罪以及因罪所应受的一切刑罚。 至于罪人，若要从上帝那里获得完全的罪赦，并免除一切因罪应受的惩罚，只需领受救赎主的功绩，即信靠祂，真心悔改，并结出与悔改相称的果子——善行。 因此，如果有些在临终前悔改的罪人在死后仍遭受折磨，那唯一的原因是他们尚未完全领受救主的功绩，无论是因为对祂的信心薄弱，还是因为悔改不够充分， 但最主要的原因在于，他们没有结出与悔改相称的果实，也没有像东正教会所教导的那样，通过实际行动从罪中得到洁净。</w:t>
      </w:r>
    </w:p>
    <w:p w14:paraId="440B554D"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另一种观点也同样不合理，即认为罪人在炼狱中通过自身的苦难得以净化，并以此满足上帝的公义。无论如何理解炼狱之火——无论是字面意义还是比喻意义——无论哪种情况，都不能将其归因于此类作用。 倘若这是物质性的火焰：那么，它本身就无法从其本质上使灵魂——这种单纯的存在——从属灵的污秽中得到净化。倘若这是比喻性的火焰，即灵魂在持续意识到自己往昔罪孽并为此深感懊悔时的内心煎熬： 这一切在来世都无法净化灵魂，因为那里已无悔改、无功德、也无任何个人自我修正的余地——正如罗马天主教徒所信奉的那样。 而只要人仍陷于罪中，未得洁净也未得更新：无论他承受多少折磨，仅凭自身的苦难都无法满足上帝的公义，也无法摆脱这些罪所带来的必然后果（《正统信条》第1卷，对第66个问题的回答）。</w:t>
      </w:r>
    </w:p>
    <w:p w14:paraId="01D455AD"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如果某些亡者的灵魂之所以在炼狱中受苦，正是因为忏悔的罪人必须为自己的罪过承受某种暂时的惩罚，以满足上帝的公义；而且如果这些灵魂确实通过在炼狱中的受苦而得到净化，并为自己向上帝赎罪： 那么问题来了：教会的祈祷以及一切 代祷对他们有何作用？显然，身处炼狱者必须受苦，直到他们自己完成所要求的赎罪，并通过自身的苦难得以净化； </w:t>
      </w:r>
      <w:r w:rsidRPr="006A21F9">
        <w:rPr>
          <w:lang w:val="ru-RU"/>
        </w:rPr>
        <w:lastRenderedPageBreak/>
        <w:t>倘若教会的祈祷仅仅是减轻并缓解这些痛苦，那么这些祈祷不仅未能缩短，反而延长了灵魂在炼狱中的停留时间，因此与其说是有益，不如说是有害。这难道不是明显推翻了为亡者祈祷教义的核心思想吗？</w:t>
      </w:r>
    </w:p>
    <w:p w14:paraId="49E7742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关注罗马天主教关于炼狱教义中那个构成神学观点议题的非实质性部分，我们发现它与东正教会关于为亡者祈祷的教义之间存在更多差异，尽管从其内在意义来看，这些差异并不重要。在此我们指出其中两个较为显著的差异。</w:t>
      </w:r>
    </w:p>
    <w:p w14:paraId="4F5F3596" w14:textId="77777777" w:rsidR="00BE1885" w:rsidRPr="006A21F9" w:rsidRDefault="00BE1885" w:rsidP="00BE1885">
      <w:pPr>
        <w:ind w:firstLine="708"/>
        <w:rPr>
          <w:lang w:val="ru-RU"/>
        </w:rPr>
      </w:pPr>
      <w:r w:rsidRPr="006A21F9">
        <w:rPr>
          <w:b/>
          <w:bCs/>
          <w:lang w:val="ru-RU"/>
        </w:rPr>
        <w:t>1)</w:t>
      </w:r>
      <w:r w:rsidRPr="006A21F9">
        <w:rPr>
          <w:lang w:val="ru-RU"/>
        </w:rPr>
        <w:t xml:space="preserve"> 东正教会教导说，人死后，在得救升入天堂的人与灭亡下地狱的人之间，并不存在中间阶层； 也不存在一个特殊的中间场所，供那些在临终前悔改、并由教会为其祈祷的灵魂停留；他们全都同样下地狱，唯有通过</w:t>
      </w:r>
      <w:r w:rsidRPr="001E4083">
        <w:t>教会的</w:t>
      </w:r>
      <w:r w:rsidRPr="006A21F9">
        <w:rPr>
          <w:lang w:val="ru-RU"/>
        </w:rPr>
        <w:t>祈祷才能从那里获救（《正统信条》第一卷，对第64个问题的回答；《东方宗主教关于正统信仰的书信》</w:t>
      </w:r>
      <w:r w:rsidRPr="001E4083">
        <w:t>第十八条</w:t>
      </w:r>
      <w:r w:rsidRPr="006A21F9">
        <w:rPr>
          <w:lang w:val="ru-RU"/>
        </w:rPr>
        <w:t>）。 大多数罗马教父将炼狱视为一个特殊的中间场所，将其置于地狱附近——在地心深处，或置于天堂附近，或置于空中；尽管也有人仅将炼狱视为灵魂的一种特殊状态，而非特定场所， 并指出，处于这种状态的灵魂可以在与被判受永恒折磨者（即在地狱中）相同的地方承受暂时的惩罚并得到净化，就像同一座监狱中可能关押着两类人：既包括被判仅在一定时间内监禁者，也包括被判终身监禁者。</w:t>
      </w:r>
      <w:r>
        <w:rPr>
          <w:rStyle w:val="FootnoteReference"/>
        </w:rPr>
        <w:footnoteReference w:id="1933"/>
      </w:r>
    </w:p>
    <w:p w14:paraId="1297A84B" w14:textId="77777777" w:rsidR="00BE1885" w:rsidRPr="006A21F9" w:rsidRDefault="00BE1885" w:rsidP="00BE1885">
      <w:pPr>
        <w:ind w:firstLine="708"/>
        <w:rPr>
          <w:lang w:val="ru-RU"/>
        </w:rPr>
      </w:pPr>
      <w:r w:rsidRPr="006A21F9">
        <w:rPr>
          <w:b/>
          <w:bCs/>
          <w:lang w:val="ru-RU"/>
        </w:rPr>
        <w:t>2)</w:t>
      </w:r>
      <w:r w:rsidRPr="006A21F9">
        <w:rPr>
          <w:lang w:val="ru-RU"/>
        </w:rPr>
        <w:t xml:space="preserve"> 东正教会坚决否认炼狱之火——即所谓具有净化灵魂作用的实体之火（《正统信条》第一卷，对第66个问题的回答）。 相当多的罗马神学家将这种火视为真实且有形的（这一信仰在罗马教派信徒中几乎已成普遍共识），因此，为了证明其教义，他们试图从圣经和古代教会导师的著作中搜集那些表面上似乎提及此类之火的段落。</w:t>
      </w:r>
      <w:r>
        <w:rPr>
          <w:rStyle w:val="FootnoteReference"/>
        </w:rPr>
        <w:footnoteReference w:id="1934"/>
      </w:r>
      <w:r w:rsidRPr="006A21F9">
        <w:rPr>
          <w:lang w:val="ru-RU"/>
        </w:rPr>
        <w:t xml:space="preserve"> 相反，另一些人则将炼狱之火理解为非字面意义上的精神折磨，因此，在他们关于炼狱的论著中，既不从上帝的话语中，也不从教父的著作中引用此类证据，并补充道，古代教父们自己对这种火也仅持有各种不同的看法，</w:t>
      </w:r>
      <w:r>
        <w:rPr>
          <w:rStyle w:val="FootnoteReference"/>
        </w:rPr>
        <w:footnoteReference w:id="1935"/>
      </w:r>
      <w:r w:rsidRPr="006A21F9">
        <w:rPr>
          <w:lang w:val="ru-RU"/>
        </w:rPr>
        <w:t xml:space="preserve"> ——因此，反驳上述证据也是多余的。最后，第三类人则指出，教会并未明确界定炼狱之火的本质，即它是物质的还是非物质的，因此对其作何理解——都不属于信仰范畴。</w:t>
      </w:r>
      <w:r>
        <w:rPr>
          <w:rStyle w:val="FootnoteReference"/>
        </w:rPr>
        <w:footnoteReference w:id="1936"/>
      </w:r>
    </w:p>
    <w:p w14:paraId="5F1FEED4" w14:textId="77777777" w:rsidR="00BE1885" w:rsidRPr="006A21F9" w:rsidRDefault="00BE1885" w:rsidP="00BE1885">
      <w:pPr>
        <w:rPr>
          <w:lang w:val="ru-RU"/>
        </w:rPr>
      </w:pPr>
      <w:r w:rsidRPr="006A21F9">
        <w:rPr>
          <w:lang w:val="ru-RU"/>
        </w:rPr>
        <w:tab/>
        <w:t>我们不提及关于炼狱的其他观点，例如：</w:t>
      </w:r>
      <w:r w:rsidRPr="001E4083">
        <w:t>a</w:t>
      </w:r>
      <w:r w:rsidRPr="006A21F9">
        <w:rPr>
          <w:lang w:val="ru-RU"/>
        </w:rPr>
        <w:t>) 灵魂在炼狱中停留多久，以及是否所有灵魂停留的时间都相同；</w:t>
      </w:r>
      <w:r w:rsidRPr="006A21F9">
        <w:rPr>
          <w:b/>
          <w:bCs/>
          <w:lang w:val="ru-RU"/>
        </w:rPr>
        <w:t>b)</w:t>
      </w:r>
      <w:r w:rsidRPr="006A21F9">
        <w:rPr>
          <w:lang w:val="ru-RU"/>
        </w:rPr>
        <w:t xml:space="preserve"> 他们在那里承受的惩罚，是比现世的惩罚更严厉，还是比地狱的惩罚更轻微；</w:t>
      </w:r>
      <w:r w:rsidRPr="006A21F9">
        <w:rPr>
          <w:b/>
          <w:bCs/>
          <w:lang w:val="ru-RU"/>
        </w:rPr>
        <w:t>c)</w:t>
      </w:r>
      <w:r w:rsidRPr="006A21F9">
        <w:rPr>
          <w:lang w:val="ru-RU"/>
        </w:rPr>
        <w:t xml:space="preserve"> 那里的灵魂是否为自己以及我们这些尚在世的人祈祷； </w:t>
      </w:r>
      <w:r w:rsidRPr="006A21F9">
        <w:rPr>
          <w:b/>
          <w:bCs/>
          <w:lang w:val="ru-RU"/>
        </w:rPr>
        <w:t>d)</w:t>
      </w:r>
      <w:r w:rsidRPr="006A21F9">
        <w:rPr>
          <w:lang w:val="ru-RU"/>
        </w:rPr>
        <w:t xml:space="preserve"> 灵魂是否在行善，以及类似问题。就连罗马神学家们自己也几乎不重视这些观点，且鲜少有人对此进行探讨。</w:t>
      </w:r>
      <w:r>
        <w:rPr>
          <w:rStyle w:val="FootnoteReference"/>
        </w:rPr>
        <w:footnoteReference w:id="1937"/>
      </w:r>
    </w:p>
    <w:p w14:paraId="671A33F3" w14:textId="77777777" w:rsidR="00BE1885" w:rsidRPr="006A21F9" w:rsidRDefault="00BE1885" w:rsidP="00BE1885">
      <w:pPr>
        <w:rPr>
          <w:lang w:val="ru-RU"/>
        </w:rPr>
      </w:pPr>
      <w:r w:rsidRPr="006A21F9">
        <w:rPr>
          <w:lang w:val="ru-RU"/>
        </w:rPr>
        <w:tab/>
      </w:r>
    </w:p>
    <w:p w14:paraId="7347D18F" w14:textId="77777777" w:rsidR="00BE1885" w:rsidRPr="006A21F9" w:rsidRDefault="00BE1885" w:rsidP="00BE1885">
      <w:pPr>
        <w:pStyle w:val="Heading5"/>
        <w:rPr>
          <w:lang w:val="ru-RU"/>
        </w:rPr>
      </w:pPr>
      <w:bookmarkStart w:id="1160" w:name="_Toc133143037"/>
      <w:bookmarkStart w:id="1161" w:name="_Toc133166394"/>
      <w:bookmarkStart w:id="1162" w:name="_Toc182221604"/>
      <w:bookmarkStart w:id="1163" w:name="_Toc238453171"/>
      <w:bookmarkStart w:id="1164" w:name="_Toc238453971"/>
      <w:bookmarkStart w:id="1165" w:name="_Toc238576631"/>
      <w:r w:rsidRPr="006A21F9">
        <w:rPr>
          <w:lang w:val="ru-RU"/>
        </w:rPr>
        <w:lastRenderedPageBreak/>
        <w:t>§260. 关于“个别审判与报应”教义的道德应用</w:t>
      </w:r>
      <w:bookmarkEnd w:id="1160"/>
      <w:bookmarkEnd w:id="1161"/>
      <w:bookmarkEnd w:id="1162"/>
      <w:bookmarkEnd w:id="1163"/>
      <w:bookmarkEnd w:id="1164"/>
      <w:bookmarkEnd w:id="1165"/>
    </w:p>
    <w:p w14:paraId="253F4473" w14:textId="77777777" w:rsidR="00BE1885" w:rsidRPr="006A21F9" w:rsidRDefault="00BE1885" w:rsidP="00BE1885">
      <w:pPr>
        <w:ind w:firstLine="708"/>
        <w:rPr>
          <w:lang w:val="ru-RU"/>
        </w:rPr>
      </w:pPr>
      <w:r w:rsidRPr="006A21F9">
        <w:rPr>
          <w:b/>
          <w:bCs/>
          <w:lang w:val="ru-RU"/>
        </w:rPr>
        <w:t xml:space="preserve">1) </w:t>
      </w:r>
      <w:r w:rsidRPr="006A21F9">
        <w:rPr>
          <w:i/>
          <w:iCs/>
          <w:lang w:val="ru-RU"/>
        </w:rPr>
        <w:t>人都是注定要死一次，死后必受审判</w:t>
      </w:r>
      <w:r w:rsidRPr="006A21F9">
        <w:rPr>
          <w:lang w:val="ru-RU"/>
        </w:rPr>
        <w:t>（希伯来书 9:27）：</w:t>
      </w:r>
      <w:r w:rsidRPr="006A21F9">
        <w:rPr>
          <w:i/>
          <w:iCs/>
          <w:lang w:val="ru-RU"/>
        </w:rPr>
        <w:t>既然白日尚存，</w:t>
      </w:r>
      <w:r w:rsidRPr="006A21F9">
        <w:rPr>
          <w:lang w:val="ru-RU"/>
        </w:rPr>
        <w:t>我们就当行那召我们进入生命之主的作为</w:t>
      </w:r>
      <w:r w:rsidRPr="006A21F9">
        <w:rPr>
          <w:i/>
          <w:iCs/>
          <w:lang w:val="ru-RU"/>
        </w:rPr>
        <w:t>；黑夜将至，那时就无人能行事了</w:t>
      </w:r>
      <w:r w:rsidRPr="006A21F9">
        <w:rPr>
          <w:lang w:val="ru-RU"/>
        </w:rPr>
        <w:t>（约翰福音 9:4）！ 让我们在敬虔中奋力前行，趁着我们仍有行善和积德的机会；审判之日将至， 届时每个人都将获得最公正的报应。让我们赶紧为自己的罪孽悔改并改正，趁着这两者对我们而言尚有可能：一旦死后经历了个别审判，既无法再悔改，也无法再改正。</w:t>
      </w:r>
    </w:p>
    <w:p w14:paraId="0731C008" w14:textId="77777777" w:rsidR="00BE1885" w:rsidRPr="006A21F9" w:rsidRDefault="00BE1885" w:rsidP="00BE1885">
      <w:pPr>
        <w:ind w:firstLine="708"/>
        <w:rPr>
          <w:lang w:val="ru-RU"/>
        </w:rPr>
      </w:pPr>
      <w:r w:rsidRPr="006A21F9">
        <w:rPr>
          <w:b/>
          <w:bCs/>
          <w:lang w:val="ru-RU"/>
        </w:rPr>
        <w:t>2)</w:t>
      </w:r>
      <w:r w:rsidRPr="006A21F9">
        <w:rPr>
          <w:lang w:val="ru-RU"/>
        </w:rPr>
        <w:t xml:space="preserve"> 脱离肉身后，人的灵魂将经历种种磨难：哦，愿主让每个人都能毫无阻碍、毫无畏惧地走过这条可怕的道路！让我们按照圣教会教导的，为此事祈祷，既为自己，也为那些即将步入永恒的邻人； 同时，让我们每个人都尽早为自己的灵魂做好准备，迎接这些可怕却公正的考验，通过洗净罪孽、增进美德、在对上帝的信仰、爱与盼望中坚固</w:t>
      </w:r>
      <w:r w:rsidRPr="001E4083">
        <w:t>灵魂</w:t>
      </w:r>
      <w:r w:rsidRPr="006A21F9">
        <w:rPr>
          <w:lang w:val="ru-RU"/>
        </w:rPr>
        <w:t>，</w:t>
      </w:r>
      <w:r w:rsidRPr="001E4083">
        <w:t>来迎接这些</w:t>
      </w:r>
      <w:r w:rsidRPr="006A21F9">
        <w:rPr>
          <w:lang w:val="ru-RU"/>
        </w:rPr>
        <w:t>考验。</w:t>
      </w:r>
    </w:p>
    <w:p w14:paraId="1AA094A0" w14:textId="77777777" w:rsidR="00BE1885" w:rsidRPr="006A21F9" w:rsidRDefault="00BE1885" w:rsidP="00BE1885">
      <w:pPr>
        <w:ind w:firstLine="708"/>
        <w:rPr>
          <w:lang w:val="ru-RU"/>
        </w:rPr>
      </w:pPr>
      <w:r w:rsidRPr="006A21F9">
        <w:rPr>
          <w:b/>
          <w:bCs/>
          <w:lang w:val="ru-RU"/>
        </w:rPr>
        <w:t>3)</w:t>
      </w:r>
      <w:r w:rsidRPr="006A21F9">
        <w:rPr>
          <w:lang w:val="ru-RU"/>
        </w:rPr>
        <w:t xml:space="preserve"> 私人审判之后，主将天上的福乐——尽管尚不完全、尚未终结——赐予义人，而将地狱的折磨——尽管同样不完全、不彻底——赐予罪人：对这两者的思考，愿成为我们恒久的激励，使我们远离罪恶，行在义人的道路上！</w:t>
      </w:r>
    </w:p>
    <w:p w14:paraId="1D728DED" w14:textId="77777777" w:rsidR="00BE1885" w:rsidRPr="006A21F9" w:rsidRDefault="00BE1885" w:rsidP="00BE1885">
      <w:pPr>
        <w:ind w:firstLine="708"/>
        <w:rPr>
          <w:lang w:val="ru-RU"/>
        </w:rPr>
      </w:pPr>
      <w:r w:rsidRPr="006A21F9">
        <w:rPr>
          <w:b/>
          <w:bCs/>
          <w:lang w:val="ru-RU"/>
        </w:rPr>
        <w:t>4)</w:t>
      </w:r>
      <w:r w:rsidRPr="006A21F9">
        <w:rPr>
          <w:lang w:val="ru-RU"/>
        </w:rPr>
        <w:t xml:space="preserve"> 主在天上荣耀义人，并赐予他们特别的恩典为我们代祷；由此，主教导我们在地上也要荣耀他们——作为祂忠实的仆人、蒙祂喜悦者及朋友，敬奉他们最神圣的圣像与遗骸，并在祷告中呼求他们，作为我们在祂面前的代祷者和祈求者…… 因此，让我们在东正教会的指引下，不断向在天上受尊崇的义人致以应有的敬意，并在我们的一切需要中，寻求他们在上帝面前的庇护与代祷。</w:t>
      </w:r>
    </w:p>
    <w:p w14:paraId="4EBB81BB" w14:textId="77777777" w:rsidR="00BE1885" w:rsidRPr="006A21F9" w:rsidRDefault="00BE1885" w:rsidP="00BE1885">
      <w:pPr>
        <w:ind w:firstLine="708"/>
        <w:rPr>
          <w:lang w:val="ru-RU"/>
        </w:rPr>
      </w:pPr>
      <w:r w:rsidRPr="006A21F9">
        <w:rPr>
          <w:b/>
          <w:bCs/>
          <w:lang w:val="ru-RU"/>
        </w:rPr>
        <w:t xml:space="preserve">5) </w:t>
      </w:r>
      <w:r w:rsidRPr="006A21F9">
        <w:rPr>
          <w:lang w:val="ru-RU"/>
        </w:rPr>
        <w:t>当在私人审判中为罪人定下在地狱中的初步惩罚时， 主凭着祂无尽的仁慈，只要他们是在信仰与悔改中离世的，便仍为他们留有直到最后审判之日摆脱地狱枷锁的机会——若非凭自身功德，便是借由教会的代求，以及尚在世之人的祷告与善行： 我们当中，谁不因对邻人的基督教之爱，而深感有责任为已故的弟兄们祈祷，为纪念他们行施舍，并通过教会的牧者为他们的得救献上无血的祭物呢？…… 谁不明白，对我们这些罪人而言，确保自己怀着信仰与悔改步入永恒是多么重要且必要，从而不致丧失获得救赎的机会与希望？……</w:t>
      </w:r>
    </w:p>
    <w:p w14:paraId="0A6CCB76" w14:textId="77777777" w:rsidR="00BE1885" w:rsidRPr="006A21F9" w:rsidRDefault="00BE1885" w:rsidP="00BE1885">
      <w:pPr>
        <w:rPr>
          <w:lang w:val="ru-RU"/>
        </w:rPr>
      </w:pPr>
      <w:r w:rsidRPr="006A21F9">
        <w:rPr>
          <w:lang w:val="ru-RU"/>
        </w:rPr>
        <w:tab/>
      </w:r>
    </w:p>
    <w:p w14:paraId="0AC63042" w14:textId="77777777" w:rsidR="00BE1885" w:rsidRPr="006A21F9" w:rsidRDefault="00BE1885" w:rsidP="00BE1885">
      <w:pPr>
        <w:rPr>
          <w:lang w:val="ru-RU"/>
        </w:rPr>
      </w:pPr>
    </w:p>
    <w:p w14:paraId="703604E7" w14:textId="77777777" w:rsidR="00BE1885" w:rsidRPr="006A21F9" w:rsidRDefault="00BE1885" w:rsidP="00BE1885">
      <w:pPr>
        <w:pStyle w:val="Heading3"/>
        <w:rPr>
          <w:lang w:val="ru-RU"/>
        </w:rPr>
      </w:pPr>
      <w:bookmarkStart w:id="1166" w:name="_Toc133142622"/>
      <w:bookmarkStart w:id="1167" w:name="_Toc133143038"/>
      <w:bookmarkStart w:id="1168" w:name="_Toc133166395"/>
      <w:bookmarkStart w:id="1169" w:name="_Toc182221605"/>
      <w:bookmarkStart w:id="1170" w:name="_Toc238453172"/>
      <w:bookmarkStart w:id="1171" w:name="_Toc238453972"/>
      <w:bookmarkStart w:id="1172" w:name="_Toc238454342"/>
      <w:bookmarkStart w:id="1173" w:name="_Toc238466424"/>
      <w:bookmarkStart w:id="1174" w:name="_Toc238576632"/>
      <w:r w:rsidRPr="001E4083">
        <w:rPr>
          <w:bCs/>
        </w:rPr>
        <w:t>第二条</w:t>
      </w:r>
      <w:r w:rsidRPr="006A21F9">
        <w:rPr>
          <w:bCs/>
          <w:lang w:val="ru-RU"/>
        </w:rPr>
        <w:t xml:space="preserve">。 </w:t>
      </w:r>
      <w:r w:rsidRPr="006A21F9">
        <w:rPr>
          <w:lang w:val="ru-RU"/>
        </w:rPr>
        <w:br/>
        <w:t>论上帝作为全人类的审判者与赏赐者</w:t>
      </w:r>
      <w:bookmarkEnd w:id="1166"/>
      <w:bookmarkEnd w:id="1167"/>
      <w:bookmarkEnd w:id="1168"/>
      <w:bookmarkEnd w:id="1169"/>
      <w:bookmarkEnd w:id="1170"/>
      <w:bookmarkEnd w:id="1171"/>
      <w:bookmarkEnd w:id="1172"/>
      <w:bookmarkEnd w:id="1173"/>
      <w:bookmarkEnd w:id="1174"/>
    </w:p>
    <w:p w14:paraId="63670335" w14:textId="77777777" w:rsidR="00BE1885" w:rsidRPr="006A21F9" w:rsidRDefault="00BE1885" w:rsidP="00BE1885">
      <w:pPr>
        <w:rPr>
          <w:lang w:val="ru-RU"/>
        </w:rPr>
      </w:pPr>
      <w:r w:rsidRPr="006A21F9">
        <w:rPr>
          <w:lang w:val="ru-RU"/>
        </w:rPr>
        <w:tab/>
      </w:r>
    </w:p>
    <w:p w14:paraId="01F2FAAC" w14:textId="77777777" w:rsidR="00BE1885" w:rsidRPr="006A21F9" w:rsidRDefault="00BE1885" w:rsidP="00BE1885">
      <w:pPr>
        <w:pStyle w:val="Heading4"/>
        <w:rPr>
          <w:lang w:val="ru-RU"/>
        </w:rPr>
      </w:pPr>
      <w:bookmarkStart w:id="1175" w:name="_Toc133142623"/>
      <w:bookmarkStart w:id="1176" w:name="_Toc133143039"/>
      <w:bookmarkStart w:id="1177" w:name="_Toc133166396"/>
      <w:bookmarkStart w:id="1178" w:name="_Toc182221606"/>
      <w:bookmarkStart w:id="1179" w:name="_Toc238453173"/>
      <w:bookmarkStart w:id="1180" w:name="_Toc238453973"/>
      <w:bookmarkStart w:id="1181" w:name="_Toc238454343"/>
      <w:bookmarkStart w:id="1182" w:name="_Toc238466425"/>
      <w:bookmarkStart w:id="1183" w:name="_Toc238576633"/>
      <w:r w:rsidRPr="006A21F9">
        <w:rPr>
          <w:bCs/>
          <w:lang w:val="ru-RU"/>
        </w:rPr>
        <w:t>1.</w:t>
      </w:r>
      <w:r w:rsidRPr="006A21F9">
        <w:rPr>
          <w:lang w:val="ru-RU"/>
        </w:rPr>
        <w:t xml:space="preserve"> 关于普世审判</w:t>
      </w:r>
      <w:bookmarkEnd w:id="1175"/>
      <w:bookmarkEnd w:id="1176"/>
      <w:bookmarkEnd w:id="1177"/>
      <w:bookmarkEnd w:id="1178"/>
      <w:bookmarkEnd w:id="1179"/>
      <w:bookmarkEnd w:id="1180"/>
      <w:bookmarkEnd w:id="1181"/>
      <w:bookmarkEnd w:id="1182"/>
      <w:bookmarkEnd w:id="1183"/>
    </w:p>
    <w:p w14:paraId="618759F8" w14:textId="77777777" w:rsidR="00BE1885" w:rsidRPr="006A21F9" w:rsidRDefault="00BE1885" w:rsidP="00BE1885">
      <w:pPr>
        <w:rPr>
          <w:lang w:val="ru-RU"/>
        </w:rPr>
      </w:pPr>
      <w:r w:rsidRPr="006A21F9">
        <w:rPr>
          <w:lang w:val="ru-RU"/>
        </w:rPr>
        <w:tab/>
      </w:r>
    </w:p>
    <w:p w14:paraId="209375DC" w14:textId="77777777" w:rsidR="00BE1885" w:rsidRPr="006A21F9" w:rsidRDefault="00BE1885" w:rsidP="00BE1885">
      <w:pPr>
        <w:pStyle w:val="Heading5"/>
        <w:rPr>
          <w:lang w:val="ru-RU"/>
        </w:rPr>
      </w:pPr>
      <w:bookmarkStart w:id="1184" w:name="_Toc133143040"/>
      <w:bookmarkStart w:id="1185" w:name="_Toc133166397"/>
      <w:bookmarkStart w:id="1186" w:name="_Toc182221607"/>
      <w:bookmarkStart w:id="1187" w:name="_Toc238453174"/>
      <w:bookmarkStart w:id="1188" w:name="_Toc238453974"/>
      <w:bookmarkStart w:id="1189" w:name="_Toc238576634"/>
      <w:r w:rsidRPr="006A21F9">
        <w:rPr>
          <w:bCs/>
          <w:lang w:val="ru-RU"/>
        </w:rPr>
        <w:t>§261.</w:t>
      </w:r>
      <w:r w:rsidRPr="006A21F9">
        <w:rPr>
          <w:lang w:val="ru-RU"/>
        </w:rPr>
        <w:t xml:space="preserve"> 与前文的关联、末日审判之日、该日的不确定性及其临近的征兆，尤其是敌基督的出现</w:t>
      </w:r>
      <w:bookmarkEnd w:id="1184"/>
      <w:bookmarkEnd w:id="1185"/>
      <w:bookmarkEnd w:id="1186"/>
      <w:bookmarkEnd w:id="1187"/>
      <w:bookmarkEnd w:id="1188"/>
      <w:bookmarkEnd w:id="1189"/>
    </w:p>
    <w:p w14:paraId="541D3F94" w14:textId="77777777" w:rsidR="00BE1885" w:rsidRPr="006A21F9" w:rsidRDefault="00BE1885" w:rsidP="00BE1885">
      <w:pPr>
        <w:ind w:firstLine="708"/>
        <w:rPr>
          <w:lang w:val="ru-RU"/>
        </w:rPr>
      </w:pPr>
      <w:r w:rsidRPr="001E4083">
        <w:rPr>
          <w:b/>
          <w:bCs/>
        </w:rPr>
        <w:t>I</w:t>
      </w:r>
      <w:r w:rsidRPr="006A21F9">
        <w:rPr>
          <w:b/>
          <w:bCs/>
          <w:lang w:val="ru-RU"/>
        </w:rPr>
        <w:t>.</w:t>
      </w:r>
      <w:r w:rsidRPr="006A21F9">
        <w:rPr>
          <w:lang w:val="ru-RU"/>
        </w:rPr>
        <w:t xml:space="preserve"> 每个人死后所经历的个别审判并非完整而最终的审判，因此自然让人期待还有另一场完整而决定性的审判。在个别审判中，只有人的灵魂会得到报应，肉体则完全不参与其中，尽管肉体曾与灵魂共同经历了善行与恶行。 在个别审判之后，无论是天上的义人还是地狱中的罪人，所经历的仅仅是他们应得之福乐或折磨的开端</w:t>
      </w:r>
      <w:r w:rsidRPr="006A21F9">
        <w:rPr>
          <w:lang w:val="ru-RU"/>
        </w:rPr>
        <w:lastRenderedPageBreak/>
        <w:t>。最后，个别审判之后，某些罪人仍有机会减轻自己的处境，甚至从地狱的枷锁中解脱出来——即便不是凭借自身的功德，也是通过教会的祈祷。</w:t>
      </w:r>
    </w:p>
    <w:p w14:paraId="011CF5A0" w14:textId="77777777" w:rsidR="00BE1885" w:rsidRPr="006A21F9" w:rsidRDefault="00BE1885" w:rsidP="00BE1885">
      <w:pPr>
        <w:rPr>
          <w:lang w:val="ru-RU"/>
        </w:rPr>
      </w:pPr>
      <w:r w:rsidRPr="006A21F9">
        <w:rPr>
          <w:lang w:val="ru-RU"/>
        </w:rPr>
        <w:tab/>
        <w:t>但终有一日，那将是全人类的末日（约6:39-40），正如每个人都有各自的末日一样；那是世纪与世界的终结之日（太13:39），正如人的死亡之日一样， ——那由上帝所定下的日子终将到来，届时祂将按公义审判整个宇宙 ，在真理中（使徒行传17:31），即进行全面而决断的审判。因此，这一天在圣经中被称为审判日[(马太福音11:22-24；</w:t>
      </w:r>
      <w:r w:rsidRPr="006A21F9">
        <w:rPr>
          <w:rFonts w:cs="Cambria Math"/>
          <w:lang w:val="ru-RU"/>
        </w:rPr>
        <w:t xml:space="preserve"> </w:t>
      </w:r>
      <w:r w:rsidRPr="006A21F9">
        <w:rPr>
          <w:lang w:val="ru-RU"/>
        </w:rPr>
        <w:t>12:36)；（彼后 2:9）]、审判之日（彼后 3:7）、上帝公义审判的愤怒与显明之日（罗 2:5）。 也被称为人子之日（路加福音 17:22-26）、主的日子 [(彼得后书 3:10)；(帖撒罗尼迦前书 5:2)]、基督的日子 [(帖撒罗尼迦后书 2:2)；(腓立比书 1:10</w:t>
      </w:r>
      <w:r w:rsidRPr="004C5A56">
        <w:rPr>
          <w:lang w:val="ru-RU"/>
        </w:rPr>
        <w:t>)</w:t>
      </w:r>
      <w:r w:rsidRPr="006A21F9">
        <w:rPr>
          <w:lang w:val="ru-RU"/>
        </w:rPr>
        <w:t>；</w:t>
      </w:r>
      <w:r w:rsidRPr="006A21F9">
        <w:rPr>
          <w:rFonts w:cs="Cambria Math"/>
          <w:lang w:val="ru-RU"/>
        </w:rPr>
        <w:t xml:space="preserve"> </w:t>
      </w:r>
      <w:r w:rsidRPr="006A21F9">
        <w:rPr>
          <w:lang w:val="ru-RU"/>
        </w:rPr>
        <w:t>（腓 2:16）]、我们主耶稣基督的日子</w:t>
      </w:r>
      <w:r w:rsidRPr="00430F02">
        <w:rPr>
          <w:lang w:val="ru-RU"/>
        </w:rPr>
        <w:t>[</w:t>
      </w:r>
      <w:r w:rsidRPr="006A21F9">
        <w:rPr>
          <w:lang w:val="ru-RU"/>
        </w:rPr>
        <w:t>（林后 1:14</w:t>
      </w:r>
      <w:r w:rsidRPr="004C5A56">
        <w:rPr>
          <w:lang w:val="ru-RU"/>
        </w:rPr>
        <w:t>）</w:t>
      </w:r>
      <w:r w:rsidRPr="006A21F9">
        <w:rPr>
          <w:lang w:val="ru-RU"/>
        </w:rPr>
        <w:t xml:space="preserve">； </w:t>
      </w:r>
      <w:r w:rsidRPr="004C5A56">
        <w:rPr>
          <w:lang w:val="ru-RU"/>
        </w:rPr>
        <w:t>（</w:t>
      </w:r>
      <w:r w:rsidRPr="006A21F9">
        <w:rPr>
          <w:lang w:val="ru-RU"/>
        </w:rPr>
        <w:t>林前1:8；</w:t>
      </w:r>
      <w:r w:rsidRPr="004C5A56">
        <w:rPr>
          <w:lang w:val="ru-RU"/>
        </w:rPr>
        <w:t>（</w:t>
      </w:r>
      <w:r w:rsidRPr="006A21F9">
        <w:rPr>
          <w:lang w:val="ru-RU"/>
        </w:rPr>
        <w:t>林前5:5）</w:t>
      </w:r>
      <w:r w:rsidRPr="004C5A56">
        <w:rPr>
          <w:lang w:val="ru-RU"/>
        </w:rPr>
        <w:t>]</w:t>
      </w:r>
      <w:r w:rsidRPr="006A21F9">
        <w:rPr>
          <w:lang w:val="ru-RU"/>
        </w:rPr>
        <w:t>，因为那时祂将带着自己的荣耀降临地上，审判活人死人——那将因当时发生的大事而成为伟大之日[（徒2:10）；（犹6）]。</w:t>
      </w:r>
    </w:p>
    <w:p w14:paraId="4F079AF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至于这个伟大而预定的日子何时到来，主并未向我们启示，这是为了我们的属灵益处。 </w:t>
      </w:r>
      <w:r w:rsidRPr="006A21F9">
        <w:rPr>
          <w:i/>
          <w:iCs/>
          <w:lang w:val="ru-RU"/>
        </w:rPr>
        <w:t>关于那日那时，没有人知道，连天上的天使也不知道，只有我的父知道</w:t>
      </w:r>
      <w:r w:rsidRPr="006A21F9">
        <w:rPr>
          <w:lang w:val="ru-RU"/>
        </w:rPr>
        <w:t>（太24:36），基督这样对询问此事的门徒们说：</w:t>
      </w:r>
      <w:r w:rsidRPr="006A21F9">
        <w:rPr>
          <w:i/>
          <w:iCs/>
          <w:lang w:val="ru-RU"/>
        </w:rPr>
        <w:t>“父凭自己的权柄所定的时候和日期，不是你们该知道的</w:t>
      </w:r>
      <w:r w:rsidRPr="006A21F9">
        <w:rPr>
          <w:lang w:val="ru-RU"/>
        </w:rPr>
        <w:t>”（徒1:7）。 祂又补充道：</w:t>
      </w:r>
      <w:r w:rsidRPr="006A21F9">
        <w:rPr>
          <w:i/>
          <w:iCs/>
          <w:lang w:val="ru-RU"/>
        </w:rPr>
        <w:t>“所以，你们要警醒，因为你们不知道你们的主什么时候来</w:t>
      </w:r>
      <w:r w:rsidRPr="006A21F9">
        <w:rPr>
          <w:lang w:val="ru-RU"/>
        </w:rPr>
        <w:t>（马太福音24:42）。</w:t>
      </w:r>
      <w:r w:rsidRPr="006A21F9">
        <w:rPr>
          <w:i/>
          <w:iCs/>
          <w:lang w:val="ru-RU"/>
        </w:rPr>
        <w:t>要预备好，因为人子将在你们意想不到的时候降临</w:t>
      </w:r>
      <w:r w:rsidRPr="006A21F9">
        <w:rPr>
          <w:lang w:val="ru-RU"/>
        </w:rPr>
        <w:t xml:space="preserve">（马太福音24:44）。 </w:t>
      </w:r>
      <w:r w:rsidRPr="006A21F9">
        <w:rPr>
          <w:i/>
          <w:iCs/>
          <w:lang w:val="ru-RU"/>
        </w:rPr>
        <w:t>你们要警醒、祷告，因为你们不知道那时刻何时会来临</w:t>
      </w:r>
      <w:r w:rsidRPr="006A21F9">
        <w:rPr>
          <w:lang w:val="ru-RU"/>
        </w:rPr>
        <w:t>（马可福音 13:33）；</w:t>
      </w:r>
      <w:r w:rsidRPr="006A21F9">
        <w:rPr>
          <w:i/>
          <w:iCs/>
          <w:lang w:val="ru-RU"/>
        </w:rPr>
        <w:t>我对你们所说的，也是对众人说的：要警醒</w:t>
      </w:r>
      <w:r w:rsidRPr="006A21F9">
        <w:rPr>
          <w:lang w:val="ru-RU"/>
        </w:rPr>
        <w:t>（马可福音 13:37）。 不过，为了鼓励义人并劝诫罪人，那无限仁慈且至智的上帝，既亲自，也通过使徒们，恩准预先指明祂第二次降临和世代终结的一些征兆，以及大审判日临近的一些迹象。其中最重要的迹象包括：</w:t>
      </w:r>
    </w:p>
    <w:p w14:paraId="71D0FD80" w14:textId="77777777" w:rsidR="00BE1885" w:rsidRPr="006A21F9" w:rsidRDefault="00BE1885" w:rsidP="00BE1885">
      <w:pPr>
        <w:ind w:firstLine="708"/>
        <w:rPr>
          <w:lang w:val="ru-RU"/>
        </w:rPr>
      </w:pPr>
      <w:r w:rsidRPr="006A21F9">
        <w:rPr>
          <w:b/>
          <w:bCs/>
          <w:lang w:val="ru-RU"/>
        </w:rPr>
        <w:t xml:space="preserve">1) </w:t>
      </w:r>
      <w:r w:rsidRPr="006A21F9">
        <w:rPr>
          <w:lang w:val="ru-RU"/>
        </w:rPr>
        <w:t>一方面，地上善的非凡进展——基督福音在全世界的传播。救主亲自说过：</w:t>
      </w:r>
      <w:r w:rsidRPr="006A21F9">
        <w:rPr>
          <w:i/>
          <w:iCs/>
          <w:lang w:val="ru-RU"/>
        </w:rPr>
        <w:t>“这天国的福音要传遍天下，对万民作见证；然后末日才来到</w:t>
      </w:r>
      <w:r w:rsidRPr="006A21F9">
        <w:rPr>
          <w:lang w:val="ru-RU"/>
        </w:rPr>
        <w:t xml:space="preserve">”（马太福音24:14）。 至于犹太人，圣使徒保罗在写给外邦基督徒的书信中曾如此见证： </w:t>
      </w:r>
      <w:r w:rsidRPr="006A21F9">
        <w:rPr>
          <w:i/>
          <w:iCs/>
          <w:lang w:val="ru-RU"/>
        </w:rPr>
        <w:t>“弟兄们，我不愿意你们不明白这奥秘，免得你们自以为聪明：就是以色列人有部分是硬心的，直到外邦人的数目添满了；这样，以色列全家都要</w:t>
      </w:r>
      <w:r w:rsidRPr="006A21F9">
        <w:rPr>
          <w:lang w:val="ru-RU"/>
        </w:rPr>
        <w:t>得救”（罗11:25-26）。 因此，毫无疑问，在主再次降临人间审判活人死人之前，祂升天前赐给使徒及其继任者的最后诫命必将完全实现</w:t>
      </w:r>
      <w:r w:rsidRPr="006A21F9">
        <w:rPr>
          <w:i/>
          <w:iCs/>
          <w:lang w:val="ru-RU"/>
        </w:rPr>
        <w:t>：“你们要去，使万民作我的门徒</w:t>
      </w:r>
      <w:r w:rsidRPr="006A21F9">
        <w:rPr>
          <w:lang w:val="ru-RU"/>
        </w:rPr>
        <w:t xml:space="preserve">”（太28:19）， </w:t>
      </w:r>
      <w:r w:rsidRPr="006A21F9">
        <w:rPr>
          <w:i/>
          <w:iCs/>
          <w:lang w:val="ru-RU"/>
        </w:rPr>
        <w:t>“你们要去，使万民作我的门徒</w:t>
      </w:r>
      <w:r w:rsidRPr="006A21F9">
        <w:rPr>
          <w:lang w:val="ru-RU"/>
        </w:rPr>
        <w:t>”（马可福音16:15）。世上将没有一个角落不被福音的宣讲所触及；将没有一个民族和部落听不到救恩的话语。</w:t>
      </w:r>
    </w:p>
    <w:p w14:paraId="799A01E5" w14:textId="77777777" w:rsidR="00BE1885" w:rsidRPr="006A21F9" w:rsidRDefault="00BE1885" w:rsidP="00BE1885">
      <w:pPr>
        <w:ind w:firstLine="708"/>
        <w:rPr>
          <w:lang w:val="ru-RU"/>
        </w:rPr>
      </w:pPr>
      <w:r w:rsidRPr="006A21F9">
        <w:rPr>
          <w:b/>
          <w:bCs/>
          <w:lang w:val="ru-RU"/>
        </w:rPr>
        <w:t>2)</w:t>
      </w:r>
      <w:r w:rsidRPr="006A21F9">
        <w:rPr>
          <w:lang w:val="ru-RU"/>
        </w:rPr>
        <w:t xml:space="preserve"> 另一方面，邪恶将取得非凡的胜利，敌基督者将在地上显现</w:t>
      </w:r>
      <w:r w:rsidRPr="006A21F9">
        <w:rPr>
          <w:i/>
          <w:iCs/>
          <w:lang w:val="ru-RU"/>
        </w:rPr>
        <w:t>。</w:t>
      </w:r>
      <w:r w:rsidRPr="006A21F9">
        <w:rPr>
          <w:lang w:val="ru-RU"/>
        </w:rPr>
        <w:t>圣使徒保罗说</w:t>
      </w:r>
      <w:r w:rsidRPr="006A21F9">
        <w:rPr>
          <w:i/>
          <w:iCs/>
          <w:lang w:val="ru-RU"/>
        </w:rPr>
        <w:t>，</w:t>
      </w:r>
      <w:r w:rsidRPr="006A21F9">
        <w:rPr>
          <w:lang w:val="ru-RU"/>
        </w:rPr>
        <w:t>在末世</w:t>
      </w:r>
      <w:r w:rsidRPr="006A21F9">
        <w:rPr>
          <w:i/>
          <w:iCs/>
          <w:lang w:val="ru-RU"/>
        </w:rPr>
        <w:t>，将有艰难的日子临到。因为那时的人自私自利、贪财、骄傲、狂妄、口出恶言、不孝敬父母、忘恩负义、不虔诚、 不友善、不和睦、好诽谤、放纵情欲、残忍、不喜爱良善、背信弃义、狂妄、自高自大，贪恋享乐胜过敬虔，表面上装作虔诚，却背弃了虔诚的真义</w:t>
      </w:r>
      <w:r w:rsidRPr="006A21F9">
        <w:rPr>
          <w:lang w:val="ru-RU"/>
        </w:rPr>
        <w:t>（提摩太后书 3:1-5）。 那恶毒的灵，仿佛预感到自己最终灭亡的临近，将竭尽全力、使出各种诡计，来阻挠福音的进展，使一些信徒背离信仰，另一些则陷入不义的网罗 （提摩太前书 4:1-3），事态将发展到这种地步：</w:t>
      </w:r>
      <w:r w:rsidRPr="006A21F9">
        <w:rPr>
          <w:i/>
          <w:iCs/>
          <w:lang w:val="ru-RU"/>
        </w:rPr>
        <w:t>人子降临时，不知在地上能否找到信心</w:t>
      </w:r>
      <w:r w:rsidRPr="006A21F9">
        <w:rPr>
          <w:lang w:val="ru-RU"/>
        </w:rPr>
        <w:t>（路加福音 18:8），而且</w:t>
      </w:r>
      <w:r w:rsidRPr="006A21F9">
        <w:rPr>
          <w:i/>
          <w:iCs/>
          <w:lang w:val="ru-RU"/>
        </w:rPr>
        <w:t>由于不法之事增多，许多人的爱心才渐渐冷淡了</w:t>
      </w:r>
      <w:r w:rsidRPr="006A21F9">
        <w:rPr>
          <w:lang w:val="ru-RU"/>
        </w:rPr>
        <w:t xml:space="preserve">（马太福音 24:12）。 </w:t>
      </w:r>
      <w:r w:rsidRPr="006A21F9">
        <w:rPr>
          <w:lang w:val="ru-RU"/>
        </w:rPr>
        <w:lastRenderedPageBreak/>
        <w:t>魔鬼不满足于自己惯用的手段，届时将在神的容许下（帖后2:11），</w:t>
      </w:r>
      <w:r>
        <w:rPr>
          <w:rStyle w:val="FootnoteReference"/>
        </w:rPr>
        <w:footnoteReference w:id="1938"/>
      </w:r>
      <w:r w:rsidRPr="006A21F9">
        <w:rPr>
          <w:lang w:val="ru-RU"/>
        </w:rPr>
        <w:t xml:space="preserve"> 以敌基督为自身非同寻常的武器，借此与基督的国度展开争战。</w:t>
      </w:r>
    </w:p>
    <w:p w14:paraId="2447ABB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“敌基督”一词在圣经中具有双重含义：</w:t>
      </w:r>
      <w:r w:rsidRPr="006A21F9">
        <w:rPr>
          <w:b/>
          <w:bCs/>
          <w:lang w:val="ru-RU"/>
        </w:rPr>
        <w:t>a）</w:t>
      </w:r>
      <w:r w:rsidRPr="006A21F9">
        <w:rPr>
          <w:lang w:val="ru-RU"/>
        </w:rPr>
        <w:t>一般意义上，指一切反对基督（</w:t>
      </w:r>
      <w:r w:rsidRPr="001E4083">
        <w:t>άντί</w:t>
      </w:r>
      <w:r w:rsidRPr="0097554A">
        <w:rPr>
          <w:lang w:val="ru-RU"/>
        </w:rPr>
        <w:t>-</w:t>
      </w:r>
      <w:r w:rsidRPr="001E4083">
        <w:t>χριστος</w:t>
      </w:r>
      <w:r w:rsidRPr="006A21F9">
        <w:rPr>
          <w:lang w:val="ru-RU"/>
        </w:rPr>
        <w:t>）的人，即阻碍福音传播、歪曲或否定其教义的人 [(约壹 2:22；4:3)； （约二 7）]；</w:t>
      </w:r>
      <w:r w:rsidRPr="006A21F9">
        <w:rPr>
          <w:b/>
          <w:bCs/>
          <w:lang w:val="ru-RU"/>
        </w:rPr>
        <w:t>b）</w:t>
      </w:r>
      <w:r w:rsidRPr="006A21F9">
        <w:rPr>
          <w:lang w:val="ru-RU"/>
        </w:rPr>
        <w:t>特指意义，指将在世界末日之前出现、专门对抗基督教的基督的敌人 [(帖后 2:3-12)；(约壹 2:18)]。 关于这位敌基督者的身份、其特质及其行为，上帝的话语中有直接且相当清晰的教导；此外还有一些暗示和神秘的预言，其含义对我们而言难以捉摸，而自古以来，教会教师们正是基于这些预言，形成了各种不同的见解。</w:t>
      </w:r>
    </w:p>
    <w:p w14:paraId="6C92AF17" w14:textId="77777777" w:rsidR="00BE1885" w:rsidRPr="006A21F9" w:rsidRDefault="00BE1885" w:rsidP="00BE1885">
      <w:pPr>
        <w:ind w:firstLine="708"/>
        <w:rPr>
          <w:lang w:val="ru-RU"/>
        </w:rPr>
      </w:pPr>
      <w:r w:rsidRPr="006A21F9">
        <w:rPr>
          <w:b/>
          <w:bCs/>
          <w:lang w:val="ru-RU"/>
        </w:rPr>
        <w:t xml:space="preserve">1) </w:t>
      </w:r>
      <w:r w:rsidRPr="006A21F9">
        <w:rPr>
          <w:lang w:val="ru-RU"/>
        </w:rPr>
        <w:t>从主要记载于《帖撒罗尼迦后书》（第2章）中关于敌基督的明确教导来看，可以看出他：</w:t>
      </w:r>
    </w:p>
    <w:p w14:paraId="525406FB"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将是特定的人，确切地说就是一个人，但仅是受撒但特殊作用影响的“不法之人</w:t>
      </w:r>
      <w:r w:rsidRPr="006A21F9">
        <w:rPr>
          <w:i/>
          <w:iCs/>
          <w:lang w:val="ru-RU"/>
        </w:rPr>
        <w:t>”</w:t>
      </w:r>
      <w:r w:rsidRPr="006A21F9">
        <w:rPr>
          <w:lang w:val="ru-RU"/>
        </w:rPr>
        <w:t>。圣保罗说：</w:t>
      </w:r>
      <w:r w:rsidRPr="006A21F9">
        <w:rPr>
          <w:i/>
          <w:iCs/>
          <w:lang w:val="ru-RU"/>
        </w:rPr>
        <w:t>“那不法的人，就是沉沦之子……那不法之人，他的降临是出于撒但的作为</w:t>
      </w:r>
      <w:r w:rsidRPr="006A21F9">
        <w:rPr>
          <w:lang w:val="ru-RU"/>
        </w:rPr>
        <w:t>”（《帖撒罗尼迦后书》2:3-9）。 教会圣父与教父们——爱任纽、希波吕托、特土良、优西比乌、约翰·金口、安布罗斯等人——也一致认定敌基督是特定人物，且是人。</w:t>
      </w:r>
      <w:r>
        <w:rPr>
          <w:rStyle w:val="FootnoteReference"/>
        </w:rPr>
        <w:footnoteReference w:id="1939"/>
      </w:r>
      <w:r w:rsidRPr="006A21F9">
        <w:rPr>
          <w:lang w:val="ru-RU"/>
        </w:rPr>
        <w:t xml:space="preserve"> 至于魔鬼与他的关系，有人认为，敌基督者将如同撒旦的儿子或化身；</w:t>
      </w:r>
      <w:r>
        <w:rPr>
          <w:rStyle w:val="FootnoteReference"/>
        </w:rPr>
        <w:footnoteReference w:id="1940"/>
      </w:r>
      <w:r w:rsidRPr="006A21F9">
        <w:rPr>
          <w:lang w:val="ru-RU"/>
        </w:rPr>
        <w:t xml:space="preserve"> 另一些人则认为，撒旦将仿佛寄居在他体内，并利用他作为工具，亲自在他里面行事；</w:t>
      </w:r>
      <w:r>
        <w:rPr>
          <w:rStyle w:val="FootnoteReference"/>
        </w:rPr>
        <w:footnoteReference w:id="1941"/>
      </w:r>
      <w:r w:rsidRPr="006A21F9">
        <w:rPr>
          <w:lang w:val="ru-RU"/>
        </w:rPr>
        <w:t xml:space="preserve"> 还有人认为，魔鬼本人将直接在敌基督者的身上化身。</w:t>
      </w:r>
      <w:r>
        <w:rPr>
          <w:rStyle w:val="FootnoteReference"/>
        </w:rPr>
        <w:footnoteReference w:id="1942"/>
      </w:r>
    </w:p>
    <w:p w14:paraId="7C9CAE4F"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其性格将以极度的骄傲为特征，并自诩为神：</w:t>
      </w:r>
      <w:r w:rsidRPr="006A21F9">
        <w:rPr>
          <w:i/>
          <w:iCs/>
          <w:lang w:val="ru-RU"/>
        </w:rPr>
        <w:t>他是那敌挡并高抬自己，超过一切称为神或受尊崇之物的，以致他将在神的殿中坐下，如同神一般，自诩为神</w:t>
      </w:r>
      <w:r w:rsidRPr="006A21F9">
        <w:rPr>
          <w:lang w:val="ru-RU"/>
        </w:rPr>
        <w:t>（帖后 2:4）。</w:t>
      </w:r>
    </w:p>
    <w:p w14:paraId="21D818D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为达到目的，他将宣扬与基督救赎之信相悖的虚假教义——一种迷惑人的教义，借此引诱许多软弱且不配的人：他的降临</w:t>
      </w:r>
      <w:r w:rsidRPr="006A21F9">
        <w:rPr>
          <w:i/>
          <w:iCs/>
          <w:lang w:val="ru-RU"/>
        </w:rPr>
        <w:t>……伴随着各种不义的迷惑，那些灭亡的人正是因为没有接受真理之爱以致得救</w:t>
      </w:r>
      <w:r w:rsidRPr="006A21F9">
        <w:rPr>
          <w:lang w:val="ru-RU"/>
        </w:rPr>
        <w:t xml:space="preserve">。 </w:t>
      </w:r>
      <w:r w:rsidRPr="006A21F9">
        <w:rPr>
          <w:i/>
          <w:iCs/>
          <w:lang w:val="ru-RU"/>
        </w:rPr>
        <w:lastRenderedPageBreak/>
        <w:t>因此，神就给他们一个迷妄的心，叫他们信从虚谎，使一切不信真理、倒喜爱不义的人都被定罪</w:t>
      </w:r>
      <w:r w:rsidRPr="006A21F9">
        <w:rPr>
          <w:lang w:val="ru-RU"/>
        </w:rPr>
        <w:t>（帖后2:10-12）。</w:t>
      </w:r>
    </w:p>
    <w:p w14:paraId="7A3CD72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为证实其教义并进一步迷惑世人，他将施行虚假的神迹奇事：他</w:t>
      </w:r>
      <w:r w:rsidRPr="006A21F9">
        <w:rPr>
          <w:i/>
          <w:iCs/>
          <w:lang w:val="ru-RU"/>
        </w:rPr>
        <w:t>那受撒但驱使的</w:t>
      </w:r>
      <w:r w:rsidRPr="006A21F9">
        <w:rPr>
          <w:lang w:val="ru-RU"/>
        </w:rPr>
        <w:t>降临</w:t>
      </w:r>
      <w:r w:rsidRPr="006A21F9">
        <w:rPr>
          <w:i/>
          <w:iCs/>
          <w:lang w:val="ru-RU"/>
        </w:rPr>
        <w:t>，将伴随着各种能力、神迹和虚假的奇事</w:t>
      </w:r>
      <w:r w:rsidRPr="006A21F9">
        <w:rPr>
          <w:lang w:val="ru-RU"/>
        </w:rPr>
        <w:t>（帖后 2:9）。</w:t>
      </w:r>
      <w:r>
        <w:rPr>
          <w:rStyle w:val="FootnoteReference"/>
        </w:rPr>
        <w:footnoteReference w:id="1943"/>
      </w:r>
    </w:p>
    <w:p w14:paraId="0B17BD9B" w14:textId="77777777" w:rsidR="00BE1885" w:rsidRPr="006A21F9" w:rsidRDefault="00BE1885" w:rsidP="00BE1885">
      <w:pPr>
        <w:rPr>
          <w:lang w:val="ru-RU"/>
        </w:rPr>
      </w:pPr>
      <w:r w:rsidRPr="006A21F9">
        <w:rPr>
          <w:lang w:val="ru-RU"/>
        </w:rPr>
        <w:tab/>
      </w:r>
      <w:r w:rsidRPr="006A21F9">
        <w:rPr>
          <w:b/>
          <w:bCs/>
          <w:lang w:val="ru-RU"/>
        </w:rPr>
        <w:t>戌)</w:t>
      </w:r>
      <w:r w:rsidRPr="006A21F9">
        <w:rPr>
          <w:lang w:val="ru-RU"/>
        </w:rPr>
        <w:t xml:space="preserve"> 最后，当救主基督降临审判活人死人时，他将因基督的作为而灭亡：</w:t>
      </w:r>
      <w:r w:rsidRPr="006A21F9">
        <w:rPr>
          <w:i/>
          <w:iCs/>
          <w:lang w:val="ru-RU"/>
        </w:rPr>
        <w:t>那不法者必显露出来，主耶稣要用口中的气灭绝他，用降临的荣光废掉他</w:t>
      </w:r>
      <w:r w:rsidRPr="006A21F9">
        <w:rPr>
          <w:lang w:val="ru-RU"/>
        </w:rPr>
        <w:t>（帖后2:8）。</w:t>
      </w:r>
    </w:p>
    <w:p w14:paraId="28D19849" w14:textId="77777777" w:rsidR="00BE1885" w:rsidRPr="006A21F9" w:rsidRDefault="00BE1885" w:rsidP="00BE1885">
      <w:pPr>
        <w:ind w:firstLine="708"/>
        <w:rPr>
          <w:lang w:val="ru-RU"/>
        </w:rPr>
      </w:pPr>
      <w:r w:rsidRPr="006A21F9">
        <w:rPr>
          <w:b/>
          <w:bCs/>
          <w:lang w:val="ru-RU"/>
        </w:rPr>
        <w:t>2)</w:t>
      </w:r>
      <w:r w:rsidRPr="006A21F9">
        <w:rPr>
          <w:lang w:val="ru-RU"/>
        </w:rPr>
        <w:t xml:space="preserve"> 基于上帝话语中的一些暗示以及关于敌基督者的隐秘预言，自古以来就存在以下关于他的观点：</w:t>
      </w:r>
    </w:p>
    <w:p w14:paraId="0BCBEC1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他将出自但支派。这一观点源于族长雅各的话：</w:t>
      </w:r>
      <w:r w:rsidRPr="006A21F9">
        <w:rPr>
          <w:i/>
          <w:iCs/>
          <w:lang w:val="ru-RU"/>
        </w:rPr>
        <w:t>“但必作路上的蛇，道上的蝮蛇”</w:t>
      </w:r>
      <w:r w:rsidRPr="006A21F9">
        <w:rPr>
          <w:lang w:val="ru-RU"/>
        </w:rPr>
        <w:t xml:space="preserve">（创世记 49:17）；以及耶利米的话： </w:t>
      </w:r>
      <w:r w:rsidRPr="006A21F9">
        <w:rPr>
          <w:i/>
          <w:iCs/>
          <w:lang w:val="ru-RU"/>
        </w:rPr>
        <w:t>“从但那里传来了他马匹的嘶鸣声</w:t>
      </w:r>
      <w:r w:rsidRPr="006A21F9">
        <w:rPr>
          <w:lang w:val="ru-RU"/>
        </w:rPr>
        <w:t>”（耶8:16），尤其是《启示录》（第7章）在列举以色列所有支派时——其中 每个支派都有十二万神的仆人被天使盖上印记——唯独没有提到但支派。</w:t>
      </w:r>
      <w:r>
        <w:rPr>
          <w:rStyle w:val="FootnoteReference"/>
        </w:rPr>
        <w:footnoteReference w:id="1944"/>
      </w:r>
    </w:p>
    <w:p w14:paraId="292D9B81"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将有一位强大的统治者，他将以暴力夺取权力，并将自己的影响力扩展到所有民族。因为先知但以理曾说：</w:t>
      </w:r>
      <w:r w:rsidRPr="006A21F9">
        <w:rPr>
          <w:i/>
          <w:iCs/>
          <w:lang w:val="ru-RU"/>
        </w:rPr>
        <w:t>“那王必随己意行事，自高自大，超过一切神明</w:t>
      </w:r>
      <w:r w:rsidRPr="0083434D">
        <w:rPr>
          <w:lang w:val="ru-RU"/>
        </w:rPr>
        <w:t>”[</w:t>
      </w:r>
      <w:r w:rsidRPr="006A21F9">
        <w:rPr>
          <w:lang w:val="ru-RU"/>
        </w:rPr>
        <w:t>（但11:36</w:t>
      </w:r>
      <w:r w:rsidRPr="0083434D">
        <w:rPr>
          <w:lang w:val="ru-RU"/>
        </w:rPr>
        <w:t>）</w:t>
      </w:r>
      <w:r w:rsidRPr="006A21F9">
        <w:rPr>
          <w:lang w:val="ru-RU"/>
        </w:rPr>
        <w:t>； （但7:24）</w:t>
      </w:r>
      <w:r w:rsidRPr="0083434D">
        <w:rPr>
          <w:lang w:val="ru-RU"/>
        </w:rPr>
        <w:t>]</w:t>
      </w:r>
      <w:r w:rsidRPr="006A21F9">
        <w:rPr>
          <w:lang w:val="ru-RU"/>
        </w:rPr>
        <w:t>；《启示录》</w:t>
      </w:r>
      <w:r w:rsidRPr="006A21F9">
        <w:rPr>
          <w:i/>
          <w:iCs/>
          <w:lang w:val="ru-RU"/>
        </w:rPr>
        <w:t>中也记载</w:t>
      </w:r>
      <w:r w:rsidRPr="006A21F9">
        <w:rPr>
          <w:lang w:val="ru-RU"/>
        </w:rPr>
        <w:t>：</w:t>
      </w:r>
      <w:r w:rsidRPr="006A21F9">
        <w:rPr>
          <w:i/>
          <w:iCs/>
          <w:lang w:val="ru-RU"/>
        </w:rPr>
        <w:t>“那龙就把自己的能力、宝座和大权柄都给了他</w:t>
      </w:r>
      <w:r w:rsidRPr="006A21F9">
        <w:rPr>
          <w:lang w:val="ru-RU"/>
        </w:rPr>
        <w:t>”（启13:2）</w:t>
      </w:r>
      <w:r w:rsidRPr="006A21F9">
        <w:rPr>
          <w:i/>
          <w:iCs/>
          <w:lang w:val="ru-RU"/>
        </w:rPr>
        <w:t>，“又赐给他权柄，可以管辖各族、各民、各方、各邦</w:t>
      </w:r>
      <w:r w:rsidRPr="006A21F9">
        <w:rPr>
          <w:lang w:val="ru-RU"/>
        </w:rPr>
        <w:t>”（启13:7）。</w:t>
      </w:r>
      <w:r>
        <w:rPr>
          <w:rStyle w:val="FootnoteReference"/>
        </w:rPr>
        <w:footnoteReference w:id="1945"/>
      </w:r>
    </w:p>
    <w:p w14:paraId="55B3799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他将对基督徒发动猛烈的迫害，要求所有人向他献上神般的敬拜，将许多人引诱，而那些不跟随他的人，他将处以死刑</w:t>
      </w:r>
      <w:r w:rsidRPr="006A21F9">
        <w:rPr>
          <w:i/>
          <w:iCs/>
          <w:lang w:val="ru-RU"/>
        </w:rPr>
        <w:t xml:space="preserve">。又赐给他权柄与圣徒争战并战胜他们 </w:t>
      </w:r>
      <w:r w:rsidRPr="006A21F9">
        <w:rPr>
          <w:lang w:val="ru-RU"/>
        </w:rPr>
        <w:t>[(启 13:7)； （但以理书 7:21）]。</w:t>
      </w:r>
      <w:r w:rsidRPr="006A21F9">
        <w:rPr>
          <w:i/>
          <w:iCs/>
          <w:lang w:val="ru-RU"/>
        </w:rPr>
        <w:t>凡在地上活着、名字没有记在羔羊生命册上的人——那羔羊是自创世以来就被杀的——都要敬拜他</w:t>
      </w:r>
      <w:r w:rsidRPr="006A21F9">
        <w:rPr>
          <w:lang w:val="ru-RU"/>
        </w:rPr>
        <w:t xml:space="preserve">（启示录 13:8）。 </w:t>
      </w:r>
      <w:r w:rsidRPr="006A21F9">
        <w:rPr>
          <w:i/>
          <w:iCs/>
          <w:lang w:val="ru-RU"/>
        </w:rPr>
        <w:t>又赐给他权柄，将生命气息赐给那兽像，使兽像能说话、行事，甚至凡不敬拜兽像的人都要被杀</w:t>
      </w:r>
      <w:r w:rsidRPr="006A21F9">
        <w:rPr>
          <w:lang w:val="ru-RU"/>
        </w:rPr>
        <w:t>（启示录 13:15）。</w:t>
      </w:r>
      <w:r>
        <w:rPr>
          <w:rStyle w:val="FootnoteReference"/>
        </w:rPr>
        <w:footnoteReference w:id="1946"/>
      </w:r>
    </w:p>
    <w:p w14:paraId="614C1B2C"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为了对抗敌基督，上帝将从天上派遣两位见证人，正如《启示录》所述，他们将宣讲真理、行神迹；当他们完成见证后，将被那条龙杀害，随后在三天半之后复活并升入天堂 （《启示录》11:3-</w:t>
      </w:r>
      <w:r w:rsidRPr="006A21F9">
        <w:rPr>
          <w:lang w:val="ru-RU"/>
        </w:rPr>
        <w:lastRenderedPageBreak/>
        <w:t>12）。据推测，有些人认为这两位见证人分别是以诺</w:t>
      </w:r>
      <w:r w:rsidRPr="0083434D">
        <w:rPr>
          <w:lang w:val="ru-RU"/>
        </w:rPr>
        <w:t>［</w:t>
      </w:r>
      <w:r w:rsidRPr="006A21F9">
        <w:rPr>
          <w:lang w:val="ru-RU"/>
        </w:rPr>
        <w:t>依据</w:t>
      </w:r>
      <w:r w:rsidRPr="0083434D">
        <w:rPr>
          <w:lang w:val="ru-RU"/>
        </w:rPr>
        <w:t>《</w:t>
      </w:r>
      <w:r w:rsidRPr="006A21F9">
        <w:rPr>
          <w:lang w:val="ru-RU"/>
        </w:rPr>
        <w:t>便西拉智训</w:t>
      </w:r>
      <w:r w:rsidRPr="0083434D">
        <w:rPr>
          <w:lang w:val="ru-RU"/>
        </w:rPr>
        <w:t>》</w:t>
      </w:r>
      <w:r w:rsidRPr="006A21F9">
        <w:rPr>
          <w:lang w:val="ru-RU"/>
        </w:rPr>
        <w:t>44:</w:t>
      </w:r>
      <w:r w:rsidRPr="0083434D">
        <w:rPr>
          <w:lang w:val="ru-RU"/>
        </w:rPr>
        <w:t>15］</w:t>
      </w:r>
      <w:r w:rsidRPr="006A21F9">
        <w:rPr>
          <w:lang w:val="ru-RU"/>
        </w:rPr>
        <w:t>和提斯比的以利亚［依据《玛拉基书》4:6；《便西拉智训》48:9-10］。</w:t>
      </w:r>
      <w:r>
        <w:rPr>
          <w:rStyle w:val="FootnoteReference"/>
        </w:rPr>
        <w:footnoteReference w:id="1947"/>
      </w:r>
    </w:p>
    <w:p w14:paraId="3FBB6337"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敌基督的统治将仅持续三年半。因为先知但以理的书上说：</w:t>
      </w:r>
      <w:r w:rsidRPr="006A21F9">
        <w:rPr>
          <w:i/>
          <w:iCs/>
          <w:lang w:val="ru-RU"/>
        </w:rPr>
        <w:t xml:space="preserve">他们将被交在他手中，直到一时期、两时期和半时期结束 </w:t>
      </w:r>
      <w:r w:rsidRPr="0083434D">
        <w:rPr>
          <w:lang w:val="ru-RU"/>
        </w:rPr>
        <w:t>[</w:t>
      </w:r>
      <w:r w:rsidRPr="006A21F9">
        <w:rPr>
          <w:lang w:val="ru-RU"/>
        </w:rPr>
        <w:t>(但以理书 7:25</w:t>
      </w:r>
      <w:r w:rsidRPr="0083434D">
        <w:rPr>
          <w:lang w:val="ru-RU"/>
        </w:rPr>
        <w:t>)</w:t>
      </w:r>
      <w:r w:rsidRPr="006A21F9">
        <w:rPr>
          <w:lang w:val="ru-RU"/>
        </w:rPr>
        <w:t>； （但以理书 12:7）</w:t>
      </w:r>
      <w:r w:rsidRPr="0083434D">
        <w:rPr>
          <w:lang w:val="ru-RU"/>
        </w:rPr>
        <w:t>]</w:t>
      </w:r>
      <w:r w:rsidRPr="006A21F9">
        <w:rPr>
          <w:lang w:val="ru-RU"/>
        </w:rPr>
        <w:t>，</w:t>
      </w:r>
      <w:r>
        <w:rPr>
          <w:rStyle w:val="FootnoteReference"/>
        </w:rPr>
        <w:footnoteReference w:id="1948"/>
      </w:r>
      <w:r w:rsidRPr="006A21F9">
        <w:rPr>
          <w:lang w:val="ru-RU"/>
        </w:rPr>
        <w:t xml:space="preserve"> ；《启示录》中也记载</w:t>
      </w:r>
      <w:r w:rsidRPr="006A21F9">
        <w:rPr>
          <w:i/>
          <w:iCs/>
          <w:lang w:val="ru-RU"/>
        </w:rPr>
        <w:t>：“又赐给他权柄</w:t>
      </w:r>
      <w:r w:rsidRPr="006A21F9">
        <w:rPr>
          <w:lang w:val="ru-RU"/>
        </w:rPr>
        <w:t>，</w:t>
      </w:r>
      <w:r w:rsidRPr="006A21F9">
        <w:rPr>
          <w:i/>
          <w:iCs/>
          <w:lang w:val="ru-RU"/>
        </w:rPr>
        <w:t>可以行事四十二个月</w:t>
      </w:r>
      <w:r w:rsidRPr="006A21F9">
        <w:rPr>
          <w:lang w:val="ru-RU"/>
        </w:rPr>
        <w:t>”（启示录 13:5）</w:t>
      </w:r>
      <w:r w:rsidRPr="006A21F9">
        <w:rPr>
          <w:i/>
          <w:iCs/>
          <w:lang w:val="ru-RU"/>
        </w:rPr>
        <w:t>——他们将践踏圣城四十二个月</w:t>
      </w:r>
      <w:r w:rsidRPr="006A21F9">
        <w:rPr>
          <w:lang w:val="ru-RU"/>
        </w:rPr>
        <w:t>（启示录 11:2）。 同书还提到，上帝将差遣两位见证人来对抗敌基督，指出他们</w:t>
      </w:r>
      <w:r w:rsidRPr="006A21F9">
        <w:rPr>
          <w:i/>
          <w:iCs/>
          <w:lang w:val="ru-RU"/>
        </w:rPr>
        <w:t>将预言一千二百六十天</w:t>
      </w:r>
      <w:r w:rsidRPr="006A21F9">
        <w:rPr>
          <w:lang w:val="ru-RU"/>
        </w:rPr>
        <w:t>（启11:3）；关于那位身披太阳的妇人（即教会）， 则</w:t>
      </w:r>
      <w:r w:rsidRPr="006A21F9">
        <w:rPr>
          <w:i/>
          <w:iCs/>
          <w:lang w:val="ru-RU"/>
        </w:rPr>
        <w:t>记载她逃往旷野，那里有神为她预备的地方，使她在那里被养活一千二百六十天</w:t>
      </w:r>
      <w:r w:rsidRPr="006A21F9">
        <w:rPr>
          <w:lang w:val="ru-RU"/>
        </w:rPr>
        <w:t>（启示录12:6）；</w:t>
      </w:r>
      <w:r w:rsidRPr="006A21F9">
        <w:rPr>
          <w:i/>
          <w:iCs/>
          <w:lang w:val="ru-RU"/>
        </w:rPr>
        <w:t>她</w:t>
      </w:r>
      <w:r w:rsidRPr="006A21F9">
        <w:rPr>
          <w:lang w:val="ru-RU"/>
        </w:rPr>
        <w:t>确实</w:t>
      </w:r>
      <w:r w:rsidRPr="006A21F9">
        <w:rPr>
          <w:i/>
          <w:iCs/>
          <w:lang w:val="ru-RU"/>
        </w:rPr>
        <w:t>飞往旷野，躲避那条蛇，并在那里被养活了一时、二时、半时</w:t>
      </w:r>
      <w:r w:rsidRPr="006A21F9">
        <w:rPr>
          <w:lang w:val="ru-RU"/>
        </w:rPr>
        <w:t>（启示录12:14）。</w:t>
      </w:r>
      <w:r>
        <w:rPr>
          <w:rStyle w:val="FootnoteReference"/>
        </w:rPr>
        <w:footnoteReference w:id="1949"/>
      </w:r>
    </w:p>
    <w:p w14:paraId="12DA14F7" w14:textId="77777777" w:rsidR="00BE1885" w:rsidRPr="006A21F9" w:rsidRDefault="00BE1885" w:rsidP="00BE1885">
      <w:pPr>
        <w:rPr>
          <w:lang w:val="ru-RU"/>
        </w:rPr>
      </w:pPr>
      <w:r w:rsidRPr="006A21F9">
        <w:rPr>
          <w:lang w:val="ru-RU"/>
        </w:rPr>
        <w:tab/>
        <w:t>值得指出的是，关于敌基督的预言早已多次被套用在不同人物身上。据圣奥古斯丁的见证，有人将敌基督视为尼禄；</w:t>
      </w:r>
      <w:r>
        <w:rPr>
          <w:rStyle w:val="FootnoteReference"/>
        </w:rPr>
        <w:footnoteReference w:id="1950"/>
      </w:r>
      <w:r w:rsidRPr="006A21F9">
        <w:rPr>
          <w:lang w:val="ru-RU"/>
        </w:rPr>
        <w:t xml:space="preserve"> 另一些人则认为是在诺斯替派中；</w:t>
      </w:r>
      <w:r>
        <w:rPr>
          <w:rStyle w:val="FootnoteReference"/>
        </w:rPr>
        <w:footnoteReference w:id="1951"/>
      </w:r>
      <w:r w:rsidRPr="006A21F9">
        <w:rPr>
          <w:lang w:val="ru-RU"/>
        </w:rPr>
        <w:t xml:space="preserve"> 还有人则将其视为罗马大祭司，甚至直接视为教皇制本身：——这一观点在中世纪西方的许多教派中曾出现并相当普遍，</w:t>
      </w:r>
      <w:r>
        <w:rPr>
          <w:rStyle w:val="FootnoteReference"/>
        </w:rPr>
        <w:footnoteReference w:id="1952"/>
      </w:r>
      <w:r w:rsidRPr="006A21F9">
        <w:rPr>
          <w:lang w:val="ru-RU"/>
        </w:rPr>
        <w:t xml:space="preserve"> 但尤其 随着新教团体的出现而愈发盛行，</w:t>
      </w:r>
      <w:r>
        <w:rPr>
          <w:rStyle w:val="FootnoteReference"/>
        </w:rPr>
        <w:footnoteReference w:id="1953"/>
      </w:r>
      <w:r w:rsidRPr="006A21F9">
        <w:rPr>
          <w:lang w:val="ru-RU"/>
        </w:rPr>
        <w:t xml:space="preserve"> 渗透到他们的神学体系中，并在专门著作中多次被阐述，</w:t>
      </w:r>
      <w:r>
        <w:rPr>
          <w:rStyle w:val="FootnoteReference"/>
        </w:rPr>
        <w:footnoteReference w:id="1954"/>
      </w:r>
      <w:r w:rsidRPr="006A21F9">
        <w:rPr>
          <w:lang w:val="ru-RU"/>
        </w:rPr>
        <w:t xml:space="preserve"> ——等等。</w:t>
      </w:r>
    </w:p>
    <w:p w14:paraId="5363155B" w14:textId="77777777" w:rsidR="00BE1885" w:rsidRPr="006A21F9" w:rsidRDefault="00BE1885" w:rsidP="00BE1885">
      <w:pPr>
        <w:rPr>
          <w:lang w:val="ru-RU"/>
        </w:rPr>
      </w:pPr>
      <w:r w:rsidRPr="006A21F9">
        <w:rPr>
          <w:lang w:val="ru-RU"/>
        </w:rPr>
        <w:tab/>
      </w:r>
    </w:p>
    <w:p w14:paraId="1B3724CB" w14:textId="77777777" w:rsidR="00BE1885" w:rsidRPr="006A21F9" w:rsidRDefault="00BE1885" w:rsidP="00BE1885">
      <w:pPr>
        <w:pStyle w:val="Heading5"/>
        <w:rPr>
          <w:lang w:val="ru-RU"/>
        </w:rPr>
      </w:pPr>
      <w:bookmarkStart w:id="1190" w:name="_Toc133143041"/>
      <w:bookmarkStart w:id="1191" w:name="_Toc133166398"/>
      <w:bookmarkStart w:id="1192" w:name="_Toc182221608"/>
      <w:bookmarkStart w:id="1193" w:name="_Toc238453175"/>
      <w:bookmarkStart w:id="1194" w:name="_Toc238453975"/>
      <w:bookmarkStart w:id="1195" w:name="_Toc238576635"/>
      <w:r w:rsidRPr="006A21F9">
        <w:rPr>
          <w:bCs/>
          <w:lang w:val="ru-RU"/>
        </w:rPr>
        <w:t>§262.</w:t>
      </w:r>
      <w:r w:rsidRPr="006A21F9">
        <w:rPr>
          <w:lang w:val="ru-RU"/>
        </w:rPr>
        <w:t xml:space="preserve"> 末日审判之日将要发生的事件及其顺序</w:t>
      </w:r>
      <w:bookmarkEnd w:id="1190"/>
      <w:bookmarkEnd w:id="1191"/>
      <w:bookmarkEnd w:id="1192"/>
      <w:bookmarkEnd w:id="1193"/>
      <w:bookmarkEnd w:id="1194"/>
      <w:bookmarkEnd w:id="1195"/>
    </w:p>
    <w:p w14:paraId="2D8B4654" w14:textId="77777777" w:rsidR="00BE1885" w:rsidRPr="006A21F9" w:rsidRDefault="00BE1885" w:rsidP="00BE1885">
      <w:pPr>
        <w:ind w:firstLine="708"/>
        <w:rPr>
          <w:lang w:val="ru-RU"/>
        </w:rPr>
      </w:pPr>
      <w:r w:rsidRPr="006A21F9">
        <w:rPr>
          <w:b/>
          <w:bCs/>
          <w:lang w:val="ru-RU"/>
        </w:rPr>
        <w:t>1.</w:t>
      </w:r>
      <w:r w:rsidRPr="006A21F9">
        <w:rPr>
          <w:lang w:val="ru-RU"/>
        </w:rPr>
        <w:t xml:space="preserve"> 敌基督在世上的作为将持续到审判日当天。在这伟大的日子里，将发生以下重大事件：审判活人死人的主将从天而降 [(路加福音 17:24)； (林前 1:8)]，祂将借着降临的显现废除敌基督（帖后 2:8）；凭着主的命令，死人将复活接受审判 </w:t>
      </w:r>
      <w:r w:rsidRPr="0083434D">
        <w:rPr>
          <w:lang w:val="ru-RU"/>
        </w:rPr>
        <w:t>[</w:t>
      </w:r>
      <w:r w:rsidRPr="006A21F9">
        <w:rPr>
          <w:lang w:val="ru-RU"/>
        </w:rPr>
        <w:t>(约 5:25</w:t>
      </w:r>
      <w:r w:rsidRPr="0083434D">
        <w:rPr>
          <w:lang w:val="ru-RU"/>
        </w:rPr>
        <w:t>)</w:t>
      </w:r>
      <w:r w:rsidRPr="006A21F9">
        <w:rPr>
          <w:lang w:val="ru-RU"/>
        </w:rPr>
        <w:t>；</w:t>
      </w:r>
      <w:r w:rsidRPr="006A21F9">
        <w:rPr>
          <w:rFonts w:cs="Cambria Math"/>
          <w:lang w:val="ru-RU"/>
        </w:rPr>
        <w:t xml:space="preserve"> </w:t>
      </w:r>
      <w:r w:rsidRPr="006A21F9">
        <w:rPr>
          <w:lang w:val="ru-RU"/>
        </w:rPr>
        <w:t>(约6:54)</w:t>
      </w:r>
      <w:r w:rsidRPr="0083434D">
        <w:rPr>
          <w:lang w:val="ru-RU"/>
        </w:rPr>
        <w:t>]</w:t>
      </w:r>
      <w:r w:rsidRPr="006A21F9">
        <w:rPr>
          <w:lang w:val="ru-RU"/>
        </w:rPr>
        <w:t>，活人也将被改变（林前15:51-</w:t>
      </w:r>
      <w:r w:rsidRPr="006A21F9">
        <w:rPr>
          <w:lang w:val="ru-RU"/>
        </w:rPr>
        <w:lastRenderedPageBreak/>
        <w:t>52）；对这两类人乃至整个世界将进行最终的审判 [(约12:48)； （罗2:5-6）]；随后将是世界的终结（太13:39）以及基督恩典之国的终结（林前15:24）。</w:t>
      </w:r>
    </w:p>
    <w:p w14:paraId="5315E266" w14:textId="77777777" w:rsidR="00BE1885" w:rsidRPr="006A21F9" w:rsidRDefault="00BE1885" w:rsidP="00BE1885">
      <w:pPr>
        <w:ind w:firstLine="708"/>
        <w:rPr>
          <w:lang w:val="ru-RU"/>
        </w:rPr>
      </w:pPr>
      <w:r w:rsidRPr="006A21F9">
        <w:rPr>
          <w:b/>
          <w:bCs/>
          <w:lang w:val="ru-RU"/>
        </w:rPr>
        <w:t>2.</w:t>
      </w:r>
      <w:r w:rsidRPr="006A21F9">
        <w:rPr>
          <w:lang w:val="ru-RU"/>
        </w:rPr>
        <w:t xml:space="preserve"> 这些重大事件将接连迅速地发生，甚至几乎同时发生，以至于几乎不可能将它们彼此区分开来，并严格展示它们的先后顺序。不过，为了更方便地考察其中的每一项，根据我们关于“普世审判”这一核心思想，将它们按以下顺序排列是合理的： </w:t>
      </w:r>
      <w:r w:rsidRPr="006A21F9">
        <w:rPr>
          <w:b/>
          <w:bCs/>
          <w:lang w:val="ru-RU"/>
        </w:rPr>
        <w:t>1）</w:t>
      </w:r>
      <w:r w:rsidRPr="006A21F9">
        <w:rPr>
          <w:lang w:val="ru-RU"/>
        </w:rPr>
        <w:t>末日审判的先决条件：</w:t>
      </w:r>
      <w:r w:rsidRPr="006A21F9">
        <w:rPr>
          <w:b/>
          <w:bCs/>
          <w:lang w:val="ru-RU"/>
        </w:rPr>
        <w:t>a）</w:t>
      </w:r>
      <w:r w:rsidRPr="006A21F9">
        <w:rPr>
          <w:lang w:val="ru-RU"/>
        </w:rPr>
        <w:t>作为活人死人审判者的主降临；</w:t>
      </w:r>
      <w:r w:rsidRPr="006A21F9">
        <w:rPr>
          <w:b/>
          <w:bCs/>
          <w:lang w:val="ru-RU"/>
        </w:rPr>
        <w:t>b）</w:t>
      </w:r>
      <w:r w:rsidRPr="006A21F9">
        <w:rPr>
          <w:lang w:val="ru-RU"/>
        </w:rPr>
        <w:t>死人因主的呼召复活受审（约翰福音 5:25），以及活人被改变；</w:t>
      </w:r>
      <w:r w:rsidRPr="006A21F9">
        <w:rPr>
          <w:b/>
          <w:bCs/>
          <w:lang w:val="ru-RU"/>
        </w:rPr>
        <w:t>2）</w:t>
      </w:r>
      <w:r w:rsidRPr="006A21F9">
        <w:rPr>
          <w:lang w:val="ru-RU"/>
        </w:rPr>
        <w:t xml:space="preserve">审判本身，包括其真实性、形式与特征； </w:t>
      </w:r>
      <w:r w:rsidRPr="006A21F9">
        <w:rPr>
          <w:b/>
          <w:bCs/>
          <w:lang w:val="ru-RU"/>
        </w:rPr>
        <w:t>3）</w:t>
      </w:r>
      <w:r w:rsidRPr="006A21F9">
        <w:rPr>
          <w:lang w:val="ru-RU"/>
        </w:rPr>
        <w:t>最后，末日审判的伴随情况：</w:t>
      </w:r>
      <w:r w:rsidRPr="006A21F9">
        <w:rPr>
          <w:b/>
          <w:bCs/>
          <w:lang w:val="ru-RU"/>
        </w:rPr>
        <w:t>a）</w:t>
      </w:r>
      <w:r w:rsidRPr="006A21F9">
        <w:rPr>
          <w:lang w:val="ru-RU"/>
        </w:rPr>
        <w:t>世界的终结及其通过火的改造（因为无法设想这会在审判之前发生，即在死人复活和活人改变之前——否则，他们本应与大地一同焚毁 （彼得后书 3:10），也无法在主降临之前（哥林多前书 15:51）继续活着，从事他们平常的事务（马太福音 24:37-41）；</w:t>
      </w:r>
      <w:r w:rsidRPr="006A21F9">
        <w:rPr>
          <w:b/>
          <w:bCs/>
          <w:lang w:val="ru-RU"/>
        </w:rPr>
        <w:t>b)</w:t>
      </w:r>
      <w:r w:rsidRPr="006A21F9">
        <w:rPr>
          <w:lang w:val="ru-RU"/>
        </w:rPr>
        <w:t xml:space="preserve"> 基督恩典之国的终结与荣耀之国的开始。</w:t>
      </w:r>
    </w:p>
    <w:p w14:paraId="099B53C0" w14:textId="77777777" w:rsidR="00BE1885" w:rsidRPr="006A21F9" w:rsidRDefault="00BE1885" w:rsidP="00BE1885">
      <w:pPr>
        <w:rPr>
          <w:lang w:val="ru-RU"/>
        </w:rPr>
      </w:pPr>
      <w:r w:rsidRPr="006A21F9">
        <w:rPr>
          <w:lang w:val="ru-RU"/>
        </w:rPr>
        <w:tab/>
      </w:r>
    </w:p>
    <w:p w14:paraId="26E8A76C" w14:textId="77777777" w:rsidR="00BE1885" w:rsidRPr="006A21F9" w:rsidRDefault="00BE1885" w:rsidP="00BE1885">
      <w:pPr>
        <w:pStyle w:val="Heading5"/>
        <w:rPr>
          <w:lang w:val="ru-RU"/>
        </w:rPr>
      </w:pPr>
      <w:bookmarkStart w:id="1196" w:name="_Toc133143042"/>
      <w:bookmarkStart w:id="1197" w:name="_Toc133166399"/>
      <w:bookmarkStart w:id="1198" w:name="_Toc182221609"/>
      <w:bookmarkStart w:id="1199" w:name="_Toc238453176"/>
      <w:bookmarkStart w:id="1200" w:name="_Toc238453976"/>
      <w:bookmarkStart w:id="1201" w:name="_Toc238576636"/>
      <w:r w:rsidRPr="006A21F9">
        <w:rPr>
          <w:bCs/>
          <w:lang w:val="ru-RU"/>
        </w:rPr>
        <w:t>§263.</w:t>
      </w:r>
      <w:r w:rsidRPr="006A21F9">
        <w:rPr>
          <w:lang w:val="ru-RU"/>
        </w:rPr>
        <w:t xml:space="preserve"> 末日审判的先决条件：</w:t>
      </w:r>
      <w:r w:rsidRPr="006A21F9">
        <w:rPr>
          <w:bCs/>
          <w:lang w:val="ru-RU"/>
        </w:rPr>
        <w:t>a)</w:t>
      </w:r>
      <w:r w:rsidRPr="006A21F9">
        <w:rPr>
          <w:lang w:val="ru-RU"/>
        </w:rPr>
        <w:t xml:space="preserve"> 主——活人死人的审判者——的再来</w:t>
      </w:r>
      <w:bookmarkEnd w:id="1196"/>
      <w:bookmarkEnd w:id="1197"/>
      <w:bookmarkEnd w:id="1198"/>
      <w:bookmarkEnd w:id="1199"/>
      <w:bookmarkEnd w:id="1200"/>
      <w:bookmarkEnd w:id="1201"/>
    </w:p>
    <w:p w14:paraId="466B9654" w14:textId="77777777" w:rsidR="00BE1885" w:rsidRPr="006A21F9" w:rsidRDefault="00BE1885" w:rsidP="00BE1885">
      <w:pPr>
        <w:ind w:firstLine="708"/>
        <w:rPr>
          <w:lang w:val="ru-RU"/>
        </w:rPr>
      </w:pPr>
      <w:r w:rsidRPr="006A21F9">
        <w:rPr>
          <w:lang w:val="ru-RU"/>
        </w:rPr>
        <w:t>主作为活人死人的审判者降临人间：这就是世界末日将要发生的首件大事！</w:t>
      </w:r>
    </w:p>
    <w:p w14:paraId="2872E1EB" w14:textId="77777777" w:rsidR="00BE1885" w:rsidRPr="006A21F9" w:rsidRDefault="00BE1885" w:rsidP="00BE1885">
      <w:pPr>
        <w:ind w:firstLine="708"/>
        <w:rPr>
          <w:lang w:val="ru-RU"/>
        </w:rPr>
      </w:pPr>
      <w:r w:rsidRPr="006A21F9">
        <w:rPr>
          <w:b/>
          <w:bCs/>
          <w:lang w:val="ru-RU"/>
        </w:rPr>
        <w:t>1)</w:t>
      </w:r>
      <w:r w:rsidRPr="006A21F9">
        <w:rPr>
          <w:lang w:val="ru-RU"/>
        </w:rPr>
        <w:t xml:space="preserve"> 这一未来——即主第二次降临人间——的真实性，在圣经中得到了明确的见证。 祂亲自说过：“人子要在他父的荣耀里，同着自己的天使降临；那时，祂要照各人的行为报应各人”（太16:27），并多次阐述了祂再来时的具体细节[（太24:27-30</w:t>
      </w:r>
      <w:r w:rsidRPr="0083434D">
        <w:rPr>
          <w:lang w:val="ru-RU"/>
        </w:rPr>
        <w:t>）</w:t>
      </w:r>
      <w:r w:rsidRPr="006A21F9">
        <w:rPr>
          <w:lang w:val="ru-RU"/>
        </w:rPr>
        <w:t>；</w:t>
      </w:r>
      <w:r w:rsidRPr="006A21F9">
        <w:rPr>
          <w:rFonts w:cs="Cambria Math"/>
          <w:lang w:val="ru-RU"/>
        </w:rPr>
        <w:t xml:space="preserve"> </w:t>
      </w:r>
      <w:r w:rsidRPr="006A21F9">
        <w:rPr>
          <w:lang w:val="ru-RU"/>
        </w:rPr>
        <w:t>（太25:31-42）；（可8:38）；（路12:40</w:t>
      </w:r>
      <w:r w:rsidRPr="0083434D">
        <w:rPr>
          <w:lang w:val="ru-RU"/>
        </w:rPr>
        <w:t>）</w:t>
      </w:r>
      <w:r w:rsidRPr="006A21F9">
        <w:rPr>
          <w:lang w:val="ru-RU"/>
        </w:rPr>
        <w:t xml:space="preserve">；（路17:24）；（约14:3）]。在主升天之时向使徒们显现的天使向他们宣告： </w:t>
      </w:r>
      <w:r w:rsidRPr="006A21F9">
        <w:rPr>
          <w:i/>
          <w:iCs/>
          <w:lang w:val="ru-RU"/>
        </w:rPr>
        <w:t>“这位从你们中间升天的主耶稣，将要怎样升天，祂也必怎样再来</w:t>
      </w:r>
      <w:r w:rsidRPr="006A21F9">
        <w:rPr>
          <w:lang w:val="ru-RU"/>
        </w:rPr>
        <w:t xml:space="preserve">”（使徒行传 1:11）。使徒犹大在他的书信中还引用了亚当第七代子孙以诺的预言： </w:t>
      </w:r>
      <w:r w:rsidRPr="006A21F9">
        <w:rPr>
          <w:i/>
          <w:iCs/>
          <w:lang w:val="ru-RU"/>
        </w:rPr>
        <w:t>看哪，主带着祂众圣天使的军队降临，要审判众人，并要指证其中一切不敬虔的人，因他们不敬虔所行的一切事，以及那些不敬虔的罪人曾对祂所说的一切恶毒言语</w:t>
      </w:r>
      <w:r w:rsidRPr="006A21F9">
        <w:rPr>
          <w:lang w:val="ru-RU"/>
        </w:rPr>
        <w:t>（犹大书</w:t>
      </w:r>
      <w:r w:rsidRPr="006A21F9">
        <w:rPr>
          <w:rFonts w:cs="Cambria Math"/>
          <w:lang w:val="ru-RU"/>
        </w:rPr>
        <w:t xml:space="preserve"> 1:</w:t>
      </w:r>
      <w:r w:rsidRPr="006A21F9">
        <w:rPr>
          <w:lang w:val="ru-RU"/>
        </w:rPr>
        <w:t>14-15）。 其他使徒也常提醒基督徒关于主第二次降临的事，有时是为了坚固他们在信仰和敬虔上的根基[（约壹 2:28）； （提多书 2:12-13）]；或是为了阻止他们论断邻舍（哥林多前书 4:5）；或是为了激励信徒警醒并时刻预备（帖撒罗尼迦前书 5:2-6）；或是为了在患难中安慰他们（彼得前书 4:13）。</w:t>
      </w:r>
    </w:p>
    <w:p w14:paraId="5A51C032" w14:textId="77777777" w:rsidR="00BE1885" w:rsidRPr="006A21F9" w:rsidRDefault="00BE1885" w:rsidP="00BE1885">
      <w:pPr>
        <w:ind w:firstLine="708"/>
        <w:rPr>
          <w:lang w:val="ru-RU"/>
        </w:rPr>
      </w:pPr>
      <w:r w:rsidRPr="006A21F9">
        <w:rPr>
          <w:b/>
          <w:bCs/>
          <w:lang w:val="ru-RU"/>
        </w:rPr>
        <w:t>2)</w:t>
      </w:r>
      <w:r w:rsidRPr="006A21F9">
        <w:rPr>
          <w:lang w:val="ru-RU"/>
        </w:rPr>
        <w:t xml:space="preserve"> 主用以下特征描绘了祂第二次降临的景象：</w:t>
      </w:r>
    </w:p>
    <w:p w14:paraId="0D47377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那将是迅速而突如其来的。</w:t>
      </w:r>
      <w:r w:rsidRPr="006A21F9">
        <w:rPr>
          <w:i/>
          <w:iCs/>
          <w:lang w:val="ru-RU"/>
        </w:rPr>
        <w:t xml:space="preserve">正如闪电从东方发出，甚至在西方也能看见，人子的降临也将如此 </w:t>
      </w:r>
      <w:r w:rsidRPr="006A21F9">
        <w:rPr>
          <w:lang w:val="ru-RU"/>
        </w:rPr>
        <w:t>[(太 24:27)；参 （路加福音 17:24）]。</w:t>
      </w:r>
      <w:r w:rsidRPr="006A21F9">
        <w:rPr>
          <w:i/>
          <w:iCs/>
          <w:lang w:val="ru-RU"/>
        </w:rPr>
        <w:t>正如挪亚的日子怎样，人子降临的时候也要怎样</w:t>
      </w:r>
      <w:r w:rsidRPr="006A21F9">
        <w:rPr>
          <w:lang w:val="ru-RU"/>
        </w:rPr>
        <w:t>（马太福音 24:37）。</w:t>
      </w:r>
    </w:p>
    <w:p w14:paraId="0027F9B9"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首先，仿佛是天上审判者的先驱，祂的十字架将显现在天上：那时，人子的兆头将显现在天上；那时，地上的万族都要哀哭（太24:30）。</w:t>
      </w:r>
      <w:r>
        <w:rPr>
          <w:rStyle w:val="FootnoteReference"/>
        </w:rPr>
        <w:footnoteReference w:id="1955"/>
      </w:r>
    </w:p>
    <w:p w14:paraId="18A3DCBD" w14:textId="77777777" w:rsidR="00BE1885" w:rsidRPr="006A21F9" w:rsidRDefault="00BE1885" w:rsidP="00BE1885">
      <w:pPr>
        <w:rPr>
          <w:lang w:val="ru-RU"/>
        </w:rPr>
      </w:pPr>
      <w:r w:rsidRPr="006A21F9">
        <w:rPr>
          <w:lang w:val="ru-RU"/>
        </w:rPr>
        <w:lastRenderedPageBreak/>
        <w:tab/>
      </w:r>
      <w:r w:rsidRPr="006A21F9">
        <w:rPr>
          <w:b/>
          <w:bCs/>
          <w:lang w:val="ru-RU"/>
        </w:rPr>
        <w:t>c)</w:t>
      </w:r>
      <w:r w:rsidRPr="006A21F9">
        <w:rPr>
          <w:lang w:val="ru-RU"/>
        </w:rPr>
        <w:t xml:space="preserve"> 随后，地上的人将看见审判者本人，祂乘着天上的云彩降临，周围环绕着无数的天使：</w:t>
      </w:r>
      <w:r w:rsidRPr="006A21F9">
        <w:rPr>
          <w:i/>
          <w:iCs/>
          <w:lang w:val="ru-RU"/>
        </w:rPr>
        <w:t>他们将看见人子乘着天上的云彩，带着大能和极大的荣耀降临</w:t>
      </w:r>
      <w:r w:rsidRPr="006A21F9">
        <w:rPr>
          <w:lang w:val="ru-RU"/>
        </w:rPr>
        <w:t xml:space="preserve"> （太24:30），并有圣天使同在（可8:38）。</w:t>
      </w:r>
    </w:p>
    <w:p w14:paraId="615810C8" w14:textId="77777777" w:rsidR="00BE1885" w:rsidRPr="006A21F9" w:rsidRDefault="00BE1885" w:rsidP="00BE1885">
      <w:pPr>
        <w:ind w:firstLine="708"/>
        <w:rPr>
          <w:lang w:val="ru-RU"/>
        </w:rPr>
      </w:pPr>
      <w:r w:rsidRPr="006A21F9">
        <w:rPr>
          <w:b/>
          <w:bCs/>
          <w:lang w:val="ru-RU"/>
        </w:rPr>
        <w:t xml:space="preserve">3) </w:t>
      </w:r>
      <w:r w:rsidRPr="006A21F9">
        <w:rPr>
          <w:lang w:val="ru-RU"/>
        </w:rPr>
        <w:t>就性质和目的而言，主第二次降临人间将与第一次截然不同。那时，祂是以谦卑的姿态降临，</w:t>
      </w:r>
      <w:r w:rsidRPr="006A21F9">
        <w:rPr>
          <w:i/>
          <w:iCs/>
          <w:lang w:val="ru-RU"/>
        </w:rPr>
        <w:t>使自己卑微，甚至顺服至死，且死在十字架上</w:t>
      </w:r>
      <w:r w:rsidRPr="006A21F9">
        <w:rPr>
          <w:lang w:val="ru-RU"/>
        </w:rPr>
        <w:t>（腓立比书 2:8）； 祂曾遭受迫害，经历无数的侮辱和藐视，最终像罪犯一样被钉在十字架上。如今，祂</w:t>
      </w:r>
      <w:r w:rsidRPr="006A21F9">
        <w:rPr>
          <w:i/>
          <w:iCs/>
          <w:lang w:val="ru-RU"/>
        </w:rPr>
        <w:t>将带着祂的荣耀降临，并有众圣天使与祂同来，届时祂将坐在祂荣耀的宝座上</w:t>
      </w:r>
      <w:r w:rsidRPr="006A21F9">
        <w:rPr>
          <w:lang w:val="ru-RU"/>
        </w:rPr>
        <w:t>（太25:31）； 那时，所有地上的人都将清楚地</w:t>
      </w:r>
      <w:r w:rsidRPr="006A21F9">
        <w:rPr>
          <w:i/>
          <w:iCs/>
          <w:lang w:val="ru-RU"/>
        </w:rPr>
        <w:t>看见，神</w:t>
      </w:r>
      <w:r w:rsidRPr="006A21F9">
        <w:rPr>
          <w:lang w:val="ru-RU"/>
        </w:rPr>
        <w:t>怎样</w:t>
      </w:r>
      <w:r w:rsidRPr="006A21F9">
        <w:rPr>
          <w:i/>
          <w:iCs/>
          <w:lang w:val="ru-RU"/>
        </w:rPr>
        <w:t>高举祂，赐给祂那超乎万名之上的名，使天上、地上和地底下的万膝都要向耶稣的名屈膝，万口都要承认：主耶稣基督是神父的荣耀</w:t>
      </w:r>
      <w:r w:rsidRPr="006A21F9">
        <w:rPr>
          <w:lang w:val="ru-RU"/>
        </w:rPr>
        <w:t>（腓立比书 2:9-11）。 那时，祂的降临</w:t>
      </w:r>
      <w:r w:rsidRPr="006A21F9">
        <w:rPr>
          <w:i/>
          <w:iCs/>
          <w:lang w:val="ru-RU"/>
        </w:rPr>
        <w:t>并非为了受人侍奉，而是为了侍奉人，并舍命赎许多人的罪</w:t>
      </w:r>
      <w:r w:rsidRPr="006A21F9">
        <w:rPr>
          <w:lang w:val="ru-RU"/>
        </w:rPr>
        <w:t>（太20:28），</w:t>
      </w:r>
      <w:r w:rsidRPr="006A21F9">
        <w:rPr>
          <w:i/>
          <w:iCs/>
          <w:lang w:val="ru-RU"/>
        </w:rPr>
        <w:t>不是为了审判世界，而是为了拯救世界</w:t>
      </w:r>
      <w:r w:rsidRPr="006A21F9">
        <w:rPr>
          <w:lang w:val="ru-RU"/>
        </w:rPr>
        <w:t>（约12:47）。 如今祂将再来——以公义审判宇宙（使徒行传 17:31），并向所有地上的人追问：他们如何利用了祂的功绩，如何领受了祂用宝血所赎的救恩，并按各人的行为报应各人（马太福音 16:27）。</w:t>
      </w:r>
    </w:p>
    <w:p w14:paraId="0A88B3DD" w14:textId="77777777" w:rsidR="00BE1885" w:rsidRPr="006A21F9" w:rsidRDefault="00BE1885" w:rsidP="00BE1885">
      <w:pPr>
        <w:rPr>
          <w:lang w:val="ru-RU"/>
        </w:rPr>
      </w:pPr>
      <w:r w:rsidRPr="006A21F9">
        <w:rPr>
          <w:lang w:val="ru-RU"/>
        </w:rPr>
        <w:tab/>
        <w:t>东正教会将关于主第二次降临的教义视为其基本教义之一，始终在其信经中以如下话语宣认这一教义：“祂必再次带着荣耀降临，审判活人死人……” 东正教的导师们在向慕道者阐释信经中的这些话语时，曾说：“我们所宣讲的不仅是基督的第一次降临，还有第二次降临，那将比第一次更加荣耀。因为在第一次降临中，祂彰显了祂的忍耐；而在第二次降临中，祂将戴着上帝君王的冠冕显现…… 在第一次降临中，祂躺在马槽里，裹着襁褓；在第二次降临中，祂将以光为衣（诗篇103:2）。在第一次降临中，祂忍受了十字架的苦难，不以羞辱为耻（希伯来书12:2）；在第二次降临中，祂将伴随着天使大军，在荣耀中降临…… 救主再来，并非为了再次受审判，而是要审判那些曾审判过祂的人。那位从前受审判时保持沉默的主，将向那些在十字架前显露狂妄之态的犯罪者追问，并说：“你曾这样行，而我却保持沉默”（诗篇49:21）。 祂当时如同一位家主，以劝诫来感化世人；而如今，无论他们是否愿意，都必在必要之时屈服于祂的权柄。”</w:t>
      </w:r>
      <w:r>
        <w:rPr>
          <w:rStyle w:val="FootnoteReference"/>
        </w:rPr>
        <w:footnoteReference w:id="1956"/>
      </w:r>
    </w:p>
    <w:p w14:paraId="3968DDDB" w14:textId="77777777" w:rsidR="00BE1885" w:rsidRPr="006A21F9" w:rsidRDefault="00BE1885" w:rsidP="00BE1885">
      <w:pPr>
        <w:rPr>
          <w:lang w:val="ru-RU"/>
        </w:rPr>
      </w:pPr>
      <w:r w:rsidRPr="006A21F9">
        <w:rPr>
          <w:lang w:val="ru-RU"/>
        </w:rPr>
        <w:tab/>
      </w:r>
    </w:p>
    <w:p w14:paraId="0713F9B9" w14:textId="77777777" w:rsidR="00BE1885" w:rsidRPr="006A21F9" w:rsidRDefault="00BE1885" w:rsidP="00BE1885">
      <w:pPr>
        <w:pStyle w:val="Heading5"/>
        <w:rPr>
          <w:lang w:val="ru-RU"/>
        </w:rPr>
      </w:pPr>
      <w:bookmarkStart w:id="1202" w:name="_Toc133143043"/>
      <w:bookmarkStart w:id="1203" w:name="_Toc133166400"/>
      <w:bookmarkStart w:id="1204" w:name="_Toc182221610"/>
      <w:bookmarkStart w:id="1205" w:name="_Toc238453177"/>
      <w:bookmarkStart w:id="1206" w:name="_Toc238453977"/>
      <w:bookmarkStart w:id="1207" w:name="_Toc238576637"/>
      <w:r w:rsidRPr="006A21F9">
        <w:rPr>
          <w:bCs/>
          <w:lang w:val="ru-RU"/>
        </w:rPr>
        <w:t>§264. b)</w:t>
      </w:r>
      <w:r w:rsidRPr="006A21F9">
        <w:rPr>
          <w:lang w:val="ru-RU"/>
        </w:rPr>
        <w:t xml:space="preserve"> 死人复活与活人改变</w:t>
      </w:r>
      <w:bookmarkEnd w:id="1202"/>
      <w:bookmarkEnd w:id="1203"/>
      <w:bookmarkEnd w:id="1204"/>
      <w:bookmarkEnd w:id="1205"/>
      <w:bookmarkEnd w:id="1206"/>
      <w:bookmarkEnd w:id="1207"/>
    </w:p>
    <w:p w14:paraId="245FD58C" w14:textId="77777777" w:rsidR="00BE1885" w:rsidRPr="006A21F9" w:rsidRDefault="00BE1885" w:rsidP="00BE1885">
      <w:pPr>
        <w:ind w:firstLine="708"/>
        <w:rPr>
          <w:lang w:val="ru-RU"/>
        </w:rPr>
      </w:pPr>
      <w:r w:rsidRPr="006A21F9">
        <w:rPr>
          <w:lang w:val="ru-RU"/>
        </w:rPr>
        <w:t xml:space="preserve">就在那末日（约6:40-44），当主在众天军簇拥下从天上荣耀降临大地之时，祂将派遣祂的天使在祂前面吹响震耳欲聋的号角 （马太福音 24:31），死人将听见神儿子的声音（约翰福音 5:25）： </w:t>
      </w:r>
      <w:r w:rsidRPr="006A21F9">
        <w:rPr>
          <w:i/>
          <w:iCs/>
          <w:lang w:val="ru-RU"/>
        </w:rPr>
        <w:t>因为主自己将在宣告声中，随着大天使的声音和神的号角，从天而降；那些在基督里睡了的人必先复活；然后我们这活着存留</w:t>
      </w:r>
      <w:r w:rsidRPr="006A21F9">
        <w:rPr>
          <w:lang w:val="ru-RU"/>
        </w:rPr>
        <w:t>的人……也必改变 [(帖前 4:16-17)；(林前 15:52)]。</w:t>
      </w:r>
    </w:p>
    <w:p w14:paraId="0B901D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死人复活确将发生：</w:t>
      </w:r>
    </w:p>
    <w:p w14:paraId="32BCEFFD" w14:textId="77777777" w:rsidR="00BE1885" w:rsidRPr="006A21F9" w:rsidRDefault="00BE1885" w:rsidP="00BE1885">
      <w:pPr>
        <w:ind w:firstLine="708"/>
        <w:rPr>
          <w:lang w:val="ru-RU"/>
        </w:rPr>
      </w:pPr>
      <w:r w:rsidRPr="006A21F9">
        <w:rPr>
          <w:b/>
          <w:bCs/>
          <w:lang w:val="ru-RU"/>
        </w:rPr>
        <w:t>1)</w:t>
      </w:r>
      <w:r w:rsidRPr="006A21F9">
        <w:rPr>
          <w:lang w:val="ru-RU"/>
        </w:rPr>
        <w:t xml:space="preserve"> 这一真理在旧约时代的教会中就已经为人所知了</w:t>
      </w:r>
      <w:r w:rsidRPr="0083434D">
        <w:rPr>
          <w:lang w:val="ru-RU"/>
        </w:rPr>
        <w:t>[</w:t>
      </w:r>
      <w:r w:rsidRPr="006A21F9">
        <w:rPr>
          <w:lang w:val="ru-RU"/>
        </w:rPr>
        <w:t>(使徒行传 23:6</w:t>
      </w:r>
      <w:r w:rsidRPr="0083434D">
        <w:rPr>
          <w:lang w:val="ru-RU"/>
        </w:rPr>
        <w:t>)</w:t>
      </w:r>
      <w:r w:rsidRPr="006A21F9">
        <w:rPr>
          <w:lang w:val="ru-RU"/>
        </w:rPr>
        <w:t>；(使徒行传 24:5)</w:t>
      </w:r>
      <w:r w:rsidRPr="0083434D">
        <w:rPr>
          <w:lang w:val="ru-RU"/>
        </w:rPr>
        <w:t>]</w:t>
      </w:r>
      <w:r w:rsidRPr="006A21F9">
        <w:rPr>
          <w:lang w:val="ru-RU"/>
        </w:rPr>
        <w:t>。 在遭受巨大苦难之际，义人约伯以这样的想法安慰自己：</w:t>
      </w:r>
      <w:r w:rsidRPr="006A21F9">
        <w:rPr>
          <w:i/>
          <w:iCs/>
          <w:lang w:val="ru-RU"/>
        </w:rPr>
        <w:t>“我知道，我的救赎主活着，在末日，祂必使我这将要腐朽的躯体从尘土中复活</w:t>
      </w:r>
      <w:r w:rsidRPr="006A21F9">
        <w:rPr>
          <w:lang w:val="ru-RU"/>
        </w:rPr>
        <w:t xml:space="preserve">”（约伯记 19:25）。 </w:t>
      </w:r>
      <w:r w:rsidRPr="006A21F9">
        <w:rPr>
          <w:lang w:val="ru-RU"/>
        </w:rPr>
        <w:lastRenderedPageBreak/>
        <w:t>那些因安提阿哥而殉道的虔诚马加比兄弟们，也用以下的话语安慰并激励自己：</w:t>
      </w:r>
      <w:r w:rsidRPr="006A21F9">
        <w:rPr>
          <w:i/>
          <w:iCs/>
          <w:lang w:val="ru-RU"/>
        </w:rPr>
        <w:t>“世界之王必使我们这些为祂的律法而死的人复活，进入永生”</w:t>
      </w:r>
      <w:r w:rsidRPr="0083434D">
        <w:rPr>
          <w:lang w:val="ru-RU"/>
        </w:rPr>
        <w:t>[</w:t>
      </w:r>
      <w:r w:rsidRPr="006A21F9">
        <w:rPr>
          <w:lang w:val="ru-RU"/>
        </w:rPr>
        <w:t>(《马加比下》7:9</w:t>
      </w:r>
      <w:r w:rsidRPr="0083434D">
        <w:rPr>
          <w:lang w:val="ru-RU"/>
        </w:rPr>
        <w:t>)</w:t>
      </w:r>
      <w:r w:rsidRPr="006A21F9">
        <w:rPr>
          <w:lang w:val="ru-RU"/>
        </w:rPr>
        <w:t>；(《马加比下》11:14)</w:t>
      </w:r>
      <w:r w:rsidRPr="00430F02">
        <w:rPr>
          <w:lang w:val="ru-RU"/>
        </w:rPr>
        <w:t>]</w:t>
      </w:r>
      <w:r w:rsidRPr="006A21F9">
        <w:rPr>
          <w:lang w:val="ru-RU"/>
        </w:rPr>
        <w:t>。 犹大· ·马加比曾向耶路撒冷献上丰盛的祭物，为在战场上阵亡的同信者赎罪</w:t>
      </w:r>
      <w:r w:rsidRPr="006A21F9">
        <w:rPr>
          <w:i/>
          <w:iCs/>
          <w:lang w:val="ru-RU"/>
        </w:rPr>
        <w:t>，他怀着对复活的盼望，行事极为善美且虔诚</w:t>
      </w:r>
      <w:r w:rsidRPr="006A21F9">
        <w:rPr>
          <w:lang w:val="ru-RU"/>
        </w:rPr>
        <w:t>（《马加比下》12:43）。 拉撒路的姐姐马大，当主耶稣对她说“你兄弟必复活”时，回答说：</w:t>
      </w:r>
      <w:r w:rsidRPr="006A21F9">
        <w:rPr>
          <w:i/>
          <w:iCs/>
          <w:lang w:val="ru-RU"/>
        </w:rPr>
        <w:t>“我知道他在复活日，也就是末日，必复活</w:t>
      </w:r>
      <w:r w:rsidRPr="006A21F9">
        <w:rPr>
          <w:lang w:val="ru-RU"/>
        </w:rPr>
        <w:t>”（《约翰福音》11:23-24）。</w:t>
      </w:r>
    </w:p>
    <w:p w14:paraId="154F9B2C" w14:textId="77777777" w:rsidR="00BE1885" w:rsidRPr="006A21F9" w:rsidRDefault="00BE1885" w:rsidP="00BE1885">
      <w:pPr>
        <w:ind w:firstLine="708"/>
        <w:rPr>
          <w:lang w:val="ru-RU"/>
        </w:rPr>
      </w:pPr>
      <w:r w:rsidRPr="006A21F9">
        <w:rPr>
          <w:b/>
          <w:bCs/>
          <w:lang w:val="ru-RU"/>
        </w:rPr>
        <w:t>2)</w:t>
      </w:r>
      <w:r w:rsidRPr="006A21F9">
        <w:rPr>
          <w:lang w:val="ru-RU"/>
        </w:rPr>
        <w:t xml:space="preserve"> 救主基督亲自以极其清晰的方式见证并证实了这一真理，当祂回应马大时说：</w:t>
      </w:r>
      <w:r w:rsidRPr="006A21F9">
        <w:rPr>
          <w:i/>
          <w:iCs/>
          <w:lang w:val="ru-RU"/>
        </w:rPr>
        <w:t>“我就是复活，就是生命；信我的人，虽然死了，也必复活</w:t>
      </w:r>
      <w:r w:rsidRPr="006A21F9">
        <w:rPr>
          <w:lang w:val="ru-RU"/>
        </w:rPr>
        <w:t xml:space="preserve">”（《约翰福音》11:25），而且在此之前，祂曾在所有犹太人面前两次宣告： </w:t>
      </w:r>
      <w:r w:rsidRPr="006A21F9">
        <w:rPr>
          <w:i/>
          <w:iCs/>
          <w:lang w:val="ru-RU"/>
        </w:rPr>
        <w:t>“我实实在在地告诉你们：时候将到，现在就是了，死人要听见神儿子的声音；听见了，就要活过来</w:t>
      </w:r>
      <w:r w:rsidRPr="006A21F9">
        <w:rPr>
          <w:lang w:val="ru-RU"/>
        </w:rPr>
        <w:t>。”随后又说：</w:t>
      </w:r>
      <w:r w:rsidRPr="006A21F9">
        <w:rPr>
          <w:i/>
          <w:iCs/>
          <w:lang w:val="ru-RU"/>
        </w:rPr>
        <w:t xml:space="preserve">“时候将到，凡在坟墓里的人都要听见神儿子的声音； 行善的将复活得生命，作恶的将复活受审判 </w:t>
      </w:r>
      <w:r w:rsidRPr="006A21F9">
        <w:rPr>
          <w:lang w:val="ru-RU"/>
        </w:rPr>
        <w:t>[(约5:25</w:t>
      </w:r>
      <w:r w:rsidRPr="0083434D">
        <w:rPr>
          <w:lang w:val="ru-RU"/>
        </w:rPr>
        <w:t>)；</w:t>
      </w:r>
      <w:r w:rsidRPr="006A21F9">
        <w:rPr>
          <w:lang w:val="ru-RU"/>
        </w:rPr>
        <w:t>(约28-29)</w:t>
      </w:r>
      <w:r w:rsidRPr="0083434D">
        <w:rPr>
          <w:lang w:val="ru-RU"/>
        </w:rPr>
        <w:t>]</w:t>
      </w:r>
      <w:r w:rsidRPr="006A21F9">
        <w:rPr>
          <w:lang w:val="ru-RU"/>
        </w:rPr>
        <w:t>。</w:t>
      </w:r>
    </w:p>
    <w:p w14:paraId="2A00ADCB" w14:textId="77777777" w:rsidR="00BE1885" w:rsidRPr="006A21F9" w:rsidRDefault="00BE1885" w:rsidP="00BE1885">
      <w:pPr>
        <w:ind w:firstLine="708"/>
        <w:rPr>
          <w:lang w:val="ru-RU"/>
        </w:rPr>
      </w:pPr>
      <w:r w:rsidRPr="006A21F9">
        <w:rPr>
          <w:b/>
          <w:bCs/>
          <w:lang w:val="ru-RU"/>
        </w:rPr>
        <w:t>3)</w:t>
      </w:r>
      <w:r w:rsidRPr="006A21F9">
        <w:rPr>
          <w:lang w:val="ru-RU"/>
        </w:rPr>
        <w:t xml:space="preserve"> 圣使徒们曾宣讲过这一真理。 彼得和约翰在开始使徒传道后不久，就被犹太人关进监狱，正如圣路加所记载</w:t>
      </w:r>
      <w:r w:rsidRPr="006A21F9">
        <w:rPr>
          <w:i/>
          <w:iCs/>
          <w:lang w:val="ru-RU"/>
        </w:rPr>
        <w:t>的，是因为他们教导百姓，并传讲耶稣从死里复活的事</w:t>
      </w:r>
      <w:r w:rsidRPr="006A21F9">
        <w:rPr>
          <w:lang w:val="ru-RU"/>
        </w:rPr>
        <w:t>（使徒行传 4:2）。 使徒保罗曾为自己作见证，说他</w:t>
      </w:r>
      <w:r w:rsidRPr="006A21F9">
        <w:rPr>
          <w:i/>
          <w:iCs/>
          <w:lang w:val="ru-RU"/>
        </w:rPr>
        <w:t>寄望于上帝，相信死人——无论是义人还是不义之人——都将复活</w:t>
      </w:r>
      <w:r w:rsidRPr="0083434D">
        <w:rPr>
          <w:lang w:val="ru-RU"/>
        </w:rPr>
        <w:t>[</w:t>
      </w:r>
      <w:r w:rsidRPr="006A21F9">
        <w:rPr>
          <w:lang w:val="ru-RU"/>
        </w:rPr>
        <w:t>（使徒行传 24:15</w:t>
      </w:r>
      <w:r w:rsidRPr="0083434D">
        <w:rPr>
          <w:lang w:val="ru-RU"/>
        </w:rPr>
        <w:t>）</w:t>
      </w:r>
      <w:r w:rsidRPr="006A21F9">
        <w:rPr>
          <w:lang w:val="ru-RU"/>
        </w:rPr>
        <w:t>；（使徒行传 17:18-32</w:t>
      </w:r>
      <w:r w:rsidRPr="0083434D">
        <w:rPr>
          <w:lang w:val="ru-RU"/>
        </w:rPr>
        <w:t>）</w:t>
      </w:r>
      <w:r w:rsidRPr="006A21F9">
        <w:rPr>
          <w:lang w:val="ru-RU"/>
        </w:rPr>
        <w:t>；（使徒行传 23:6）</w:t>
      </w:r>
      <w:r w:rsidRPr="002E412E">
        <w:rPr>
          <w:lang w:val="ru-RU"/>
        </w:rPr>
        <w:t>]</w:t>
      </w:r>
      <w:r w:rsidRPr="006A21F9">
        <w:rPr>
          <w:lang w:val="ru-RU"/>
        </w:rPr>
        <w:t xml:space="preserve">。 在另一处，同一位使徒将死人复活的真理归为基督教的基本真理（希伯来书 6:2），而在第三处则表达得更为强烈，指出了它与基督复活的真理以及整个福音宣讲之间的密切联系： </w:t>
      </w:r>
      <w:r w:rsidRPr="006A21F9">
        <w:rPr>
          <w:i/>
          <w:iCs/>
          <w:lang w:val="ru-RU"/>
        </w:rPr>
        <w:t>既然传讲基督是从死里复活的，你们中间怎么有人说没有死人复活的事呢？若没有死人复活的事，基督也就没有复活；若基督没有复活，我们的传道就是徒劳的，你们的信也是徒劳的。 此外，我们也就成了关于神的假见证人，因为我们若见证神使基督复活了，而实际上祂并没有使基督复活——倘若死人确实不能复活的话；因为若死人不能复活，基督也就没有复活。 倘若基督没有复活，你们的信便是徒然的</w:t>
      </w:r>
      <w:r w:rsidRPr="006A21F9">
        <w:rPr>
          <w:lang w:val="ru-RU"/>
        </w:rPr>
        <w:t>（林前15:12-17）。</w:t>
      </w:r>
    </w:p>
    <w:p w14:paraId="7718112B" w14:textId="77777777" w:rsidR="00BE1885" w:rsidRPr="006A21F9" w:rsidRDefault="00BE1885" w:rsidP="00BE1885">
      <w:pPr>
        <w:ind w:firstLine="708"/>
        <w:rPr>
          <w:lang w:val="ru-RU"/>
        </w:rPr>
      </w:pPr>
      <w:r w:rsidRPr="006A21F9">
        <w:rPr>
          <w:b/>
          <w:bCs/>
          <w:lang w:val="ru-RU"/>
        </w:rPr>
        <w:t>4)</w:t>
      </w:r>
      <w:r w:rsidRPr="006A21F9">
        <w:rPr>
          <w:lang w:val="ru-RU"/>
        </w:rPr>
        <w:t xml:space="preserve"> 圣教会始终在其信经中将这一真理作为最重要的教义之一加以包含和传授；</w:t>
      </w:r>
      <w:r>
        <w:rPr>
          <w:rStyle w:val="FootnoteReference"/>
        </w:rPr>
        <w:footnoteReference w:id="1957"/>
      </w:r>
      <w:r w:rsidRPr="006A21F9">
        <w:rPr>
          <w:lang w:val="ru-RU"/>
        </w:rPr>
        <w:t xml:space="preserve"> 圣殉道者们在走向自愿死亡时曾如此宣认；</w:t>
      </w:r>
      <w:r>
        <w:rPr>
          <w:rStyle w:val="FootnoteReference"/>
        </w:rPr>
        <w:footnoteReference w:id="1958"/>
      </w:r>
      <w:r w:rsidRPr="006A21F9">
        <w:rPr>
          <w:lang w:val="ru-RU"/>
        </w:rPr>
        <w:t xml:space="preserve"> 基督教护教者曾以此对抗异教徒和异端分子；</w:t>
      </w:r>
      <w:r>
        <w:rPr>
          <w:rStyle w:val="FootnoteReference"/>
        </w:rPr>
        <w:footnoteReference w:id="1959"/>
      </w:r>
      <w:r w:rsidRPr="006A21F9">
        <w:rPr>
          <w:lang w:val="ru-RU"/>
        </w:rPr>
        <w:t xml:space="preserve"> 牧师和教师们曾阐明这一真理，甚至常在专门撰写的著作中，</w:t>
      </w:r>
      <w:r>
        <w:rPr>
          <w:rStyle w:val="FootnoteReference"/>
        </w:rPr>
        <w:footnoteReference w:id="1960"/>
      </w:r>
      <w:r w:rsidRPr="006A21F9">
        <w:rPr>
          <w:lang w:val="ru-RU"/>
        </w:rPr>
        <w:t xml:space="preserve"> 将其称为基督教信仰中至关重要且基础的真理。</w:t>
      </w:r>
      <w:r>
        <w:rPr>
          <w:rStyle w:val="FootnoteReference"/>
        </w:rPr>
        <w:footnoteReference w:id="1961"/>
      </w:r>
    </w:p>
    <w:p w14:paraId="7157A95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死人复活的可能性也不应受到质疑。</w:t>
      </w:r>
    </w:p>
    <w:p w14:paraId="4B07444B"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救主基督曾通过言行指明了这一可能性。 例如，当他对否认死人复活的撒都该人说：</w:t>
      </w:r>
      <w:r w:rsidRPr="006A21F9">
        <w:rPr>
          <w:i/>
          <w:iCs/>
          <w:lang w:val="ru-RU"/>
        </w:rPr>
        <w:t>“你们因不明白圣经，也不</w:t>
      </w:r>
      <w:r w:rsidRPr="006A21F9">
        <w:rPr>
          <w:lang w:val="ru-RU"/>
        </w:rPr>
        <w:t>晓得</w:t>
      </w:r>
      <w:r w:rsidRPr="006A21F9">
        <w:rPr>
          <w:i/>
          <w:iCs/>
          <w:lang w:val="ru-RU"/>
        </w:rPr>
        <w:t>神</w:t>
      </w:r>
      <w:r w:rsidRPr="006A21F9">
        <w:rPr>
          <w:lang w:val="ru-RU"/>
        </w:rPr>
        <w:t xml:space="preserve">的大能，所以错了”（马太福音22:29）；更直接的是，当他阐明圣体圣事的效果时，曾作证说： </w:t>
      </w:r>
      <w:r w:rsidRPr="006A21F9">
        <w:rPr>
          <w:i/>
          <w:iCs/>
          <w:lang w:val="ru-RU"/>
        </w:rPr>
        <w:t>“吃我肉、喝我血的人必得永生，我将在末日使他复活。因为我的肉真是可吃的，我的血真是可喝的。吃我肉、喝我血的人常在我里面，我也常在他里面。” 正如那活着的父差遣了我，我因父而活；照样，吃我的人也要因我而活</w:t>
      </w:r>
      <w:r w:rsidRPr="006A21F9">
        <w:rPr>
          <w:lang w:val="ru-RU"/>
        </w:rPr>
        <w:t>（约6:54-57）。事实上，当祂还在世上传道时，曾亲手使死人复活 [(路7:14, 8:49)； （约11:44）]，在临终之际，祂曾以无形的大能使耶路撒冷许多圣徒的身体复活（太27:52-53），最终祂自己也复活了（林前15:20等）。</w:t>
      </w:r>
    </w:p>
    <w:p w14:paraId="70D3D02D" w14:textId="77777777" w:rsidR="00BE1885" w:rsidRPr="006A21F9" w:rsidRDefault="00BE1885" w:rsidP="00BE1885">
      <w:pPr>
        <w:ind w:firstLine="708"/>
        <w:rPr>
          <w:lang w:val="ru-RU"/>
        </w:rPr>
      </w:pPr>
      <w:r w:rsidRPr="006A21F9">
        <w:rPr>
          <w:b/>
          <w:bCs/>
          <w:lang w:val="ru-RU"/>
        </w:rPr>
        <w:t>2)</w:t>
      </w:r>
      <w:r w:rsidRPr="006A21F9">
        <w:rPr>
          <w:lang w:val="ru-RU"/>
        </w:rPr>
        <w:t xml:space="preserve"> 使徒们为阐明复活死人的这一可能性，指出：</w:t>
      </w:r>
      <w:r w:rsidRPr="006A21F9">
        <w:rPr>
          <w:b/>
          <w:bCs/>
          <w:lang w:val="ru-RU"/>
        </w:rPr>
        <w:t>a)</w:t>
      </w:r>
      <w:r w:rsidRPr="006A21F9">
        <w:rPr>
          <w:lang w:val="ru-RU"/>
        </w:rPr>
        <w:t xml:space="preserve"> 父神的全能：</w:t>
      </w:r>
      <w:r w:rsidRPr="006A21F9">
        <w:rPr>
          <w:i/>
          <w:iCs/>
          <w:lang w:val="ru-RU"/>
        </w:rPr>
        <w:t>神既使主复活，也必借着祂的大能使我们复活</w:t>
      </w:r>
      <w:r w:rsidRPr="006A21F9">
        <w:rPr>
          <w:lang w:val="ru-RU"/>
        </w:rPr>
        <w:t>（林前6:14）；</w:t>
      </w:r>
    </w:p>
    <w:p w14:paraId="08E653E0"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关于神子与我们的关系：</w:t>
      </w:r>
      <w:r w:rsidRPr="006A21F9">
        <w:rPr>
          <w:i/>
          <w:iCs/>
          <w:lang w:val="ru-RU"/>
        </w:rPr>
        <w:t>基督从死里复活，是死人中的长子</w:t>
      </w:r>
      <w:r w:rsidRPr="006A21F9">
        <w:rPr>
          <w:lang w:val="ru-RU"/>
        </w:rPr>
        <w:t xml:space="preserve">…… </w:t>
      </w:r>
      <w:r w:rsidRPr="006A21F9">
        <w:rPr>
          <w:i/>
          <w:iCs/>
          <w:lang w:val="ru-RU"/>
        </w:rPr>
        <w:t>正如在亚当里众人都死了，照样在基督里众人都要复活</w:t>
      </w:r>
      <w:r w:rsidRPr="006A21F9">
        <w:rPr>
          <w:lang w:val="ru-RU"/>
        </w:rPr>
        <w:t>（林前6:20-22）</w:t>
      </w:r>
      <w:r w:rsidRPr="006A21F9">
        <w:rPr>
          <w:i/>
          <w:iCs/>
          <w:lang w:val="ru-RU"/>
        </w:rPr>
        <w:t>，祂要按着那使万有服从自己的大能，将我们这卑微的身体改变形状，使它与祂荣耀的身体相像</w:t>
      </w:r>
      <w:r w:rsidRPr="006A21F9">
        <w:rPr>
          <w:lang w:val="ru-RU"/>
        </w:rPr>
        <w:t xml:space="preserve">（腓3:21）； </w:t>
      </w:r>
      <w:r w:rsidRPr="006A21F9">
        <w:rPr>
          <w:b/>
          <w:bCs/>
          <w:lang w:val="ru-RU"/>
        </w:rPr>
        <w:t>c)</w:t>
      </w:r>
      <w:r w:rsidRPr="006A21F9">
        <w:rPr>
          <w:lang w:val="ru-RU"/>
        </w:rPr>
        <w:t xml:space="preserve"> 关于赐生命之圣灵与我们的关系：</w:t>
      </w:r>
      <w:r w:rsidRPr="006A21F9">
        <w:rPr>
          <w:i/>
          <w:iCs/>
          <w:lang w:val="ru-RU"/>
        </w:rPr>
        <w:t>如果那使耶稣从死里复活之神的灵住在你们里面，那使基督从死里复活的，也必借着住在你们里面的圣灵，使你们这必死的身体活过来</w:t>
      </w:r>
      <w:r w:rsidRPr="006A21F9">
        <w:rPr>
          <w:lang w:val="ru-RU"/>
        </w:rPr>
        <w:t xml:space="preserve">（罗8:11）； </w:t>
      </w:r>
      <w:r w:rsidRPr="006A21F9">
        <w:rPr>
          <w:b/>
          <w:bCs/>
          <w:lang w:val="ru-RU"/>
        </w:rPr>
        <w:t>d)</w:t>
      </w:r>
      <w:r w:rsidRPr="006A21F9">
        <w:rPr>
          <w:lang w:val="ru-RU"/>
        </w:rPr>
        <w:t xml:space="preserve"> 自然界中复活的象征：</w:t>
      </w:r>
      <w:r w:rsidRPr="006A21F9">
        <w:rPr>
          <w:i/>
          <w:iCs/>
          <w:lang w:val="ru-RU"/>
        </w:rPr>
        <w:t>但有人会说：“死人怎样复活呢？他们将以怎样的身体来呢？”你这无知的人啊！你所种的，若不先死，就不能复活。 “你所种的，并不是将来的身体，不过是裸露的种子，无论是小麦还是别的什么；但神随自己的意思给它一个身体，并且给每一种种子一个各样的身体</w:t>
      </w:r>
      <w:r w:rsidRPr="006A21F9">
        <w:rPr>
          <w:lang w:val="ru-RU"/>
        </w:rPr>
        <w:t>”（林前15:35-38）。</w:t>
      </w:r>
    </w:p>
    <w:p w14:paraId="072C5FDE" w14:textId="77777777" w:rsidR="00BE1885" w:rsidRPr="006A21F9" w:rsidRDefault="00BE1885" w:rsidP="00BE1885">
      <w:pPr>
        <w:ind w:firstLine="708"/>
        <w:rPr>
          <w:lang w:val="ru-RU"/>
        </w:rPr>
      </w:pPr>
      <w:r w:rsidRPr="006A21F9">
        <w:rPr>
          <w:b/>
          <w:bCs/>
          <w:lang w:val="ru-RU"/>
        </w:rPr>
        <w:t>3)</w:t>
      </w:r>
      <w:r w:rsidRPr="006A21F9">
        <w:rPr>
          <w:lang w:val="ru-RU"/>
        </w:rPr>
        <w:t xml:space="preserve"> 教会的圣父们和教师们，受异教徒和异端分子质疑的驱使，竭力以特别详尽的方式阐明死人复活的可能性。为此：</w:t>
      </w:r>
    </w:p>
    <w:p w14:paraId="4C66708F"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阐明了一个观点：世间万物绝不会被毁灭或消失， 一切都在全能者的掌权与右手之中完好无损；</w:t>
      </w:r>
      <w:r>
        <w:rPr>
          <w:rStyle w:val="FootnoteReference"/>
        </w:rPr>
        <w:footnoteReference w:id="1962"/>
      </w:r>
      <w:r w:rsidRPr="006A21F9">
        <w:rPr>
          <w:lang w:val="ru-RU"/>
        </w:rPr>
        <w:t xml:space="preserve"> 我们的身体虽因死亡而丧失存在，但这仅对我们而言，而非对上帝而言——祂完全知晓一切，甚至每位逝者身体中最微小的粒子，即使它们散落四方并与其他身体结合，祂也始终有能力将这些粒子重新组合成原有的躯体。</w:t>
      </w:r>
      <w:r>
        <w:rPr>
          <w:rStyle w:val="FootnoteReference"/>
        </w:rPr>
        <w:footnoteReference w:id="1963"/>
      </w:r>
    </w:p>
    <w:p w14:paraId="10F8FE89" w14:textId="77777777" w:rsidR="00BE1885" w:rsidRPr="006A21F9" w:rsidRDefault="00BE1885" w:rsidP="00BE1885">
      <w:pPr>
        <w:rPr>
          <w:lang w:val="ru-RU"/>
        </w:rPr>
      </w:pPr>
      <w:r w:rsidRPr="006A21F9">
        <w:rPr>
          <w:lang w:val="ru-RU"/>
        </w:rPr>
        <w:lastRenderedPageBreak/>
        <w:tab/>
      </w:r>
      <w:r w:rsidRPr="006A21F9">
        <w:rPr>
          <w:b/>
          <w:bCs/>
          <w:lang w:val="ru-RU"/>
        </w:rPr>
        <w:t>b)</w:t>
      </w:r>
      <w:r w:rsidRPr="006A21F9">
        <w:rPr>
          <w:lang w:val="ru-RU"/>
        </w:rPr>
        <w:t xml:space="preserve"> 他们回顾了《圣经》中记载的各种奇妙的治病神迹，</w:t>
      </w:r>
      <w:r>
        <w:rPr>
          <w:rStyle w:val="FootnoteReference"/>
        </w:rPr>
        <w:footnoteReference w:id="1964"/>
      </w:r>
      <w:r w:rsidRPr="006A21F9">
        <w:rPr>
          <w:lang w:val="ru-RU"/>
        </w:rPr>
        <w:t xml:space="preserve"> 以及各种使死人复活的事件，</w:t>
      </w:r>
      <w:r>
        <w:rPr>
          <w:rStyle w:val="FootnoteReference"/>
        </w:rPr>
        <w:footnoteReference w:id="1965"/>
      </w:r>
      <w:r w:rsidRPr="006A21F9">
        <w:rPr>
          <w:lang w:val="ru-RU"/>
        </w:rPr>
        <w:t xml:space="preserve"> 尤其是主耶稣本人复活的事迹。</w:t>
      </w:r>
      <w:r>
        <w:rPr>
          <w:rStyle w:val="FootnoteReference"/>
        </w:rPr>
        <w:footnoteReference w:id="1966"/>
      </w:r>
    </w:p>
    <w:p w14:paraId="3B49866A"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人们将目光投向外部自然界，并在其中寻找复活的意象与象征，例如：植物从投入土壤并腐烂的种子中萌发，</w:t>
      </w:r>
      <w:r>
        <w:rPr>
          <w:rStyle w:val="FootnoteReference"/>
        </w:rPr>
        <w:footnoteReference w:id="1967"/>
      </w:r>
      <w:r w:rsidRPr="006A21F9">
        <w:rPr>
          <w:lang w:val="ru-RU"/>
        </w:rPr>
        <w:t xml:space="preserve"> 自然界每年一次的更新，</w:t>
      </w:r>
      <w:r>
        <w:rPr>
          <w:rStyle w:val="FootnoteReference"/>
        </w:rPr>
        <w:footnoteReference w:id="1968"/>
      </w:r>
      <w:r w:rsidRPr="006A21F9">
        <w:rPr>
          <w:lang w:val="ru-RU"/>
        </w:rPr>
        <w:t xml:space="preserve"> 每一天的更新，</w:t>
      </w:r>
      <w:r>
        <w:rPr>
          <w:rStyle w:val="FootnoteReference"/>
        </w:rPr>
        <w:footnoteReference w:id="1969"/>
      </w:r>
      <w:r w:rsidRPr="006A21F9">
        <w:rPr>
          <w:lang w:val="ru-RU"/>
        </w:rPr>
        <w:t xml:space="preserve"> 从睡眠中苏醒，</w:t>
      </w:r>
      <w:r>
        <w:rPr>
          <w:rStyle w:val="FootnoteReference"/>
        </w:rPr>
        <w:footnoteReference w:id="1970"/>
      </w:r>
      <w:r w:rsidRPr="006A21F9">
        <w:rPr>
          <w:lang w:val="ru-RU"/>
        </w:rPr>
        <w:t xml:space="preserve"> 等。</w:t>
      </w:r>
    </w:p>
    <w:p w14:paraId="0EB676A3" w14:textId="77777777" w:rsidR="00BE1885" w:rsidRPr="006A21F9" w:rsidRDefault="00BE1885" w:rsidP="00BE1885">
      <w:pPr>
        <w:rPr>
          <w:lang w:val="ru-RU"/>
        </w:rPr>
      </w:pPr>
      <w:r w:rsidRPr="006A21F9">
        <w:rPr>
          <w:lang w:val="ru-RU"/>
        </w:rPr>
        <w:tab/>
      </w:r>
      <w:r w:rsidRPr="006A21F9">
        <w:rPr>
          <w:b/>
          <w:bCs/>
          <w:lang w:val="ru-RU"/>
        </w:rPr>
        <w:t>d)</w:t>
      </w:r>
      <w:r w:rsidRPr="006A21F9">
        <w:rPr>
          <w:lang w:val="ru-RU"/>
        </w:rPr>
        <w:t xml:space="preserve"> 谈论了基督教圣礼的力量与功效：洗礼，我们在其中身心全然重生，以得永生；</w:t>
      </w:r>
      <w:r>
        <w:rPr>
          <w:rStyle w:val="FootnoteReference"/>
        </w:rPr>
        <w:footnoteReference w:id="1971"/>
      </w:r>
      <w:r w:rsidRPr="006A21F9">
        <w:rPr>
          <w:lang w:val="ru-RU"/>
        </w:rPr>
        <w:t xml:space="preserve"> 坚振礼，在该礼仪中，不仅我们的灵魂，连同身体也烙上了圣灵——这位赐生命的主——那不可摧毁的印记；</w:t>
      </w:r>
      <w:r>
        <w:rPr>
          <w:rStyle w:val="FootnoteReference"/>
        </w:rPr>
        <w:footnoteReference w:id="1972"/>
      </w:r>
      <w:r w:rsidRPr="006A21F9">
        <w:rPr>
          <w:lang w:val="ru-RU"/>
        </w:rPr>
        <w:t xml:space="preserve"> 圣餐礼，在 该礼仪中，我们的灵魂与身体同样都以赐生命者自身的圣体圣血为食，并与祂真诚地结合在一起。</w:t>
      </w:r>
      <w:r>
        <w:rPr>
          <w:rStyle w:val="FootnoteReference"/>
        </w:rPr>
        <w:footnoteReference w:id="1973"/>
      </w:r>
    </w:p>
    <w:p w14:paraId="08F214CC" w14:textId="77777777" w:rsidR="00BE1885" w:rsidRPr="006A21F9" w:rsidRDefault="00BE1885" w:rsidP="00BE1885">
      <w:pPr>
        <w:rPr>
          <w:lang w:val="ru-RU"/>
        </w:rPr>
      </w:pPr>
      <w:r w:rsidRPr="006A21F9">
        <w:rPr>
          <w:lang w:val="ru-RU"/>
        </w:rPr>
        <w:lastRenderedPageBreak/>
        <w:tab/>
      </w:r>
      <w:r w:rsidRPr="006A21F9">
        <w:rPr>
          <w:b/>
          <w:bCs/>
          <w:lang w:val="ru-RU"/>
        </w:rPr>
        <w:t>d)</w:t>
      </w:r>
      <w:r w:rsidRPr="006A21F9">
        <w:rPr>
          <w:lang w:val="ru-RU"/>
        </w:rPr>
        <w:t xml:space="preserve"> 特别是，针对“死人复活对我们而言难以理解”这一异议，他们指出了其他对我们同样难以理解的事物，例如：每个人的诞生，</w:t>
      </w:r>
      <w:r>
        <w:rPr>
          <w:rStyle w:val="FootnoteReference"/>
        </w:rPr>
        <w:footnoteReference w:id="1974"/>
      </w:r>
      <w:r w:rsidRPr="006A21F9">
        <w:rPr>
          <w:lang w:val="ru-RU"/>
        </w:rPr>
        <w:t xml:space="preserve"> 人类身体最初由尘土所造，</w:t>
      </w:r>
      <w:r>
        <w:rPr>
          <w:rStyle w:val="FootnoteReference"/>
        </w:rPr>
        <w:footnoteReference w:id="1975"/>
      </w:r>
      <w:r w:rsidRPr="006A21F9">
        <w:rPr>
          <w:lang w:val="ru-RU"/>
        </w:rPr>
        <w:t xml:space="preserve"> 世界从无到有的创造</w:t>
      </w:r>
      <w:r>
        <w:rPr>
          <w:rStyle w:val="FootnoteReference"/>
        </w:rPr>
        <w:footnoteReference w:id="1976"/>
      </w:r>
      <w:r w:rsidRPr="006A21F9">
        <w:rPr>
          <w:lang w:val="ru-RU"/>
        </w:rPr>
        <w:t xml:space="preserve"> 等。</w:t>
      </w:r>
    </w:p>
    <w:p w14:paraId="4A1497D2" w14:textId="77777777" w:rsidR="00BE1885" w:rsidRPr="006A21F9" w:rsidRDefault="00BE1885" w:rsidP="00BE1885">
      <w:pPr>
        <w:rPr>
          <w:lang w:val="ru-RU"/>
        </w:rPr>
      </w:pPr>
      <w:r w:rsidRPr="006A21F9">
        <w:rPr>
          <w:lang w:val="ru-RU"/>
        </w:rPr>
        <w:tab/>
      </w:r>
      <w:r w:rsidRPr="001E4083">
        <w:rPr>
          <w:b/>
          <w:bCs/>
        </w:rPr>
        <w:t>三</w:t>
      </w:r>
      <w:r w:rsidRPr="006A21F9">
        <w:rPr>
          <w:b/>
          <w:bCs/>
          <w:lang w:val="ru-RU"/>
        </w:rPr>
        <w:t>、</w:t>
      </w:r>
      <w:r w:rsidRPr="006A21F9">
        <w:rPr>
          <w:lang w:val="ru-RU"/>
        </w:rPr>
        <w:t>基于上帝的话语，并追随教会圣父们的教导，我们可以探讨死人复活的必要性。</w:t>
      </w:r>
    </w:p>
    <w:p w14:paraId="13113898" w14:textId="77777777" w:rsidR="00BE1885" w:rsidRPr="006A21F9" w:rsidRDefault="00BE1885" w:rsidP="00BE1885">
      <w:pPr>
        <w:ind w:firstLine="708"/>
        <w:rPr>
          <w:lang w:val="ru-RU"/>
        </w:rPr>
      </w:pPr>
      <w:r w:rsidRPr="006A21F9">
        <w:rPr>
          <w:b/>
          <w:bCs/>
          <w:lang w:val="ru-RU"/>
        </w:rPr>
        <w:t>1)</w:t>
      </w:r>
      <w:r w:rsidRPr="006A21F9">
        <w:rPr>
          <w:lang w:val="ru-RU"/>
        </w:rPr>
        <w:t xml:space="preserve"> 上帝的话语教导我们，上帝的儿子降临人间，是为了拯救我们脱离罪恶及其一切后果 [(太 18:11)； （提多书 2:14）；（希伯来书 2:14-15）]，并且祂凭自己的功绩为我们赢得了比我们在亚当里所失去的还要多的恩典（罗马书 5:15-17）。 但罪最致命的后果之一就是死亡；罪的工价就是死（罗6:23）；我们在亚当里所遭受的最大损失之一，就是连肉体上的生命也失去了（创3:17）。 因此，根据基督教的本质，正如在亚当里人人都死，同样在基督里人人都必复活（林前15:22），不仅要战胜我们的第一个仇敌——魔鬼，还要废除最后一个仇敌——死亡（林前15:26）。 否则，基督降临人间的宗旨，以及整个基督教的宗旨就无法完全实现：人类不会完全得救，他的敌人也不会全部被战胜，我们在基督里所得的，将少于我们在亚当里所失去的。</w:t>
      </w:r>
    </w:p>
    <w:p w14:paraId="16B4E8E0" w14:textId="77777777" w:rsidR="00BE1885" w:rsidRPr="006A21F9" w:rsidRDefault="00BE1885" w:rsidP="00BE1885">
      <w:pPr>
        <w:ind w:firstLine="708"/>
        <w:rPr>
          <w:lang w:val="ru-RU"/>
        </w:rPr>
      </w:pPr>
      <w:r w:rsidRPr="006A21F9">
        <w:rPr>
          <w:b/>
          <w:bCs/>
          <w:lang w:val="ru-RU"/>
        </w:rPr>
        <w:t>2)</w:t>
      </w:r>
      <w:r w:rsidRPr="006A21F9">
        <w:rPr>
          <w:lang w:val="ru-RU"/>
        </w:rPr>
        <w:t xml:space="preserve"> 圣父们和教会的导师们断言，我们肉身的复活既符合上帝的公义，也符合祂的智慧。公义：因为人的肉体既参与灵魂的善行，也参与其罪行；因此，按公义，肉体也应当参与</w:t>
      </w:r>
      <w:r w:rsidRPr="001E4083">
        <w:t>灵魂的</w:t>
      </w:r>
      <w:r w:rsidRPr="006A21F9">
        <w:rPr>
          <w:lang w:val="ru-RU"/>
        </w:rPr>
        <w:t>永恒奖赏或惩罚。</w:t>
      </w:r>
      <w:r>
        <w:rPr>
          <w:rStyle w:val="FootnoteReference"/>
        </w:rPr>
        <w:footnoteReference w:id="1977"/>
      </w:r>
      <w:r w:rsidRPr="006A21F9">
        <w:rPr>
          <w:lang w:val="ru-RU"/>
        </w:rPr>
        <w:t xml:space="preserve"> </w:t>
      </w:r>
      <w:r w:rsidRPr="006A21F9">
        <w:rPr>
          <w:lang w:val="ru-RU"/>
        </w:rPr>
        <w:lastRenderedPageBreak/>
        <w:t>智慧：因为，出于智慧，上帝将人创造为由身体和灵魂两部分组成的存在，以便他以此形态实现其命运；因此，如果人的身体在与灵魂分离后，迟早不能再次与灵魂结合以构成完整的人，那么上帝的智慧就无法在作为中得到印证。</w:t>
      </w:r>
      <w:r>
        <w:rPr>
          <w:rStyle w:val="FootnoteReference"/>
        </w:rPr>
        <w:footnoteReference w:id="1978"/>
      </w:r>
    </w:p>
    <w:p w14:paraId="3556A20E" w14:textId="77777777" w:rsidR="00BE1885" w:rsidRPr="006A21F9" w:rsidRDefault="00BE1885" w:rsidP="00BE1885">
      <w:pPr>
        <w:rPr>
          <w:lang w:val="ru-RU"/>
        </w:rPr>
      </w:pPr>
      <w:r w:rsidRPr="006A21F9">
        <w:rPr>
          <w:lang w:val="ru-RU"/>
        </w:rPr>
        <w:tab/>
      </w:r>
      <w:r w:rsidRPr="001E4083">
        <w:rPr>
          <w:b/>
          <w:bCs/>
        </w:rPr>
        <w:t>IV</w:t>
      </w:r>
      <w:r w:rsidRPr="006A21F9">
        <w:rPr>
          <w:b/>
          <w:bCs/>
          <w:lang w:val="ru-RU"/>
        </w:rPr>
        <w:t>.</w:t>
      </w:r>
      <w:r w:rsidRPr="006A21F9">
        <w:rPr>
          <w:lang w:val="ru-RU"/>
        </w:rPr>
        <w:t xml:space="preserve"> 死人的复活将是普世的且同时发生的。即：</w:t>
      </w:r>
      <w:r w:rsidRPr="006A21F9">
        <w:rPr>
          <w:b/>
          <w:bCs/>
          <w:lang w:val="ru-RU"/>
        </w:rPr>
        <w:t>a)</w:t>
      </w:r>
      <w:r w:rsidRPr="006A21F9">
        <w:rPr>
          <w:lang w:val="ru-RU"/>
        </w:rPr>
        <w:t xml:space="preserve"> 所有的人都将复活：</w:t>
      </w:r>
      <w:r w:rsidRPr="006A21F9">
        <w:rPr>
          <w:i/>
          <w:iCs/>
          <w:lang w:val="ru-RU"/>
        </w:rPr>
        <w:t>正如在亚当里众人都死了，照样在基督里众人也都要复活</w:t>
      </w:r>
      <w:r w:rsidRPr="006A21F9">
        <w:rPr>
          <w:lang w:val="ru-RU"/>
        </w:rPr>
        <w:t xml:space="preserve">（林前15:22）； </w:t>
      </w:r>
      <w:r w:rsidRPr="006A21F9">
        <w:rPr>
          <w:b/>
          <w:bCs/>
          <w:lang w:val="ru-RU"/>
        </w:rPr>
        <w:t xml:space="preserve">b) </w:t>
      </w:r>
      <w:r w:rsidRPr="006A21F9">
        <w:rPr>
          <w:lang w:val="ru-RU"/>
        </w:rPr>
        <w:t>— 不仅义人，连罪人也一样：</w:t>
      </w:r>
      <w:r w:rsidRPr="006A21F9">
        <w:rPr>
          <w:i/>
          <w:iCs/>
          <w:lang w:val="ru-RU"/>
        </w:rPr>
        <w:t>死人必复活，无论是义人还是不义的人</w:t>
      </w:r>
      <w:r w:rsidRPr="006A21F9">
        <w:rPr>
          <w:lang w:val="ru-RU"/>
        </w:rPr>
        <w:t>（徒24:15）；</w:t>
      </w:r>
      <w:r w:rsidRPr="006A21F9">
        <w:rPr>
          <w:b/>
          <w:bCs/>
          <w:lang w:val="ru-RU"/>
        </w:rPr>
        <w:t>c)</w:t>
      </w:r>
      <w:r w:rsidRPr="006A21F9">
        <w:rPr>
          <w:lang w:val="ru-RU"/>
        </w:rPr>
        <w:t xml:space="preserve"> 义人和罪人将一同复活，且 ：</w:t>
      </w:r>
      <w:r w:rsidRPr="006A21F9">
        <w:rPr>
          <w:i/>
          <w:iCs/>
          <w:lang w:val="ru-RU"/>
        </w:rPr>
        <w:t>时候将到，凡在坟墓里的人都要听见神儿子的声音； 行善的将进入生命之复活，作恶的将进入定罪之复活</w:t>
      </w:r>
      <w:r w:rsidRPr="006A21F9">
        <w:rPr>
          <w:lang w:val="ru-RU"/>
        </w:rPr>
        <w:t>（约5:28-29）。这种死人复活的普遍性与同时性，得到了教会圣父和圣师们的一致认可。</w:t>
      </w:r>
      <w:r>
        <w:rPr>
          <w:rStyle w:val="FootnoteReference"/>
        </w:rPr>
        <w:footnoteReference w:id="1979"/>
      </w:r>
    </w:p>
    <w:p w14:paraId="5793D444" w14:textId="77777777" w:rsidR="00BE1885" w:rsidRPr="006A21F9" w:rsidRDefault="00BE1885" w:rsidP="00BE1885">
      <w:pPr>
        <w:rPr>
          <w:lang w:val="ru-RU"/>
        </w:rPr>
      </w:pPr>
      <w:r w:rsidRPr="006A21F9">
        <w:rPr>
          <w:lang w:val="ru-RU"/>
        </w:rPr>
        <w:tab/>
      </w:r>
      <w:r w:rsidRPr="001E4083">
        <w:rPr>
          <w:b/>
          <w:bCs/>
        </w:rPr>
        <w:t>V</w:t>
      </w:r>
      <w:r w:rsidRPr="006A21F9">
        <w:rPr>
          <w:b/>
          <w:bCs/>
          <w:lang w:val="ru-RU"/>
        </w:rPr>
        <w:t>.</w:t>
      </w:r>
      <w:r w:rsidRPr="006A21F9">
        <w:rPr>
          <w:lang w:val="ru-RU"/>
        </w:rPr>
        <w:t xml:space="preserve"> 复活之体的性质：</w:t>
      </w:r>
    </w:p>
    <w:p w14:paraId="5D432518" w14:textId="77777777" w:rsidR="00BE1885" w:rsidRPr="006A21F9" w:rsidRDefault="00BE1885" w:rsidP="00BE1885">
      <w:pPr>
        <w:ind w:firstLine="708"/>
        <w:rPr>
          <w:lang w:val="ru-RU"/>
        </w:rPr>
      </w:pPr>
      <w:r w:rsidRPr="006A21F9">
        <w:rPr>
          <w:b/>
          <w:bCs/>
          <w:lang w:val="ru-RU"/>
        </w:rPr>
        <w:t>1)</w:t>
      </w:r>
      <w:r w:rsidRPr="006A21F9">
        <w:rPr>
          <w:lang w:val="ru-RU"/>
        </w:rPr>
        <w:t xml:space="preserve"> 复活后的</w:t>
      </w:r>
      <w:r w:rsidRPr="006A21F9">
        <w:rPr>
          <w:i/>
          <w:iCs/>
          <w:lang w:val="ru-RU"/>
        </w:rPr>
        <w:t>身体在本质上</w:t>
      </w:r>
      <w:r w:rsidRPr="006A21F9">
        <w:rPr>
          <w:lang w:val="ru-RU"/>
        </w:rPr>
        <w:t>将</w:t>
      </w:r>
      <w:r w:rsidRPr="006A21F9">
        <w:rPr>
          <w:i/>
          <w:iCs/>
          <w:lang w:val="ru-RU"/>
        </w:rPr>
        <w:t>与</w:t>
      </w:r>
      <w:r w:rsidRPr="006A21F9">
        <w:rPr>
          <w:lang w:val="ru-RU"/>
        </w:rPr>
        <w:t>现世生活中与已知灵魂结合的身体</w:t>
      </w:r>
      <w:r w:rsidRPr="006A21F9">
        <w:rPr>
          <w:i/>
          <w:iCs/>
          <w:lang w:val="ru-RU"/>
        </w:rPr>
        <w:t>相同</w:t>
      </w:r>
      <w:r w:rsidRPr="006A21F9">
        <w:rPr>
          <w:lang w:val="ru-RU"/>
        </w:rPr>
        <w:t>。这一点显而易见：</w:t>
      </w:r>
    </w:p>
    <w:p w14:paraId="73F2F53D"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复活这一概念本身，它意味着对已死之物的恢复与复活，而非形成或创造任何新事物；</w:t>
      </w:r>
      <w:r>
        <w:rPr>
          <w:rStyle w:val="FootnoteReference"/>
        </w:rPr>
        <w:footnoteReference w:id="1980"/>
      </w:r>
      <w:r w:rsidRPr="006A21F9">
        <w:rPr>
          <w:lang w:val="ru-RU"/>
        </w:rPr>
        <w:t xml:space="preserve"> </w:t>
      </w:r>
      <w:r w:rsidRPr="006A21F9">
        <w:rPr>
          <w:b/>
          <w:bCs/>
          <w:lang w:val="ru-RU"/>
        </w:rPr>
        <w:t>b)</w:t>
      </w:r>
      <w:r w:rsidRPr="006A21F9">
        <w:rPr>
          <w:lang w:val="ru-RU"/>
        </w:rPr>
        <w:t xml:space="preserve"> 救主基督的榜样，祂以自己的身体从坟墓中复活（约20:25-27）； </w:t>
      </w:r>
      <w:r w:rsidRPr="006A21F9">
        <w:rPr>
          <w:b/>
          <w:bCs/>
          <w:lang w:val="ru-RU"/>
        </w:rPr>
        <w:t>c)</w:t>
      </w:r>
      <w:r w:rsidRPr="006A21F9">
        <w:rPr>
          <w:lang w:val="ru-RU"/>
        </w:rPr>
        <w:t xml:space="preserve"> 圣经中明确的经文，其中提到正是</w:t>
      </w:r>
      <w:r w:rsidRPr="006A21F9">
        <w:rPr>
          <w:i/>
          <w:iCs/>
          <w:lang w:val="ru-RU"/>
        </w:rPr>
        <w:t>那些在坟墓里的人，将听见神儿子的声音，听见之后便复活</w:t>
      </w:r>
      <w:r w:rsidRPr="006A21F9">
        <w:rPr>
          <w:lang w:val="ru-RU"/>
        </w:rPr>
        <w:t>（约5:28），</w:t>
      </w:r>
      <w:r w:rsidRPr="006A21F9">
        <w:rPr>
          <w:i/>
          <w:iCs/>
          <w:lang w:val="ru-RU"/>
        </w:rPr>
        <w:t>这必朽坏的，总要变成不朽坏的；这必死的，总要变成不死的</w:t>
      </w:r>
      <w:r w:rsidRPr="006A21F9">
        <w:rPr>
          <w:lang w:val="ru-RU"/>
        </w:rPr>
        <w:t>（林前15:53）；</w:t>
      </w:r>
      <w:r>
        <w:rPr>
          <w:rStyle w:val="FootnoteReference"/>
        </w:rPr>
        <w:footnoteReference w:id="1981"/>
      </w:r>
      <w:r w:rsidRPr="006A21F9">
        <w:rPr>
          <w:lang w:val="ru-RU"/>
        </w:rPr>
        <w:t xml:space="preserve"> </w:t>
      </w:r>
      <w:r w:rsidRPr="006A21F9">
        <w:rPr>
          <w:b/>
          <w:bCs/>
          <w:lang w:val="ru-RU"/>
        </w:rPr>
        <w:t>d)</w:t>
      </w:r>
      <w:r w:rsidRPr="006A21F9">
        <w:rPr>
          <w:lang w:val="ru-RU"/>
        </w:rPr>
        <w:t xml:space="preserve"> 根据圣教父和教会导师们一贯且一致的教导</w:t>
      </w:r>
      <w:r>
        <w:rPr>
          <w:rStyle w:val="FootnoteReference"/>
        </w:rPr>
        <w:footnoteReference w:id="1982"/>
      </w:r>
      <w:r w:rsidRPr="006A21F9">
        <w:rPr>
          <w:lang w:val="ru-RU"/>
        </w:rPr>
        <w:t xml:space="preserve"> 1982.</w:t>
      </w:r>
    </w:p>
    <w:p w14:paraId="4AB7181A" w14:textId="77777777" w:rsidR="00BE1885" w:rsidRPr="006A21F9" w:rsidRDefault="00BE1885" w:rsidP="00BE1885">
      <w:pPr>
        <w:ind w:firstLine="708"/>
        <w:rPr>
          <w:lang w:val="ru-RU"/>
        </w:rPr>
      </w:pPr>
      <w:r w:rsidRPr="006A21F9">
        <w:rPr>
          <w:b/>
          <w:bCs/>
          <w:lang w:val="ru-RU"/>
        </w:rPr>
        <w:t xml:space="preserve">2) </w:t>
      </w:r>
      <w:r w:rsidRPr="006A21F9">
        <w:rPr>
          <w:lang w:val="ru-RU"/>
        </w:rPr>
        <w:t>但另一方面，它们也将有别于现今的身体：因为它们将以改变后的形态复活，效法救主基督复活后的身体；正如使徒所言，祂</w:t>
      </w:r>
      <w:r w:rsidRPr="006A21F9">
        <w:rPr>
          <w:i/>
          <w:iCs/>
          <w:lang w:val="ru-RU"/>
        </w:rPr>
        <w:t>要将我们这卑微的身体改变，使它与祂荣耀的身体相称</w:t>
      </w:r>
      <w:r w:rsidRPr="006A21F9">
        <w:rPr>
          <w:lang w:val="ru-RU"/>
        </w:rPr>
        <w:t>（腓立比书 3:21）。 具体而言，圣保罗用以下话语描述了我们未来复活之躯与现今躯体的区别：所种的是必朽坏的，复活的是不朽坏的；所种的是不荣耀的，复活的是荣耀的；</w:t>
      </w:r>
      <w:r w:rsidRPr="006A21F9">
        <w:rPr>
          <w:i/>
          <w:iCs/>
          <w:lang w:val="ru-RU"/>
        </w:rPr>
        <w:t>所种的是必朽坏的，复活的是不朽坏的；所种的是卑微的，复活的是荣耀的； “所种的是软弱的，复活的是刚强的；所种的是属血气的身体，复活的是属灵的身体</w:t>
      </w:r>
      <w:r w:rsidRPr="006A21F9">
        <w:rPr>
          <w:lang w:val="ru-RU"/>
        </w:rPr>
        <w:t>”（林前15:42-44）。也就是说，复活后的身体将：</w:t>
      </w:r>
    </w:p>
    <w:p w14:paraId="6D24697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不朽坏且不死——正如救主所言：</w:t>
      </w:r>
      <w:r w:rsidRPr="006A21F9">
        <w:rPr>
          <w:i/>
          <w:iCs/>
          <w:lang w:val="ru-RU"/>
        </w:rPr>
        <w:t>那些有幸进入那个时代并从死里复活的人，既不娶妻，也不嫁人，也再不能死亡</w:t>
      </w:r>
      <w:r w:rsidRPr="006A21F9">
        <w:rPr>
          <w:lang w:val="ru-RU"/>
        </w:rPr>
        <w:t>（路加</w:t>
      </w:r>
      <w:r w:rsidRPr="006A21F9">
        <w:rPr>
          <w:lang w:val="ru-RU"/>
        </w:rPr>
        <w:lastRenderedPageBreak/>
        <w:t>福音 20:35-36）； 正如圣保罗本人随后所阐明的同一思想：</w:t>
      </w:r>
      <w:r w:rsidRPr="006A21F9">
        <w:rPr>
          <w:i/>
          <w:iCs/>
          <w:lang w:val="ru-RU"/>
        </w:rPr>
        <w:t>这必朽坏的，总要变成不朽坏的；这必死的，总要变成不死的</w:t>
      </w:r>
      <w:r w:rsidRPr="006A21F9">
        <w:rPr>
          <w:lang w:val="ru-RU"/>
        </w:rPr>
        <w:t>（《哥林多前书》15:53），这也是教会圣父们一致的教导。</w:t>
      </w:r>
      <w:r>
        <w:rPr>
          <w:rStyle w:val="FootnoteReference"/>
        </w:rPr>
        <w:footnoteReference w:id="1983"/>
      </w:r>
    </w:p>
    <w:p w14:paraId="28F014FD"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荣耀的或发光——如同救主基督在法沃尔山变像时的身体（腓3:21），也符合祂的神圣应许：“那时</w:t>
      </w:r>
      <w:r w:rsidRPr="006A21F9">
        <w:rPr>
          <w:i/>
          <w:iCs/>
          <w:lang w:val="ru-RU"/>
        </w:rPr>
        <w:t>，义人要在他们天父的国里发光，如同太阳</w:t>
      </w:r>
      <w:r w:rsidRPr="006A21F9">
        <w:rPr>
          <w:lang w:val="ru-RU"/>
        </w:rPr>
        <w:t>一般”（太13:43）。</w:t>
      </w:r>
      <w:r>
        <w:rPr>
          <w:rStyle w:val="FootnoteReference"/>
        </w:rPr>
        <w:footnoteReference w:id="1984"/>
      </w:r>
    </w:p>
    <w:p w14:paraId="1D61FE76"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强健而坚固——既不受疲惫所困，</w:t>
      </w:r>
      <w:r>
        <w:rPr>
          <w:rStyle w:val="FootnoteReference"/>
        </w:rPr>
        <w:footnoteReference w:id="1985"/>
      </w:r>
      <w:r w:rsidRPr="006A21F9">
        <w:rPr>
          <w:lang w:val="ru-RU"/>
        </w:rPr>
        <w:t xml:space="preserve"> 也不受现世生活中任何软弱所累。</w:t>
      </w:r>
      <w:r>
        <w:rPr>
          <w:rStyle w:val="FootnoteReference"/>
        </w:rPr>
        <w:footnoteReference w:id="1986"/>
      </w:r>
    </w:p>
    <w:p w14:paraId="536BB275" w14:textId="77777777" w:rsidR="00BE1885" w:rsidRPr="006A21F9" w:rsidRDefault="00BE1885" w:rsidP="00BE1885">
      <w:pPr>
        <w:rPr>
          <w:lang w:val="ru-RU"/>
        </w:rPr>
      </w:pPr>
      <w:r w:rsidRPr="006A21F9">
        <w:rPr>
          <w:lang w:val="ru-RU"/>
        </w:rPr>
        <w:tab/>
        <w:t>d) 属灵的，与现今属魂的、属尘世的或粗糙物质的身体相反，它们将显得极其纤细、轻盈、</w:t>
      </w:r>
      <w:r>
        <w:rPr>
          <w:rStyle w:val="FootnoteReference"/>
        </w:rPr>
        <w:footnoteReference w:id="1987"/>
      </w:r>
      <w:r w:rsidRPr="006A21F9">
        <w:rPr>
          <w:lang w:val="ru-RU"/>
        </w:rPr>
        <w:t xml:space="preserve"> 属天的 （林前15:48-49），既不需要食物，也不需要饮水（林前6:13），</w:t>
      </w:r>
      <w:r>
        <w:rPr>
          <w:rStyle w:val="FootnoteReference"/>
        </w:rPr>
        <w:footnoteReference w:id="1988"/>
      </w:r>
      <w:r w:rsidRPr="006A21F9">
        <w:rPr>
          <w:lang w:val="ru-RU"/>
        </w:rPr>
        <w:t xml:space="preserve"> 还将摆脱其他肉体需求，如同无形之灵——天使一般［（路20:36）；（太22:30）］。</w:t>
      </w:r>
    </w:p>
    <w:p w14:paraId="65AA182E" w14:textId="77777777" w:rsidR="00BE1885" w:rsidRPr="006A21F9" w:rsidRDefault="00BE1885" w:rsidP="00BE1885">
      <w:pPr>
        <w:ind w:firstLine="708"/>
        <w:rPr>
          <w:lang w:val="ru-RU"/>
        </w:rPr>
      </w:pPr>
      <w:r w:rsidRPr="006A21F9">
        <w:rPr>
          <w:b/>
          <w:bCs/>
          <w:lang w:val="ru-RU"/>
        </w:rPr>
        <w:t>3)</w:t>
      </w:r>
      <w:r>
        <w:rPr>
          <w:rStyle w:val="FootnoteReference"/>
        </w:rPr>
        <w:footnoteReference w:id="1989"/>
      </w:r>
      <w:r w:rsidRPr="006A21F9">
        <w:rPr>
          <w:b/>
          <w:bCs/>
          <w:lang w:val="ru-RU"/>
        </w:rPr>
        <w:t xml:space="preserve"> </w:t>
      </w:r>
      <w:r w:rsidRPr="006A21F9">
        <w:rPr>
          <w:lang w:val="ru-RU"/>
        </w:rPr>
        <w:t>不过，必须指出：</w:t>
      </w:r>
    </w:p>
    <w:p w14:paraId="496E8935"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尽管上帝的话语向我们揭示了复活之躯的所有上述特性，但正如古代著名的教会导师们所承认的那样，我们目前尚无法准确界定它们： “圣耶路撒冷的西里尔说：‘它（复活的身体）将是属灵的、奇妙的，其性质我们无法恰如其分地阐明。’”</w:t>
      </w:r>
      <w:r>
        <w:rPr>
          <w:rStyle w:val="FootnoteReference"/>
        </w:rPr>
        <w:footnoteReference w:id="1990"/>
      </w:r>
    </w:p>
    <w:p w14:paraId="309290B2" w14:textId="77777777" w:rsidR="00BE1885" w:rsidRPr="006A21F9" w:rsidRDefault="00BE1885" w:rsidP="00BE1885">
      <w:pPr>
        <w:rPr>
          <w:lang w:val="ru-RU"/>
        </w:rPr>
      </w:pPr>
      <w:r w:rsidRPr="006A21F9">
        <w:rPr>
          <w:lang w:val="ru-RU"/>
        </w:rPr>
        <w:lastRenderedPageBreak/>
        <w:tab/>
      </w:r>
      <w:r w:rsidRPr="006A21F9">
        <w:rPr>
          <w:b/>
          <w:bCs/>
          <w:lang w:val="ru-RU"/>
        </w:rPr>
        <w:t>b)</w:t>
      </w:r>
      <w:r w:rsidRPr="006A21F9">
        <w:rPr>
          <w:lang w:val="ru-RU"/>
        </w:rPr>
        <w:t xml:space="preserve"> 上述所有特性无疑都将属于那些注定要获得永恒福乐的复活义人的身体，但并非全部都属于复活的罪人的身体。</w:t>
      </w:r>
      <w:r>
        <w:rPr>
          <w:rStyle w:val="FootnoteReference"/>
        </w:rPr>
        <w:footnoteReference w:id="1991"/>
      </w:r>
      <w:r w:rsidRPr="006A21F9">
        <w:rPr>
          <w:lang w:val="ru-RU"/>
        </w:rPr>
        <w:t xml:space="preserve"> 至少，绝不能说后者的身体也会在荣耀中复活并发光，因为这一属性已被救主本人明确归于义人（太13:43），这既与复活的罪人的功德完全不相符，也与他们注定要承受地狱之苦的命运相悖。</w:t>
      </w:r>
      <w:r>
        <w:rPr>
          <w:rStyle w:val="FootnoteReference"/>
        </w:rPr>
        <w:footnoteReference w:id="1992"/>
      </w:r>
      <w:r w:rsidRPr="006A21F9">
        <w:rPr>
          <w:lang w:val="ru-RU"/>
        </w:rPr>
        <w:t xml:space="preserve"> 唯一可以确信的是，罪人的身体也将复活，成为不朽且永生的：因为使徒在论及所有死者时，将这一特性普遍归于复活的身体，他说：“号筒一吹，死人要复活，成为不朽的”（林前15:52-53）。 “我们必复活，”耶路撒冷的圣西里尔也曾教导说，“我们都将拥有永恒的身体，但并非所有人的身体都相同。 若有人行义，便会获得天上的身体，借此他能如理地与天使交往；若有人犯罪，则会获得一个必须为罪孽承受折磨的永恒身体，以便在火中永世焚烧而不被毁灭。”</w:t>
      </w:r>
      <w:r>
        <w:rPr>
          <w:rStyle w:val="FootnoteReference"/>
        </w:rPr>
        <w:footnoteReference w:id="1993"/>
      </w:r>
    </w:p>
    <w:p w14:paraId="01C5B95C"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义人的身体本身并不都会在同等程度上具备上述特性，至少不会都同样地被照亮，而是根据每位义人的功德而有所不同。因为圣使徒明确地说：</w:t>
      </w:r>
      <w:r w:rsidRPr="006A21F9">
        <w:rPr>
          <w:i/>
          <w:iCs/>
          <w:lang w:val="ru-RU"/>
        </w:rPr>
        <w:t>“太阳的荣耀与月亮的荣耀不同，星辰的荣耀也各不相同；而且星辰与星辰在荣耀上也有所不同。” 在死人复活时也是如此</w:t>
      </w:r>
      <w:r w:rsidRPr="006A21F9">
        <w:rPr>
          <w:lang w:val="ru-RU"/>
        </w:rPr>
        <w:t>（林前15:41-42）。</w:t>
      </w:r>
      <w:r>
        <w:rPr>
          <w:rStyle w:val="FootnoteReference"/>
        </w:rPr>
        <w:footnoteReference w:id="1994"/>
      </w:r>
    </w:p>
    <w:p w14:paraId="1964B6D8" w14:textId="77777777" w:rsidR="00BE1885" w:rsidRPr="006A21F9" w:rsidRDefault="00BE1885" w:rsidP="00BE1885">
      <w:pPr>
        <w:ind w:firstLine="708"/>
        <w:rPr>
          <w:lang w:val="ru-RU"/>
        </w:rPr>
      </w:pPr>
      <w:r w:rsidRPr="006A21F9">
        <w:rPr>
          <w:b/>
          <w:bCs/>
          <w:lang w:val="ru-RU"/>
        </w:rPr>
        <w:t>4)</w:t>
      </w:r>
      <w:r w:rsidRPr="006A21F9">
        <w:rPr>
          <w:lang w:val="ru-RU"/>
        </w:rPr>
        <w:t xml:space="preserve"> 此外，还有一些关于复活之体其他特性的个别观点或推测，例如：关于其性别、年龄等；但对于此类观点，由于缺乏直接明确的教导，无法做出任何确定的结论。 例如，有些人认为，身体复活后，性别的区别将不复存在；</w:t>
      </w:r>
      <w:r>
        <w:rPr>
          <w:rStyle w:val="FootnoteReference"/>
        </w:rPr>
        <w:footnoteReference w:id="1995"/>
      </w:r>
      <w:r w:rsidRPr="006A21F9">
        <w:rPr>
          <w:lang w:val="ru-RU"/>
        </w:rPr>
        <w:t xml:space="preserve"> 另一些人则认为，这种区别仍将保留；</w:t>
      </w:r>
      <w:r>
        <w:rPr>
          <w:rStyle w:val="FootnoteReference"/>
        </w:rPr>
        <w:footnoteReference w:id="1996"/>
      </w:r>
      <w:r w:rsidRPr="006A21F9">
        <w:rPr>
          <w:lang w:val="ru-RU"/>
        </w:rPr>
        <w:t xml:space="preserve"> 还有第三种观点认为，所有逝者都将以同一男性身份复活——圣奥古斯丁曾对此观点 予以反驳。</w:t>
      </w:r>
      <w:r>
        <w:rPr>
          <w:rStyle w:val="FootnoteReference"/>
        </w:rPr>
        <w:footnoteReference w:id="1997"/>
      </w:r>
      <w:r w:rsidRPr="006A21F9">
        <w:rPr>
          <w:lang w:val="ru-RU"/>
        </w:rPr>
        <w:t xml:space="preserve"> 有人推测，所有逝者——无论是长者、壮年、青年还是孩童——都将以同一种年龄</w:t>
      </w:r>
      <w:r w:rsidRPr="006A21F9">
        <w:rPr>
          <w:i/>
          <w:iCs/>
          <w:lang w:val="ru-RU"/>
        </w:rPr>
        <w:t>复活，即达到基督的完全之龄</w:t>
      </w:r>
      <w:r w:rsidRPr="006A21F9">
        <w:rPr>
          <w:lang w:val="ru-RU"/>
        </w:rPr>
        <w:t>（以弗所书 4:13）；</w:t>
      </w:r>
      <w:r>
        <w:rPr>
          <w:rStyle w:val="FootnoteReference"/>
        </w:rPr>
        <w:footnoteReference w:id="1998"/>
      </w:r>
      <w:r w:rsidRPr="006A21F9">
        <w:rPr>
          <w:lang w:val="ru-RU"/>
        </w:rPr>
        <w:t xml:space="preserve"> </w:t>
      </w:r>
      <w:r w:rsidRPr="006A21F9">
        <w:rPr>
          <w:lang w:val="ru-RU"/>
        </w:rPr>
        <w:lastRenderedPageBreak/>
        <w:t>另一些人则认为并非在同一个年龄，尽管他们也不允许婴孩和少年以婴孩或少年的年龄复活，而非在成年之后。</w:t>
      </w:r>
      <w:r>
        <w:rPr>
          <w:rStyle w:val="FootnoteReference"/>
        </w:rPr>
        <w:footnoteReference w:id="1999"/>
      </w:r>
    </w:p>
    <w:p w14:paraId="47C74DB1" w14:textId="77777777" w:rsidR="00BE1885" w:rsidRPr="006A21F9" w:rsidRDefault="00BE1885" w:rsidP="00BE1885">
      <w:pPr>
        <w:rPr>
          <w:lang w:val="ru-RU"/>
        </w:rPr>
      </w:pPr>
      <w:r w:rsidRPr="006A21F9">
        <w:rPr>
          <w:lang w:val="ru-RU"/>
        </w:rPr>
        <w:tab/>
      </w:r>
      <w:r w:rsidRPr="001E4083">
        <w:rPr>
          <w:b/>
          <w:bCs/>
        </w:rPr>
        <w:t>VI</w:t>
      </w:r>
      <w:r w:rsidRPr="006A21F9">
        <w:rPr>
          <w:b/>
          <w:bCs/>
          <w:lang w:val="ru-RU"/>
        </w:rPr>
        <w:t xml:space="preserve">. </w:t>
      </w:r>
      <w:r w:rsidRPr="006A21F9">
        <w:rPr>
          <w:lang w:val="ru-RU"/>
        </w:rPr>
        <w:t>在向我们揭示了未来死人复活之奥秘的必要性和益处之后，圣使徒保罗同时也揭示了另一个奥秘，即关于那些在基督第二次降临之日仍活着的人。 他写信给自己的哥林多门徒——他刚刚向他们阐述了关于复活的教义——说：</w:t>
      </w:r>
      <w:r w:rsidRPr="006A21F9">
        <w:rPr>
          <w:i/>
          <w:iCs/>
          <w:lang w:val="ru-RU"/>
        </w:rPr>
        <w:t>“我告诉你们一个奥秘：我们并非都要死，但我们都要在眨眼之间，在末后的号角声中，顷刻之间改变。因为号角要吹响，死人要复活，成为不朽的，而我们也要改变。 因为这必朽坏的，总要变成不朽坏的；这必死的，总要变成不死的</w:t>
      </w:r>
      <w:r w:rsidRPr="006A21F9">
        <w:rPr>
          <w:lang w:val="ru-RU"/>
        </w:rPr>
        <w:t>（林前15:51-53）。尽管这些话语简短，但从中可以清楚地看出以下三个真理：</w:t>
      </w:r>
    </w:p>
    <w:p w14:paraId="43FC6C3F" w14:textId="77777777" w:rsidR="00BE1885" w:rsidRPr="006A21F9" w:rsidRDefault="00BE1885" w:rsidP="00BE1885">
      <w:pPr>
        <w:ind w:firstLine="708"/>
        <w:rPr>
          <w:lang w:val="ru-RU"/>
        </w:rPr>
      </w:pPr>
      <w:r w:rsidRPr="006A21F9">
        <w:rPr>
          <w:b/>
          <w:bCs/>
          <w:lang w:val="ru-RU"/>
        </w:rPr>
        <w:t>1)</w:t>
      </w:r>
      <w:r w:rsidRPr="006A21F9">
        <w:rPr>
          <w:lang w:val="ru-RU"/>
        </w:rPr>
        <w:t xml:space="preserve"> 末日活人被改变的过程，将与死人复活一样迅速：就在末次号角吹响时，转眼之间便会发生。</w:t>
      </w:r>
    </w:p>
    <w:p w14:paraId="45D18AC6" w14:textId="77777777" w:rsidR="00BE1885" w:rsidRPr="006A21F9" w:rsidRDefault="00BE1885" w:rsidP="00BE1885">
      <w:pPr>
        <w:ind w:firstLine="708"/>
        <w:rPr>
          <w:lang w:val="ru-RU"/>
        </w:rPr>
      </w:pPr>
      <w:r w:rsidRPr="006A21F9">
        <w:rPr>
          <w:b/>
          <w:bCs/>
          <w:lang w:val="ru-RU"/>
        </w:rPr>
        <w:t>2)</w:t>
      </w:r>
      <w:r w:rsidRPr="006A21F9">
        <w:rPr>
          <w:lang w:val="ru-RU"/>
        </w:rPr>
        <w:t xml:space="preserve"> 活人被改变将源于同一个原因，即基督那全能的声音；死人也将因这声音复活，且是在同一时刻，而非在此之前：因为号角一吹，死人要复活成为不朽坏的，我们也要被改变（参见帖前4:15-17）。</w:t>
      </w:r>
    </w:p>
    <w:p w14:paraId="12C59843" w14:textId="77777777" w:rsidR="00BE1885" w:rsidRPr="006A21F9" w:rsidRDefault="00BE1885" w:rsidP="00BE1885">
      <w:pPr>
        <w:ind w:firstLine="708"/>
        <w:rPr>
          <w:lang w:val="ru-RU"/>
        </w:rPr>
      </w:pPr>
      <w:r w:rsidRPr="006A21F9">
        <w:rPr>
          <w:b/>
          <w:bCs/>
          <w:lang w:val="ru-RU"/>
        </w:rPr>
        <w:t>3)</w:t>
      </w:r>
      <w:r w:rsidRPr="006A21F9">
        <w:rPr>
          <w:lang w:val="ru-RU"/>
        </w:rPr>
        <w:t xml:space="preserve"> 活人得变，其本质与死人复活相同，即：我们如今这必朽坏、必死的身体，将要变成不朽坏、不死的身体：</w:t>
      </w:r>
      <w:r w:rsidRPr="006A21F9">
        <w:rPr>
          <w:i/>
          <w:iCs/>
          <w:lang w:val="ru-RU"/>
        </w:rPr>
        <w:t>“这必朽坏的，总要变成不朽坏的；这必死的，总要变成不死的”</w:t>
      </w:r>
      <w:r w:rsidRPr="006A21F9">
        <w:rPr>
          <w:lang w:val="ru-RU"/>
        </w:rPr>
        <w:t>（《哥林多前书》15:53）。</w:t>
      </w:r>
      <w:r>
        <w:rPr>
          <w:rStyle w:val="FootnoteReference"/>
        </w:rPr>
        <w:footnoteReference w:id="2000"/>
      </w:r>
    </w:p>
    <w:p w14:paraId="416EFD02" w14:textId="77777777" w:rsidR="00BE1885" w:rsidRPr="006A21F9" w:rsidRDefault="00BE1885" w:rsidP="00BE1885">
      <w:pPr>
        <w:rPr>
          <w:lang w:val="ru-RU"/>
        </w:rPr>
      </w:pPr>
      <w:r w:rsidRPr="006A21F9">
        <w:rPr>
          <w:lang w:val="ru-RU"/>
        </w:rPr>
        <w:tab/>
        <w:t>正如我们如今无法解释将来死人复活一样，我们也无法为自己解释活人将来的这种改变。</w:t>
      </w:r>
    </w:p>
    <w:p w14:paraId="59ED182E" w14:textId="77777777" w:rsidR="00BE1885" w:rsidRPr="006A21F9" w:rsidRDefault="00BE1885" w:rsidP="00BE1885">
      <w:pPr>
        <w:rPr>
          <w:lang w:val="ru-RU"/>
        </w:rPr>
      </w:pPr>
      <w:r w:rsidRPr="006A21F9">
        <w:rPr>
          <w:lang w:val="ru-RU"/>
        </w:rPr>
        <w:tab/>
      </w:r>
    </w:p>
    <w:p w14:paraId="77C59079" w14:textId="77777777" w:rsidR="00BE1885" w:rsidRPr="006A21F9" w:rsidRDefault="00BE1885" w:rsidP="00BE1885">
      <w:pPr>
        <w:pStyle w:val="Heading5"/>
        <w:rPr>
          <w:lang w:val="ru-RU"/>
        </w:rPr>
      </w:pPr>
      <w:bookmarkStart w:id="1208" w:name="_Toc133143044"/>
      <w:bookmarkStart w:id="1209" w:name="_Toc133166401"/>
      <w:bookmarkStart w:id="1210" w:name="_Toc182221611"/>
      <w:bookmarkStart w:id="1211" w:name="_Toc238453178"/>
      <w:bookmarkStart w:id="1212" w:name="_Toc238453978"/>
      <w:bookmarkStart w:id="1213" w:name="_Toc238576638"/>
      <w:r w:rsidRPr="006A21F9">
        <w:rPr>
          <w:bCs/>
          <w:lang w:val="ru-RU"/>
        </w:rPr>
        <w:t>§265.</w:t>
      </w:r>
      <w:r w:rsidRPr="006A21F9">
        <w:rPr>
          <w:lang w:val="ru-RU"/>
        </w:rPr>
        <w:t xml:space="preserve"> 普世审判：其真实性、形式与特性</w:t>
      </w:r>
      <w:bookmarkEnd w:id="1208"/>
      <w:bookmarkEnd w:id="1209"/>
      <w:bookmarkEnd w:id="1210"/>
      <w:bookmarkEnd w:id="1211"/>
      <w:bookmarkEnd w:id="1212"/>
      <w:bookmarkEnd w:id="1213"/>
    </w:p>
    <w:p w14:paraId="71446425" w14:textId="77777777" w:rsidR="00BE1885" w:rsidRPr="006A21F9" w:rsidRDefault="00BE1885" w:rsidP="00BE1885">
      <w:pPr>
        <w:ind w:firstLine="708"/>
        <w:rPr>
          <w:lang w:val="ru-RU"/>
        </w:rPr>
      </w:pPr>
      <w:r w:rsidRPr="006A21F9">
        <w:rPr>
          <w:lang w:val="ru-RU"/>
        </w:rPr>
        <w:t>当审判活人与死人的审判者以祂的荣耀降临人间，死人因祂的声音复活、活人得以改变之后，对他们的审判——即普世审判——便将开始。</w:t>
      </w:r>
    </w:p>
    <w:p w14:paraId="67C2D8C0" w14:textId="77777777" w:rsidR="00BE1885" w:rsidRPr="006A21F9" w:rsidRDefault="00BE1885" w:rsidP="00BE1885">
      <w:pPr>
        <w:rPr>
          <w:lang w:val="ru-RU"/>
        </w:rPr>
      </w:pPr>
      <w:r w:rsidRPr="006A21F9">
        <w:rPr>
          <w:lang w:val="ru-RU"/>
        </w:rPr>
        <w:tab/>
        <w:t>另见：特土良《护教论》第18章；《</w:t>
      </w:r>
      <w:r w:rsidRPr="001E4083">
        <w:t>使徒宪章》第五卷第</w:t>
      </w:r>
      <w:r w:rsidRPr="0097554A">
        <w:rPr>
          <w:lang w:val="ru-RU"/>
        </w:rPr>
        <w:t>7</w:t>
      </w:r>
      <w:r w:rsidRPr="001E4083">
        <w:t>章</w:t>
      </w:r>
      <w:r w:rsidRPr="0097554A">
        <w:rPr>
          <w:lang w:val="ru-RU"/>
        </w:rPr>
        <w:t>；</w:t>
      </w:r>
      <w:r w:rsidRPr="001E4083">
        <w:t>伊拉里乌斯《诗篇注释》第</w:t>
      </w:r>
      <w:r w:rsidRPr="0097554A">
        <w:rPr>
          <w:lang w:val="ru-RU"/>
        </w:rPr>
        <w:t>51</w:t>
      </w:r>
      <w:r w:rsidRPr="001E4083">
        <w:t>篇第</w:t>
      </w:r>
      <w:r w:rsidRPr="0097554A">
        <w:rPr>
          <w:lang w:val="ru-RU"/>
        </w:rPr>
        <w:t>10</w:t>
      </w:r>
      <w:r w:rsidRPr="001E4083">
        <w:t>节</w:t>
      </w:r>
      <w:r w:rsidRPr="0097554A">
        <w:rPr>
          <w:lang w:val="ru-RU"/>
        </w:rPr>
        <w:t>；</w:t>
      </w:r>
      <w:r w:rsidRPr="001E4083">
        <w:t>亚历山大的西里尔《论对圣灵与真理的敬拜》第十七卷</w:t>
      </w:r>
      <w:r w:rsidRPr="006A21F9">
        <w:rPr>
          <w:lang w:val="ru-RU"/>
        </w:rPr>
        <w:t>；</w:t>
      </w:r>
      <w:r w:rsidRPr="001E4083">
        <w:t>《约翰</w:t>
      </w:r>
      <w:r w:rsidRPr="006A21F9">
        <w:rPr>
          <w:lang w:val="ru-RU"/>
        </w:rPr>
        <w:t>福音注释》第四卷第51节；狄奥多里特</w:t>
      </w:r>
      <w:r w:rsidRPr="001E4083">
        <w:t>《哥林多前书注释</w:t>
      </w:r>
      <w:r w:rsidRPr="006A21F9">
        <w:rPr>
          <w:lang w:val="ru-RU"/>
        </w:rPr>
        <w:t>》第六卷第51节。</w:t>
      </w:r>
    </w:p>
    <w:p w14:paraId="39021A96" w14:textId="77777777" w:rsidR="00BE1885" w:rsidRPr="006A21F9" w:rsidRDefault="00BE1885" w:rsidP="00BE1885">
      <w:pPr>
        <w:rPr>
          <w:lang w:val="ru-RU"/>
        </w:rPr>
      </w:pPr>
      <w:r w:rsidRPr="006A21F9">
        <w:rPr>
          <w:lang w:val="ru-RU"/>
        </w:rPr>
        <w:tab/>
      </w:r>
      <w:r w:rsidRPr="001E4083">
        <w:rPr>
          <w:b/>
          <w:bCs/>
        </w:rPr>
        <w:t>一</w:t>
      </w:r>
      <w:r w:rsidRPr="006A21F9">
        <w:rPr>
          <w:b/>
          <w:bCs/>
          <w:lang w:val="ru-RU"/>
        </w:rPr>
        <w:t>、</w:t>
      </w:r>
      <w:r w:rsidRPr="006A21F9">
        <w:rPr>
          <w:lang w:val="ru-RU"/>
        </w:rPr>
        <w:t>普世审判的真实性在圣经和圣传的同一批见证中得到了无可辩驳的证实，这些见证同时也证实了主第二次降临和死人复活的真实性：因为二者之间有着密不可分的联系。例如：</w:t>
      </w:r>
    </w:p>
    <w:p w14:paraId="20C2C85B" w14:textId="77777777" w:rsidR="00BE1885" w:rsidRPr="006A21F9" w:rsidRDefault="00BE1885" w:rsidP="00BE1885">
      <w:pPr>
        <w:ind w:firstLine="708"/>
        <w:rPr>
          <w:lang w:val="ru-RU"/>
        </w:rPr>
      </w:pPr>
      <w:r w:rsidRPr="006A21F9">
        <w:rPr>
          <w:b/>
          <w:bCs/>
          <w:lang w:val="ru-RU"/>
        </w:rPr>
        <w:t>1)</w:t>
      </w:r>
      <w:r w:rsidRPr="006A21F9">
        <w:rPr>
          <w:lang w:val="ru-RU"/>
        </w:rPr>
        <w:t xml:space="preserve"> 救主基督曾明确教导：</w:t>
      </w:r>
      <w:r w:rsidRPr="006A21F9">
        <w:rPr>
          <w:i/>
          <w:iCs/>
          <w:lang w:val="ru-RU"/>
        </w:rPr>
        <w:t xml:space="preserve">父不审判任何人，而是将一切审判都交给了子……并赐给他施行审判的权柄，因为他是人子。 你们不要为此感到惊讶；因为时候将到，凡在坟墓里的人都要听见神儿子的声音；行善的要复活得生命，作恶的要复活受审判 </w:t>
      </w:r>
      <w:r w:rsidRPr="002E412E">
        <w:rPr>
          <w:lang w:val="ru-RU"/>
        </w:rPr>
        <w:t>[</w:t>
      </w:r>
      <w:r w:rsidRPr="006A21F9">
        <w:rPr>
          <w:lang w:val="ru-RU"/>
        </w:rPr>
        <w:t>(约 5:22</w:t>
      </w:r>
      <w:r w:rsidRPr="002E412E">
        <w:rPr>
          <w:lang w:val="ru-RU"/>
        </w:rPr>
        <w:t>)</w:t>
      </w:r>
      <w:r w:rsidRPr="006A21F9">
        <w:rPr>
          <w:lang w:val="ru-RU"/>
        </w:rPr>
        <w:t>，(约 27-29)</w:t>
      </w:r>
      <w:r w:rsidRPr="002E412E">
        <w:rPr>
          <w:lang w:val="ru-RU"/>
        </w:rPr>
        <w:t>]</w:t>
      </w:r>
      <w:r w:rsidRPr="006A21F9">
        <w:rPr>
          <w:lang w:val="ru-RU"/>
        </w:rPr>
        <w:t>。 还有一次：</w:t>
      </w:r>
      <w:r w:rsidRPr="006A21F9">
        <w:rPr>
          <w:i/>
          <w:iCs/>
          <w:lang w:val="ru-RU"/>
        </w:rPr>
        <w:t xml:space="preserve">人子要带着祂的天使，在祂父的荣耀中降临，那时，祂要照各人的行为报应各人 </w:t>
      </w:r>
      <w:r w:rsidRPr="006A21F9">
        <w:rPr>
          <w:lang w:val="ru-RU"/>
        </w:rPr>
        <w:t>[(太 16:27)；参 (太 7:21-23)；(太 11:22-24)； （太12:35-42）；（太13:37-43）；（太19:28-30）；（太24:30）；（太25:31-46）]。</w:t>
      </w:r>
    </w:p>
    <w:p w14:paraId="6B8D190E" w14:textId="77777777" w:rsidR="00BE1885" w:rsidRPr="006A21F9" w:rsidRDefault="00BE1885" w:rsidP="00BE1885">
      <w:pPr>
        <w:ind w:firstLine="708"/>
        <w:rPr>
          <w:lang w:val="ru-RU"/>
        </w:rPr>
      </w:pPr>
      <w:r w:rsidRPr="006A21F9">
        <w:rPr>
          <w:b/>
          <w:bCs/>
          <w:lang w:val="ru-RU"/>
        </w:rPr>
        <w:t>2）</w:t>
      </w:r>
      <w:r w:rsidRPr="006A21F9">
        <w:rPr>
          <w:lang w:val="ru-RU"/>
        </w:rPr>
        <w:t>圣使徒们的宣讲同样清晰明确：</w:t>
      </w:r>
      <w:r w:rsidRPr="006A21F9">
        <w:rPr>
          <w:i/>
          <w:iCs/>
          <w:lang w:val="ru-RU"/>
        </w:rPr>
        <w:t>祂（</w:t>
      </w:r>
      <w:r w:rsidRPr="002E412E">
        <w:rPr>
          <w:i/>
          <w:iCs/>
          <w:lang w:val="ru-RU"/>
        </w:rPr>
        <w:t>上帝）</w:t>
      </w:r>
      <w:r w:rsidRPr="006A21F9">
        <w:rPr>
          <w:i/>
          <w:iCs/>
          <w:lang w:val="ru-RU"/>
        </w:rPr>
        <w:t>已定下那日，要借着祂所预定的那一位，公义地审判全世界，并已向众人证明了这一点， ，使祂从死里复活</w:t>
      </w:r>
      <w:r w:rsidRPr="006A21F9">
        <w:rPr>
          <w:lang w:val="ru-RU"/>
        </w:rPr>
        <w:t xml:space="preserve">（使徒行传 17:31）。 </w:t>
      </w:r>
      <w:r w:rsidRPr="006A21F9">
        <w:rPr>
          <w:i/>
          <w:iCs/>
          <w:lang w:val="ru-RU"/>
        </w:rPr>
        <w:t>看哪，主正带着祂众多圣天使降临——</w:t>
      </w:r>
      <w:r w:rsidRPr="006A21F9">
        <w:rPr>
          <w:i/>
          <w:iCs/>
          <w:lang w:val="ru-RU"/>
        </w:rPr>
        <w:lastRenderedPageBreak/>
        <w:t>要审判众人，并要指证其中一切不义之人，因他们不义所行的一切事</w:t>
      </w:r>
      <w:r w:rsidRPr="006A21F9">
        <w:rPr>
          <w:lang w:val="ru-RU"/>
        </w:rPr>
        <w:t>（犹大书</w:t>
      </w:r>
      <w:r w:rsidRPr="006A21F9">
        <w:rPr>
          <w:rFonts w:cs="Cambria Math"/>
          <w:lang w:val="ru-RU"/>
        </w:rPr>
        <w:t xml:space="preserve"> 1:</w:t>
      </w:r>
      <w:r w:rsidRPr="006A21F9">
        <w:rPr>
          <w:lang w:val="ru-RU"/>
        </w:rPr>
        <w:t xml:space="preserve">14-15）。 </w:t>
      </w:r>
      <w:r w:rsidRPr="006A21F9">
        <w:rPr>
          <w:i/>
          <w:iCs/>
          <w:lang w:val="ru-RU"/>
        </w:rPr>
        <w:t xml:space="preserve">因为我们众人必要在基督的审判台前显露出来，叫各人按着自己活在肉体中所行的，或善或恶，受报 </w:t>
      </w:r>
      <w:r w:rsidRPr="006A21F9">
        <w:rPr>
          <w:lang w:val="ru-RU"/>
        </w:rPr>
        <w:t>[(林后 5:10)；参 (罗 2:5-7)；(罗 14:10)；(林前 4:5)； （以弗所书 6:8）；（歌罗西书 3:24-25）；（帖撒罗尼迦后书 1:6-10）；（提摩太后书 4:1）；（启示录 20:11-15）]。</w:t>
      </w:r>
    </w:p>
    <w:p w14:paraId="1F0731AA" w14:textId="77777777" w:rsidR="00BE1885" w:rsidRPr="006A21F9" w:rsidRDefault="00BE1885" w:rsidP="00BE1885">
      <w:pPr>
        <w:ind w:firstLine="708"/>
        <w:rPr>
          <w:lang w:val="ru-RU"/>
        </w:rPr>
      </w:pPr>
      <w:r w:rsidRPr="006A21F9">
        <w:rPr>
          <w:b/>
          <w:bCs/>
          <w:lang w:val="ru-RU"/>
        </w:rPr>
        <w:t>3)</w:t>
      </w:r>
      <w:r w:rsidRPr="006A21F9">
        <w:rPr>
          <w:lang w:val="ru-RU"/>
        </w:rPr>
        <w:t xml:space="preserve"> 圣教会始终秉持并宣认这一真理，将其视为最重要的真理之一。在所谓的《使徒信经》中写道：“（我信基督）升天，将来要从那里再来，审判活人死人”；在《尼西亚-君士坦丁堡信经》中写道： “并将再次带着荣耀降临，审判活人死人；”在亚他那修信经中：“祂将降临审判活人死人，因祂的降临，所有的人都将带着自己的身体复活，并为自己的行为交账。” 圣父们和教会的导师们也在他们的著作中重复了这一点；波利卡普（Polykarp），</w:t>
      </w:r>
      <w:r>
        <w:rPr>
          <w:rStyle w:val="FootnoteReference"/>
        </w:rPr>
        <w:footnoteReference w:id="2001"/>
      </w:r>
      <w:r w:rsidRPr="006A21F9">
        <w:rPr>
          <w:lang w:val="ru-RU"/>
        </w:rPr>
        <w:t xml:space="preserve"> 贾斯汀（Justin），</w:t>
      </w:r>
      <w:r>
        <w:rPr>
          <w:rStyle w:val="FootnoteReference"/>
        </w:rPr>
        <w:footnoteReference w:id="2002"/>
      </w:r>
      <w:r w:rsidRPr="006A21F9">
        <w:rPr>
          <w:lang w:val="ru-RU"/>
        </w:rPr>
        <w:t xml:space="preserve"> 特土良（Tertullian），</w:t>
      </w:r>
      <w:r>
        <w:rPr>
          <w:rStyle w:val="FootnoteReference"/>
        </w:rPr>
        <w:footnoteReference w:id="2003"/>
      </w:r>
      <w:r w:rsidRPr="006A21F9">
        <w:rPr>
          <w:lang w:val="ru-RU"/>
        </w:rPr>
        <w:t xml:space="preserve"> 基普里安（Cyprian），</w:t>
      </w:r>
      <w:r>
        <w:rPr>
          <w:rStyle w:val="FootnoteReference"/>
        </w:rPr>
        <w:footnoteReference w:id="2004"/>
      </w:r>
      <w:r w:rsidRPr="006A21F9">
        <w:rPr>
          <w:lang w:val="ru-RU"/>
        </w:rPr>
        <w:t xml:space="preserve"> 耶路撒冷的西里尔（Cyril of Jerusalem），</w:t>
      </w:r>
      <w:r>
        <w:rPr>
          <w:rStyle w:val="FootnoteReference"/>
        </w:rPr>
        <w:footnoteReference w:id="2005"/>
      </w:r>
      <w:r w:rsidRPr="006A21F9">
        <w:rPr>
          <w:lang w:val="ru-RU"/>
        </w:rPr>
        <w:t xml:space="preserve"> 约翰·金口（John Chrysostom），</w:t>
      </w:r>
      <w:r>
        <w:rPr>
          <w:rStyle w:val="FootnoteReference"/>
        </w:rPr>
        <w:footnoteReference w:id="2006"/>
      </w:r>
      <w:r w:rsidRPr="006A21F9">
        <w:rPr>
          <w:lang w:val="ru-RU"/>
        </w:rPr>
        <w:t xml:space="preserve"> 以及其他人。</w:t>
      </w:r>
      <w:r>
        <w:rPr>
          <w:rStyle w:val="FootnoteReference"/>
        </w:rPr>
        <w:footnoteReference w:id="2007"/>
      </w:r>
    </w:p>
    <w:p w14:paraId="7208F8B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上帝的话语中所描绘的最后审判景象向我们展现了：</w:t>
      </w:r>
    </w:p>
    <w:p w14:paraId="5D3B240E" w14:textId="77777777" w:rsidR="00BE1885" w:rsidRPr="006A21F9" w:rsidRDefault="00BE1885" w:rsidP="00BE1885">
      <w:pPr>
        <w:ind w:firstLine="708"/>
        <w:rPr>
          <w:lang w:val="ru-RU"/>
        </w:rPr>
      </w:pPr>
      <w:r w:rsidRPr="006A21F9">
        <w:rPr>
          <w:b/>
          <w:bCs/>
          <w:lang w:val="ru-RU"/>
        </w:rPr>
        <w:t>1)</w:t>
      </w:r>
      <w:r w:rsidRPr="006A21F9">
        <w:rPr>
          <w:lang w:val="ru-RU"/>
        </w:rPr>
        <w:t xml:space="preserve"> 坐在荣耀宝座上的审判者：</w:t>
      </w:r>
      <w:r w:rsidRPr="006A21F9">
        <w:rPr>
          <w:i/>
          <w:iCs/>
          <w:lang w:val="ru-RU"/>
        </w:rPr>
        <w:t>人子在他荣耀里，同着众圣天使降临的时候，要坐在他荣耀的宝座上</w:t>
      </w:r>
      <w:r w:rsidRPr="006A21F9">
        <w:rPr>
          <w:lang w:val="ru-RU"/>
        </w:rPr>
        <w:t>（太25:31）。</w:t>
      </w:r>
    </w:p>
    <w:p w14:paraId="40E30C52" w14:textId="77777777" w:rsidR="00BE1885" w:rsidRPr="006A21F9" w:rsidRDefault="00BE1885" w:rsidP="00BE1885">
      <w:pPr>
        <w:ind w:firstLine="708"/>
        <w:rPr>
          <w:lang w:val="ru-RU"/>
        </w:rPr>
      </w:pPr>
      <w:r w:rsidRPr="006A21F9">
        <w:rPr>
          <w:b/>
          <w:bCs/>
          <w:lang w:val="ru-RU"/>
        </w:rPr>
        <w:t>2)</w:t>
      </w:r>
      <w:r w:rsidRPr="006A21F9">
        <w:rPr>
          <w:lang w:val="ru-RU"/>
        </w:rPr>
        <w:t xml:space="preserve"> 执行祂旨意者，他们仿佛是审判的参与者。执行祂旨意的将是天使：</w:t>
      </w:r>
      <w:r w:rsidRPr="006A21F9">
        <w:rPr>
          <w:i/>
          <w:iCs/>
          <w:lang w:val="ru-RU"/>
        </w:rPr>
        <w:t>“祂要差遣祂的天使，吹响响亮的号角，从四方，从天这边直到天那边，把祂所拣选的人都聚集起来</w:t>
      </w:r>
      <w:r w:rsidRPr="006A21F9">
        <w:rPr>
          <w:lang w:val="ru-RU"/>
        </w:rPr>
        <w:t xml:space="preserve"> （马太福音24:31）</w:t>
      </w:r>
      <w:r w:rsidRPr="006A21F9">
        <w:rPr>
          <w:i/>
          <w:iCs/>
          <w:lang w:val="ru-RU"/>
        </w:rPr>
        <w:t>，并将一切诱惑和作恶的人从祂的国度中驱逐出去</w:t>
      </w:r>
      <w:r w:rsidRPr="006A21F9">
        <w:rPr>
          <w:lang w:val="ru-RU"/>
        </w:rPr>
        <w:t>（马太福音13:41）</w:t>
      </w:r>
      <w:r w:rsidRPr="006A21F9">
        <w:rPr>
          <w:i/>
          <w:iCs/>
          <w:lang w:val="ru-RU"/>
        </w:rPr>
        <w:t>，把恶人从义人中间分别出来</w:t>
      </w:r>
      <w:r w:rsidRPr="006A21F9">
        <w:rPr>
          <w:lang w:val="ru-RU"/>
        </w:rPr>
        <w:t>（马太福音13:49）。 参与审判的将是圣徒，至少是圣徒中最完美的，例如圣使徒们： “</w:t>
      </w:r>
      <w:r w:rsidRPr="006A21F9">
        <w:rPr>
          <w:i/>
          <w:iCs/>
          <w:lang w:val="ru-RU"/>
        </w:rPr>
        <w:t>我实在告诉你们</w:t>
      </w:r>
      <w:r w:rsidRPr="006A21F9">
        <w:rPr>
          <w:lang w:val="ru-RU"/>
        </w:rPr>
        <w:t>，”基督对门徒们说</w:t>
      </w:r>
      <w:r w:rsidRPr="006A21F9">
        <w:rPr>
          <w:i/>
          <w:iCs/>
          <w:lang w:val="ru-RU"/>
        </w:rPr>
        <w:t>，“你们这些跟随我的人，在复活的时候，当人子坐在他荣耀的宝座上时，你们也要坐在十二个宝座上，审判以色列的十二支派</w:t>
      </w:r>
      <w:r w:rsidRPr="006A21F9">
        <w:rPr>
          <w:lang w:val="ru-RU"/>
        </w:rPr>
        <w:t>”（玛19:28）。 圣保罗曾问哥林多信徒：</w:t>
      </w:r>
      <w:r w:rsidRPr="006A21F9">
        <w:rPr>
          <w:i/>
          <w:iCs/>
          <w:lang w:val="ru-RU"/>
        </w:rPr>
        <w:t>“难道你们不知道，圣徒要审判世界吗？</w:t>
      </w:r>
      <w:r w:rsidRPr="006A21F9">
        <w:rPr>
          <w:lang w:val="ru-RU"/>
        </w:rPr>
        <w:t>”（林前6:2）。</w:t>
      </w:r>
      <w:r>
        <w:rPr>
          <w:rStyle w:val="FootnoteReference"/>
        </w:rPr>
        <w:footnoteReference w:id="2008"/>
      </w:r>
    </w:p>
    <w:p w14:paraId="615C7A75" w14:textId="77777777" w:rsidR="00BE1885" w:rsidRPr="006A21F9" w:rsidRDefault="00BE1885" w:rsidP="00BE1885">
      <w:pPr>
        <w:ind w:firstLine="708"/>
        <w:rPr>
          <w:lang w:val="ru-RU"/>
        </w:rPr>
      </w:pPr>
      <w:r w:rsidRPr="006A21F9">
        <w:rPr>
          <w:b/>
          <w:bCs/>
          <w:lang w:val="ru-RU"/>
        </w:rPr>
        <w:t>3）</w:t>
      </w:r>
      <w:r w:rsidRPr="006A21F9">
        <w:rPr>
          <w:lang w:val="ru-RU"/>
        </w:rPr>
        <w:t>受审者。将接受审判的包括：</w:t>
      </w:r>
      <w:r w:rsidRPr="006A21F9">
        <w:rPr>
          <w:b/>
          <w:bCs/>
          <w:lang w:val="ru-RU"/>
        </w:rPr>
        <w:t>a）</w:t>
      </w:r>
      <w:r w:rsidRPr="006A21F9">
        <w:rPr>
          <w:lang w:val="ru-RU"/>
        </w:rPr>
        <w:t>所有活人与死人：</w:t>
      </w:r>
      <w:r w:rsidRPr="006A21F9">
        <w:rPr>
          <w:i/>
          <w:iCs/>
          <w:lang w:val="ru-RU"/>
        </w:rPr>
        <w:t>万民都要聚集在他面前</w:t>
      </w:r>
      <w:r w:rsidRPr="006A21F9">
        <w:rPr>
          <w:lang w:val="ru-RU"/>
        </w:rPr>
        <w:t>（太25:32），</w:t>
      </w:r>
      <w:r w:rsidRPr="006A21F9">
        <w:rPr>
          <w:i/>
          <w:iCs/>
          <w:lang w:val="ru-RU"/>
        </w:rPr>
        <w:t>——在我们神和主耶稣基督面前，他将在他显现和他的国度里审判活人死人</w:t>
      </w:r>
      <w:r w:rsidRPr="006A21F9">
        <w:rPr>
          <w:lang w:val="ru-RU"/>
        </w:rPr>
        <w:t xml:space="preserve">（提后4:1）： </w:t>
      </w:r>
      <w:r w:rsidRPr="006A21F9">
        <w:rPr>
          <w:i/>
          <w:iCs/>
          <w:lang w:val="ru-RU"/>
        </w:rPr>
        <w:t>祂是神所设立的，审判活人死人的</w:t>
      </w:r>
      <w:r w:rsidRPr="006A21F9">
        <w:rPr>
          <w:lang w:val="ru-RU"/>
        </w:rPr>
        <w:t>（使徒行传 10:42）；</w:t>
      </w:r>
      <w:r w:rsidRPr="006A21F9">
        <w:rPr>
          <w:b/>
          <w:bCs/>
          <w:lang w:val="ru-RU"/>
        </w:rPr>
        <w:t>b)</w:t>
      </w:r>
      <w:r w:rsidRPr="006A21F9">
        <w:rPr>
          <w:lang w:val="ru-RU"/>
        </w:rPr>
        <w:t xml:space="preserve"> 义人和恶人：</w:t>
      </w:r>
      <w:r w:rsidRPr="006A21F9">
        <w:rPr>
          <w:i/>
          <w:iCs/>
          <w:lang w:val="ru-RU"/>
        </w:rPr>
        <w:t>因为我们众人必要在基督的审判台前显露出来，叫各人按着自己活在肉体中所行的</w:t>
      </w:r>
      <w:r w:rsidRPr="006A21F9">
        <w:rPr>
          <w:lang w:val="ru-RU"/>
        </w:rPr>
        <w:t>，</w:t>
      </w:r>
      <w:r w:rsidRPr="006A21F9">
        <w:rPr>
          <w:i/>
          <w:iCs/>
          <w:lang w:val="ru-RU"/>
        </w:rPr>
        <w:t>或善</w:t>
      </w:r>
      <w:r w:rsidRPr="006A21F9">
        <w:rPr>
          <w:lang w:val="ru-RU"/>
        </w:rPr>
        <w:lastRenderedPageBreak/>
        <w:t>或恶，受</w:t>
      </w:r>
      <w:r w:rsidRPr="006A21F9">
        <w:rPr>
          <w:i/>
          <w:iCs/>
          <w:lang w:val="ru-RU"/>
        </w:rPr>
        <w:t>报</w:t>
      </w:r>
      <w:r w:rsidRPr="006A21F9">
        <w:rPr>
          <w:lang w:val="ru-RU"/>
        </w:rPr>
        <w:t>（哥林多后书 5:10）；参见 （约5:29）；（罗2:6-7）]；</w:t>
      </w:r>
      <w:r>
        <w:rPr>
          <w:rStyle w:val="FootnoteReference"/>
        </w:rPr>
        <w:footnoteReference w:id="2009"/>
      </w:r>
      <w:r w:rsidRPr="006A21F9">
        <w:rPr>
          <w:lang w:val="ru-RU"/>
        </w:rPr>
        <w:t xml:space="preserve"> </w:t>
      </w:r>
      <w:r w:rsidRPr="006A21F9">
        <w:rPr>
          <w:b/>
          <w:bCs/>
          <w:lang w:val="ru-RU"/>
        </w:rPr>
        <w:t>c)</w:t>
      </w:r>
      <w:r w:rsidRPr="006A21F9">
        <w:rPr>
          <w:lang w:val="ru-RU"/>
        </w:rPr>
        <w:t xml:space="preserve"> 不仅包括所有的人，还包括堕落的灵体；据使徒的见证，神不会宽恕他们，而是将他们捆绑在黑暗之中，交由受苦的守护者审判 [(彼后2:4)；引自 （犹大书 6）]。</w:t>
      </w:r>
    </w:p>
    <w:p w14:paraId="33D2BE16" w14:textId="77777777" w:rsidR="00BE1885" w:rsidRPr="006A21F9" w:rsidRDefault="00BE1885" w:rsidP="00BE1885">
      <w:pPr>
        <w:ind w:firstLine="708"/>
        <w:rPr>
          <w:lang w:val="ru-RU"/>
        </w:rPr>
      </w:pPr>
      <w:r w:rsidRPr="006A21F9">
        <w:rPr>
          <w:b/>
          <w:bCs/>
          <w:lang w:val="ru-RU"/>
        </w:rPr>
        <w:t>4)</w:t>
      </w:r>
      <w:r w:rsidRPr="006A21F9">
        <w:rPr>
          <w:lang w:val="ru-RU"/>
        </w:rPr>
        <w:t xml:space="preserve"> 审判的对象。审判的对象</w:t>
      </w:r>
      <w:r w:rsidRPr="006A21F9">
        <w:rPr>
          <w:b/>
          <w:bCs/>
          <w:lang w:val="ru-RU"/>
        </w:rPr>
        <w:t>将是——a)</w:t>
      </w:r>
      <w:r w:rsidRPr="006A21F9">
        <w:rPr>
          <w:lang w:val="ru-RU"/>
        </w:rPr>
        <w:t xml:space="preserve"> 不仅是人的行为：因为主必按各人的行为报应各人 [(罗 2:6)；引自 (林后 5:10)；(犹 15)]；</w:t>
      </w:r>
      <w:r>
        <w:rPr>
          <w:rStyle w:val="FootnoteReference"/>
        </w:rPr>
        <w:footnoteReference w:id="2010"/>
      </w:r>
      <w:r w:rsidRPr="006A21F9">
        <w:rPr>
          <w:lang w:val="ru-RU"/>
        </w:rPr>
        <w:t xml:space="preserve"> </w:t>
      </w:r>
      <w:r w:rsidRPr="006A21F9">
        <w:rPr>
          <w:b/>
          <w:bCs/>
          <w:lang w:val="ru-RU"/>
        </w:rPr>
        <w:t>b)</w:t>
      </w:r>
      <w:r w:rsidRPr="006A21F9">
        <w:rPr>
          <w:lang w:val="ru-RU"/>
        </w:rPr>
        <w:t xml:space="preserve"> 还有言语：</w:t>
      </w:r>
      <w:r w:rsidRPr="006A21F9">
        <w:rPr>
          <w:i/>
          <w:iCs/>
          <w:lang w:val="ru-RU"/>
        </w:rPr>
        <w:t>我告诉你们，人所说的每一句无益的话，在审判日都要为此交账</w:t>
      </w:r>
      <w:r w:rsidRPr="006A21F9">
        <w:rPr>
          <w:lang w:val="ru-RU"/>
        </w:rPr>
        <w:t xml:space="preserve">（太 12:36）； </w:t>
      </w:r>
      <w:r w:rsidRPr="006A21F9">
        <w:rPr>
          <w:b/>
          <w:bCs/>
          <w:lang w:val="ru-RU"/>
        </w:rPr>
        <w:t>c)</w:t>
      </w:r>
      <w:r w:rsidRPr="006A21F9">
        <w:rPr>
          <w:lang w:val="ru-RU"/>
        </w:rPr>
        <w:t xml:space="preserve"> 甚至 最隐秘的意念：</w:t>
      </w:r>
      <w:r w:rsidRPr="006A21F9">
        <w:rPr>
          <w:i/>
          <w:iCs/>
          <w:lang w:val="ru-RU"/>
        </w:rPr>
        <w:t xml:space="preserve">因为主必降临，祂要照亮隐藏在黑暗中的事，显明心中的意念，那时，各人必从神那里得着称赞 </w:t>
      </w:r>
      <w:r w:rsidRPr="006A21F9">
        <w:rPr>
          <w:lang w:val="ru-RU"/>
        </w:rPr>
        <w:t>[(林前 4:5)；参 (启 2:23)]。</w:t>
      </w:r>
      <w:r>
        <w:rPr>
          <w:rStyle w:val="FootnoteReference"/>
        </w:rPr>
        <w:footnoteReference w:id="2011"/>
      </w:r>
    </w:p>
    <w:p w14:paraId="36D314D4" w14:textId="77777777" w:rsidR="00BE1885" w:rsidRPr="006A21F9" w:rsidRDefault="00BE1885" w:rsidP="00BE1885">
      <w:pPr>
        <w:ind w:firstLine="708"/>
        <w:rPr>
          <w:lang w:val="ru-RU"/>
        </w:rPr>
      </w:pPr>
      <w:r w:rsidRPr="006A21F9">
        <w:rPr>
          <w:b/>
          <w:bCs/>
          <w:lang w:val="ru-RU"/>
        </w:rPr>
        <w:t xml:space="preserve">5) </w:t>
      </w:r>
      <w:r w:rsidRPr="006A21F9">
        <w:rPr>
          <w:lang w:val="ru-RU"/>
        </w:rPr>
        <w:t>将义人与罪人分开。</w:t>
      </w:r>
      <w:r w:rsidRPr="006A21F9">
        <w:rPr>
          <w:i/>
          <w:iCs/>
          <w:lang w:val="ru-RU"/>
        </w:rPr>
        <w:t>……他要把他们彼此分开，就像牧人把绵羊和山羊分开一样；把绵羊安置在自己的右边，把山羊安置在左边</w:t>
      </w:r>
      <w:r w:rsidRPr="006A21F9">
        <w:rPr>
          <w:lang w:val="ru-RU"/>
        </w:rPr>
        <w:t>（太25:32-33）。</w:t>
      </w:r>
    </w:p>
    <w:p w14:paraId="5AD2E3C1" w14:textId="77777777" w:rsidR="00BE1885" w:rsidRPr="006A21F9" w:rsidRDefault="00BE1885" w:rsidP="00BE1885">
      <w:pPr>
        <w:ind w:firstLine="708"/>
        <w:rPr>
          <w:lang w:val="ru-RU"/>
        </w:rPr>
      </w:pPr>
      <w:r w:rsidRPr="006A21F9">
        <w:rPr>
          <w:b/>
          <w:bCs/>
          <w:lang w:val="ru-RU"/>
        </w:rPr>
        <w:t>6)</w:t>
      </w:r>
      <w:r w:rsidRPr="006A21F9">
        <w:rPr>
          <w:lang w:val="ru-RU"/>
        </w:rPr>
        <w:t xml:space="preserve"> 审判者对两类人宣判。那时，王要对站在他右边的人说：</w:t>
      </w:r>
      <w:r w:rsidRPr="006A21F9">
        <w:rPr>
          <w:i/>
          <w:iCs/>
          <w:lang w:val="ru-RU"/>
        </w:rPr>
        <w:t>那时，王要对站在他右边的人说：“你们这蒙我父赐福的，可来承受那为你们预备的国度，这国度是从创世以来就为你们预备的</w:t>
      </w:r>
      <w:r w:rsidRPr="006A21F9">
        <w:rPr>
          <w:lang w:val="ru-RU"/>
        </w:rPr>
        <w:t>”（太25:34）…… 那时，祂又对站在祂</w:t>
      </w:r>
      <w:r w:rsidRPr="006A21F9">
        <w:rPr>
          <w:i/>
          <w:iCs/>
          <w:lang w:val="ru-RU"/>
        </w:rPr>
        <w:t>左边的人说：“你们这些受咒诅的人，离开我，进入那为魔鬼和他的使者所预备的永火里去吧”</w:t>
      </w:r>
      <w:r w:rsidRPr="006A21F9">
        <w:rPr>
          <w:lang w:val="ru-RU"/>
        </w:rPr>
        <w:t>（马太福音25:41）。</w:t>
      </w:r>
    </w:p>
    <w:p w14:paraId="67783BAD" w14:textId="77777777" w:rsidR="00BE1885" w:rsidRPr="006A21F9" w:rsidRDefault="00BE1885" w:rsidP="00BE1885">
      <w:pPr>
        <w:rPr>
          <w:lang w:val="ru-RU"/>
        </w:rPr>
      </w:pPr>
      <w:r w:rsidRPr="006A21F9">
        <w:rPr>
          <w:lang w:val="ru-RU"/>
        </w:rPr>
        <w:tab/>
        <w:t>圣父们和教会的导师们承认这一关于最后审判的描述无疑是真实的，并对此提出了自己的解释；</w:t>
      </w:r>
      <w:r>
        <w:rPr>
          <w:rStyle w:val="FootnoteReference"/>
        </w:rPr>
        <w:footnoteReference w:id="2012"/>
      </w:r>
      <w:r w:rsidRPr="006A21F9">
        <w:rPr>
          <w:lang w:val="ru-RU"/>
        </w:rPr>
        <w:t xml:space="preserve"> 但他们经常指出，不应将其中的所有细节都按字面意思或以人的方式来理解。 “圣经，”圣大巴西尔说，“以拟人化的方式呈现这一场景，并非因为审判者会向我们每个人提问，或向受审者提供答案，而是为了唤起我们的警醒，使我们不要忘记思考自己的称义之事。 很可能，某种不可言喻的力量会在顷刻之间，将我们一生中的所有作为，如同画卷一般，铭刻在我们灵魂的记忆中。如此，我们便会听见这话：</w:t>
      </w:r>
      <w:r w:rsidRPr="006A21F9">
        <w:rPr>
          <w:i/>
          <w:iCs/>
          <w:lang w:val="ru-RU"/>
        </w:rPr>
        <w:t>‘如今，他们的作为环绕着他们；它们在我面前</w:t>
      </w:r>
      <w:r w:rsidRPr="006A21F9">
        <w:rPr>
          <w:lang w:val="ru-RU"/>
        </w:rPr>
        <w:t>’（何西阿书 7:2）。 但以理书（但7:10）中提到的那些书卷，其含义无非是：主在人的记忆中唤起一切所行之事的影像，使每个人都能回想自己的作为，并让我们看清自己因何而受惩罚。”</w:t>
      </w:r>
      <w:r>
        <w:rPr>
          <w:rStyle w:val="FootnoteReference"/>
        </w:rPr>
        <w:footnoteReference w:id="2013"/>
      </w:r>
      <w:r w:rsidRPr="006A21F9">
        <w:rPr>
          <w:lang w:val="ru-RU"/>
        </w:rPr>
        <w:t xml:space="preserve"> “不应以为主的再来是局限于某地且属肉身的，而应当期待祂在父的荣耀中，突然降临于整个宇宙。”</w:t>
      </w:r>
      <w:r>
        <w:rPr>
          <w:rStyle w:val="FootnoteReference"/>
        </w:rPr>
        <w:lastRenderedPageBreak/>
        <w:footnoteReference w:id="2014"/>
      </w:r>
      <w:r w:rsidRPr="006A21F9">
        <w:rPr>
          <w:lang w:val="ru-RU"/>
        </w:rPr>
        <w:t xml:space="preserve"> “不应以为每个人要花很长时间才能看见自己和自己的行为；审判者以及上帝审判的结果，将以不可言喻的力量，在瞬间呈现在人的心中，这一切都会鲜活地展现在眼前，而在灵魂的深处，仿佛在镜子中，他将看见自己所行之事的影像。”</w:t>
      </w:r>
      <w:r>
        <w:rPr>
          <w:rStyle w:val="FootnoteReference"/>
        </w:rPr>
        <w:footnoteReference w:id="2015"/>
      </w:r>
    </w:p>
    <w:p w14:paraId="0A96508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w:t>
      </w:r>
      <w:r w:rsidRPr="006A21F9">
        <w:rPr>
          <w:lang w:val="ru-RU"/>
        </w:rPr>
        <w:t xml:space="preserve"> 根据对世界末日审判的这一描绘，我们可以推断出该审判的性质。显然，它将具有以下特征：</w:t>
      </w:r>
    </w:p>
    <w:p w14:paraId="439B8450" w14:textId="77777777" w:rsidR="00BE1885" w:rsidRPr="006A21F9" w:rsidRDefault="00BE1885" w:rsidP="00BE1885">
      <w:pPr>
        <w:ind w:firstLine="708"/>
        <w:rPr>
          <w:lang w:val="ru-RU"/>
        </w:rPr>
      </w:pPr>
      <w:r w:rsidRPr="006A21F9">
        <w:rPr>
          <w:b/>
          <w:bCs/>
          <w:lang w:val="ru-RU"/>
        </w:rPr>
        <w:t>1)</w:t>
      </w:r>
      <w:r w:rsidRPr="006A21F9">
        <w:rPr>
          <w:i/>
          <w:iCs/>
          <w:lang w:val="ru-RU"/>
        </w:rPr>
        <w:t xml:space="preserve"> 普世的</w:t>
      </w:r>
      <w:r w:rsidRPr="006A21F9">
        <w:rPr>
          <w:lang w:val="ru-RU"/>
        </w:rPr>
        <w:t>：因为它将涵盖所有的人，无论是活着的还是已死的，善良的还是邪恶的，甚至包括堕落的天使本身：那时，主将审判整个宇宙（使徒行传 17:31）。</w:t>
      </w:r>
      <w:r>
        <w:rPr>
          <w:rStyle w:val="FootnoteReference"/>
        </w:rPr>
        <w:footnoteReference w:id="2016"/>
      </w:r>
    </w:p>
    <w:p w14:paraId="402FB8EB" w14:textId="77777777" w:rsidR="00BE1885" w:rsidRPr="006A21F9" w:rsidRDefault="00BE1885" w:rsidP="00BE1885">
      <w:pPr>
        <w:ind w:firstLine="708"/>
        <w:rPr>
          <w:lang w:val="ru-RU"/>
        </w:rPr>
      </w:pPr>
      <w:r w:rsidRPr="006A21F9">
        <w:rPr>
          <w:b/>
          <w:bCs/>
          <w:lang w:val="ru-RU"/>
        </w:rPr>
        <w:t>2)</w:t>
      </w:r>
      <w:r w:rsidRPr="006A21F9">
        <w:rPr>
          <w:i/>
          <w:iCs/>
          <w:lang w:val="ru-RU"/>
        </w:rPr>
        <w:t xml:space="preserve"> 庄严而公开的</w:t>
      </w:r>
      <w:r w:rsidRPr="006A21F9">
        <w:rPr>
          <w:lang w:val="ru-RU"/>
        </w:rPr>
        <w:t>：因为审判者将带着祂全部的荣耀，与众圣天使一同显现，并在整个世界——包括天上、地上和阴间——的众目睽睽之下进行审判。</w:t>
      </w:r>
      <w:r>
        <w:rPr>
          <w:rStyle w:val="FootnoteReference"/>
        </w:rPr>
        <w:footnoteReference w:id="2017"/>
      </w:r>
    </w:p>
    <w:p w14:paraId="01D5F0A2" w14:textId="77777777" w:rsidR="00BE1885" w:rsidRPr="006A21F9" w:rsidRDefault="00BE1885" w:rsidP="00BE1885">
      <w:pPr>
        <w:ind w:firstLine="708"/>
        <w:rPr>
          <w:lang w:val="ru-RU"/>
        </w:rPr>
      </w:pPr>
      <w:r w:rsidRPr="006A21F9">
        <w:rPr>
          <w:b/>
          <w:bCs/>
          <w:lang w:val="ru-RU"/>
        </w:rPr>
        <w:t>3)</w:t>
      </w:r>
      <w:r w:rsidRPr="006A21F9">
        <w:rPr>
          <w:i/>
          <w:iCs/>
          <w:lang w:val="ru-RU"/>
        </w:rPr>
        <w:t xml:space="preserve"> 严厉而可畏的</w:t>
      </w:r>
      <w:r w:rsidRPr="006A21F9">
        <w:rPr>
          <w:lang w:val="ru-RU"/>
        </w:rPr>
        <w:t>：因为审判将完全依据神的公义进行，且仅凭公义；那日将是神的忿怒之日，也是神公义审判显明之日（罗马书 2:5）。</w:t>
      </w:r>
      <w:r>
        <w:rPr>
          <w:rStyle w:val="FootnoteReference"/>
        </w:rPr>
        <w:footnoteReference w:id="2018"/>
      </w:r>
    </w:p>
    <w:p w14:paraId="077D217D" w14:textId="77777777" w:rsidR="00BE1885" w:rsidRPr="006A21F9" w:rsidRDefault="00BE1885" w:rsidP="00BE1885">
      <w:pPr>
        <w:ind w:firstLine="708"/>
        <w:rPr>
          <w:lang w:val="ru-RU"/>
        </w:rPr>
      </w:pPr>
      <w:r w:rsidRPr="006A21F9">
        <w:rPr>
          <w:b/>
          <w:bCs/>
          <w:lang w:val="ru-RU"/>
        </w:rPr>
        <w:t>4)</w:t>
      </w:r>
      <w:r w:rsidRPr="006A21F9">
        <w:rPr>
          <w:i/>
          <w:iCs/>
          <w:lang w:val="ru-RU"/>
        </w:rPr>
        <w:t xml:space="preserve"> 决断的与最终的</w:t>
      </w:r>
      <w:r w:rsidRPr="006A21F9">
        <w:rPr>
          <w:lang w:val="ru-RU"/>
        </w:rPr>
        <w:t>：因为它将不可改变地决定每位受审者永恒的归宿（太25:46）。</w:t>
      </w:r>
    </w:p>
    <w:p w14:paraId="667A7973" w14:textId="77777777" w:rsidR="00BE1885" w:rsidRPr="006A21F9" w:rsidRDefault="00BE1885" w:rsidP="00BE1885">
      <w:pPr>
        <w:rPr>
          <w:lang w:val="ru-RU"/>
        </w:rPr>
      </w:pPr>
      <w:r w:rsidRPr="006A21F9">
        <w:rPr>
          <w:lang w:val="ru-RU"/>
        </w:rPr>
        <w:tab/>
      </w:r>
    </w:p>
    <w:p w14:paraId="039214BA" w14:textId="77777777" w:rsidR="00BE1885" w:rsidRPr="006A21F9" w:rsidRDefault="00BE1885" w:rsidP="00BE1885">
      <w:pPr>
        <w:pStyle w:val="Heading5"/>
        <w:rPr>
          <w:lang w:val="ru-RU"/>
        </w:rPr>
      </w:pPr>
      <w:bookmarkStart w:id="1214" w:name="_Toc133143045"/>
      <w:bookmarkStart w:id="1215" w:name="_Toc133166402"/>
      <w:bookmarkStart w:id="1216" w:name="_Toc182221612"/>
      <w:bookmarkStart w:id="1217" w:name="_Toc238453179"/>
      <w:bookmarkStart w:id="1218" w:name="_Toc238453979"/>
      <w:bookmarkStart w:id="1219" w:name="_Toc238576639"/>
      <w:r w:rsidRPr="006A21F9">
        <w:rPr>
          <w:bCs/>
          <w:lang w:val="ru-RU"/>
        </w:rPr>
        <w:t>§266.</w:t>
      </w:r>
      <w:r w:rsidRPr="006A21F9">
        <w:rPr>
          <w:lang w:val="ru-RU"/>
        </w:rPr>
        <w:t xml:space="preserve"> 末日审判的伴随情况：</w:t>
      </w:r>
      <w:r w:rsidRPr="006A21F9">
        <w:rPr>
          <w:bCs/>
          <w:lang w:val="ru-RU"/>
        </w:rPr>
        <w:t>a)</w:t>
      </w:r>
      <w:r w:rsidRPr="006A21F9">
        <w:rPr>
          <w:lang w:val="ru-RU"/>
        </w:rPr>
        <w:t xml:space="preserve"> 世界的终结</w:t>
      </w:r>
      <w:bookmarkEnd w:id="1214"/>
      <w:bookmarkEnd w:id="1215"/>
      <w:bookmarkEnd w:id="1216"/>
      <w:bookmarkEnd w:id="1217"/>
      <w:bookmarkEnd w:id="1218"/>
      <w:bookmarkEnd w:id="1219"/>
    </w:p>
    <w:p w14:paraId="1631D39A" w14:textId="77777777" w:rsidR="00BE1885" w:rsidRPr="006A21F9" w:rsidRDefault="00BE1885" w:rsidP="00BE1885">
      <w:pPr>
        <w:ind w:firstLine="708"/>
        <w:rPr>
          <w:lang w:val="ru-RU"/>
        </w:rPr>
      </w:pPr>
      <w:r w:rsidRPr="006A21F9">
        <w:rPr>
          <w:lang w:val="ru-RU"/>
        </w:rPr>
        <w:t>在那个将要举行上帝对全世界最后审判的末日，世界的终结也将随之而来。</w:t>
      </w:r>
    </w:p>
    <w:p w14:paraId="108F7E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圣经中明确指出了：</w:t>
      </w:r>
      <w:r w:rsidRPr="006A21F9">
        <w:rPr>
          <w:b/>
          <w:bCs/>
          <w:lang w:val="ru-RU"/>
        </w:rPr>
        <w:t>a)</w:t>
      </w:r>
      <w:r w:rsidRPr="006A21F9">
        <w:rPr>
          <w:lang w:val="ru-RU"/>
        </w:rPr>
        <w:t xml:space="preserve"> 这一未来事件的真实性或可靠性；</w:t>
      </w:r>
      <w:r w:rsidRPr="006A21F9">
        <w:rPr>
          <w:b/>
          <w:bCs/>
          <w:lang w:val="ru-RU"/>
        </w:rPr>
        <w:t>b)</w:t>
      </w:r>
      <w:r w:rsidRPr="006A21F9">
        <w:rPr>
          <w:lang w:val="ru-RU"/>
        </w:rPr>
        <w:t xml:space="preserve"> 其本质与形态；以及 </w:t>
      </w:r>
      <w:r w:rsidRPr="006A21F9">
        <w:rPr>
          <w:b/>
          <w:bCs/>
          <w:lang w:val="ru-RU"/>
        </w:rPr>
        <w:t>c)</w:t>
      </w:r>
      <w:r w:rsidRPr="006A21F9">
        <w:rPr>
          <w:lang w:val="ru-RU"/>
        </w:rPr>
        <w:t xml:space="preserve"> 它与末日审判的密切联系。</w:t>
      </w:r>
    </w:p>
    <w:p w14:paraId="6C073A53" w14:textId="77777777" w:rsidR="00BE1885" w:rsidRPr="006A21F9" w:rsidRDefault="00BE1885" w:rsidP="00BE1885">
      <w:pPr>
        <w:ind w:firstLine="708"/>
        <w:rPr>
          <w:lang w:val="ru-RU"/>
        </w:rPr>
      </w:pPr>
      <w:r w:rsidRPr="006A21F9">
        <w:rPr>
          <w:b/>
          <w:bCs/>
          <w:lang w:val="ru-RU"/>
        </w:rPr>
        <w:t>1)</w:t>
      </w:r>
      <w:r w:rsidRPr="006A21F9">
        <w:rPr>
          <w:lang w:val="ru-RU"/>
        </w:rPr>
        <w:t xml:space="preserve"> 真实性。现存的世界终将走向终结</w:t>
      </w:r>
      <w:r w:rsidRPr="006A21F9">
        <w:rPr>
          <w:b/>
          <w:bCs/>
          <w:lang w:val="ru-RU"/>
        </w:rPr>
        <w:t>，这一点——a)</w:t>
      </w:r>
      <w:r w:rsidRPr="006A21F9">
        <w:rPr>
          <w:lang w:val="ru-RU"/>
        </w:rPr>
        <w:t xml:space="preserve"> 早在旧约中，诗人就曾向神呼求时预言道： </w:t>
      </w:r>
      <w:r w:rsidRPr="006A21F9">
        <w:rPr>
          <w:i/>
          <w:iCs/>
          <w:lang w:val="ru-RU"/>
        </w:rPr>
        <w:t>“起初，[耶和华啊，]你立定了大地；诸天是你手所造的；它们都要灭亡，惟有你长存；它们都要像外衣一样朽坏，你也要像更换衣服一样更换它们”</w:t>
      </w:r>
      <w:r w:rsidRPr="006A21F9">
        <w:rPr>
          <w:lang w:val="ru-RU"/>
        </w:rPr>
        <w:t xml:space="preserve">（诗篇101:26-27）； </w:t>
      </w:r>
      <w:r w:rsidRPr="006A21F9">
        <w:rPr>
          <w:b/>
          <w:bCs/>
          <w:lang w:val="ru-RU"/>
        </w:rPr>
        <w:t xml:space="preserve">b) </w:t>
      </w:r>
      <w:r w:rsidRPr="006A21F9">
        <w:rPr>
          <w:lang w:val="ru-RU"/>
        </w:rPr>
        <w:t>在新约中，救主基督亲自作证，他说：“</w:t>
      </w:r>
      <w:r w:rsidRPr="006A21F9">
        <w:rPr>
          <w:i/>
          <w:iCs/>
          <w:lang w:val="ru-RU"/>
        </w:rPr>
        <w:t>天地</w:t>
      </w:r>
      <w:r w:rsidRPr="006A21F9">
        <w:rPr>
          <w:lang w:val="ru-RU"/>
        </w:rPr>
        <w:t>都要过去”（《马太福音》24:35；参见《马太福音》5:18），并向门徒应许：</w:t>
      </w:r>
      <w:r w:rsidRPr="006A21F9">
        <w:rPr>
          <w:i/>
          <w:iCs/>
          <w:lang w:val="ru-RU"/>
        </w:rPr>
        <w:t>“看哪，我常与你们同在，直到世界的末了</w:t>
      </w:r>
      <w:r w:rsidRPr="006A21F9">
        <w:rPr>
          <w:lang w:val="ru-RU"/>
        </w:rPr>
        <w:t>”（《马太福音》28:20）。 世界末日将恰恰发生在末日审判之日，这一点可从以下方面看出：</w:t>
      </w:r>
      <w:r w:rsidRPr="006A21F9">
        <w:rPr>
          <w:b/>
          <w:bCs/>
          <w:lang w:val="ru-RU"/>
        </w:rPr>
        <w:t>a)</w:t>
      </w:r>
      <w:r w:rsidRPr="006A21F9">
        <w:rPr>
          <w:lang w:val="ru-RU"/>
        </w:rPr>
        <w:t xml:space="preserve"> 救主在“种子”的比喻中曾说</w:t>
      </w:r>
      <w:r w:rsidRPr="006A21F9">
        <w:rPr>
          <w:i/>
          <w:iCs/>
          <w:lang w:val="ru-RU"/>
        </w:rPr>
        <w:t xml:space="preserve">：“收割就是世界的终结，收割者就是天使。” 因此，正如人把稗子捡出来用火烧掉一样，在本世末了的时候……天使们要出来，把恶人从义人中间分别出来 </w:t>
      </w:r>
      <w:r w:rsidRPr="006A21F9">
        <w:rPr>
          <w:lang w:val="ru-RU"/>
        </w:rPr>
        <w:t>[(太 13:39-40, 49)；引自 （太24:29）]；</w:t>
      </w:r>
      <w:r w:rsidRPr="006A21F9">
        <w:rPr>
          <w:b/>
          <w:bCs/>
          <w:lang w:val="ru-RU"/>
        </w:rPr>
        <w:t>b)</w:t>
      </w:r>
      <w:r w:rsidRPr="006A21F9">
        <w:rPr>
          <w:lang w:val="ru-RU"/>
        </w:rPr>
        <w:t xml:space="preserve"> </w:t>
      </w:r>
      <w:r w:rsidRPr="006A21F9">
        <w:rPr>
          <w:lang w:val="ru-RU"/>
        </w:rPr>
        <w:lastRenderedPageBreak/>
        <w:t>根据圣使徒彼得的话：</w:t>
      </w:r>
      <w:r w:rsidRPr="006A21F9">
        <w:rPr>
          <w:i/>
          <w:iCs/>
          <w:lang w:val="ru-RU"/>
        </w:rPr>
        <w:t>现在的天地，仍凭那同一道被保存着，留待审判之日，用火焚烧，使不敬虔的人灭亡</w:t>
      </w:r>
      <w:r w:rsidRPr="006A21F9">
        <w:rPr>
          <w:lang w:val="ru-RU"/>
        </w:rPr>
        <w:t>（彼后3:7）。</w:t>
      </w:r>
    </w:p>
    <w:p w14:paraId="6C556581" w14:textId="77777777" w:rsidR="00BE1885" w:rsidRPr="006A21F9" w:rsidRDefault="00BE1885" w:rsidP="00BE1885">
      <w:pPr>
        <w:ind w:firstLine="708"/>
        <w:rPr>
          <w:lang w:val="ru-RU"/>
        </w:rPr>
      </w:pPr>
      <w:r w:rsidRPr="006A21F9">
        <w:rPr>
          <w:b/>
          <w:bCs/>
          <w:lang w:val="ru-RU"/>
        </w:rPr>
        <w:t xml:space="preserve">2) </w:t>
      </w:r>
      <w:r w:rsidRPr="006A21F9">
        <w:rPr>
          <w:lang w:val="ru-RU"/>
        </w:rPr>
        <w:t>本质与形象。世界的终结并非意味着它会彻底毁灭和消亡，而是指它将通过火而改变并焕然一新。 《诗篇》的作者曾说，现今的天地</w:t>
      </w:r>
      <w:r w:rsidRPr="006A21F9">
        <w:rPr>
          <w:i/>
          <w:iCs/>
          <w:lang w:val="ru-RU"/>
        </w:rPr>
        <w:t>都要消亡</w:t>
      </w:r>
      <w:r w:rsidRPr="006A21F9">
        <w:rPr>
          <w:lang w:val="ru-RU"/>
        </w:rPr>
        <w:t>；但他随后阐明了自己的意思：</w:t>
      </w:r>
      <w:r w:rsidRPr="006A21F9">
        <w:rPr>
          <w:i/>
          <w:iCs/>
          <w:lang w:val="ru-RU"/>
        </w:rPr>
        <w:t>它们将像旧衣一样，逐渐破旧并发生改变</w:t>
      </w:r>
      <w:r w:rsidRPr="006A21F9">
        <w:rPr>
          <w:lang w:val="ru-RU"/>
        </w:rPr>
        <w:t>（《诗篇》101:26-27）。圣彼得也指出，</w:t>
      </w:r>
      <w:r w:rsidRPr="006A21F9">
        <w:rPr>
          <w:i/>
          <w:iCs/>
          <w:lang w:val="ru-RU"/>
        </w:rPr>
        <w:t>现今的天地正被保存下来</w:t>
      </w:r>
      <w:r w:rsidRPr="006A21F9">
        <w:rPr>
          <w:lang w:val="ru-RU"/>
        </w:rPr>
        <w:t>，</w:t>
      </w:r>
      <w:r w:rsidRPr="006A21F9">
        <w:rPr>
          <w:i/>
          <w:iCs/>
          <w:lang w:val="ru-RU"/>
        </w:rPr>
        <w:t>以备审判日之火</w:t>
      </w:r>
      <w:r w:rsidRPr="006A21F9">
        <w:rPr>
          <w:lang w:val="ru-RU"/>
        </w:rPr>
        <w:t xml:space="preserve">，并接着说： </w:t>
      </w:r>
      <w:r w:rsidRPr="006A21F9">
        <w:rPr>
          <w:i/>
          <w:iCs/>
          <w:lang w:val="ru-RU"/>
        </w:rPr>
        <w:t>“主的日子要像夜间的贼一样突然降临；那时，诸天必轰然消逝，诸元素因烈火而熔化，大地和其上的万物都要被烧尽</w:t>
      </w:r>
      <w:r w:rsidRPr="006A21F9">
        <w:rPr>
          <w:lang w:val="ru-RU"/>
        </w:rPr>
        <w:t>”；他还说：</w:t>
      </w:r>
      <w:r w:rsidRPr="006A21F9">
        <w:rPr>
          <w:i/>
          <w:iCs/>
          <w:lang w:val="ru-RU"/>
        </w:rPr>
        <w:t>“那时，被火焚烧的诸天必消逝，被烈火熔化的诸元素必化为</w:t>
      </w:r>
      <w:r w:rsidRPr="00FB3320">
        <w:rPr>
          <w:lang w:val="ru-RU"/>
        </w:rPr>
        <w:t>乌有</w:t>
      </w:r>
      <w:r w:rsidRPr="006A21F9">
        <w:rPr>
          <w:lang w:val="ru-RU"/>
        </w:rPr>
        <w:t>”[(彼得后书 3:7</w:t>
      </w:r>
      <w:r w:rsidRPr="00FB3320">
        <w:rPr>
          <w:lang w:val="ru-RU"/>
        </w:rPr>
        <w:t>)</w:t>
      </w:r>
      <w:r w:rsidRPr="006A21F9">
        <w:rPr>
          <w:lang w:val="ru-RU"/>
        </w:rPr>
        <w:t>， (《彼得后书》10-12)</w:t>
      </w:r>
      <w:r w:rsidRPr="00FB3320">
        <w:rPr>
          <w:lang w:val="ru-RU"/>
        </w:rPr>
        <w:t>]</w:t>
      </w:r>
      <w:r w:rsidRPr="006A21F9">
        <w:rPr>
          <w:lang w:val="ru-RU"/>
        </w:rPr>
        <w:t>；——但紧接着又补充道：</w:t>
      </w:r>
      <w:r w:rsidRPr="006A21F9">
        <w:rPr>
          <w:i/>
          <w:iCs/>
          <w:lang w:val="ru-RU"/>
        </w:rPr>
        <w:t>然而，我们照着祂的应许，正盼望新天新地，有公义住在其中</w:t>
      </w:r>
      <w:r w:rsidRPr="006A21F9">
        <w:rPr>
          <w:lang w:val="ru-RU"/>
        </w:rPr>
        <w:t>（《彼得后书》3:13）。 圣约翰·神学家确实</w:t>
      </w:r>
      <w:r w:rsidRPr="006A21F9">
        <w:rPr>
          <w:i/>
          <w:iCs/>
          <w:lang w:val="ru-RU"/>
        </w:rPr>
        <w:t>看见了新天新地，因为先前的天和地已经过去了</w:t>
      </w:r>
      <w:r w:rsidRPr="006A21F9">
        <w:rPr>
          <w:lang w:val="ru-RU"/>
        </w:rPr>
        <w:t>（启示录 21:1）。</w:t>
      </w:r>
    </w:p>
    <w:p w14:paraId="232400AC" w14:textId="77777777" w:rsidR="00BE1885" w:rsidRPr="006A21F9" w:rsidRDefault="00BE1885" w:rsidP="00BE1885">
      <w:pPr>
        <w:ind w:firstLine="708"/>
        <w:rPr>
          <w:lang w:val="ru-RU"/>
        </w:rPr>
      </w:pPr>
      <w:r w:rsidRPr="006A21F9">
        <w:rPr>
          <w:b/>
          <w:bCs/>
          <w:lang w:val="ru-RU"/>
        </w:rPr>
        <w:t>3)</w:t>
      </w:r>
      <w:r w:rsidRPr="006A21F9">
        <w:rPr>
          <w:lang w:val="ru-RU"/>
        </w:rPr>
        <w:t xml:space="preserve"> 与末日审判的密切联系。 圣使徒保罗用以下话语指出了这种联系</w:t>
      </w:r>
      <w:r w:rsidRPr="006A21F9">
        <w:rPr>
          <w:i/>
          <w:iCs/>
          <w:lang w:val="ru-RU"/>
        </w:rPr>
        <w:t>：“受造之物热切盼望着神儿女的显现，因为受造之物并非自愿地服在虚空之下，而是因那使它服从者的旨意，盼望受造之物自己也能从败坏的奴役中得释放，进入神儿女荣耀的自由</w:t>
      </w:r>
      <w:r w:rsidRPr="006A21F9">
        <w:rPr>
          <w:lang w:val="ru-RU"/>
        </w:rPr>
        <w:t>中”（罗</w:t>
      </w:r>
      <w:r w:rsidRPr="006A21F9">
        <w:rPr>
          <w:rFonts w:cs="Cambria Math"/>
          <w:lang w:val="ru-RU"/>
        </w:rPr>
        <w:t xml:space="preserve"> </w:t>
      </w:r>
      <w:r w:rsidRPr="006A21F9">
        <w:rPr>
          <w:lang w:val="ru-RU"/>
        </w:rPr>
        <w:t>8:19-21）。由于人类的堕落，万物不由自主地服在朽坏的权下，与我们一同叹息、一同受苦（罗8:22）。当人类恢复的工作结束之时：那时，根据同一律法，万物也必从其劳苦中得释放，并彻底脱离罪带来的毁灭性后果。 但人类的恢复之工将以普世审判为终结，届时便会显明神的儿女。因此，与此同时，受造之物本身也必从朽坏的劳苦中得释放，进入神儿女荣耀的自由之中；整个物质世界必从人类罪恶的毁灭性后果中得洁净，并得以更新。 正是这种世界的更新，将在末日借着火得以实现，以致在新天新地中，将不再有任何罪恶，唯有真理存留（彼得后书 2:13）。</w:t>
      </w:r>
    </w:p>
    <w:p w14:paraId="373A953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关于世界终结的所有上述思想，也曾由圣父们和教会的导师们所宣讲。例如：</w:t>
      </w:r>
    </w:p>
    <w:p w14:paraId="5D7BF4F7" w14:textId="77777777" w:rsidR="00BE1885" w:rsidRPr="006A21F9" w:rsidRDefault="00BE1885" w:rsidP="00BE1885">
      <w:pPr>
        <w:rPr>
          <w:lang w:val="ru-RU"/>
        </w:rPr>
      </w:pPr>
      <w:r w:rsidRPr="006A21F9">
        <w:rPr>
          <w:lang w:val="ru-RU"/>
        </w:rPr>
        <w:tab/>
        <w:t>圣爱任纽：“被造之物的本质和实体并不会被废除（因为创造它的那位是真实而大能的），但这个世界的形态——即发生混乱的那部分——将会过去……当这种形态过去，人得以更新并复活，免于朽坏时，新天新地便会显现。</w:t>
      </w:r>
      <w:r>
        <w:rPr>
          <w:rStyle w:val="FootnoteReference"/>
        </w:rPr>
        <w:footnoteReference w:id="2019"/>
      </w:r>
    </w:p>
    <w:p w14:paraId="77717D38" w14:textId="77777777" w:rsidR="00BE1885" w:rsidRPr="006A21F9" w:rsidRDefault="00BE1885" w:rsidP="00BE1885">
      <w:pPr>
        <w:rPr>
          <w:lang w:val="ru-RU"/>
        </w:rPr>
      </w:pPr>
      <w:r w:rsidRPr="006A21F9">
        <w:rPr>
          <w:lang w:val="ru-RU"/>
        </w:rPr>
        <w:tab/>
        <w:t>圣基里尔·耶路撒冷：“我们的主耶稣基督将从天而降，在末日这世界终结之时，祂将带着荣耀降临。因为这世界必将终结，而受造的这世界将得以更新。 由于淫乱、偷盗、淫行以及各类罪恶在世上泛滥，‘血与血’（何西阿书4:2）在世上混杂在一起：为了不让这奇妙的受造物居所永远充满不法之事，这世界将过去，以便以更美好的面貌再次显现…… 主创造诸天，并非为了毁灭它们，而是为了以更美好的面貌再次显明它们。请听先知大卫的话：</w:t>
      </w:r>
      <w:r w:rsidRPr="006A21F9">
        <w:rPr>
          <w:i/>
          <w:iCs/>
          <w:lang w:val="ru-RU"/>
        </w:rPr>
        <w:t>起初，[主啊，]你立定了大地，诸天是你手所造的；它们必归于无有，惟有你永存</w:t>
      </w:r>
      <w:r w:rsidRPr="006A21F9">
        <w:rPr>
          <w:lang w:val="ru-RU"/>
        </w:rPr>
        <w:t>（诗篇101:26-27）。但有人会问：既然如此，他为何明确地说“必归于无有”？这从后文便可看出：</w:t>
      </w:r>
      <w:r w:rsidRPr="006A21F9">
        <w:rPr>
          <w:i/>
          <w:iCs/>
          <w:lang w:val="ru-RU"/>
        </w:rPr>
        <w:t>“它们都要像衣服一样朽坏，你也要像更换衣服一样更换它们，它们便会改变</w:t>
      </w:r>
      <w:r w:rsidRPr="006A21F9">
        <w:rPr>
          <w:lang w:val="ru-RU"/>
        </w:rPr>
        <w:t>。” 因为正如经上所言，人会死亡，正如所说</w:t>
      </w:r>
      <w:r w:rsidRPr="006A21F9">
        <w:rPr>
          <w:i/>
          <w:iCs/>
          <w:lang w:val="ru-RU"/>
        </w:rPr>
        <w:t>：“义人虽死，却无人放在</w:t>
      </w:r>
      <w:r w:rsidRPr="006A21F9">
        <w:rPr>
          <w:lang w:val="ru-RU"/>
        </w:rPr>
        <w:t>心上”（赛57:1），然而他仍在期待复活；同样，我们也期待着天地将有某种复活。”</w:t>
      </w:r>
      <w:r>
        <w:rPr>
          <w:rStyle w:val="FootnoteReference"/>
        </w:rPr>
        <w:footnoteReference w:id="2020"/>
      </w:r>
    </w:p>
    <w:p w14:paraId="57DDD736" w14:textId="77777777" w:rsidR="00BE1885" w:rsidRPr="006A21F9" w:rsidRDefault="00BE1885" w:rsidP="00BE1885">
      <w:pPr>
        <w:rPr>
          <w:lang w:val="ru-RU"/>
        </w:rPr>
      </w:pPr>
      <w:r w:rsidRPr="006A21F9">
        <w:rPr>
          <w:lang w:val="ru-RU"/>
        </w:rPr>
        <w:lastRenderedPageBreak/>
        <w:tab/>
        <w:t>大圣巴西尔：“关于世界终结与更新的教义，其预兆就在于如今在受神启示的教义开端中简要传给我们的那句话：‘起初，神创造了天地。’凡在时间中开始的，必然也在时间中结束。既然有暂时的开端，就不要怀疑它的终结…… 但他们（异教学者）却未能找到任何一种方法，既能理解上帝——这位宇宙的创造者、公义的审判者，祂会按各人的行为给予应得的报应——又能将源于审判概念的‘终结’之思纳入心智；因为世界必然会发生改变，即使灵魂的状态将转入另一种生命形态。 因为正如现世生活具有与这个世界相契合的特性一样，我们灵魂未来的存续也将获得与其状态相符的归宿。”</w:t>
      </w:r>
      <w:r>
        <w:rPr>
          <w:rStyle w:val="FootnoteReference"/>
        </w:rPr>
        <w:footnoteReference w:id="2021"/>
      </w:r>
    </w:p>
    <w:p w14:paraId="749614D8" w14:textId="77777777" w:rsidR="00BE1885" w:rsidRPr="006A21F9" w:rsidRDefault="00BE1885" w:rsidP="00BE1885">
      <w:pPr>
        <w:rPr>
          <w:lang w:val="ru-RU"/>
        </w:rPr>
      </w:pPr>
      <w:r w:rsidRPr="006A21F9">
        <w:rPr>
          <w:lang w:val="ru-RU"/>
        </w:rPr>
        <w:tab/>
        <w:t>圣杰罗姆：“《诗篇》101:27清楚地表明，世界的终结与毁灭并不意味着它化为乌有，而是向更好的方向转变。 同样，另一处经文所载：‘月亮的光必如日光’（以赛亚书 30:26），所指的并非旧有的毁灭，而是向更好的转变。让我们深思这一点：消逝的是表象，而非本质。圣彼得也表达了同样的意思（彼得后书 3:13）…… 他并非说：‘我们将看见另一个天和另一个地’，而是说：‘昔日和远古的天地将转变为更美好的’。”</w:t>
      </w:r>
      <w:r>
        <w:rPr>
          <w:rStyle w:val="FootnoteReference"/>
        </w:rPr>
        <w:footnoteReference w:id="2022"/>
      </w:r>
    </w:p>
    <w:p w14:paraId="3CAAA7B1" w14:textId="77777777" w:rsidR="00BE1885" w:rsidRPr="006A21F9" w:rsidRDefault="00BE1885" w:rsidP="00BE1885">
      <w:pPr>
        <w:rPr>
          <w:lang w:val="ru-RU"/>
        </w:rPr>
      </w:pPr>
      <w:r w:rsidRPr="006A21F9">
        <w:rPr>
          <w:lang w:val="ru-RU"/>
        </w:rPr>
        <w:tab/>
        <w:t>殉道者尤斯丁、阿提纳戈尔、塔齐安、安提阿的西奥菲勒、米努修斯·费利克斯、希波吕托斯、梅福迪乌斯等人也持同样教导。</w:t>
      </w:r>
      <w:r>
        <w:rPr>
          <w:rStyle w:val="FootnoteReference"/>
        </w:rPr>
        <w:footnoteReference w:id="2023"/>
      </w:r>
      <w:r w:rsidRPr="006A21F9">
        <w:rPr>
          <w:lang w:val="ru-RU"/>
        </w:rPr>
        <w:t xml:space="preserve"> 第五次大公会议在驳斥奥利金学派各种谬误的同时，也庄严地谴责了他们那种谬论，即物质世界不仅不会被改变，反而会彻底毁灭。</w:t>
      </w:r>
      <w:r>
        <w:rPr>
          <w:rStyle w:val="FootnoteReference"/>
        </w:rPr>
        <w:footnoteReference w:id="2024"/>
      </w:r>
    </w:p>
    <w:p w14:paraId="79F009A3" w14:textId="77777777" w:rsidR="00BE1885" w:rsidRPr="006A21F9" w:rsidRDefault="00BE1885" w:rsidP="00BE1885">
      <w:pPr>
        <w:rPr>
          <w:lang w:val="ru-RU"/>
        </w:rPr>
      </w:pPr>
      <w:r w:rsidRPr="006A21F9">
        <w:rPr>
          <w:lang w:val="ru-RU"/>
        </w:rPr>
        <w:tab/>
      </w:r>
    </w:p>
    <w:p w14:paraId="08AEB857" w14:textId="77777777" w:rsidR="00BE1885" w:rsidRPr="006A21F9" w:rsidRDefault="00BE1885" w:rsidP="00BE1885">
      <w:pPr>
        <w:pStyle w:val="Heading5"/>
        <w:rPr>
          <w:lang w:val="ru-RU"/>
        </w:rPr>
      </w:pPr>
      <w:bookmarkStart w:id="1220" w:name="_Toc133143046"/>
      <w:bookmarkStart w:id="1221" w:name="_Toc133166403"/>
      <w:bookmarkStart w:id="1222" w:name="_Toc182221613"/>
      <w:bookmarkStart w:id="1223" w:name="_Toc238453180"/>
      <w:bookmarkStart w:id="1224" w:name="_Toc238453980"/>
      <w:bookmarkStart w:id="1225" w:name="_Toc238576640"/>
      <w:r w:rsidRPr="006A21F9">
        <w:rPr>
          <w:bCs/>
          <w:lang w:val="ru-RU"/>
        </w:rPr>
        <w:t>§267. b)</w:t>
      </w:r>
      <w:r w:rsidRPr="006A21F9">
        <w:rPr>
          <w:lang w:val="ru-RU"/>
        </w:rPr>
        <w:t xml:space="preserve"> 基督恩典之国的终结与荣耀之国的开端；关于千禧年（即基督的千年王国）的注释</w:t>
      </w:r>
      <w:bookmarkEnd w:id="1220"/>
      <w:bookmarkEnd w:id="1221"/>
      <w:bookmarkEnd w:id="1222"/>
      <w:bookmarkEnd w:id="1223"/>
      <w:bookmarkEnd w:id="1224"/>
      <w:bookmarkEnd w:id="1225"/>
    </w:p>
    <w:p w14:paraId="31E29A7A" w14:textId="77777777" w:rsidR="00BE1885" w:rsidRPr="006A21F9" w:rsidRDefault="00BE1885" w:rsidP="00BE1885">
      <w:pPr>
        <w:ind w:firstLine="708"/>
        <w:rPr>
          <w:lang w:val="ru-RU"/>
        </w:rPr>
      </w:pPr>
      <w:r w:rsidRPr="006A21F9">
        <w:rPr>
          <w:lang w:val="ru-RU"/>
        </w:rPr>
        <w:t>随着物质世界的终结及其向一个崭新、更美好的世界的转变，基督恩典之国也将随之终结，而永恒的上帝国度——荣耀之国——将随之显现。</w:t>
      </w:r>
    </w:p>
    <w:p w14:paraId="5D4D0E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圣使徒保罗在谈到救主第二次降临时死人将复活的事时，曾给哥林多教会写信，明确表达了关于当时那蒙恩的基督国度终结的第一个想法： </w:t>
      </w:r>
      <w:r w:rsidRPr="006A21F9">
        <w:rPr>
          <w:i/>
          <w:iCs/>
          <w:lang w:val="ru-RU"/>
        </w:rPr>
        <w:t>正如在亚当里众人都死了，照样在基督里众人都要复活，各按次序：初熟的果子是基督，随后是属基督的人，在他再来之时。然后就是结局，那时他要把国度交与神，就是父，并废除一切执政的、掌权的、有能的。 因为祂必须作王，直到 将一切仇敌都置于祂的脚下。而最后的仇敌——死亡——也将被消灭</w:t>
      </w:r>
      <w:r w:rsidRPr="006A21F9">
        <w:rPr>
          <w:lang w:val="ru-RU"/>
        </w:rPr>
        <w:t>[(林前15:22-26)；参(太13:24-30, 39)]。 而这最后的仇敌，正是在以下时候被废除的：不仅所有的人都要复活，成为不朽的（林前15:52），而且</w:t>
      </w:r>
      <w:r w:rsidRPr="006A21F9">
        <w:rPr>
          <w:i/>
          <w:iCs/>
          <w:lang w:val="ru-RU"/>
        </w:rPr>
        <w:t>受造之物本身也将从朽坏的奴役中得释放，进入神儿女荣耀的自由</w:t>
      </w:r>
      <w:r w:rsidRPr="006A21F9">
        <w:rPr>
          <w:lang w:val="ru-RU"/>
        </w:rPr>
        <w:t>（罗8:21），并且当</w:t>
      </w:r>
      <w:r w:rsidRPr="006A21F9">
        <w:rPr>
          <w:i/>
          <w:iCs/>
          <w:lang w:val="ru-RU"/>
        </w:rPr>
        <w:t>经上所记的话应验之时：“死亡已被胜利吞灭。” 死亡啊！你的毒钩在哪里？阴间啊！你的胜利在哪里</w:t>
      </w:r>
      <w:r w:rsidRPr="006A21F9">
        <w:rPr>
          <w:lang w:val="ru-RU"/>
        </w:rPr>
        <w:t>（林前15:54-55）？</w:t>
      </w:r>
    </w:p>
    <w:p w14:paraId="7044E37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关于“恩典之国终结后，新的上帝国度——荣耀之国——将显现，主将与父神及圣灵一同在其中永远作王”这一观点，以下经文</w:t>
      </w:r>
      <w:r>
        <w:rPr>
          <w:rStyle w:val="FootnoteReference"/>
        </w:rPr>
        <w:footnoteReference w:id="2025"/>
      </w:r>
      <w:r w:rsidRPr="006A21F9">
        <w:rPr>
          <w:lang w:val="ru-RU"/>
        </w:rPr>
        <w:t xml:space="preserve"> 提供了佐证：</w:t>
      </w:r>
    </w:p>
    <w:p w14:paraId="1DD81B9D" w14:textId="77777777" w:rsidR="00BE1885" w:rsidRPr="006A21F9" w:rsidRDefault="00BE1885" w:rsidP="00BE1885">
      <w:pPr>
        <w:ind w:firstLine="708"/>
        <w:rPr>
          <w:lang w:val="ru-RU"/>
        </w:rPr>
      </w:pPr>
      <w:r w:rsidRPr="006A21F9">
        <w:rPr>
          <w:b/>
          <w:bCs/>
          <w:lang w:val="ru-RU"/>
        </w:rPr>
        <w:lastRenderedPageBreak/>
        <w:t>1) 一方面——a)</w:t>
      </w:r>
      <w:r w:rsidRPr="006A21F9">
        <w:rPr>
          <w:lang w:val="ru-RU"/>
        </w:rPr>
        <w:t xml:space="preserve"> 救主的话语：那时（即在末日审判之后，也就是恩典国度终结之后）</w:t>
      </w:r>
      <w:r w:rsidRPr="006A21F9">
        <w:rPr>
          <w:i/>
          <w:iCs/>
          <w:lang w:val="ru-RU"/>
        </w:rPr>
        <w:t>，义人要在他们天父的国度里发光，如同太阳一般</w:t>
      </w:r>
      <w:r w:rsidRPr="006A21F9">
        <w:rPr>
          <w:lang w:val="ru-RU"/>
        </w:rPr>
        <w:t xml:space="preserve">（太13:43），还有： </w:t>
      </w:r>
      <w:r w:rsidRPr="006A21F9">
        <w:rPr>
          <w:i/>
          <w:iCs/>
          <w:lang w:val="ru-RU"/>
        </w:rPr>
        <w:t>“你们看见亚伯拉罕、以撒、雅各和众先知都在神的国里，自己却被赶出去，那时，你们就要哀哭切齿了。那时，将有人从东、西、南、北四方来，在神的国里坐</w:t>
      </w:r>
      <w:r w:rsidRPr="006A21F9">
        <w:rPr>
          <w:lang w:val="ru-RU"/>
        </w:rPr>
        <w:t xml:space="preserve">席”（路加福音13:28-29）； </w:t>
      </w:r>
      <w:r w:rsidRPr="006A21F9">
        <w:rPr>
          <w:b/>
          <w:bCs/>
          <w:lang w:val="ru-RU"/>
        </w:rPr>
        <w:t>b)</w:t>
      </w:r>
      <w:r w:rsidRPr="006A21F9">
        <w:rPr>
          <w:lang w:val="ru-RU"/>
        </w:rPr>
        <w:t xml:space="preserve"> 圣使徒保罗的见证：在死人复活</w:t>
      </w:r>
      <w:r w:rsidRPr="006A21F9">
        <w:rPr>
          <w:i/>
          <w:iCs/>
          <w:lang w:val="ru-RU"/>
        </w:rPr>
        <w:t>之后，血肉之躯不能承受神的国</w:t>
      </w:r>
      <w:r w:rsidRPr="006A21F9">
        <w:rPr>
          <w:lang w:val="ru-RU"/>
        </w:rPr>
        <w:t>（林前15:50），</w:t>
      </w:r>
      <w:r w:rsidRPr="006A21F9">
        <w:rPr>
          <w:i/>
          <w:iCs/>
          <w:lang w:val="ru-RU"/>
        </w:rPr>
        <w:t>不义的人不能承受神的国</w:t>
      </w:r>
      <w:r w:rsidRPr="006A21F9">
        <w:rPr>
          <w:lang w:val="ru-RU"/>
        </w:rPr>
        <w:t>[（林前6:9）；参 （加拉太书 5:21）；（帖撒罗尼迦后书 1:5）]。</w:t>
      </w:r>
    </w:p>
    <w:p w14:paraId="06A80A6A" w14:textId="77777777" w:rsidR="00BE1885" w:rsidRPr="006A21F9" w:rsidRDefault="00BE1885" w:rsidP="00BE1885">
      <w:pPr>
        <w:ind w:firstLine="708"/>
        <w:rPr>
          <w:lang w:val="ru-RU"/>
        </w:rPr>
      </w:pPr>
      <w:r w:rsidRPr="006A21F9">
        <w:rPr>
          <w:b/>
          <w:bCs/>
          <w:lang w:val="ru-RU"/>
        </w:rPr>
        <w:t>2)</w:t>
      </w:r>
      <w:r w:rsidRPr="006A21F9">
        <w:rPr>
          <w:lang w:val="ru-RU"/>
        </w:rPr>
        <w:t xml:space="preserve"> 另一方面——以下经文：</w:t>
      </w:r>
      <w:r w:rsidRPr="006A21F9">
        <w:rPr>
          <w:b/>
          <w:bCs/>
          <w:lang w:val="ru-RU"/>
        </w:rPr>
        <w:t>a)</w:t>
      </w:r>
      <w:r w:rsidRPr="006A21F9">
        <w:rPr>
          <w:lang w:val="ru-RU"/>
        </w:rPr>
        <w:t xml:space="preserve"> 向圣母报喜的天使关于基督救主的话：</w:t>
      </w:r>
      <w:r w:rsidRPr="006A21F9">
        <w:rPr>
          <w:i/>
          <w:iCs/>
          <w:lang w:val="ru-RU"/>
        </w:rPr>
        <w:t>祂的国度永无止境</w:t>
      </w:r>
      <w:r w:rsidRPr="006A21F9">
        <w:rPr>
          <w:lang w:val="ru-RU"/>
        </w:rPr>
        <w:t xml:space="preserve">（路加福音 1:33）； </w:t>
      </w:r>
      <w:r w:rsidRPr="006A21F9">
        <w:rPr>
          <w:b/>
          <w:bCs/>
          <w:lang w:val="ru-RU"/>
        </w:rPr>
        <w:t>b)</w:t>
      </w:r>
      <w:r w:rsidRPr="006A21F9">
        <w:rPr>
          <w:lang w:val="ru-RU"/>
        </w:rPr>
        <w:t xml:space="preserve"> 使徒彼得的话：</w:t>
      </w:r>
      <w:r w:rsidRPr="006A21F9">
        <w:rPr>
          <w:i/>
          <w:iCs/>
          <w:lang w:val="ru-RU"/>
        </w:rPr>
        <w:t>你们将得以自由地进入我们主和救主耶稣基督的永恒国度</w:t>
      </w:r>
      <w:r w:rsidRPr="006A21F9">
        <w:rPr>
          <w:lang w:val="ru-RU"/>
        </w:rPr>
        <w:t xml:space="preserve">（彼得后书 1:11）； </w:t>
      </w:r>
      <w:r w:rsidRPr="006A21F9">
        <w:rPr>
          <w:b/>
          <w:bCs/>
          <w:lang w:val="ru-RU"/>
        </w:rPr>
        <w:t>c)</w:t>
      </w:r>
      <w:r w:rsidRPr="006A21F9">
        <w:rPr>
          <w:lang w:val="ru-RU"/>
        </w:rPr>
        <w:t xml:space="preserve"> 使徒保罗</w:t>
      </w:r>
      <w:r w:rsidRPr="006A21F9">
        <w:rPr>
          <w:i/>
          <w:iCs/>
          <w:lang w:val="ru-RU"/>
        </w:rPr>
        <w:t>的话</w:t>
      </w:r>
      <w:r w:rsidRPr="006A21F9">
        <w:rPr>
          <w:lang w:val="ru-RU"/>
        </w:rPr>
        <w:t>：</w:t>
      </w:r>
      <w:r w:rsidRPr="006A21F9">
        <w:rPr>
          <w:i/>
          <w:iCs/>
          <w:lang w:val="ru-RU"/>
        </w:rPr>
        <w:t>我为选民忍受这一切，好叫他们也在基督耶稣里得着救恩，并得着永远的荣耀</w:t>
      </w:r>
      <w:r w:rsidRPr="006A21F9">
        <w:rPr>
          <w:lang w:val="ru-RU"/>
        </w:rPr>
        <w:t>（提摩太后书 2:10）；</w:t>
      </w:r>
      <w:r w:rsidRPr="006A21F9">
        <w:rPr>
          <w:i/>
          <w:iCs/>
          <w:lang w:val="ru-RU"/>
        </w:rPr>
        <w:t>这话是可信的：我们若与祂同死，也必与祂同活；我们若忍耐，也必与祂一同作王</w:t>
      </w:r>
      <w:r w:rsidRPr="006A21F9">
        <w:rPr>
          <w:lang w:val="ru-RU"/>
        </w:rPr>
        <w:t>（提摩太后书 2:11）；</w:t>
      </w:r>
      <w:r w:rsidRPr="006A21F9">
        <w:rPr>
          <w:i/>
          <w:iCs/>
          <w:lang w:val="ru-RU"/>
        </w:rPr>
        <w:t>我们若是儿女，便是后嗣，就是神的后嗣，和基督同作后嗣；只要我们与祂一同受苦，好叫我们也与祂一同得荣耀</w:t>
      </w:r>
      <w:r w:rsidRPr="006A21F9">
        <w:rPr>
          <w:lang w:val="ru-RU"/>
        </w:rPr>
        <w:t>（罗马书 8:17）；</w:t>
      </w:r>
      <w:r w:rsidRPr="006A21F9">
        <w:rPr>
          <w:i/>
          <w:iCs/>
          <w:lang w:val="ru-RU"/>
        </w:rPr>
        <w:t>主必救我脱离一切恶事，又必保全我进入祂的天国，愿荣耀归给祂，直到永永远远。 阿们</w:t>
      </w:r>
      <w:r w:rsidRPr="006A21F9">
        <w:rPr>
          <w:lang w:val="ru-RU"/>
        </w:rPr>
        <w:t>（提摩太后书 4:18）；</w:t>
      </w:r>
      <w:r w:rsidRPr="006A21F9">
        <w:rPr>
          <w:b/>
          <w:bCs/>
          <w:lang w:val="ru-RU"/>
        </w:rPr>
        <w:t>d）</w:t>
      </w:r>
      <w:r w:rsidRPr="006A21F9">
        <w:rPr>
          <w:lang w:val="ru-RU"/>
        </w:rPr>
        <w:t>最后是神学家约翰在《启示录》中对救主本人的描述：</w:t>
      </w:r>
      <w:r w:rsidRPr="006A21F9">
        <w:rPr>
          <w:i/>
          <w:iCs/>
          <w:lang w:val="ru-RU"/>
        </w:rPr>
        <w:t>得胜的，我要叫他在我宝座上与我同坐，正如我得了胜，也与我父同坐他的宝座一样</w:t>
      </w:r>
      <w:r w:rsidRPr="006A21F9">
        <w:rPr>
          <w:lang w:val="ru-RU"/>
        </w:rPr>
        <w:t>（启示录 3:21）。</w:t>
      </w:r>
    </w:p>
    <w:p w14:paraId="77A436B5" w14:textId="77777777" w:rsidR="00BE1885" w:rsidRPr="006A21F9" w:rsidRDefault="00BE1885" w:rsidP="00BE1885">
      <w:pPr>
        <w:ind w:firstLine="708"/>
        <w:rPr>
          <w:lang w:val="ru-RU"/>
        </w:rPr>
      </w:pPr>
      <w:r w:rsidRPr="006A21F9">
        <w:rPr>
          <w:b/>
          <w:bCs/>
          <w:lang w:val="ru-RU"/>
        </w:rPr>
        <w:t>3)</w:t>
      </w:r>
      <w:r w:rsidRPr="006A21F9">
        <w:rPr>
          <w:lang w:val="ru-RU"/>
        </w:rPr>
        <w:t xml:space="preserve"> 圣父们和教会的导师们，遵循圣经的教导，也教导说：恩典的国度将以普世审判结束，而荣耀的国度将随之开启。</w:t>
      </w:r>
      <w:r>
        <w:rPr>
          <w:rStyle w:val="FootnoteReference"/>
        </w:rPr>
        <w:footnoteReference w:id="2026"/>
      </w:r>
      <w:r w:rsidRPr="006A21F9">
        <w:rPr>
          <w:lang w:val="ru-RU"/>
        </w:rPr>
        <w:t xml:space="preserve"> 例如，以下是圣泽诺（维罗纳）的话：</w:t>
      </w:r>
    </w:p>
    <w:p w14:paraId="71D3B26A" w14:textId="77777777" w:rsidR="00BE1885" w:rsidRPr="006A21F9" w:rsidRDefault="00BE1885" w:rsidP="00BE1885">
      <w:pPr>
        <w:rPr>
          <w:lang w:val="ru-RU"/>
        </w:rPr>
      </w:pPr>
      <w:r w:rsidRPr="006A21F9">
        <w:rPr>
          <w:lang w:val="ru-RU"/>
        </w:rPr>
        <w:tab/>
        <w:t>维罗纳的圣泽农： “使徒保罗（林前15:24）提到道成肉身之神的暂时国度，该国度终结之时，祂将降临并审判活人死人，这一点从经文的上下文关系中即可得到印证——经文指出，基督必须与祂的圣徒一同作王，直到废除一切执政的、 一切权柄和能力，直到将一切仇敌都置于祂的脚下，直到最后的仇敌——死亡——被消灭（《哥林多前书》15:24-26）。 但福音书作者路加（路加福音 1:34）和所罗门（箴言 3:4-8）所指的，是那最初的权柄——圣子自亘古以来便一直参与其中，从未从父那里领受过国度，也永远不会将国度交还给父。 因为祂一直与父同掌王权，正如祂自己所说：</w:t>
      </w:r>
      <w:r w:rsidRPr="006A21F9">
        <w:rPr>
          <w:i/>
          <w:iCs/>
          <w:lang w:val="ru-RU"/>
        </w:rPr>
        <w:t>“我的国不属这世界</w:t>
      </w:r>
      <w:r w:rsidRPr="006A21F9">
        <w:rPr>
          <w:lang w:val="ru-RU"/>
        </w:rPr>
        <w:t>”（约18:36）。 使徒保罗更明确地表达了这一点：</w:t>
      </w:r>
      <w:r w:rsidRPr="006A21F9">
        <w:rPr>
          <w:i/>
          <w:iCs/>
          <w:lang w:val="ru-RU"/>
        </w:rPr>
        <w:t>“你们要知道，凡淫乱的、污秽的，或是贪婪的——贪婪的就是拜偶像的——在基督和神的国里都没有</w:t>
      </w:r>
      <w:r w:rsidRPr="006A21F9">
        <w:rPr>
          <w:lang w:val="ru-RU"/>
        </w:rPr>
        <w:t>份”（以弗所书 5:5），由此表明，父与子的国度本是一体。”</w:t>
      </w:r>
      <w:r>
        <w:rPr>
          <w:rStyle w:val="FootnoteReference"/>
        </w:rPr>
        <w:footnoteReference w:id="2027"/>
      </w:r>
    </w:p>
    <w:p w14:paraId="617085AA" w14:textId="77777777" w:rsidR="00BE1885" w:rsidRPr="006A21F9" w:rsidRDefault="00BE1885" w:rsidP="00BE1885">
      <w:pPr>
        <w:rPr>
          <w:lang w:val="ru-RU"/>
        </w:rPr>
      </w:pPr>
      <w:r w:rsidRPr="006A21F9">
        <w:rPr>
          <w:lang w:val="ru-RU"/>
        </w:rPr>
        <w:tab/>
        <w:t>耶路撒冷的圣西里尔说：“那位将要审判活人死人、为活人和死人而死的主，必永远作王，正如保罗所言：</w:t>
      </w:r>
      <w:r w:rsidRPr="006A21F9">
        <w:rPr>
          <w:i/>
          <w:iCs/>
          <w:lang w:val="ru-RU"/>
        </w:rPr>
        <w:t>‘基督既为这事死了，又复活了，又活着，为要作死人活人的</w:t>
      </w:r>
      <w:r w:rsidRPr="006A21F9">
        <w:rPr>
          <w:lang w:val="ru-RU"/>
        </w:rPr>
        <w:t xml:space="preserve">主’（罗马书 14:9） 有人竟敢说，世界末了之后，基督将不再作王；竟敢断言，从父而出、又归于父的道，将不再存在。 </w:t>
      </w:r>
      <w:r w:rsidRPr="006A21F9">
        <w:rPr>
          <w:lang w:val="ru-RU"/>
        </w:rPr>
        <w:lastRenderedPageBreak/>
        <w:t>他以此亵渎神，自招定罪：因为他没有听从主的话：</w:t>
      </w:r>
      <w:r w:rsidRPr="006A21F9">
        <w:rPr>
          <w:i/>
          <w:iCs/>
          <w:lang w:val="ru-RU"/>
        </w:rPr>
        <w:t>“子是永远</w:t>
      </w:r>
      <w:r w:rsidRPr="006A21F9">
        <w:rPr>
          <w:lang w:val="ru-RU"/>
        </w:rPr>
        <w:t>的”（约8:35），也没有听从加百列的话：</w:t>
      </w:r>
      <w:r w:rsidRPr="006A21F9">
        <w:rPr>
          <w:i/>
          <w:iCs/>
          <w:lang w:val="ru-RU"/>
        </w:rPr>
        <w:t>“ ，他要作雅各家的王，直到永远；他的国也没有</w:t>
      </w:r>
      <w:r w:rsidRPr="006A21F9">
        <w:rPr>
          <w:lang w:val="ru-RU"/>
        </w:rPr>
        <w:t>穷尽”（路1:33）…… 你可想知道，那些宣扬相反教义的人为何会陷入如此疯狂？他们怀着恶意解读使徒的善意之言：</w:t>
      </w:r>
      <w:r w:rsidRPr="006A21F9">
        <w:rPr>
          <w:i/>
          <w:iCs/>
          <w:lang w:val="ru-RU"/>
        </w:rPr>
        <w:t>“他必须作王，等他把一切仇敌都放在他的脚下</w:t>
      </w:r>
      <w:r w:rsidRPr="006A21F9">
        <w:rPr>
          <w:lang w:val="ru-RU"/>
        </w:rPr>
        <w:t>”（林前15:25）。 他们说，当仇敌被置于祂脚下时，祂就不再作王了；但他们所言既荒谬又无稽。因为那位在击溃仇敌之前就已经作王的人，在战胜仇敌之后，岂不更要作王吗？”</w:t>
      </w:r>
      <w:r>
        <w:rPr>
          <w:rStyle w:val="FootnoteReference"/>
        </w:rPr>
        <w:footnoteReference w:id="2028"/>
      </w:r>
    </w:p>
    <w:p w14:paraId="34C4C006"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在我们阐述了关于末日审判及其相关背景、前期和伴随情况之后，如何看待关于千禧年（χιλιασμός——千年）或基督千年国度的教义，便不言而喻了。其本质如下： “在世界终结之前很久，基督将再次降临人间，击败敌基督，使一部分义人复活，并在地上建立一个新王国；在该王国中，义人将因自己的功绩与苦难而获得奖赏，与基督一同统治一千年，享受尘世生活的种种福祉； 随后将迎来第二次普世复活、普世审判以及普世的永恒报应。”不过，千禧年主义的教义主要分为两种流派。 有些人认为，当基督在世上建立他的千年王国时，将使耶路撒冷恢复昔日的荣光，重新施行摩西的礼仪律法及一切祭祀，而义人的幸福将体现在各种各样的感官享受之中。 一世纪时，深受犹太教和诺斯替主义错误信仰影响的异端分子凯林福（</w:t>
      </w:r>
      <w:r>
        <w:rPr>
          <w:rStyle w:val="FootnoteReference"/>
        </w:rPr>
        <w:footnoteReference w:id="2029"/>
      </w:r>
      <w:r w:rsidRPr="006A21F9">
        <w:rPr>
          <w:lang w:val="ru-RU"/>
        </w:rPr>
        <w:t xml:space="preserve"> ）便开始如此教导，随后其他奉行犹太教的异端分子也延续了这一观点：埃维奥尼派（</w:t>
      </w:r>
      <w:r>
        <w:rPr>
          <w:rStyle w:val="FootnoteReference"/>
        </w:rPr>
        <w:footnoteReference w:id="2030"/>
      </w:r>
      <w:r w:rsidRPr="006A21F9">
        <w:rPr>
          <w:lang w:val="ru-RU"/>
        </w:rPr>
        <w:t xml:space="preserve"> ）、蒙塔诺派（</w:t>
      </w:r>
      <w:r>
        <w:rPr>
          <w:rStyle w:val="FootnoteReference"/>
        </w:rPr>
        <w:footnoteReference w:id="2031"/>
      </w:r>
      <w:r w:rsidRPr="006A21F9">
        <w:rPr>
          <w:lang w:val="ru-RU"/>
        </w:rPr>
        <w:t xml:space="preserve"> ），以及四世纪的异端分子阿波利纳里及其追随者（</w:t>
      </w:r>
      <w:r>
        <w:rPr>
          <w:rStyle w:val="FootnoteReference"/>
        </w:rPr>
        <w:footnoteReference w:id="2032"/>
      </w:r>
      <w:r w:rsidRPr="006A21F9">
        <w:rPr>
          <w:lang w:val="ru-RU"/>
        </w:rPr>
        <w:t xml:space="preserve"> ）。 相反，另一些人则主张，在基督的千年国度期间，义人的福乐仅在于无辜、纯洁、属灵的喜乐，他们既不宣扬那时耶路撒冷的复兴，也不宣扬摩西礼仪律法的恢复。 关于千禧年的这种观点，最早由生活在使徒时代的帕皮乌斯提出，</w:t>
      </w:r>
      <w:r>
        <w:rPr>
          <w:rStyle w:val="FootnoteReference"/>
        </w:rPr>
        <w:footnoteReference w:id="2033"/>
      </w:r>
      <w:r w:rsidRPr="006A21F9">
        <w:rPr>
          <w:lang w:val="ru-RU"/>
        </w:rPr>
        <w:t xml:space="preserve"> 随后在殉道者尤斯丁、爱任纽、希波吕托斯、梅福迪乌斯和拉克坦提乌斯那里也有所体现；</w:t>
      </w:r>
      <w:r>
        <w:rPr>
          <w:rStyle w:val="FootnoteReference"/>
        </w:rPr>
        <w:footnoteReference w:id="2034"/>
      </w:r>
      <w:r w:rsidRPr="006A21F9">
        <w:rPr>
          <w:lang w:val="ru-RU"/>
        </w:rPr>
        <w:t xml:space="preserve"> 在后世，这一观点被再洗礼派、斯威登堡的追随者以及其他神秘主义者和光明会成员以某些特殊形式重新提出。</w:t>
      </w:r>
      <w:r>
        <w:rPr>
          <w:rStyle w:val="FootnoteReference"/>
        </w:rPr>
        <w:footnoteReference w:id="2035"/>
      </w:r>
      <w:r w:rsidRPr="006A21F9">
        <w:rPr>
          <w:lang w:val="ru-RU"/>
        </w:rPr>
        <w:t xml:space="preserve"> 然而，无论是最初的形式还是后来的形式，千禧年论都无法被东正教基督徒所接受。因为：</w:t>
      </w:r>
    </w:p>
    <w:p w14:paraId="7B0763EB" w14:textId="77777777" w:rsidR="00BE1885" w:rsidRPr="006A21F9" w:rsidRDefault="00BE1885" w:rsidP="00BE1885">
      <w:pPr>
        <w:ind w:firstLine="708"/>
        <w:rPr>
          <w:lang w:val="ru-RU"/>
        </w:rPr>
      </w:pPr>
      <w:r w:rsidRPr="006A21F9">
        <w:rPr>
          <w:b/>
          <w:bCs/>
          <w:lang w:val="ru-RU"/>
        </w:rPr>
        <w:t>1)</w:t>
      </w:r>
      <w:r w:rsidRPr="006A21F9">
        <w:rPr>
          <w:lang w:val="ru-RU"/>
        </w:rPr>
        <w:t xml:space="preserve"> 无论哪种形式，该学说都基于这样一个假设：即死人复活将发生两次；第一次发生在世界末日之前的一千年，仅义人复活；第二次发生在世界末日来临之际，届时罪人也将复活，随后将进行普世审判和永恒的报应。 然而，救主本人却非常明确地教导说，在末日将只有一次普世性的死人复活；届时，凭着祂的声音，义</w:t>
      </w:r>
      <w:r w:rsidRPr="006A21F9">
        <w:rPr>
          <w:lang w:val="ru-RU"/>
        </w:rPr>
        <w:lastRenderedPageBreak/>
        <w:t>人和罪人将一同从坟墓中复活，并直接接受祂的最后审判和最终的赏罚 [(约 5:25-29)；</w:t>
      </w:r>
      <w:r w:rsidRPr="006A21F9">
        <w:rPr>
          <w:rFonts w:cs="Cambria Math"/>
          <w:lang w:val="ru-RU"/>
        </w:rPr>
        <w:t xml:space="preserve"> </w:t>
      </w:r>
      <w:r w:rsidRPr="006A21F9">
        <w:rPr>
          <w:lang w:val="ru-RU"/>
        </w:rPr>
        <w:t>（约6:40-54）；（太13:40-42）；（太25:31-46）]。</w:t>
      </w:r>
    </w:p>
    <w:p w14:paraId="659121FC" w14:textId="77777777" w:rsidR="00BE1885" w:rsidRPr="006A21F9" w:rsidRDefault="00BE1885" w:rsidP="00BE1885">
      <w:pPr>
        <w:ind w:firstLine="708"/>
        <w:rPr>
          <w:lang w:val="ru-RU"/>
        </w:rPr>
      </w:pPr>
      <w:r w:rsidRPr="006A21F9">
        <w:rPr>
          <w:b/>
          <w:bCs/>
          <w:lang w:val="ru-RU"/>
        </w:rPr>
        <w:t>2)</w:t>
      </w:r>
      <w:r w:rsidRPr="006A21F9">
        <w:rPr>
          <w:lang w:val="ru-RU"/>
        </w:rPr>
        <w:t xml:space="preserve"> 无论哪种形式，都主张救主基督将在世界末日之前一千年降临人间，这与上帝之道所宣讲的教义相悖——该教义仅宣扬基督的两次降临： 第一次是谦卑的降临，祂来为要救赎我们；第二次是荣耀的降临，将在世界末日之时发生，届时祂将显现来审判活人死人 [(太 13:40-43)；(太 24:27-51)；(太 25:31-46)]。</w:t>
      </w:r>
    </w:p>
    <w:p w14:paraId="0BD1A4E1" w14:textId="77777777" w:rsidR="00BE1885" w:rsidRPr="006A21F9" w:rsidRDefault="00BE1885" w:rsidP="00BE1885">
      <w:pPr>
        <w:ind w:firstLine="708"/>
        <w:rPr>
          <w:lang w:val="ru-RU"/>
        </w:rPr>
      </w:pPr>
      <w:r w:rsidRPr="006A21F9">
        <w:rPr>
          <w:b/>
          <w:bCs/>
          <w:lang w:val="ru-RU"/>
        </w:rPr>
        <w:t>3)</w:t>
      </w:r>
      <w:r w:rsidRPr="006A21F9">
        <w:rPr>
          <w:lang w:val="ru-RU"/>
        </w:rPr>
        <w:t xml:space="preserve"> 无论哪种观点，都认为在恩典国度结束、荣耀国度来临之前，还将存在某种中间的、第三个基督国度，该国度将在一千年后终结—— ，而神的道却只教导关于两个基督国度：恩典国度，它将持续到世界末日和普世审判之时 （林前15:25），以及荣耀的国度——它将在末日审判结束后立即开始，且永无终结[（路1:33）；（彼后1:11）]。</w:t>
      </w:r>
    </w:p>
    <w:p w14:paraId="04AF0789" w14:textId="77777777" w:rsidR="00BE1885" w:rsidRPr="006A21F9" w:rsidRDefault="00BE1885" w:rsidP="00BE1885">
      <w:pPr>
        <w:ind w:firstLine="708"/>
        <w:rPr>
          <w:lang w:val="ru-RU"/>
        </w:rPr>
      </w:pPr>
      <w:r w:rsidRPr="006A21F9">
        <w:rPr>
          <w:b/>
          <w:bCs/>
          <w:lang w:val="ru-RU"/>
        </w:rPr>
        <w:t>4)</w:t>
      </w:r>
      <w:r w:rsidRPr="006A21F9">
        <w:rPr>
          <w:lang w:val="ru-RU"/>
        </w:rPr>
        <w:t xml:space="preserve"> 其第一种形式尤其与上帝圣言的以下教导相矛盾：</w:t>
      </w:r>
      <w:r w:rsidRPr="006A21F9">
        <w:rPr>
          <w:i/>
          <w:iCs/>
          <w:lang w:val="ru-RU"/>
        </w:rPr>
        <w:t xml:space="preserve">在复活中，人既不娶也不嫁 </w:t>
      </w:r>
      <w:r w:rsidRPr="006A21F9">
        <w:rPr>
          <w:lang w:val="ru-RU"/>
        </w:rPr>
        <w:t>[(太 22:30)； （路加福音 20:34）]；</w:t>
      </w:r>
      <w:r w:rsidRPr="006A21F9">
        <w:rPr>
          <w:i/>
          <w:iCs/>
          <w:lang w:val="ru-RU"/>
        </w:rPr>
        <w:t>神的国不在乎吃喝</w:t>
      </w:r>
      <w:r w:rsidRPr="006A21F9">
        <w:rPr>
          <w:lang w:val="ru-RU"/>
        </w:rPr>
        <w:t>（罗马书 14:17）；以及摩西的礼仪律法——在救主降临前仅具有预表意义——已被祂永远废除，并被更完美的、新约的律法所取代（参见 §146）。</w:t>
      </w:r>
    </w:p>
    <w:p w14:paraId="49C0C44C" w14:textId="77777777" w:rsidR="00BE1885" w:rsidRPr="006A21F9" w:rsidRDefault="00BE1885" w:rsidP="00BE1885">
      <w:pPr>
        <w:ind w:firstLine="708"/>
        <w:rPr>
          <w:lang w:val="ru-RU"/>
        </w:rPr>
      </w:pPr>
      <w:r w:rsidRPr="006A21F9">
        <w:rPr>
          <w:b/>
          <w:bCs/>
          <w:lang w:val="ru-RU"/>
        </w:rPr>
        <w:t>5)</w:t>
      </w:r>
      <w:r w:rsidRPr="006A21F9">
        <w:rPr>
          <w:lang w:val="ru-RU"/>
        </w:rPr>
        <w:t xml:space="preserve"> 即使在最终形态下，关于千禧年的教义也曾被一些古代教会教师——如尤斯丁、爱任纽、 梅福迪乌斯——曾持守千禧年论的最终形态，但他们仅将其视为个人见解，而非教义。正如尤斯丁本人所证实的，他指出自己虽与某些人持相同观点，但许多秉持纯正正统信仰的基督徒并不认同他的信念。</w:t>
      </w:r>
      <w:r>
        <w:rPr>
          <w:rStyle w:val="FootnoteReference"/>
        </w:rPr>
        <w:footnoteReference w:id="2036"/>
      </w:r>
      <w:r w:rsidRPr="006A21F9">
        <w:rPr>
          <w:lang w:val="ru-RU"/>
        </w:rPr>
        <w:t xml:space="preserve"> 这一点无疑是确凿的，因为：</w:t>
      </w:r>
    </w:p>
    <w:p w14:paraId="033773ED" w14:textId="77777777" w:rsidR="00BE1885" w:rsidRPr="006A21F9" w:rsidRDefault="00BE1885" w:rsidP="00BE1885">
      <w:pPr>
        <w:ind w:firstLine="708"/>
        <w:rPr>
          <w:lang w:val="ru-RU"/>
        </w:rPr>
      </w:pPr>
      <w:r w:rsidRPr="006A21F9">
        <w:rPr>
          <w:b/>
          <w:bCs/>
          <w:lang w:val="ru-RU"/>
        </w:rPr>
        <w:t>6)</w:t>
      </w:r>
      <w:r w:rsidRPr="006A21F9">
        <w:rPr>
          <w:lang w:val="ru-RU"/>
        </w:rPr>
        <w:t xml:space="preserve"> 同时期，其他教会导师也明确反对千禧年主义学说，例如：罗马长老凯伊，</w:t>
      </w:r>
      <w:r>
        <w:rPr>
          <w:rStyle w:val="FootnoteReference"/>
        </w:rPr>
        <w:footnoteReference w:id="2037"/>
      </w:r>
      <w:r w:rsidRPr="006A21F9">
        <w:rPr>
          <w:lang w:val="ru-RU"/>
        </w:rPr>
        <w:t xml:space="preserve"> 亚历山大的圣狄奥尼修斯，</w:t>
      </w:r>
      <w:r>
        <w:rPr>
          <w:rStyle w:val="FootnoteReference"/>
        </w:rPr>
        <w:footnoteReference w:id="2038"/>
      </w:r>
      <w:r w:rsidRPr="006A21F9">
        <w:rPr>
          <w:lang w:val="ru-RU"/>
        </w:rPr>
        <w:t xml:space="preserve"> 奥利金，</w:t>
      </w:r>
      <w:r>
        <w:rPr>
          <w:rStyle w:val="FootnoteReference"/>
        </w:rPr>
        <w:footnoteReference w:id="2039"/>
      </w:r>
      <w:r w:rsidRPr="006A21F9">
        <w:rPr>
          <w:lang w:val="ru-RU"/>
        </w:rPr>
        <w:t xml:space="preserve"> 凯撒利亚的优西比乌，</w:t>
      </w:r>
      <w:r>
        <w:rPr>
          <w:rStyle w:val="FootnoteReference"/>
        </w:rPr>
        <w:footnoteReference w:id="2040"/>
      </w:r>
      <w:r w:rsidRPr="006A21F9">
        <w:rPr>
          <w:lang w:val="ru-RU"/>
        </w:rPr>
        <w:t xml:space="preserve"> 非洲的提孔，</w:t>
      </w:r>
      <w:r>
        <w:rPr>
          <w:rStyle w:val="FootnoteReference"/>
        </w:rPr>
        <w:footnoteReference w:id="2041"/>
      </w:r>
      <w:r w:rsidRPr="006A21F9">
        <w:rPr>
          <w:lang w:val="ru-RU"/>
        </w:rPr>
        <w:t xml:space="preserve"> 大瓦西里，</w:t>
      </w:r>
      <w:r>
        <w:rPr>
          <w:rStyle w:val="FootnoteReference"/>
        </w:rPr>
        <w:footnoteReference w:id="2042"/>
      </w:r>
      <w:r w:rsidRPr="006A21F9">
        <w:rPr>
          <w:lang w:val="ru-RU"/>
        </w:rPr>
        <w:t xml:space="preserve"> 圣格里高利·神学家，</w:t>
      </w:r>
      <w:r>
        <w:rPr>
          <w:rStyle w:val="FootnoteReference"/>
        </w:rPr>
        <w:footnoteReference w:id="2043"/>
      </w:r>
      <w:r w:rsidRPr="006A21F9">
        <w:rPr>
          <w:lang w:val="ru-RU"/>
        </w:rPr>
        <w:t xml:space="preserve"> 圣埃皮法尼乌斯，</w:t>
      </w:r>
      <w:r>
        <w:rPr>
          <w:rStyle w:val="FootnoteReference"/>
        </w:rPr>
        <w:footnoteReference w:id="2044"/>
      </w:r>
      <w:r w:rsidRPr="006A21F9">
        <w:rPr>
          <w:lang w:val="ru-RU"/>
        </w:rPr>
        <w:t xml:space="preserve"> 福者 杰罗姆，</w:t>
      </w:r>
      <w:r>
        <w:rPr>
          <w:rStyle w:val="FootnoteReference"/>
        </w:rPr>
        <w:footnoteReference w:id="2045"/>
      </w:r>
      <w:r w:rsidRPr="006A21F9">
        <w:rPr>
          <w:lang w:val="ru-RU"/>
        </w:rPr>
        <w:t xml:space="preserve"> 菲拉斯特里乌斯</w:t>
      </w:r>
      <w:r>
        <w:rPr>
          <w:rStyle w:val="FootnoteReference"/>
        </w:rPr>
        <w:footnoteReference w:id="2046"/>
      </w:r>
      <w:r w:rsidRPr="006A21F9">
        <w:rPr>
          <w:lang w:val="ru-RU"/>
        </w:rPr>
        <w:t xml:space="preserve"> 以及福者奥古斯丁，</w:t>
      </w:r>
      <w:r>
        <w:rPr>
          <w:rStyle w:val="FootnoteReference"/>
        </w:rPr>
        <w:footnoteReference w:id="2047"/>
      </w:r>
      <w:r w:rsidRPr="006A21F9">
        <w:rPr>
          <w:lang w:val="ru-RU"/>
        </w:rPr>
        <w:t xml:space="preserve"> ——将千禧年主义者的期望斥为空洞的杜撰、可笑而荒谬的寓言，完全违背圣经。</w:t>
      </w:r>
      <w:r>
        <w:rPr>
          <w:rStyle w:val="FootnoteReference"/>
        </w:rPr>
        <w:footnoteReference w:id="2048"/>
      </w:r>
    </w:p>
    <w:p w14:paraId="0166F630" w14:textId="77777777" w:rsidR="00BE1885" w:rsidRPr="006A21F9" w:rsidRDefault="00BE1885" w:rsidP="00BE1885">
      <w:pPr>
        <w:ind w:firstLine="708"/>
        <w:rPr>
          <w:lang w:val="ru-RU"/>
        </w:rPr>
      </w:pPr>
      <w:r w:rsidRPr="006A21F9">
        <w:rPr>
          <w:b/>
          <w:bCs/>
          <w:lang w:val="ru-RU"/>
        </w:rPr>
        <w:t>7)</w:t>
      </w:r>
      <w:r w:rsidRPr="006A21F9">
        <w:rPr>
          <w:lang w:val="ru-RU"/>
        </w:rPr>
        <w:t xml:space="preserve"> 即使可以将千禧年论作为一种个人见解来坚持，那也仅限于普世教会尚未就此发表意见之前。 </w:t>
      </w:r>
      <w:r w:rsidRPr="006A21F9">
        <w:rPr>
          <w:lang w:val="ru-RU"/>
        </w:rPr>
        <w:lastRenderedPageBreak/>
        <w:t>但当第二次大公会议（公元381年）在谴责异端阿波利纳里乌斯的所有谬误时，也谴责了他关于基督千禧年的教义，并为此在《信经》中加入了关于基督的措辞：“他的国度永无止境”， ——那么，对于正统基督徒而言，坚持这一教义——即便是作为个人观点——也是完全不可容许的。</w:t>
      </w:r>
    </w:p>
    <w:p w14:paraId="65FF2D8F" w14:textId="77777777" w:rsidR="00BE1885" w:rsidRPr="006A21F9" w:rsidRDefault="00BE1885" w:rsidP="00BE1885">
      <w:pPr>
        <w:ind w:firstLine="708"/>
        <w:rPr>
          <w:lang w:val="ru-RU"/>
        </w:rPr>
      </w:pPr>
      <w:r w:rsidRPr="006A21F9">
        <w:rPr>
          <w:b/>
          <w:bCs/>
          <w:lang w:val="ru-RU"/>
        </w:rPr>
        <w:t xml:space="preserve">8) </w:t>
      </w:r>
      <w:r w:rsidRPr="006A21F9">
        <w:rPr>
          <w:lang w:val="ru-RU"/>
        </w:rPr>
        <w:t>为证明自己的观点，千禧年论者通常援引并至今仍援引《启示录》第20章，该章描述了神学家约翰的异象：一位手持地狱钥匙的天使， 从天而降，将魔鬼捆绑并囚禁在无底坑中一千年；随后便是第一次复活，基督的追随者们复活并与基督一同掌权一千年；而一千年期满后，撒但将从牢狱中被释放…… 短暂的时间，并出去迷惑地上的人；随后，对所有复活的死人将进行审判，并向他们和魔鬼颁布永恒的报应。但是：</w:t>
      </w:r>
    </w:p>
    <w:p w14:paraId="0983B88A"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众所周知，《启示录》是一部充满预言且深奥玄妙的书卷，其确切含义我们无法完全领会。 若将这些以看似与其他经文（那些直白明确的经文）相矛盾的形式呈现的预言段落进行字面解释，则完全违背了圣经诠释学的规则。该学说在类似情况下正确地规定，应从奥秘的意义上阐释预言：因为赐予人类启示的上帝，绝不会自相矛盾。</w:t>
      </w:r>
    </w:p>
    <w:p w14:paraId="1D4B3497" w14:textId="77777777" w:rsidR="00BE1885" w:rsidRPr="006A21F9" w:rsidRDefault="00BE1885" w:rsidP="00BE1885">
      <w:pPr>
        <w:rPr>
          <w:lang w:val="ru-RU"/>
        </w:rPr>
      </w:pPr>
      <w:r w:rsidRPr="006A21F9">
        <w:rPr>
          <w:lang w:val="ru-RU"/>
        </w:rPr>
        <w:tab/>
      </w:r>
      <w:r w:rsidRPr="006A21F9">
        <w:rPr>
          <w:b/>
          <w:bCs/>
          <w:lang w:val="ru-RU"/>
        </w:rPr>
        <w:t>b)</w:t>
      </w:r>
      <w:r w:rsidRPr="006A21F9">
        <w:rPr>
          <w:lang w:val="ru-RU"/>
        </w:rPr>
        <w:t xml:space="preserve"> 关于《启示录》第20章中神秘含义的解读，其最杰出的注释家们追随福者 奥古斯丁的指引，对这一章的解释如下：所谓从天而降、手持地狱钥匙的天使，指的正是立约的天使——主耶稣，祂降临人间</w:t>
      </w:r>
      <w:r w:rsidRPr="006A21F9">
        <w:rPr>
          <w:i/>
          <w:iCs/>
          <w:lang w:val="ru-RU"/>
        </w:rPr>
        <w:t>，是为了借着死亡使掌管死亡权柄者，即魔鬼</w:t>
      </w:r>
      <w:r w:rsidRPr="006A21F9">
        <w:rPr>
          <w:lang w:val="ru-RU"/>
        </w:rPr>
        <w:t>（希伯来书 2:14），</w:t>
      </w:r>
      <w:r w:rsidRPr="006A21F9">
        <w:rPr>
          <w:i/>
          <w:iCs/>
          <w:lang w:val="ru-RU"/>
        </w:rPr>
        <w:t>丧失力量</w:t>
      </w:r>
      <w:r w:rsidRPr="006A21F9">
        <w:rPr>
          <w:lang w:val="ru-RU"/>
        </w:rPr>
        <w:t>，并在地上摧毁魔鬼的作为 （约壹3:8），并将他驱逐出去（约12:31）。所谓捆绑魔鬼并将其囚禁于地狱，是指主通过他的讲道、多次从人身上赶出污鬼的作为，尤其是通过他的受死，确实将魔鬼驱逐出去，捆绑了那强壮的 （太12:29），</w:t>
      </w:r>
      <w:r w:rsidRPr="006A21F9">
        <w:rPr>
          <w:i/>
          <w:iCs/>
          <w:lang w:val="ru-RU"/>
        </w:rPr>
        <w:t>剥夺了诸般执政者与掌权者的力量，以权能使他们蒙受羞辱</w:t>
      </w:r>
      <w:r w:rsidRPr="006A21F9">
        <w:rPr>
          <w:lang w:val="ru-RU"/>
        </w:rPr>
        <w:t xml:space="preserve">，并在十字架上战胜了他们（西2:16）。 所谓“基督的千年国度”，是指从基督在世上的恩典国度开始——或者更确切地说，从君士坦丁大帝时期基督信仰在世上得胜并占据主导地位起，直至世世代代的终结——这一整个未确定的时期，正如诗篇作者所言： </w:t>
      </w:r>
      <w:r w:rsidRPr="006A21F9">
        <w:rPr>
          <w:i/>
          <w:iCs/>
          <w:lang w:val="ru-RU"/>
        </w:rPr>
        <w:t>“祂永远记念祂的约，就是祂所吩咐传给千代的话”</w:t>
      </w:r>
      <w:r w:rsidRPr="006A21F9">
        <w:rPr>
          <w:lang w:val="ru-RU"/>
        </w:rPr>
        <w:t>（诗篇104:8），其中“千代”一词泛指直到世界末日为止的所有未来人类世代。 所谓“第一次复活”，指基督教中人的属灵复活，它始于人的悔改、称义与重生，正如经上所言：</w:t>
      </w:r>
      <w:r w:rsidRPr="006A21F9">
        <w:rPr>
          <w:i/>
          <w:iCs/>
          <w:lang w:val="ru-RU"/>
        </w:rPr>
        <w:t>“睡着的人哪，起来吧！从死里复活，基督就要光照你了</w:t>
      </w:r>
      <w:r w:rsidRPr="006A21F9">
        <w:rPr>
          <w:lang w:val="ru-RU"/>
        </w:rPr>
        <w:t>”[（弗 5:14）；引自 （约5:24）]，并终结于真正基督徒的灵魂从现世——对他们而言仿佛是死亡——迁移到与耶稣基督同在的永生之时。 接下来——魔鬼被暂时从牢狱中释放，以便迷惑万民——预示着在世界末日来临前不久，敌基督者将在地上显现。最后，对所有复活的死人进行审判，并向他们以及魔鬼施行报应——这就是普世性的最后审判和最终的报应。</w:t>
      </w:r>
      <w:r>
        <w:rPr>
          <w:rStyle w:val="FootnoteReference"/>
        </w:rPr>
        <w:footnoteReference w:id="2049"/>
      </w:r>
    </w:p>
    <w:p w14:paraId="692D5002" w14:textId="77777777" w:rsidR="00BE1885" w:rsidRPr="006A21F9" w:rsidRDefault="00BE1885" w:rsidP="00BE1885">
      <w:pPr>
        <w:rPr>
          <w:lang w:val="ru-RU"/>
        </w:rPr>
      </w:pPr>
    </w:p>
    <w:p w14:paraId="0A633DB0" w14:textId="77777777" w:rsidR="00BE1885" w:rsidRPr="006A21F9" w:rsidRDefault="00BE1885" w:rsidP="00BE1885">
      <w:pPr>
        <w:pStyle w:val="Heading4"/>
        <w:rPr>
          <w:lang w:val="ru-RU"/>
        </w:rPr>
      </w:pPr>
      <w:bookmarkStart w:id="1226" w:name="_Toc133142624"/>
      <w:bookmarkStart w:id="1227" w:name="_Toc133143047"/>
      <w:bookmarkStart w:id="1228" w:name="_Toc133166404"/>
      <w:bookmarkStart w:id="1229" w:name="_Toc182221614"/>
      <w:bookmarkStart w:id="1230" w:name="_Toc238453181"/>
      <w:bookmarkStart w:id="1231" w:name="_Toc238453981"/>
      <w:bookmarkStart w:id="1232" w:name="_Toc238454344"/>
      <w:bookmarkStart w:id="1233" w:name="_Toc238466426"/>
      <w:bookmarkStart w:id="1234" w:name="_Toc238576641"/>
      <w:r w:rsidRPr="006A21F9">
        <w:rPr>
          <w:bCs/>
          <w:lang w:val="ru-RU"/>
        </w:rPr>
        <w:t>2.</w:t>
      </w:r>
      <w:r w:rsidRPr="006A21F9">
        <w:rPr>
          <w:lang w:val="ru-RU"/>
        </w:rPr>
        <w:t xml:space="preserve"> 关于普世审判后的赏罚</w:t>
      </w:r>
      <w:bookmarkEnd w:id="1226"/>
      <w:bookmarkEnd w:id="1227"/>
      <w:bookmarkEnd w:id="1228"/>
      <w:bookmarkEnd w:id="1229"/>
      <w:bookmarkEnd w:id="1230"/>
      <w:bookmarkEnd w:id="1231"/>
      <w:bookmarkEnd w:id="1232"/>
      <w:bookmarkEnd w:id="1233"/>
      <w:bookmarkEnd w:id="1234"/>
    </w:p>
    <w:p w14:paraId="1C423E10" w14:textId="77777777" w:rsidR="00BE1885" w:rsidRPr="006A21F9" w:rsidRDefault="00BE1885" w:rsidP="00BE1885">
      <w:pPr>
        <w:rPr>
          <w:lang w:val="ru-RU"/>
        </w:rPr>
      </w:pPr>
    </w:p>
    <w:p w14:paraId="3453BD56" w14:textId="77777777" w:rsidR="00BE1885" w:rsidRPr="006A21F9" w:rsidRDefault="00BE1885" w:rsidP="00BE1885">
      <w:pPr>
        <w:pStyle w:val="Heading5"/>
        <w:rPr>
          <w:lang w:val="ru-RU"/>
        </w:rPr>
      </w:pPr>
      <w:bookmarkStart w:id="1235" w:name="_Toc133143048"/>
      <w:bookmarkStart w:id="1236" w:name="_Toc133166405"/>
      <w:bookmarkStart w:id="1237" w:name="_Toc182221615"/>
      <w:bookmarkStart w:id="1238" w:name="_Toc238453182"/>
      <w:bookmarkStart w:id="1239" w:name="_Toc238453982"/>
      <w:bookmarkStart w:id="1240" w:name="_Toc238576642"/>
      <w:r w:rsidRPr="006A21F9">
        <w:rPr>
          <w:lang w:val="ru-RU"/>
        </w:rPr>
        <w:t>§268. 与前文的关联及此报应的特性</w:t>
      </w:r>
      <w:bookmarkEnd w:id="1235"/>
      <w:bookmarkEnd w:id="1236"/>
      <w:bookmarkEnd w:id="1237"/>
      <w:bookmarkEnd w:id="1238"/>
      <w:bookmarkEnd w:id="1239"/>
      <w:bookmarkEnd w:id="1240"/>
    </w:p>
    <w:p w14:paraId="0B9357B3" w14:textId="77777777" w:rsidR="00BE1885" w:rsidRPr="006A21F9" w:rsidRDefault="00BE1885" w:rsidP="00BE1885">
      <w:pPr>
        <w:ind w:firstLine="708"/>
        <w:rPr>
          <w:lang w:val="ru-RU"/>
        </w:rPr>
      </w:pPr>
      <w:r w:rsidRPr="006A21F9">
        <w:rPr>
          <w:lang w:val="ru-RU"/>
        </w:rPr>
        <w:t>在普世审判结束时，公义的审判者将对义人和罪人作出最终判决——他将首先对义人说：</w:t>
      </w:r>
      <w:r w:rsidRPr="006A21F9">
        <w:rPr>
          <w:i/>
          <w:iCs/>
          <w:lang w:val="ru-RU"/>
        </w:rPr>
        <w:t>“你们这蒙我父赐福的，可来承受那为你们预备的国度，这国度是从创世以来就为</w:t>
      </w:r>
      <w:r w:rsidRPr="006A21F9">
        <w:rPr>
          <w:i/>
          <w:iCs/>
          <w:lang w:val="ru-RU"/>
        </w:rPr>
        <w:lastRenderedPageBreak/>
        <w:t>你们预备的</w:t>
      </w:r>
      <w:r w:rsidRPr="006A21F9">
        <w:rPr>
          <w:lang w:val="ru-RU"/>
        </w:rPr>
        <w:t>”（玛25:34）； 对后者则说：</w:t>
      </w:r>
      <w:r w:rsidRPr="006A21F9">
        <w:rPr>
          <w:i/>
          <w:iCs/>
          <w:lang w:val="ru-RU"/>
        </w:rPr>
        <w:t>“你们这些受咒诅的人，离开我，进入那为魔鬼和他的使者所预备的永火里去吧”</w:t>
      </w:r>
      <w:r w:rsidRPr="006A21F9">
        <w:rPr>
          <w:lang w:val="ru-RU"/>
        </w:rPr>
        <w:t>（太</w:t>
      </w:r>
      <w:r>
        <w:rPr>
          <w:rStyle w:val="FootnoteReference"/>
        </w:rPr>
        <w:footnoteReference w:id="2050"/>
      </w:r>
      <w:r w:rsidRPr="006A21F9">
        <w:rPr>
          <w:lang w:val="ru-RU"/>
        </w:rPr>
        <w:t xml:space="preserve"> 太25:41）。 </w:t>
      </w:r>
      <w:r w:rsidRPr="006A21F9">
        <w:rPr>
          <w:i/>
          <w:iCs/>
          <w:lang w:val="ru-RU"/>
        </w:rPr>
        <w:t>这些人</w:t>
      </w:r>
      <w:r w:rsidRPr="006A21F9">
        <w:rPr>
          <w:lang w:val="ru-RU"/>
        </w:rPr>
        <w:t>立刻</w:t>
      </w:r>
      <w:r w:rsidRPr="006A21F9">
        <w:rPr>
          <w:i/>
          <w:iCs/>
          <w:lang w:val="ru-RU"/>
        </w:rPr>
        <w:t>要进入永刑，义人则要进入永生</w:t>
      </w:r>
      <w:r w:rsidRPr="006A21F9">
        <w:rPr>
          <w:lang w:val="ru-RU"/>
        </w:rPr>
        <w:t>（太25:46）。这在末日审判后的报应将是完全的、完美的、决断性的。 完全的：即不仅针对人的灵魂——如个别审判之后那样——而是同时针对灵魂与身体，即针对整个人。完美的：因为它不仅在于预定义人得福、罪人受苦——如个别审判之后那样——而在于根据各人的功过，给予完全的福乐与完全的痛苦。 是决断性的：因为它对所有人而言都将永恒不变，没有任何一个罪人会有机会从地狱中解脱出来，而个别审判之后，某些人仍保留着这种可能性（《正统信条》第1卷，对第60、68个问题的回答；参见§§252、257、258）。</w:t>
      </w:r>
    </w:p>
    <w:p w14:paraId="2E981E22" w14:textId="77777777" w:rsidR="00BE1885" w:rsidRPr="006A21F9" w:rsidRDefault="00BE1885" w:rsidP="00BE1885">
      <w:pPr>
        <w:rPr>
          <w:lang w:val="ru-RU"/>
        </w:rPr>
      </w:pPr>
      <w:r w:rsidRPr="006A21F9">
        <w:rPr>
          <w:lang w:val="ru-RU"/>
        </w:rPr>
        <w:tab/>
      </w:r>
    </w:p>
    <w:p w14:paraId="1CC8C95B" w14:textId="77777777" w:rsidR="00BE1885" w:rsidRPr="006A21F9" w:rsidRDefault="00BE1885" w:rsidP="00BE1885">
      <w:pPr>
        <w:pStyle w:val="Heading5"/>
        <w:rPr>
          <w:lang w:val="ru-RU"/>
        </w:rPr>
      </w:pPr>
      <w:bookmarkStart w:id="1241" w:name="_Toc133143049"/>
      <w:bookmarkStart w:id="1242" w:name="_Toc133166406"/>
      <w:bookmarkStart w:id="1243" w:name="_Toc182221616"/>
      <w:bookmarkStart w:id="1244" w:name="_Toc238453183"/>
      <w:bookmarkStart w:id="1245" w:name="_Toc238453983"/>
      <w:bookmarkStart w:id="1246" w:name="_Toc238576643"/>
      <w:r w:rsidRPr="006A21F9">
        <w:rPr>
          <w:lang w:val="ru-RU"/>
        </w:rPr>
        <w:t>§269. 对罪人的报应：</w:t>
      </w:r>
      <w:r w:rsidRPr="006A21F9">
        <w:rPr>
          <w:bCs/>
          <w:lang w:val="ru-RU"/>
        </w:rPr>
        <w:t>a)</w:t>
      </w:r>
      <w:r w:rsidRPr="006A21F9">
        <w:rPr>
          <w:lang w:val="ru-RU"/>
        </w:rPr>
        <w:t xml:space="preserve"> 他们的痛苦将表现为何种形式？</w:t>
      </w:r>
      <w:bookmarkEnd w:id="1241"/>
      <w:bookmarkEnd w:id="1242"/>
      <w:bookmarkEnd w:id="1243"/>
      <w:bookmarkEnd w:id="1244"/>
      <w:bookmarkEnd w:id="1245"/>
      <w:bookmarkEnd w:id="1246"/>
    </w:p>
    <w:p w14:paraId="5DE17B14" w14:textId="77777777" w:rsidR="00BE1885" w:rsidRPr="006A21F9" w:rsidRDefault="00BE1885" w:rsidP="00BE1885">
      <w:pPr>
        <w:ind w:firstLine="708"/>
        <w:rPr>
          <w:lang w:val="ru-RU"/>
        </w:rPr>
      </w:pPr>
      <w:r w:rsidRPr="006A21F9">
        <w:rPr>
          <w:lang w:val="ru-RU"/>
        </w:rPr>
        <w:t>关于罪人将因上帝公义的审判而遭受的折磨，上帝的话语从不同角度、以多种特征加以描述。其中提到：</w:t>
      </w:r>
    </w:p>
    <w:p w14:paraId="2E3B91FF" w14:textId="77777777" w:rsidR="00BE1885" w:rsidRPr="006A21F9" w:rsidRDefault="00BE1885" w:rsidP="00BE1885">
      <w:pPr>
        <w:ind w:firstLine="708"/>
        <w:rPr>
          <w:lang w:val="ru-RU"/>
        </w:rPr>
      </w:pPr>
      <w:r w:rsidRPr="006A21F9">
        <w:rPr>
          <w:b/>
          <w:bCs/>
          <w:lang w:val="ru-RU"/>
        </w:rPr>
        <w:t>1）</w:t>
      </w:r>
      <w:r w:rsidRPr="006A21F9">
        <w:rPr>
          <w:lang w:val="ru-RU"/>
        </w:rPr>
        <w:t>关于罪人被逐离上帝及其受咒诅。威严的审判者将对他们说：“你们这些受咒诅的人，离开我吧”（太25:41）</w:t>
      </w:r>
      <w:r w:rsidRPr="006A21F9">
        <w:rPr>
          <w:i/>
          <w:iCs/>
          <w:lang w:val="ru-RU"/>
        </w:rPr>
        <w:t>——“我不认识</w:t>
      </w:r>
      <w:r w:rsidRPr="006A21F9">
        <w:rPr>
          <w:lang w:val="ru-RU"/>
        </w:rPr>
        <w:t>你们</w:t>
      </w:r>
      <w:r w:rsidRPr="006A21F9">
        <w:rPr>
          <w:i/>
          <w:iCs/>
          <w:lang w:val="ru-RU"/>
        </w:rPr>
        <w:t>……凡行不义的，都离开我吧</w:t>
      </w:r>
      <w:r w:rsidRPr="006A21F9">
        <w:rPr>
          <w:lang w:val="ru-RU"/>
        </w:rPr>
        <w:t>”[（路13:27）；参见 （太7:21）]。对于这些不幸之人而言，这种被上帝弃绝和受咒诅的状态本身就是最严厉的惩罚。“对于有感觉和理智的人来说，”圣约翰·金口指出，“被上帝弃绝意味着 已经承受了地狱之苦。”</w:t>
      </w:r>
      <w:r>
        <w:rPr>
          <w:rStyle w:val="FootnoteReference"/>
        </w:rPr>
        <w:footnoteReference w:id="2051"/>
      </w:r>
      <w:r w:rsidRPr="006A21F9">
        <w:rPr>
          <w:lang w:val="ru-RU"/>
        </w:rPr>
        <w:t xml:space="preserve"> “地狱及其其中的折磨是难以忍受的；然而，即使设想成千上万个地狱，与失去这福乐的荣耀、被基督憎恶，并听到祂说‘我不认识你们’的悲惨境遇相比，这一切都微不足道；更不用说我们明知祂饥饿却未曾喂养祂这一指控了！ 因为与其目睹主那温和的面容从我们面前转开，祂那清明之眼无法注视我们，还不如承受无数次闪电的打击。”</w:t>
      </w:r>
      <w:r>
        <w:rPr>
          <w:rStyle w:val="FootnoteReference"/>
        </w:rPr>
        <w:footnoteReference w:id="2052"/>
      </w:r>
      <w:r w:rsidRPr="006A21F9">
        <w:rPr>
          <w:lang w:val="ru-RU"/>
        </w:rPr>
        <w:t xml:space="preserve"> 必须记住：</w:t>
      </w:r>
      <w:r w:rsidRPr="006A21F9">
        <w:rPr>
          <w:b/>
          <w:bCs/>
          <w:lang w:val="ru-RU"/>
        </w:rPr>
        <w:t>a)</w:t>
      </w:r>
      <w:r w:rsidRPr="006A21F9">
        <w:rPr>
          <w:lang w:val="ru-RU"/>
        </w:rPr>
        <w:t xml:space="preserve"> 罪人将永远被驱逐出上帝的怀抱，即永远丧失这一至高的福分——唯有在这福分中，他们才能完全满足自己按上帝形象所造的灵魂的一切需求； </w:t>
      </w:r>
      <w:r w:rsidRPr="006A21F9">
        <w:rPr>
          <w:b/>
          <w:bCs/>
          <w:lang w:val="ru-RU"/>
        </w:rPr>
        <w:t>b)</w:t>
      </w:r>
      <w:r w:rsidRPr="006A21F9">
        <w:rPr>
          <w:lang w:val="ru-RU"/>
        </w:rPr>
        <w:t xml:space="preserve"> 他们将被自己的天父、自己的救主所弃绝——这位曾以无尽的爱关怀他们、将如此多的恩典倾注于他们的人；他们将永远无法有幸得见祂光明的面容，也永远无法进入他们主的喜乐之中； </w:t>
      </w:r>
      <w:r w:rsidRPr="006A21F9">
        <w:rPr>
          <w:b/>
          <w:bCs/>
          <w:lang w:val="ru-RU"/>
        </w:rPr>
        <w:t>c)</w:t>
      </w:r>
      <w:r w:rsidRPr="006A21F9">
        <w:rPr>
          <w:lang w:val="ru-RU"/>
        </w:rPr>
        <w:t xml:space="preserve"> 既然不再受世俗和肉体的诱惑——这些在现世生活中曾使他们不断迷失自我——他们便会愈发强烈地感受到灵魂那令人煎熬的渴求，这种渴求本性上向往着上帝，却无法被任何事物满足。 那时，对这些不幸者而言，第二次死亡（启示录 20:14）便将降临，这将是因永远远离生命之源而遭受的最残酷的死亡。</w:t>
      </w:r>
    </w:p>
    <w:p w14:paraId="3E5CB469" w14:textId="77777777" w:rsidR="00BE1885" w:rsidRPr="006A21F9" w:rsidRDefault="00BE1885" w:rsidP="00BE1885">
      <w:pPr>
        <w:ind w:firstLine="708"/>
        <w:rPr>
          <w:lang w:val="ru-RU"/>
        </w:rPr>
      </w:pPr>
      <w:r w:rsidRPr="006A21F9">
        <w:rPr>
          <w:b/>
          <w:bCs/>
          <w:lang w:val="ru-RU"/>
        </w:rPr>
        <w:t>2）</w:t>
      </w:r>
      <w:r w:rsidRPr="006A21F9">
        <w:rPr>
          <w:lang w:val="ru-RU"/>
        </w:rPr>
        <w:t>关于罪人将被剥夺天国的一切福分，而义人却将蒙受这些福分。 救主亲自作证说，当许多人从东方和西方来，在天国里与亚伯拉罕、以撒和雅各一同安息时，那些不配</w:t>
      </w:r>
      <w:r w:rsidRPr="006A21F9">
        <w:rPr>
          <w:lang w:val="ru-RU"/>
        </w:rPr>
        <w:lastRenderedPageBreak/>
        <w:t xml:space="preserve">作天国子民的，将被驱逐到外面的黑暗里 </w:t>
      </w:r>
      <w:r w:rsidRPr="00FB3320">
        <w:rPr>
          <w:lang w:val="ru-RU"/>
        </w:rPr>
        <w:t>[</w:t>
      </w:r>
      <w:r w:rsidRPr="006A21F9">
        <w:rPr>
          <w:lang w:val="ru-RU"/>
        </w:rPr>
        <w:t>(太 8:11-12</w:t>
      </w:r>
      <w:r w:rsidRPr="00FB3320">
        <w:rPr>
          <w:lang w:val="ru-RU"/>
        </w:rPr>
        <w:t>)</w:t>
      </w:r>
      <w:r w:rsidRPr="006A21F9">
        <w:rPr>
          <w:lang w:val="ru-RU"/>
        </w:rPr>
        <w:t>； （太 22:13）</w:t>
      </w:r>
      <w:r w:rsidRPr="00FB3320">
        <w:rPr>
          <w:lang w:val="ru-RU"/>
        </w:rPr>
        <w:t>]</w:t>
      </w:r>
      <w:r w:rsidRPr="006A21F9">
        <w:rPr>
          <w:lang w:val="ru-RU"/>
        </w:rPr>
        <w:t>，并在痛苦中远远地看见亚伯拉罕，以及在他怀中的义人（路 16:23）。 “这种福分的丧失，”圣金口若望论述道，“将带来如此剧烈的痛苦、如此深重的悲伤和压抑，以至于即使罪人在此地不面临任何刑罚，这种丧失本身就足以比地狱之苦更强烈地撕裂和扰乱我们的灵魂……” 接着他又说：“许多轻率之人只盼望逃脱地狱之苦；但我认为，比地狱之刑更令人痛苦的惩罚，是无法享有那荣耀；对于失去这荣耀的人来说，我认为他所应痛哭的，与其说是地狱的折磨，不如说是失去天上的福分；因为仅此一点，便是所有惩罚中最残酷的。</w:t>
      </w:r>
      <w:r>
        <w:rPr>
          <w:rStyle w:val="FootnoteReference"/>
        </w:rPr>
        <w:footnoteReference w:id="2053"/>
      </w:r>
      <w:r w:rsidRPr="006A21F9">
        <w:rPr>
          <w:lang w:val="ru-RU"/>
        </w:rPr>
        <w:t xml:space="preserve"> “我知道，许多人仅因地狱而感到恐惧；但我认为，失去那份荣耀的折磨，比地狱还要残酷。”</w:t>
      </w:r>
      <w:r>
        <w:rPr>
          <w:rStyle w:val="FootnoteReference"/>
        </w:rPr>
        <w:footnoteReference w:id="2054"/>
      </w:r>
    </w:p>
    <w:p w14:paraId="0581F2A5" w14:textId="77777777" w:rsidR="00BE1885" w:rsidRPr="006A21F9" w:rsidRDefault="00BE1885" w:rsidP="00BE1885">
      <w:pPr>
        <w:ind w:firstLine="708"/>
        <w:rPr>
          <w:lang w:val="ru-RU"/>
        </w:rPr>
      </w:pPr>
      <w:r w:rsidRPr="006A21F9">
        <w:rPr>
          <w:b/>
          <w:bCs/>
          <w:lang w:val="ru-RU"/>
        </w:rPr>
        <w:t>3)</w:t>
      </w:r>
      <w:r w:rsidRPr="006A21F9">
        <w:rPr>
          <w:lang w:val="ru-RU"/>
        </w:rPr>
        <w:t xml:space="preserve"> 关于罪人将被驱逐之地及其社群。 这个地方有时被称为深渊，连魔鬼本身都对此感到恐惧（路加福音 8:31）；有时被称为地狱（路加福音 16:22）；有时被称为永恒黑暗之地，那里没有光（约伯记 10:22）；有时被称为火湖（马太福音 5:22-28）， 火炉（马太福音13:50），以及燃烧着硫磺的火湖</w:t>
      </w:r>
      <w:r w:rsidRPr="00430F02">
        <w:rPr>
          <w:lang w:val="ru-RU"/>
        </w:rPr>
        <w:t>[</w:t>
      </w:r>
      <w:r w:rsidRPr="006A21F9">
        <w:rPr>
          <w:lang w:val="ru-RU"/>
        </w:rPr>
        <w:t>（启示录19:20</w:t>
      </w:r>
      <w:r w:rsidRPr="00430F02">
        <w:rPr>
          <w:lang w:val="ru-RU"/>
        </w:rPr>
        <w:t>）</w:t>
      </w:r>
      <w:r w:rsidRPr="006A21F9">
        <w:rPr>
          <w:lang w:val="ru-RU"/>
        </w:rPr>
        <w:t>；（启示录20:14</w:t>
      </w:r>
      <w:r w:rsidRPr="00430F02">
        <w:rPr>
          <w:lang w:val="ru-RU"/>
        </w:rPr>
        <w:t>）</w:t>
      </w:r>
      <w:r w:rsidRPr="006A21F9">
        <w:rPr>
          <w:lang w:val="ru-RU"/>
        </w:rPr>
        <w:t>；（启示录21:8）</w:t>
      </w:r>
      <w:r w:rsidRPr="00430F02">
        <w:rPr>
          <w:lang w:val="ru-RU"/>
        </w:rPr>
        <w:t>]</w:t>
      </w:r>
      <w:r w:rsidRPr="006A21F9">
        <w:rPr>
          <w:lang w:val="ru-RU"/>
        </w:rPr>
        <w:t>。 在这样的地方，罪人将永世无期地环顾四周，除了那些曾是他们灭亡主要原因的被弃绝的恶灵之外，再也看不到任何人（马太福音 26:41）。 “圣以弗所·西里尔说：‘凡在世上犯罪、冒犯上帝、并隐瞒自己所作所为的人，都将被投入漆黑的黑暗中，那里没有一丝光亮。凡在心中藏着诡诈、在脑海中怀着嫉妒的人，都将被那充满火焰与恐怖的可怕深渊所吞没。 凡沉溺于愤怒、不让爱进入心中，甚至憎恨邻人者，都将被交给恶魔遭受残酷的折磨。”</w:t>
      </w:r>
      <w:r>
        <w:rPr>
          <w:rStyle w:val="FootnoteReference"/>
        </w:rPr>
        <w:footnoteReference w:id="2055"/>
      </w:r>
    </w:p>
    <w:p w14:paraId="654656E4" w14:textId="77777777" w:rsidR="00BE1885" w:rsidRPr="006A21F9" w:rsidRDefault="00BE1885" w:rsidP="00BE1885">
      <w:pPr>
        <w:ind w:firstLine="708"/>
        <w:rPr>
          <w:lang w:val="ru-RU"/>
        </w:rPr>
      </w:pPr>
      <w:r w:rsidRPr="006A21F9">
        <w:rPr>
          <w:b/>
          <w:bCs/>
          <w:lang w:val="ru-RU"/>
        </w:rPr>
        <w:t>4)</w:t>
      </w:r>
      <w:r w:rsidRPr="006A21F9">
        <w:rPr>
          <w:lang w:val="ru-RU"/>
        </w:rPr>
        <w:t xml:space="preserve"> 关于罪人在地狱中的内心煎熬。届时，使徒的话将完全应验在他们身上：</w:t>
      </w:r>
      <w:r w:rsidRPr="006A21F9">
        <w:rPr>
          <w:i/>
          <w:iCs/>
          <w:lang w:val="ru-RU"/>
        </w:rPr>
        <w:t>“凡行恶的人，必受各样的忧愁和困苦”</w:t>
      </w:r>
      <w:r w:rsidRPr="006A21F9">
        <w:rPr>
          <w:lang w:val="ru-RU"/>
        </w:rPr>
        <w:t>（罗马书 2:9）。 回首他们因沉溺于邪恶行径而鲁莽毁掉的一生，良知对所有曾经犯下的不法之举所作出的无休止的谴责， 以及后来因未善用上帝赐予的得救途径而产生的懊悔，还有那最令人痛苦的觉悟——即已无可能悔改、改过自新并得救——这一切都将无休止地折磨着这些不幸之人。 他们内心懊悔，在心灵的困顿中叹息道：</w:t>
      </w:r>
      <w:r w:rsidRPr="006A21F9">
        <w:rPr>
          <w:i/>
          <w:iCs/>
          <w:lang w:val="ru-RU"/>
        </w:rPr>
        <w:t>我们偏离了真理之路，公义之光未曾照耀我们，太阳也未曾照亮我们。我们充满了不法和灭亡之事，行走在无法通行的旷野中， ，未曾认识主的道路。 傲慢给我们带来了什么益处？财富与虚荣又给我们带来了什么？这一切都如影儿般消逝，如转瞬即逝的流言……我们也就这样生了又死，未能显出任何美德的迹象，反而在我们的不法之中耗尽了生命</w:t>
      </w:r>
      <w:r w:rsidRPr="006A21F9">
        <w:rPr>
          <w:lang w:val="ru-RU"/>
        </w:rPr>
        <w:t>（《箴言》5:6-9, 13）。 “那些行恶之人，”圣巴西尔大帝写道，“将在复活时遭受羞辱与耻笑，以便在自己身上看见可憎之物，以及他们所犯之罪的印记。 或许，比黑暗和永火更可怕的，是罪人将永远背负的这种羞耻——他们眼前不断浮现着在肉体中所犯之罪的痕迹，如同某种无法洗去颜料，永远留存于他们灵魂的记忆之中。”</w:t>
      </w:r>
      <w:r>
        <w:rPr>
          <w:rStyle w:val="FootnoteReference"/>
        </w:rPr>
        <w:footnoteReference w:id="2056"/>
      </w:r>
    </w:p>
    <w:p w14:paraId="56805672" w14:textId="77777777" w:rsidR="00BE1885" w:rsidRPr="006A21F9" w:rsidRDefault="00BE1885" w:rsidP="00BE1885">
      <w:pPr>
        <w:ind w:firstLine="708"/>
        <w:rPr>
          <w:lang w:val="ru-RU"/>
        </w:rPr>
      </w:pPr>
      <w:r w:rsidRPr="006A21F9">
        <w:rPr>
          <w:b/>
          <w:bCs/>
          <w:lang w:val="ru-RU"/>
        </w:rPr>
        <w:t>5)</w:t>
      </w:r>
      <w:r w:rsidRPr="006A21F9">
        <w:rPr>
          <w:lang w:val="ru-RU"/>
        </w:rPr>
        <w:t xml:space="preserve"> 关于罪人在地狱中的外在折磨。这些折磨在圣经中以不死的虫子为喻，而更常见的是以不灭的火为喻。救主基督为了保护我们免受诱惑，曾说过：</w:t>
      </w:r>
      <w:r w:rsidRPr="006A21F9">
        <w:rPr>
          <w:i/>
          <w:iCs/>
          <w:lang w:val="ru-RU"/>
        </w:rPr>
        <w:t xml:space="preserve">如果你的脚使你跌倒，就砍掉它： </w:t>
      </w:r>
      <w:r w:rsidRPr="006A21F9">
        <w:rPr>
          <w:i/>
          <w:iCs/>
          <w:lang w:val="ru-RU"/>
        </w:rPr>
        <w:lastRenderedPageBreak/>
        <w:t xml:space="preserve">你瘸着脚进入永生，总比两脚健全地被扔进地狱、那不灭的火里好，在那里，虫是不死的，火是不灭的 </w:t>
      </w:r>
      <w:r w:rsidRPr="00FB3320">
        <w:rPr>
          <w:lang w:val="ru-RU"/>
        </w:rPr>
        <w:t>[</w:t>
      </w:r>
      <w:r w:rsidRPr="006A21F9">
        <w:rPr>
          <w:lang w:val="ru-RU"/>
        </w:rPr>
        <w:t>(可 9:45-46</w:t>
      </w:r>
      <w:r w:rsidRPr="00FB3320">
        <w:rPr>
          <w:lang w:val="ru-RU"/>
        </w:rPr>
        <w:t>)</w:t>
      </w:r>
      <w:r w:rsidRPr="006A21F9">
        <w:rPr>
          <w:lang w:val="ru-RU"/>
        </w:rPr>
        <w:t>；(可 44:48)</w:t>
      </w:r>
      <w:r w:rsidRPr="00FB3320">
        <w:rPr>
          <w:lang w:val="ru-RU"/>
        </w:rPr>
        <w:t>]</w:t>
      </w:r>
      <w:r w:rsidRPr="006A21F9">
        <w:rPr>
          <w:lang w:val="ru-RU"/>
        </w:rPr>
        <w:t>； 在“财主与拉撒路”的比喻中提到，那个死后下到阴间的财主，正在火焰中受苦（路加福音 16:24），并在末日审判时对罪人宣告：“你们这些被咒诅的人，离开我，进入那永火里去”（马太福音 25:41）。 圣使徒保罗也作证说，将来审判活人死人的主，将在烈火中报应那些不认识神、不听从我们主耶稣基督福音的人（帖后1:8）。教会的圣父们也是这样教导的，例如：</w:t>
      </w:r>
      <w:r w:rsidRPr="006A21F9">
        <w:rPr>
          <w:b/>
          <w:bCs/>
          <w:lang w:val="ru-RU"/>
        </w:rPr>
        <w:t xml:space="preserve">a) </w:t>
      </w:r>
      <w:r w:rsidRPr="006A21F9">
        <w:rPr>
          <w:lang w:val="ru-RU"/>
        </w:rPr>
        <w:t>大圣巴西尔：“随后（即</w:t>
      </w:r>
      <w:r w:rsidRPr="00FB3320">
        <w:rPr>
          <w:lang w:val="ru-RU"/>
        </w:rPr>
        <w:t>审判之后）</w:t>
      </w:r>
      <w:r w:rsidRPr="006A21F9">
        <w:rPr>
          <w:lang w:val="ru-RU"/>
        </w:rPr>
        <w:t>，那些生前行过许多恶事的人，将被派去面对可怕而阴沉的天使——他们因意志的残忍，目光如火，气息如火；因沮丧与憎恶人类，面容如黑夜一般； 接着是无法穿越的深渊、深邃的黑暗，以及那暗无光明的火焰——它在黑暗中蕴含着焚灼之力，却毫无光辉；随后是一种剧毒且食肉的蠕虫，它贪婪地吞噬，永不满足，其吞噬行为会引发难以忍受的疾病； 接着是所有折磨中最残酷的——永恒的耻辱与永恒的羞愧；”</w:t>
      </w:r>
      <w:r>
        <w:rPr>
          <w:rStyle w:val="FootnoteReference"/>
        </w:rPr>
        <w:footnoteReference w:id="2057"/>
      </w:r>
      <w:r w:rsidRPr="006A21F9">
        <w:rPr>
          <w:lang w:val="ru-RU"/>
        </w:rPr>
        <w:t xml:space="preserve"> </w:t>
      </w:r>
      <w:r w:rsidRPr="006A21F9">
        <w:rPr>
          <w:b/>
          <w:bCs/>
          <w:lang w:val="ru-RU"/>
        </w:rPr>
        <w:t xml:space="preserve">b) </w:t>
      </w:r>
      <w:r w:rsidRPr="006A21F9">
        <w:rPr>
          <w:lang w:val="ru-RU"/>
        </w:rPr>
        <w:t>圣约翰·金口：“听闻‘火’时，切勿以为那里的火与世间的火相似；世间的火会吞噬、焚烧并将其转化为其他事物；而那里的火一旦将人笼罩，便会永远燃烧，永不熄灭，因此被称为‘不灭之火’。 因为罪人也将披上不朽之身，并非为了荣耀，而是为了让那里的折磨成为永恒的警示：这究竟有多可怕，人的理智永远无法想象；除非通过亲身体验微不足道的灾祸，才能对那些巨大的折磨略有领悟。 如果你有朝一日身处一间烧得比正常温度更高的蒸汽房，那就试着想象一下地狱之火；如果你有朝一日被高烧折磨得痛苦不堪，那就让思绪飞向那团烈焰：那时你便能很好地理解其中的区别。 因为，如果蒸汽房和高烧都能如此折磨和困扰我们，那么当我们落入那条在可怕的审判台前流淌的火河时，又将感受到怎样的痛苦呢！”</w:t>
      </w:r>
      <w:r>
        <w:rPr>
          <w:rStyle w:val="FootnoteReference"/>
        </w:rPr>
        <w:footnoteReference w:id="2058"/>
      </w:r>
    </w:p>
    <w:p w14:paraId="148149A7" w14:textId="77777777" w:rsidR="00BE1885" w:rsidRPr="006A21F9" w:rsidRDefault="00BE1885" w:rsidP="00BE1885">
      <w:pPr>
        <w:rPr>
          <w:lang w:val="ru-RU"/>
        </w:rPr>
      </w:pPr>
      <w:r w:rsidRPr="006A21F9">
        <w:rPr>
          <w:lang w:val="ru-RU"/>
        </w:rPr>
        <w:tab/>
        <w:t>关于罪人在地狱中将受其折磨的“不死的虫”和“不灭的火”究竟是什么，上帝的话语并未明确界定。因此，圣约翰·达马斯库斯曾这样表述：“罪人将被投入永火之中，那并非我们所熟知的物质之火，而是唯有上帝所知的那种火。”</w:t>
      </w:r>
      <w:r>
        <w:rPr>
          <w:rStyle w:val="FootnoteReference"/>
        </w:rPr>
        <w:footnoteReference w:id="2059"/>
      </w:r>
      <w:r w:rsidRPr="006A21F9">
        <w:rPr>
          <w:lang w:val="ru-RU"/>
        </w:rPr>
        <w:t xml:space="preserve"> 总体而言，古代教会导师们认为，地狱之火不会像我们所熟知的尘世之火那样，</w:t>
      </w:r>
      <w:r>
        <w:rPr>
          <w:rStyle w:val="FootnoteReference"/>
        </w:rPr>
        <w:footnoteReference w:id="2060"/>
      </w:r>
      <w:r w:rsidRPr="006A21F9">
        <w:rPr>
          <w:lang w:val="ru-RU"/>
        </w:rPr>
        <w:t xml:space="preserve"> 它会灼烧，却不会将任何事物烧尽或毁灭，</w:t>
      </w:r>
      <w:r>
        <w:rPr>
          <w:rStyle w:val="FootnoteReference"/>
        </w:rPr>
        <w:footnoteReference w:id="2061"/>
      </w:r>
      <w:r w:rsidRPr="006A21F9">
        <w:rPr>
          <w:lang w:val="ru-RU"/>
        </w:rPr>
        <w:t xml:space="preserve"> 它不仅作用于罪人的肉体，还作用于灵魂以及无形之灵——即恶魔本身，</w:t>
      </w:r>
      <w:r>
        <w:rPr>
          <w:rStyle w:val="FootnoteReference"/>
        </w:rPr>
        <w:footnoteReference w:id="2062"/>
      </w:r>
      <w:r w:rsidRPr="006A21F9">
        <w:rPr>
          <w:lang w:val="ru-RU"/>
        </w:rPr>
        <w:t xml:space="preserve"> 它将是一种阴暗、无光</w:t>
      </w:r>
      <w:r>
        <w:rPr>
          <w:rStyle w:val="FootnoteReference"/>
        </w:rPr>
        <w:footnoteReference w:id="2063"/>
      </w:r>
      <w:r w:rsidRPr="006A21F9">
        <w:rPr>
          <w:lang w:val="ru-RU"/>
        </w:rPr>
        <w:t xml:space="preserve">  </w:t>
      </w:r>
      <w:r w:rsidRPr="006A21F9">
        <w:rPr>
          <w:lang w:val="ru-RU"/>
        </w:rPr>
        <w:lastRenderedPageBreak/>
        <w:t>且充满神秘色彩的火焰。</w:t>
      </w:r>
      <w:r>
        <w:rPr>
          <w:rStyle w:val="FootnoteReference"/>
        </w:rPr>
        <w:footnoteReference w:id="2064"/>
      </w:r>
      <w:r w:rsidRPr="006A21F9">
        <w:rPr>
          <w:lang w:val="ru-RU"/>
        </w:rPr>
        <w:t xml:space="preserve"> 有些人则认为，这“不灭的火”和“不死的虫”可以被理解为比喻，象征着地狱中最残酷的折磨，</w:t>
      </w:r>
      <w:r>
        <w:rPr>
          <w:rStyle w:val="FootnoteReference"/>
        </w:rPr>
        <w:footnoteReference w:id="2065"/>
      </w:r>
      <w:r w:rsidRPr="006A21F9">
        <w:rPr>
          <w:lang w:val="ru-RU"/>
        </w:rPr>
        <w:t xml:space="preserve"> 其中“虫”主要表达内心的良心谴责，而“火”则代表可怕的外部折磨。</w:t>
      </w:r>
      <w:r>
        <w:rPr>
          <w:rStyle w:val="FootnoteReference"/>
        </w:rPr>
        <w:footnoteReference w:id="2066"/>
      </w:r>
    </w:p>
    <w:p w14:paraId="3EF35745" w14:textId="77777777" w:rsidR="00BE1885" w:rsidRPr="006A21F9" w:rsidRDefault="00BE1885" w:rsidP="00BE1885">
      <w:pPr>
        <w:ind w:firstLine="708"/>
        <w:rPr>
          <w:lang w:val="ru-RU"/>
        </w:rPr>
      </w:pPr>
      <w:r w:rsidRPr="006A21F9">
        <w:rPr>
          <w:b/>
          <w:bCs/>
          <w:lang w:val="ru-RU"/>
        </w:rPr>
        <w:t>6)</w:t>
      </w:r>
      <w:r w:rsidRPr="006A21F9">
        <w:rPr>
          <w:lang w:val="ru-RU"/>
        </w:rPr>
        <w:t xml:space="preserve"> 关于所有这些苦难——无论是内心的还是外在的——所带来的后果，即：哀哭切齿、绝望、永恒的灭亡。救主曾多次提到地狱里</w:t>
      </w:r>
      <w:r w:rsidRPr="006A21F9">
        <w:rPr>
          <w:i/>
          <w:iCs/>
          <w:lang w:val="ru-RU"/>
        </w:rPr>
        <w:t>会有哀哭切齿</w:t>
      </w:r>
      <w:r w:rsidRPr="006A21F9">
        <w:rPr>
          <w:lang w:val="ru-RU"/>
        </w:rPr>
        <w:t>的情景 [(太 8:12)；</w:t>
      </w:r>
      <w:r w:rsidRPr="006A21F9">
        <w:rPr>
          <w:rFonts w:cs="Cambria Math"/>
          <w:lang w:val="ru-RU"/>
        </w:rPr>
        <w:t xml:space="preserve"> </w:t>
      </w:r>
      <w:r w:rsidRPr="006A21F9">
        <w:rPr>
          <w:lang w:val="ru-RU"/>
        </w:rPr>
        <w:t>（太13:42-50）；（太25:30）]。义人亚伯拉罕对身处阴间的财主说：“</w:t>
      </w:r>
      <w:r w:rsidRPr="006A21F9">
        <w:rPr>
          <w:i/>
          <w:iCs/>
          <w:lang w:val="ru-RU"/>
        </w:rPr>
        <w:t>在我们和你们之间</w:t>
      </w:r>
      <w:r w:rsidRPr="006A21F9">
        <w:rPr>
          <w:lang w:val="ru-RU"/>
        </w:rPr>
        <w:t>，</w:t>
      </w:r>
      <w:r w:rsidRPr="006A21F9">
        <w:rPr>
          <w:i/>
          <w:iCs/>
          <w:lang w:val="ru-RU"/>
        </w:rPr>
        <w:t>有一道深渊，以至于想要从这里到你们那里去的人不能过去，同样，从那里到我们这里来的人也不能过去</w:t>
      </w:r>
      <w:r w:rsidRPr="006A21F9">
        <w:rPr>
          <w:lang w:val="ru-RU"/>
        </w:rPr>
        <w:t>”（路16:26）。 使徒曾为罪人作证，他们将遭受永恒的灭亡 [(帖后 1:9)；(太 10:28)；(腓 3:19)]。 “当我们到了那里，”圣金口若望如此论述，“即使表现出最深切的悔改，也再无法从中获益； 无论我们如何咬牙切齿，无论我们如何痛哭流涕、千百次地恳求，都无人会向被烈火吞噬的我们施以丝毫援手；相反，我们将听到与那位财主同样的宣告——‘在我们和你们之间，有一道巨大的鸿沟已经确立了’（路加福音 16:28）…… 我们将因难以忍受的痛苦和折磨而咬牙切齿，但无人相助。当烈焰愈发猛烈地吞噬我们时，我们将发出凄厉的哀号，却除了与我们一同受苦的人和那无边的大虚空之外，再也看不见任何人。 至于那黑暗将给我们的灵魂带来的种种恐怖，又该如何形容呢？”</w:t>
      </w:r>
      <w:r>
        <w:rPr>
          <w:rStyle w:val="FootnoteReference"/>
        </w:rPr>
        <w:footnoteReference w:id="2067"/>
      </w:r>
      <w:r w:rsidRPr="006A21F9">
        <w:rPr>
          <w:lang w:val="ru-RU"/>
        </w:rPr>
        <w:t xml:space="preserve"> “另一位圣父也曾这样说：在那个永不熄灭的火焰、永不死亡的蛆虫、黑暗而可怕的地狱深渊之中，承受着无休止且难以忍受的折磨，那人的身体将处于何种境地？ 那里的悲痛啜泣、凄厉的哀号、哭泣与咬牙切齿，而苦难永无止境？死后无法从这一切中解脱，既无方法也无可能摆脱这些痛苦的折磨。”</w:t>
      </w:r>
      <w:r>
        <w:rPr>
          <w:rStyle w:val="FootnoteReference"/>
        </w:rPr>
        <w:footnoteReference w:id="2068"/>
      </w:r>
    </w:p>
    <w:p w14:paraId="1867D679" w14:textId="77777777" w:rsidR="00BE1885" w:rsidRPr="006A21F9" w:rsidRDefault="00BE1885" w:rsidP="00BE1885">
      <w:pPr>
        <w:rPr>
          <w:lang w:val="ru-RU"/>
        </w:rPr>
      </w:pPr>
    </w:p>
    <w:p w14:paraId="629BA2B7" w14:textId="77777777" w:rsidR="00BE1885" w:rsidRPr="006A21F9" w:rsidRDefault="00BE1885" w:rsidP="00BE1885">
      <w:pPr>
        <w:pStyle w:val="Heading5"/>
        <w:rPr>
          <w:lang w:val="ru-RU"/>
        </w:rPr>
      </w:pPr>
      <w:bookmarkStart w:id="1247" w:name="_Toc133143050"/>
      <w:bookmarkStart w:id="1248" w:name="_Toc133166407"/>
      <w:bookmarkStart w:id="1249" w:name="_Toc182221617"/>
      <w:bookmarkStart w:id="1250" w:name="_Toc238453184"/>
      <w:bookmarkStart w:id="1251" w:name="_Toc238453984"/>
      <w:bookmarkStart w:id="1252" w:name="_Toc238576644"/>
      <w:r w:rsidRPr="006A21F9">
        <w:rPr>
          <w:lang w:val="ru-RU"/>
        </w:rPr>
        <w:t xml:space="preserve">§270. </w:t>
      </w:r>
      <w:r w:rsidRPr="006A21F9">
        <w:rPr>
          <w:bCs/>
          <w:lang w:val="ru-RU"/>
        </w:rPr>
        <w:t>b)</w:t>
      </w:r>
      <w:r w:rsidRPr="006A21F9">
        <w:rPr>
          <w:lang w:val="ru-RU"/>
        </w:rPr>
        <w:t xml:space="preserve"> 地狱折磨的程度</w:t>
      </w:r>
      <w:bookmarkEnd w:id="1247"/>
      <w:bookmarkEnd w:id="1248"/>
      <w:bookmarkEnd w:id="1249"/>
      <w:bookmarkEnd w:id="1250"/>
      <w:bookmarkEnd w:id="1251"/>
      <w:bookmarkEnd w:id="1252"/>
    </w:p>
    <w:p w14:paraId="07BE409E" w14:textId="77777777" w:rsidR="00BE1885" w:rsidRPr="006A21F9" w:rsidRDefault="00BE1885" w:rsidP="00BE1885">
      <w:pPr>
        <w:ind w:firstLine="708"/>
        <w:rPr>
          <w:lang w:val="ru-RU"/>
        </w:rPr>
      </w:pPr>
      <w:r w:rsidRPr="006A21F9">
        <w:rPr>
          <w:lang w:val="ru-RU"/>
        </w:rPr>
        <w:t>不过，虽然所有罪人都将遭受地狱之苦，但程度并不相同：有些人受罚更重，有些人较轻，各人皆按其罪孽轻重而定。这一真理：</w:t>
      </w:r>
    </w:p>
    <w:p w14:paraId="28C1A3B9" w14:textId="77777777" w:rsidR="00BE1885" w:rsidRPr="006A21F9" w:rsidRDefault="00BE1885" w:rsidP="00BE1885">
      <w:pPr>
        <w:ind w:firstLine="708"/>
        <w:rPr>
          <w:lang w:val="ru-RU"/>
        </w:rPr>
      </w:pPr>
      <w:r w:rsidRPr="006A21F9">
        <w:rPr>
          <w:b/>
          <w:bCs/>
          <w:lang w:val="ru-RU"/>
        </w:rPr>
        <w:t>1.</w:t>
      </w:r>
      <w:r w:rsidRPr="006A21F9">
        <w:rPr>
          <w:lang w:val="ru-RU"/>
        </w:rPr>
        <w:t xml:space="preserve"> 圣经已明确宣告。救主基督曾</w:t>
      </w:r>
      <w:r w:rsidRPr="006A21F9">
        <w:rPr>
          <w:i/>
          <w:iCs/>
          <w:lang w:val="ru-RU"/>
        </w:rPr>
        <w:t>说，那知道主人旨意却不预备、也不遵行的人，必受重罚；那不知道却做了该受惩罚之事的人，必受较轻的惩罚</w:t>
      </w:r>
      <w:r w:rsidRPr="006A21F9">
        <w:rPr>
          <w:lang w:val="ru-RU"/>
        </w:rPr>
        <w:t xml:space="preserve">（路加福音12:47-48）； </w:t>
      </w:r>
      <w:r w:rsidRPr="006A21F9">
        <w:rPr>
          <w:i/>
          <w:iCs/>
          <w:lang w:val="ru-RU"/>
        </w:rPr>
        <w:t>那些吞吃寡妇家产、又假意长时间祷告</w:t>
      </w:r>
      <w:r w:rsidRPr="006A21F9">
        <w:rPr>
          <w:lang w:val="ru-RU"/>
        </w:rPr>
        <w:t>的法利赛人</w:t>
      </w:r>
      <w:r w:rsidRPr="006A21F9">
        <w:rPr>
          <w:i/>
          <w:iCs/>
          <w:lang w:val="ru-RU"/>
        </w:rPr>
        <w:t>，将受到更重的定罪</w:t>
      </w:r>
      <w:r w:rsidRPr="006A21F9">
        <w:rPr>
          <w:lang w:val="ru-RU"/>
        </w:rPr>
        <w:t xml:space="preserve">（路加福音 20:47）； </w:t>
      </w:r>
      <w:r w:rsidRPr="006A21F9">
        <w:rPr>
          <w:i/>
          <w:iCs/>
          <w:lang w:val="ru-RU"/>
        </w:rPr>
        <w:t>在审判之日，所多玛和蛾摩拉所受的惩罚，将比</w:t>
      </w:r>
      <w:r w:rsidRPr="006A21F9">
        <w:rPr>
          <w:lang w:val="ru-RU"/>
        </w:rPr>
        <w:t>那不接待使徒的</w:t>
      </w:r>
      <w:r w:rsidRPr="006A21F9">
        <w:rPr>
          <w:i/>
          <w:iCs/>
          <w:lang w:val="ru-RU"/>
        </w:rPr>
        <w:t>城</w:t>
      </w:r>
      <w:r w:rsidRPr="006A21F9">
        <w:rPr>
          <w:lang w:val="ru-RU"/>
        </w:rPr>
        <w:t>所受的</w:t>
      </w:r>
      <w:r w:rsidRPr="006A21F9">
        <w:rPr>
          <w:i/>
          <w:iCs/>
          <w:lang w:val="ru-RU"/>
        </w:rPr>
        <w:t>更轻</w:t>
      </w:r>
      <w:r w:rsidRPr="006A21F9">
        <w:rPr>
          <w:lang w:val="ru-RU"/>
        </w:rPr>
        <w:t>（马太福音 10:15），而推罗和西顿所受的惩罚，将比哥拉汀和伯赛大所受的更轻（马太福音 11:21-22）。 圣使徒教导说，公义的审判者在普世审判中，必按各人的行为报应各人（罗2:6）。</w:t>
      </w:r>
    </w:p>
    <w:p w14:paraId="27B2BE22" w14:textId="77777777" w:rsidR="00BE1885" w:rsidRPr="006A21F9" w:rsidRDefault="00BE1885" w:rsidP="00BE1885">
      <w:pPr>
        <w:ind w:firstLine="708"/>
        <w:rPr>
          <w:lang w:val="ru-RU"/>
        </w:rPr>
      </w:pPr>
      <w:r w:rsidRPr="006A21F9">
        <w:rPr>
          <w:b/>
          <w:bCs/>
          <w:lang w:val="ru-RU"/>
        </w:rPr>
        <w:t>2.</w:t>
      </w:r>
      <w:r w:rsidRPr="006A21F9">
        <w:rPr>
          <w:lang w:val="ru-RU"/>
        </w:rPr>
        <w:t xml:space="preserve"> 圣父们和教会的导师们也同样明确地宣讲了这一点。例如：</w:t>
      </w:r>
    </w:p>
    <w:p w14:paraId="0F34F499" w14:textId="77777777" w:rsidR="00BE1885" w:rsidRPr="006A21F9" w:rsidRDefault="00BE1885" w:rsidP="00BE1885">
      <w:pPr>
        <w:rPr>
          <w:lang w:val="ru-RU"/>
        </w:rPr>
      </w:pPr>
      <w:r w:rsidRPr="006A21F9">
        <w:rPr>
          <w:lang w:val="ru-RU"/>
        </w:rPr>
        <w:tab/>
        <w:t xml:space="preserve">大圣巴西尔：“须知，‘受刑者将多’和‘受刑者将少’这些表述，所指的并非刑罚的终结，而是刑罚程度的差异。 因为，若上帝是公义的审判者，不仅对善人，也对恶人，都按各人的行为报应，那么有些人或许配受不灭之火，或是较微弱的火，或是更灼人的火， </w:t>
      </w:r>
      <w:r w:rsidRPr="006A21F9">
        <w:rPr>
          <w:lang w:val="ru-RU"/>
        </w:rPr>
        <w:lastRenderedPageBreak/>
        <w:t>另一人则要遭受不死的虫蛀，但这种痛苦根据各人的罪孽，或稍可忍受，或难以承受；还有人要下地狱，那里无疑存在各种形式的折磨；另有人要陷入极深的黑暗之中，在那里，有人仅止于哭泣，而另有人则因剧烈的折磨而咬牙切齿。 最深沉的黑暗无疑表明，其中还存在某种内在的东西。而《箴言》中所说的：“在地狱的深处”（箴言 9:18），则暗示有些人虽然身在阴间，却不在地狱的最深处，所受的折磨最为轻微。 这一点如今在肉体上的痛苦中也能区分出来。因为有人患有伴有抽搐及其他病症的发热；另有人 只感到发热，且程度与他人不同；还有人虽无发热，却在某处肢体上承受着疼痛，其程度又比他人更重或更轻。”</w:t>
      </w:r>
      <w:r>
        <w:rPr>
          <w:rStyle w:val="FootnoteReference"/>
        </w:rPr>
        <w:footnoteReference w:id="2069"/>
      </w:r>
    </w:p>
    <w:p w14:paraId="7D9847AD" w14:textId="77777777" w:rsidR="00BE1885" w:rsidRPr="006A21F9" w:rsidRDefault="00BE1885" w:rsidP="00BE1885">
      <w:pPr>
        <w:rPr>
          <w:lang w:val="ru-RU"/>
        </w:rPr>
      </w:pPr>
      <w:r w:rsidRPr="006A21F9">
        <w:rPr>
          <w:lang w:val="ru-RU"/>
        </w:rPr>
        <w:tab/>
        <w:t>圣以弗所·西里安：“苦难有各种形式，正如我们在福音书中所听到的。 有‘极深的黑暗’（马太福音 8:12）：由此可见，还有另一种更深的黑暗；‘火湖’（马太福音 5:22）——是另一个受苦之地；‘咬牙切齿’（马太福音 13:42）——也是一个特殊的地方； 永不休止的虫（马可福音 9:48）——在另一个地方；火湖（启示录 19:20）——又是另一个地方；塔尔塔罗斯（彼得后书 2:4）——也有它自己的地方；永不熄灭的火（马可福音 9:43）——一个特殊的国度； 阴间（腓立比书 2:10）与灭亡（马太福音 7:13）——各在自己的位置；地极（以弗所书 4:9）——又是另一处；罪人所居的地狱及其最深处——则是痛苦最剧烈的所在。 那些不幸之人将被分配到这些折磨之中，各人按其罪孽的轻重——或更严重，或尚可忍受——受罚，正如经上所记：“人各被自己的罪孽捆绑”（箴言 5:22），“多受的，必多还；少受的，必少还”（路加福音 12:47-48）。 正如现世惩罚存在差异，来世亦是如此。”</w:t>
      </w:r>
      <w:r>
        <w:rPr>
          <w:rStyle w:val="FootnoteReference"/>
        </w:rPr>
        <w:footnoteReference w:id="2070"/>
      </w:r>
      <w:r w:rsidRPr="006A21F9">
        <w:rPr>
          <w:lang w:val="ru-RU"/>
        </w:rPr>
        <w:t xml:space="preserve"> “通奸者所受的折磨与淫乱者不同，与杀人者不同，与盗贼和醉汉也不同。”</w:t>
      </w:r>
      <w:r>
        <w:rPr>
          <w:rStyle w:val="FootnoteReference"/>
        </w:rPr>
        <w:footnoteReference w:id="2071"/>
      </w:r>
    </w:p>
    <w:p w14:paraId="5602BD98" w14:textId="77777777" w:rsidR="00BE1885" w:rsidRPr="006A21F9" w:rsidRDefault="00BE1885" w:rsidP="00BE1885">
      <w:pPr>
        <w:rPr>
          <w:lang w:val="ru-RU"/>
        </w:rPr>
      </w:pPr>
      <w:r w:rsidRPr="006A21F9">
        <w:rPr>
          <w:lang w:val="ru-RU"/>
        </w:rPr>
        <w:tab/>
        <w:t>圣约翰·金口：“谁受的教导越多，就必须为自己的罪行承受更重的刑罚。我们越有学问、越有权势，因罪所受的惩罚就越重。 若你富有，便需比穷人奉献更多；若你聪慧，便需更加顺服；若你身居高位，便需展现更卓越的功绩。 在其他一切方面，你也将根据自己的能力接受审视。”</w:t>
      </w:r>
      <w:r>
        <w:rPr>
          <w:rStyle w:val="FootnoteReference"/>
        </w:rPr>
        <w:footnoteReference w:id="2072"/>
      </w:r>
      <w:r w:rsidRPr="006A21F9">
        <w:rPr>
          <w:lang w:val="ru-RU"/>
        </w:rPr>
        <w:t xml:space="preserve"> “带着众多善行与恶行前往那里的人，在当地的惩罚和折磨中会得到一些宽恕；相反，那些没有善行、只带来恶行的人，一旦被送入永恒的折磨之中，其所受的苦难之深，实难估量。”</w:t>
      </w:r>
      <w:r>
        <w:rPr>
          <w:rStyle w:val="FootnoteReference"/>
        </w:rPr>
        <w:footnoteReference w:id="2073"/>
      </w:r>
    </w:p>
    <w:p w14:paraId="423052E6" w14:textId="77777777" w:rsidR="00BE1885" w:rsidRPr="006A21F9" w:rsidRDefault="00BE1885" w:rsidP="00BE1885">
      <w:pPr>
        <w:rPr>
          <w:lang w:val="ru-RU"/>
        </w:rPr>
      </w:pPr>
      <w:r w:rsidRPr="006A21F9">
        <w:rPr>
          <w:lang w:val="ru-RU"/>
        </w:rPr>
        <w:tab/>
        <w:t>圣基普里安、</w:t>
      </w:r>
      <w:r>
        <w:rPr>
          <w:rStyle w:val="FootnoteReference"/>
        </w:rPr>
        <w:footnoteReference w:id="2074"/>
      </w:r>
      <w:r w:rsidRPr="006A21F9">
        <w:rPr>
          <w:lang w:val="ru-RU"/>
        </w:rPr>
        <w:t xml:space="preserve"> 福者杰罗姆、</w:t>
      </w:r>
      <w:r>
        <w:rPr>
          <w:rStyle w:val="FootnoteReference"/>
        </w:rPr>
        <w:footnoteReference w:id="2075"/>
      </w:r>
      <w:r w:rsidRPr="006A21F9">
        <w:rPr>
          <w:lang w:val="ru-RU"/>
        </w:rPr>
        <w:t xml:space="preserve"> 福者奥古斯丁</w:t>
      </w:r>
      <w:r>
        <w:rPr>
          <w:rStyle w:val="FootnoteReference"/>
        </w:rPr>
        <w:footnoteReference w:id="2076"/>
      </w:r>
      <w:r w:rsidRPr="006A21F9">
        <w:rPr>
          <w:lang w:val="ru-RU"/>
        </w:rPr>
        <w:t xml:space="preserve"> 等人也持同样观点。</w:t>
      </w:r>
    </w:p>
    <w:p w14:paraId="52E923DC" w14:textId="77777777" w:rsidR="00BE1885" w:rsidRPr="006A21F9" w:rsidRDefault="00BE1885" w:rsidP="00BE1885">
      <w:pPr>
        <w:rPr>
          <w:lang w:val="ru-RU"/>
        </w:rPr>
      </w:pPr>
      <w:r w:rsidRPr="006A21F9">
        <w:rPr>
          <w:lang w:val="ru-RU"/>
        </w:rPr>
        <w:tab/>
      </w:r>
    </w:p>
    <w:p w14:paraId="551194C0" w14:textId="77777777" w:rsidR="00BE1885" w:rsidRPr="006A21F9" w:rsidRDefault="00BE1885" w:rsidP="00BE1885">
      <w:pPr>
        <w:pStyle w:val="Heading5"/>
        <w:rPr>
          <w:lang w:val="ru-RU"/>
        </w:rPr>
      </w:pPr>
      <w:bookmarkStart w:id="1253" w:name="_Toc133143051"/>
      <w:bookmarkStart w:id="1254" w:name="_Toc133166408"/>
      <w:bookmarkStart w:id="1255" w:name="_Toc182221618"/>
      <w:bookmarkStart w:id="1256" w:name="_Toc238453185"/>
      <w:bookmarkStart w:id="1257" w:name="_Toc238453985"/>
      <w:bookmarkStart w:id="1258" w:name="_Toc238576645"/>
      <w:r w:rsidRPr="006A21F9">
        <w:rPr>
          <w:bCs/>
          <w:lang w:val="ru-RU"/>
        </w:rPr>
        <w:t>§271. c)</w:t>
      </w:r>
      <w:r w:rsidRPr="006A21F9">
        <w:rPr>
          <w:lang w:val="ru-RU"/>
        </w:rPr>
        <w:t xml:space="preserve"> 地狱折磨的永恒性</w:t>
      </w:r>
      <w:bookmarkEnd w:id="1253"/>
      <w:bookmarkEnd w:id="1254"/>
      <w:bookmarkEnd w:id="1255"/>
      <w:bookmarkEnd w:id="1256"/>
      <w:bookmarkEnd w:id="1257"/>
      <w:bookmarkEnd w:id="1258"/>
    </w:p>
    <w:p w14:paraId="1E845DD2" w14:textId="77777777" w:rsidR="00BE1885" w:rsidRPr="006A21F9" w:rsidRDefault="00BE1885" w:rsidP="00BE1885">
      <w:pPr>
        <w:ind w:firstLine="708"/>
        <w:rPr>
          <w:lang w:val="ru-RU"/>
        </w:rPr>
      </w:pPr>
      <w:r w:rsidRPr="006A21F9">
        <w:rPr>
          <w:lang w:val="ru-RU"/>
        </w:rPr>
        <w:t>尽管地狱中罪人的折磨在程度上有差异，但在持续时间上却毫无区别：因为对所有人而言，这些折磨都同样是永恒的、无休止的。</w:t>
      </w:r>
    </w:p>
    <w:p w14:paraId="5710137C" w14:textId="77777777" w:rsidR="00BE1885" w:rsidRPr="006A21F9" w:rsidRDefault="00BE1885" w:rsidP="00BE1885">
      <w:pPr>
        <w:rPr>
          <w:lang w:val="ru-RU"/>
        </w:rPr>
      </w:pPr>
      <w:r w:rsidRPr="006A21F9">
        <w:rPr>
          <w:lang w:val="ru-RU"/>
        </w:rPr>
        <w:tab/>
      </w:r>
      <w:r w:rsidRPr="001E4083">
        <w:rPr>
          <w:b/>
          <w:bCs/>
        </w:rPr>
        <w:t>I</w:t>
      </w:r>
      <w:r w:rsidRPr="006A21F9">
        <w:rPr>
          <w:b/>
          <w:bCs/>
          <w:lang w:val="ru-RU"/>
        </w:rPr>
        <w:t>.</w:t>
      </w:r>
      <w:r w:rsidRPr="006A21F9">
        <w:rPr>
          <w:lang w:val="ru-RU"/>
        </w:rPr>
        <w:t xml:space="preserve"> 圣经确实描绘了罪人所受的这些折磨：</w:t>
      </w:r>
    </w:p>
    <w:p w14:paraId="1EC85FDB"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永恒的。救主亲自作证说，在最后审判之后，祂将对罪人说：</w:t>
      </w:r>
      <w:r w:rsidRPr="006A21F9">
        <w:rPr>
          <w:i/>
          <w:iCs/>
          <w:lang w:val="ru-RU"/>
        </w:rPr>
        <w:t>“你们这些被咒诅的人，离开我，进入那永火里去……他们就要受永刑了</w:t>
      </w:r>
      <w:r w:rsidRPr="006A21F9">
        <w:rPr>
          <w:lang w:val="ru-RU"/>
        </w:rPr>
        <w:t>”（太25:41-46）。 在使徒犹大的书信中我们读到：</w:t>
      </w:r>
      <w:r w:rsidRPr="006A21F9">
        <w:rPr>
          <w:i/>
          <w:iCs/>
          <w:lang w:val="ru-RU"/>
        </w:rPr>
        <w:t>“所多玛、蛾摩拉和周围的城邑，因行淫乱、随从异性，受了永火的刑罚，作为鉴戒</w:t>
      </w:r>
      <w:r w:rsidRPr="006A21F9">
        <w:rPr>
          <w:lang w:val="ru-RU"/>
        </w:rPr>
        <w:t>”（犹大书 1:7）。 使徒保罗指出</w:t>
      </w:r>
      <w:r w:rsidRPr="006A21F9">
        <w:rPr>
          <w:i/>
          <w:iCs/>
          <w:lang w:val="ru-RU"/>
        </w:rPr>
        <w:t>，当主再来，在祂的圣徒中得荣耀，并在那日向所有信祂的人显出祂的威能时，</w:t>
      </w:r>
      <w:r w:rsidRPr="006A21F9">
        <w:rPr>
          <w:lang w:val="ru-RU"/>
        </w:rPr>
        <w:t>罪人</w:t>
      </w:r>
      <w:r w:rsidRPr="006A21F9">
        <w:rPr>
          <w:i/>
          <w:iCs/>
          <w:lang w:val="ru-RU"/>
        </w:rPr>
        <w:t>将因主的面和祂大能的荣耀而遭受惩罚，陷入永恒的灭亡</w:t>
      </w:r>
      <w:r w:rsidRPr="006A21F9">
        <w:rPr>
          <w:lang w:val="ru-RU"/>
        </w:rPr>
        <w:t>（帖后1:9-10）。 《启示录》记载，罪人受苦的烟雾要永远上升：他们昼夜不得安息（启14:11），并且魔鬼及其追随者——罪人将与他们一同被扔进地狱——要昼夜受苦，直到永永远远 （启示录 20:10）。</w:t>
      </w:r>
    </w:p>
    <w:p w14:paraId="081205F1" w14:textId="77777777" w:rsidR="00BE1885" w:rsidRPr="006A21F9" w:rsidRDefault="00BE1885" w:rsidP="00BE1885">
      <w:pPr>
        <w:ind w:firstLine="708"/>
        <w:rPr>
          <w:lang w:val="ru-RU"/>
        </w:rPr>
      </w:pPr>
      <w:r w:rsidRPr="006A21F9">
        <w:rPr>
          <w:b/>
          <w:bCs/>
          <w:lang w:val="ru-RU"/>
        </w:rPr>
        <w:t>2)</w:t>
      </w:r>
      <w:r w:rsidRPr="006A21F9">
        <w:rPr>
          <w:lang w:val="ru-RU"/>
        </w:rPr>
        <w:t xml:space="preserve"> 永无止境的。这种对罪人折磨的永无止境性：</w:t>
      </w:r>
      <w:r w:rsidRPr="006A21F9">
        <w:rPr>
          <w:b/>
          <w:bCs/>
          <w:lang w:val="ru-RU"/>
        </w:rPr>
        <w:t>a)</w:t>
      </w:r>
      <w:r w:rsidRPr="006A21F9">
        <w:rPr>
          <w:lang w:val="ru-RU"/>
        </w:rPr>
        <w:t xml:space="preserve"> 先知以赛亚早已预言：</w:t>
      </w:r>
      <w:r w:rsidRPr="006A21F9">
        <w:rPr>
          <w:i/>
          <w:iCs/>
          <w:lang w:val="ru-RU"/>
        </w:rPr>
        <w:t>他们的蛆虫不死，他们的火不灭</w:t>
      </w:r>
      <w:r w:rsidRPr="006A21F9">
        <w:rPr>
          <w:lang w:val="ru-RU"/>
        </w:rPr>
        <w:t xml:space="preserve">（赛66:24）； </w:t>
      </w:r>
      <w:r w:rsidRPr="006A21F9">
        <w:rPr>
          <w:b/>
          <w:bCs/>
          <w:lang w:val="ru-RU"/>
        </w:rPr>
        <w:t>b)</w:t>
      </w:r>
      <w:r w:rsidRPr="006A21F9">
        <w:rPr>
          <w:lang w:val="ru-RU"/>
        </w:rPr>
        <w:t xml:space="preserve"> 随后，施洗约翰在见证基督救主时也提到：</w:t>
      </w:r>
      <w:r w:rsidRPr="006A21F9">
        <w:rPr>
          <w:i/>
          <w:iCs/>
          <w:lang w:val="ru-RU"/>
        </w:rPr>
        <w:t>祂手里拿着铲子，要清理祂的禾场，把麦子收进仓库，把糠秕用不灭的火烧尽</w:t>
      </w:r>
      <w:r w:rsidRPr="006A21F9">
        <w:rPr>
          <w:lang w:val="ru-RU"/>
        </w:rPr>
        <w:t xml:space="preserve">（马太福音 3:12）； </w:t>
      </w:r>
      <w:r w:rsidRPr="006A21F9">
        <w:rPr>
          <w:b/>
          <w:bCs/>
          <w:lang w:val="ru-RU"/>
        </w:rPr>
        <w:t>c)</w:t>
      </w:r>
      <w:r w:rsidRPr="006A21F9">
        <w:rPr>
          <w:lang w:val="ru-RU"/>
        </w:rPr>
        <w:t xml:space="preserve"> 最后，救主本人在以下这番掷地有声的训诲中</w:t>
      </w:r>
      <w:r w:rsidRPr="006A21F9">
        <w:rPr>
          <w:i/>
          <w:iCs/>
          <w:lang w:val="ru-RU"/>
        </w:rPr>
        <w:t>说道</w:t>
      </w:r>
      <w:r w:rsidRPr="006A21F9">
        <w:rPr>
          <w:lang w:val="ru-RU"/>
        </w:rPr>
        <w:t>：</w:t>
      </w:r>
      <w:r w:rsidRPr="006A21F9">
        <w:rPr>
          <w:i/>
          <w:iCs/>
          <w:lang w:val="ru-RU"/>
        </w:rPr>
        <w:t xml:space="preserve">倘若你的手使你跌倒，就砍掉它：你残缺地进入永生，总比两 手完好地被扔进地狱、投入那永不熄灭的火中更好——在那里，虫是不死的，火是不灭的。 倘若你的脚引诱你，就砍掉它：你瘸着脚进入永生，总比两脚健全地被扔进地狱——那永不熄灭的火里——那里虫子不死，火也不灭——要好得多。 倘若你的眼睛使你跌倒，就把它剜出来；你宁可只眼进入神的国，也不可两眼都被丢进火湖里，在那里虫是不死的，火是不灭的 </w:t>
      </w:r>
      <w:r w:rsidRPr="006A21F9">
        <w:rPr>
          <w:lang w:val="ru-RU"/>
        </w:rPr>
        <w:t>[(可 9:43-48)； （太18:8）]。</w:t>
      </w:r>
    </w:p>
    <w:p w14:paraId="367A9690" w14:textId="77777777" w:rsidR="00BE1885" w:rsidRPr="006A21F9" w:rsidRDefault="00BE1885" w:rsidP="00BE1885">
      <w:pPr>
        <w:rPr>
          <w:lang w:val="ru-RU"/>
        </w:rPr>
      </w:pPr>
      <w:r w:rsidRPr="006A21F9">
        <w:rPr>
          <w:lang w:val="ru-RU"/>
        </w:rPr>
        <w:tab/>
      </w:r>
      <w:r w:rsidRPr="001E4083">
        <w:rPr>
          <w:b/>
          <w:bCs/>
        </w:rPr>
        <w:t>二</w:t>
      </w:r>
      <w:r w:rsidRPr="006A21F9">
        <w:rPr>
          <w:b/>
          <w:bCs/>
          <w:lang w:val="ru-RU"/>
        </w:rPr>
        <w:t>、</w:t>
      </w:r>
      <w:r w:rsidRPr="006A21F9">
        <w:rPr>
          <w:lang w:val="ru-RU"/>
        </w:rPr>
        <w:t>东正教会一直坚信，地狱的折磨是永恒的。 她通过以下方式表达了这一信仰：</w:t>
      </w:r>
      <w:r w:rsidRPr="006A21F9">
        <w:rPr>
          <w:b/>
          <w:bCs/>
          <w:lang w:val="ru-RU"/>
        </w:rPr>
        <w:t xml:space="preserve">a) </w:t>
      </w:r>
      <w:r w:rsidRPr="006A21F9">
        <w:rPr>
          <w:lang w:val="ru-RU"/>
        </w:rPr>
        <w:t>在第五次大公会议上庄严宣告，谴责了奥利金的谬论——该学说声称恶魔和不义之人仅会在地狱中受苦至特定时间，之后将恢复到其原始的无辜状态；</w:t>
      </w:r>
      <w:r>
        <w:rPr>
          <w:rStyle w:val="FootnoteReference"/>
        </w:rPr>
        <w:footnoteReference w:id="2077"/>
      </w:r>
      <w:r w:rsidRPr="006A21F9">
        <w:rPr>
          <w:lang w:val="ru-RU"/>
        </w:rPr>
        <w:t xml:space="preserve"> </w:t>
      </w:r>
      <w:r w:rsidRPr="006A21F9">
        <w:rPr>
          <w:b/>
          <w:bCs/>
          <w:lang w:val="ru-RU"/>
        </w:rPr>
        <w:t>b)</w:t>
      </w:r>
      <w:r w:rsidRPr="006A21F9">
        <w:rPr>
          <w:lang w:val="ru-RU"/>
        </w:rPr>
        <w:t xml:space="preserve"> 同样在《亚他那修信经》中，其中写道：“行善者将进入永生；行恶者则将进入永火。”特别是，早在第五次大公会议</w:t>
      </w:r>
      <w:r w:rsidRPr="001E4083">
        <w:t>之前</w:t>
      </w:r>
      <w:r w:rsidRPr="0097554A">
        <w:rPr>
          <w:lang w:val="ru-RU"/>
        </w:rPr>
        <w:t>，</w:t>
      </w:r>
      <w:r w:rsidRPr="001E4083">
        <w:t>教会的</w:t>
      </w:r>
      <w:r w:rsidRPr="006A21F9">
        <w:rPr>
          <w:lang w:val="ru-RU"/>
        </w:rPr>
        <w:t>教师们就已经明确地信奉并宣讲了这一信仰。例如：</w:t>
      </w:r>
    </w:p>
    <w:p w14:paraId="17EEEC01" w14:textId="77777777" w:rsidR="00BE1885" w:rsidRPr="006A21F9" w:rsidRDefault="00BE1885" w:rsidP="00BE1885">
      <w:pPr>
        <w:rPr>
          <w:lang w:val="ru-RU"/>
        </w:rPr>
      </w:pPr>
      <w:r w:rsidRPr="006A21F9">
        <w:rPr>
          <w:lang w:val="ru-RU"/>
        </w:rPr>
        <w:tab/>
        <w:t>罗马的圣克利门特：“所有灵魂都是不朽的，包括不义之人的灵魂——对他们而言，若非不朽反而更好：因为他们在永不熄灭的火焰中承受无尽的折磨，且永不死亡，他们的苦难将永无止境。”</w:t>
      </w:r>
      <w:r>
        <w:rPr>
          <w:rStyle w:val="FootnoteReference"/>
        </w:rPr>
        <w:footnoteReference w:id="2078"/>
      </w:r>
    </w:p>
    <w:p w14:paraId="43E0A619" w14:textId="77777777" w:rsidR="00BE1885" w:rsidRPr="006A21F9" w:rsidRDefault="00BE1885" w:rsidP="00BE1885">
      <w:pPr>
        <w:rPr>
          <w:lang w:val="ru-RU"/>
        </w:rPr>
      </w:pPr>
      <w:r w:rsidRPr="006A21F9">
        <w:rPr>
          <w:lang w:val="ru-RU"/>
        </w:rPr>
        <w:tab/>
        <w:t>圣波利卡普：“你威胁我的，是那暂时燃烧、很快就会熄灭的火焰；因为你不知道未来审判之火和为不义之人预备的永恒折磨。”</w:t>
      </w:r>
      <w:r>
        <w:rPr>
          <w:rStyle w:val="FootnoteReference"/>
        </w:rPr>
        <w:footnoteReference w:id="2079"/>
      </w:r>
    </w:p>
    <w:p w14:paraId="1C50EEB7" w14:textId="77777777" w:rsidR="00BE1885" w:rsidRPr="006A21F9" w:rsidRDefault="00BE1885" w:rsidP="00BE1885">
      <w:pPr>
        <w:rPr>
          <w:lang w:val="ru-RU"/>
        </w:rPr>
      </w:pPr>
      <w:r w:rsidRPr="006A21F9">
        <w:rPr>
          <w:lang w:val="ru-RU"/>
        </w:rPr>
        <w:tab/>
        <w:t>圣殉道者尤斯丁：“基督早已预言：他（魔鬼）将与他的军队及追随者一同被投入火中，并在那里承受无尽的折磨。”</w:t>
      </w:r>
      <w:r>
        <w:rPr>
          <w:rStyle w:val="FootnoteReference"/>
        </w:rPr>
        <w:footnoteReference w:id="2080"/>
      </w:r>
    </w:p>
    <w:p w14:paraId="67E2AFF4" w14:textId="77777777" w:rsidR="00BE1885" w:rsidRPr="006A21F9" w:rsidRDefault="00BE1885" w:rsidP="00BE1885">
      <w:pPr>
        <w:rPr>
          <w:lang w:val="ru-RU"/>
        </w:rPr>
      </w:pPr>
      <w:r w:rsidRPr="006A21F9">
        <w:rPr>
          <w:lang w:val="ru-RU"/>
        </w:rPr>
        <w:tab/>
        <w:t>圣爱任纽：“主对谁说：‘你们这些受咒诅的人，离开我，进入那永火中去’，谁就永远被定罪。”</w:t>
      </w:r>
      <w:r>
        <w:rPr>
          <w:rStyle w:val="FootnoteReference"/>
        </w:rPr>
        <w:footnoteReference w:id="2081"/>
      </w:r>
      <w:r w:rsidRPr="006A21F9">
        <w:rPr>
          <w:lang w:val="ru-RU"/>
        </w:rPr>
        <w:t xml:space="preserve"> “上帝所赐的恩惠是永恒且无尽的；因此，失去这些恩惠也将是永恒且无尽的，正如在无边的光明中，那些因自身原因而失明或被他人弄瞎的人，将永远丧失光明的愉悦。”</w:t>
      </w:r>
      <w:r>
        <w:rPr>
          <w:rStyle w:val="FootnoteReference"/>
        </w:rPr>
        <w:footnoteReference w:id="2082"/>
      </w:r>
    </w:p>
    <w:p w14:paraId="7E851CCC" w14:textId="77777777" w:rsidR="00BE1885" w:rsidRPr="006A21F9" w:rsidRDefault="00BE1885" w:rsidP="00BE1885">
      <w:pPr>
        <w:rPr>
          <w:lang w:val="ru-RU"/>
        </w:rPr>
      </w:pPr>
      <w:r w:rsidRPr="006A21F9">
        <w:rPr>
          <w:lang w:val="ru-RU"/>
        </w:rPr>
        <w:lastRenderedPageBreak/>
        <w:tab/>
        <w:t>圣基里尔·耶路撒冷：“若有人有罪，必得着一个永恒的身体，该为罪受苦，以便在火中永世焚烧而不灭。”</w:t>
      </w:r>
      <w:r>
        <w:rPr>
          <w:rStyle w:val="FootnoteReference"/>
        </w:rPr>
        <w:footnoteReference w:id="2083"/>
      </w:r>
    </w:p>
    <w:p w14:paraId="53AEB34C" w14:textId="77777777" w:rsidR="00BE1885" w:rsidRPr="006A21F9" w:rsidRDefault="00BE1885" w:rsidP="00BE1885">
      <w:pPr>
        <w:rPr>
          <w:lang w:val="ru-RU"/>
        </w:rPr>
      </w:pPr>
      <w:r w:rsidRPr="006A21F9">
        <w:rPr>
          <w:lang w:val="ru-RU"/>
        </w:rPr>
        <w:tab/>
        <w:t>大圣巴西尔：“主有时断然宣告这些人将受永恒的刑罚（玛25:46），有时将其他人送入为魔鬼和恶魔预备的永火之中（玛 25:41），而在另一处则称之为‘火湖’，并补充道：‘那里虫是不死的，火是不灭的’（可9:47-48）；此外，早在古时，祂就曾借先知之口预言某些人，说‘他们的虫是不死的，火是不灭的’ （赛66:24）：因此，既然在受神感动的圣经中有多处此类见证，而许多人却仿佛忘记了主的一切类似言论和定论，仍自以为苦难终将结束，从而更放肆地犯下罪行；这无疑是魔鬼的诡计之一。 因为倘若永恒的苦难终有一日会结束，那么永恒的生命无疑也必将终结。而如果我们不敢这样设想生命，又凭什么认为永恒的苦难会有终结呢？苦难与生命都被冠以同一个词：永恒。经上说：“这些人要受永恒的刑罚，义人却要进入永恒的生命。”</w:t>
      </w:r>
      <w:r>
        <w:rPr>
          <w:rStyle w:val="FootnoteReference"/>
        </w:rPr>
        <w:footnoteReference w:id="2084"/>
      </w:r>
    </w:p>
    <w:p w14:paraId="702147BE" w14:textId="77777777" w:rsidR="00BE1885" w:rsidRPr="006A21F9" w:rsidRDefault="00BE1885" w:rsidP="00BE1885">
      <w:pPr>
        <w:rPr>
          <w:lang w:val="ru-RU"/>
        </w:rPr>
      </w:pPr>
      <w:r w:rsidRPr="006A21F9">
        <w:rPr>
          <w:lang w:val="ru-RU"/>
        </w:rPr>
        <w:tab/>
        <w:t>圣约翰·金口：“假设你活了许多年，却未经历任何变化；这与无尽的世纪以及那些沉重而难以忍受的折磨相比，又算得了什么呢？ 此处的幸福与不幸都有终结，而且是转瞬即逝的；但在那里，二者却在永恒的岁月里持续不息，其性质与尘世之事截然不同，甚至难以言表……若有人问：当灵魂在无尽的岁月里承受惩罚时，它如何能忍受如此众多的折磨？ 这样的人不妨想想世间发生的事：有多少人曾长期饱受 的病痛折磨。即使他们最终离世，也不是因为灵魂已彻底耗尽，而是因为肉体不再能支撑；倘若肉体没有屈服，灵魂的痛苦便不会停止。 因此，当灵魂获得不朽之躯时，便再无任何力量能阻止这种折磨延续至永恒…… 因此，我们如今不应抱有这样的想法，仿佛过度的折磨会耗尽我们的灵魂：因为到那时，肉体也不会经历这种（耗尽），而是将与灵魂一同永世受苦，且永无终结。”</w:t>
      </w:r>
      <w:r>
        <w:rPr>
          <w:rStyle w:val="FootnoteReference"/>
        </w:rPr>
        <w:footnoteReference w:id="2085"/>
      </w:r>
    </w:p>
    <w:p w14:paraId="47CA3BC2" w14:textId="77777777" w:rsidR="00BE1885" w:rsidRPr="006A21F9" w:rsidRDefault="00BE1885" w:rsidP="00BE1885">
      <w:pPr>
        <w:rPr>
          <w:lang w:val="ru-RU"/>
        </w:rPr>
      </w:pPr>
      <w:r w:rsidRPr="006A21F9">
        <w:rPr>
          <w:lang w:val="ru-RU"/>
        </w:rPr>
        <w:tab/>
        <w:t>我们还在以下作者的著作中发现了类似的观点：特土良（</w:t>
      </w:r>
      <w:r>
        <w:rPr>
          <w:rStyle w:val="FootnoteReference"/>
        </w:rPr>
        <w:footnoteReference w:id="2086"/>
      </w:r>
      <w:r w:rsidRPr="006A21F9">
        <w:rPr>
          <w:lang w:val="ru-RU"/>
        </w:rPr>
        <w:t xml:space="preserve"> ）、安提阿的西奥菲勒（</w:t>
      </w:r>
      <w:r>
        <w:rPr>
          <w:rStyle w:val="FootnoteReference"/>
        </w:rPr>
        <w:footnoteReference w:id="2087"/>
      </w:r>
      <w:r w:rsidRPr="006A21F9">
        <w:rPr>
          <w:lang w:val="ru-RU"/>
        </w:rPr>
        <w:t xml:space="preserve"> ）、基普里安（</w:t>
      </w:r>
      <w:r>
        <w:rPr>
          <w:rStyle w:val="FootnoteReference"/>
        </w:rPr>
        <w:footnoteReference w:id="2088"/>
      </w:r>
      <w:r w:rsidRPr="006A21F9">
        <w:rPr>
          <w:lang w:val="ru-RU"/>
        </w:rPr>
        <w:t xml:space="preserve"> ）、米努提乌斯·费利克斯、希波吕托斯、亚他那修（</w:t>
      </w:r>
      <w:r>
        <w:rPr>
          <w:rStyle w:val="FootnoteReference"/>
        </w:rPr>
        <w:footnoteReference w:id="2089"/>
      </w:r>
      <w:r w:rsidRPr="006A21F9">
        <w:rPr>
          <w:lang w:val="ru-RU"/>
        </w:rPr>
        <w:t xml:space="preserve"> ）、格里高利·神学家（</w:t>
      </w:r>
      <w:r>
        <w:rPr>
          <w:rStyle w:val="FootnoteReference"/>
        </w:rPr>
        <w:footnoteReference w:id="2090"/>
      </w:r>
      <w:r w:rsidRPr="006A21F9">
        <w:rPr>
          <w:lang w:val="ru-RU"/>
        </w:rPr>
        <w:t xml:space="preserve"> ）、伊拉里乌斯、杰罗姆等人。</w:t>
      </w:r>
      <w:r>
        <w:rPr>
          <w:rStyle w:val="FootnoteReference"/>
        </w:rPr>
        <w:footnoteReference w:id="2091"/>
      </w:r>
    </w:p>
    <w:p w14:paraId="3463658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将关于地狱之苦永恒性的教义称为违背常识，这种说法是不公正的。</w:t>
      </w:r>
    </w:p>
    <w:p w14:paraId="6439F282" w14:textId="77777777" w:rsidR="00BE1885" w:rsidRPr="006A21F9" w:rsidRDefault="00BE1885" w:rsidP="00BE1885">
      <w:pPr>
        <w:ind w:firstLine="708"/>
        <w:rPr>
          <w:lang w:val="ru-RU"/>
        </w:rPr>
      </w:pPr>
      <w:r w:rsidRPr="006A21F9">
        <w:rPr>
          <w:b/>
          <w:bCs/>
          <w:lang w:val="ru-RU"/>
        </w:rPr>
        <w:lastRenderedPageBreak/>
        <w:t>1)</w:t>
      </w:r>
      <w:r w:rsidRPr="006A21F9">
        <w:rPr>
          <w:lang w:val="ru-RU"/>
        </w:rPr>
        <w:t xml:space="preserve"> 任何头脑清醒的人都会承认，只要罪人仍旧是罪人，且未从罪中得</w:t>
      </w:r>
      <w:r w:rsidRPr="006A21F9">
        <w:rPr>
          <w:b/>
          <w:bCs/>
          <w:lang w:val="ru-RU"/>
        </w:rPr>
        <w:t>洁净，他——a)</w:t>
      </w:r>
      <w:r w:rsidRPr="006A21F9">
        <w:rPr>
          <w:lang w:val="ru-RU"/>
        </w:rPr>
        <w:t xml:space="preserve"> 必然在至圣至公义之主的面前仍属“愤怒之子”（以弗所书 2:3）； </w:t>
      </w:r>
      <w:r w:rsidRPr="006A21F9">
        <w:rPr>
          <w:b/>
          <w:bCs/>
          <w:lang w:val="ru-RU"/>
        </w:rPr>
        <w:t>b)</w:t>
      </w:r>
      <w:r w:rsidRPr="006A21F9">
        <w:rPr>
          <w:lang w:val="ru-RU"/>
        </w:rPr>
        <w:t xml:space="preserve"> 必然无法享受天上的福乐，正如盲人无法欣赏大自然的美景，属血气的人无法领受来自上帝之灵的启示 （林前2:14），</w:t>
      </w:r>
      <w:r w:rsidRPr="006A21F9">
        <w:rPr>
          <w:b/>
          <w:bCs/>
          <w:lang w:val="ru-RU"/>
        </w:rPr>
        <w:t>以及c）</w:t>
      </w:r>
      <w:r w:rsidRPr="006A21F9">
        <w:rPr>
          <w:lang w:val="ru-RU"/>
        </w:rPr>
        <w:t>绝无可能摆脱罪所带来的自然且不可避免的后果——良心的谴责及其他折磨。 那么，谁能证明那些堕落的精灵和人类——他们将被上帝公义的审判定罪，投入永火之中——有朝一日能从自己的罪中得洁净呢？相反，关于堕落的精灵，我们知道，尽管他们堕落至今已历经数千年，尽管他们正在承受应得的惩罚，并且完全清楚等待他们的命运， 然而它们非但没有悔改，也无法悔改，反而在作恶和违抗上帝的旨意方面愈演愈烈，以致于对它们而言，转向善已变得在道德上不可能了（§§68, 154）。 同样，我们从经验中知道，有时人们尽管尘世生命短暂，却已对某些恶习习以为常，以致尽管受到各种劝导，甚至竭力想要改过，却仍无法改过，最终在自己的罪孽中死去。 试想，这些人既然在世时没有利用上帝恩典的帮助，那么死后也将无力且不配享受教会祷告的救赎功效；直到主第二次降临和末日审判之前——或许长达数个世纪乃至数千年——他们只会日益深陷于罪恶之中： 难道不自然地认为，对于这些不幸者而言，从罪中悔改并得到洁净在道德上将永远成为不可能之事吗？如果堕落的天使和有罪的人类都可能永远——或直至永恒——保持罪人的状态，那么就无法否认他们将承受永恒的折磨。</w:t>
      </w:r>
    </w:p>
    <w:p w14:paraId="1E194D9B" w14:textId="77777777" w:rsidR="00BE1885" w:rsidRPr="006A21F9" w:rsidRDefault="00BE1885" w:rsidP="00BE1885">
      <w:pPr>
        <w:ind w:firstLine="708"/>
        <w:rPr>
          <w:lang w:val="ru-RU"/>
        </w:rPr>
      </w:pPr>
      <w:r w:rsidRPr="006A21F9">
        <w:rPr>
          <w:b/>
          <w:bCs/>
          <w:lang w:val="ru-RU"/>
        </w:rPr>
        <w:t xml:space="preserve">2) </w:t>
      </w:r>
      <w:r w:rsidRPr="006A21F9">
        <w:rPr>
          <w:lang w:val="ru-RU"/>
        </w:rPr>
        <w:t>“人们说，上帝是仁慈的：如何将罪人的永恒折磨与祂无穷的仁慈相协调呢？” 上帝确实是无限仁慈的；但仁慈并非祂唯一的属性——祂同时也是无限真实的、无限圣洁的、无限公正的，而所有这些，以及祂的其他一切完美属性，本身都是无限的，在祂对待受造物的作为中相互协调。 上帝的仁慈早已以全部力量向罪人彰显出来：仅凭仁慈，主赐予了我们生命；仅凭仁慈，祂以父爱般的方式眷顾我们；仅凭仁慈，当我们因亚当而堕落时，祂便怜悯了我们； 正因那唯一的、无穷的仁慈，祂不惜将祂独生子交出，为我们受死； 仅凭这恩典，祂在耶稣里赐给我们一切得救的恩典，将生命与敬虔所需的一切神力倾注在我们身上（彼得后书 1:3），当我们悔改时，祂千倍地赦免我们的罪； 凭着那独一的恩典，祂安排了这样的事： ，使我们在死后直至普世审判之前，都能蒙受教会祷告所带来的救赎功效。既然至高者对罪人显明了这无穷的恩典，那么最终显明祂无穷的公义，又有何不自然之处呢？ 即使当罪人在地狱中受苦时，祂也不会停止作善；只是对他们而言，祂将不再凭着祂的仁慈行事——那仁慈可以说早已全然倾注于他们身上，却未在他们身上发现任何配得之物——而是凭着至高的公义行事；祂不会停止作善： 因为即使在末日审判之后，直到永永远远，祂仍将向所有曾懂得善用祂仁慈的人，以及所有配得祂恩典的受造物，持续彰显祂无尽的爱。</w:t>
      </w:r>
    </w:p>
    <w:p w14:paraId="4BC2E7C2" w14:textId="77777777" w:rsidR="00BE1885" w:rsidRPr="006A21F9" w:rsidRDefault="00BE1885" w:rsidP="00BE1885">
      <w:pPr>
        <w:ind w:firstLine="708"/>
        <w:rPr>
          <w:lang w:val="ru-RU"/>
        </w:rPr>
      </w:pPr>
      <w:r w:rsidRPr="006A21F9">
        <w:rPr>
          <w:b/>
          <w:bCs/>
          <w:lang w:val="ru-RU"/>
        </w:rPr>
        <w:t xml:space="preserve">3) </w:t>
      </w:r>
      <w:r w:rsidRPr="006A21F9">
        <w:rPr>
          <w:lang w:val="ru-RU"/>
        </w:rPr>
        <w:t>“上帝至为公义：根据祂的公义，是否应当因暂时的罪行而以永恒的折磨来惩罚？”但罪的严重性不能仅以其持续时间来衡量：最严重的罪行（如弑父等）可能瞬间完成，而微不足道的罪行则可能非常缓慢地发生。 罪的严重性取决于：被冒犯者的地位；犯罪者的状况；被违反的律法的明确性；犯罪者履行律法所具备的能力与手段；本可阻止其犯罪的动机的性质与数量；以及罪人是否悔改等。 现在让我们设想一下，那些将在可怕的审判中被天上的审判者定罪的罪人，在他们虽短暂却真实的一生中，曾得罪至高者本人，甚至可能践踏了神的独生子，没有将使他们成圣的约之血视为圣物予以敬重，</w:t>
      </w:r>
      <w:r w:rsidRPr="006A21F9">
        <w:rPr>
          <w:lang w:val="ru-RU"/>
        </w:rPr>
        <w:lastRenderedPageBreak/>
        <w:t>并冒犯了恩典的圣灵 （希伯来书10:29）；试想，这些人犯罪大多并非出于软弱或一时冲动，而是在清楚意识到自己过错的情况下，蓄意且出于恶意；他们违背了上帝在自然启示和超自然启示中赐下的最为明确的律法； 他们拥有履行律法所需的一切恩典力量和所有可能的动力；或许因自己的罪行给邻舍造成了最大的伤害，最终不仅没有悔改，甚至连悔意都没有表达就去世了。 难道这样的罪人不应按公义受到永恒的惩罚吗？当上帝惩罚那未因任何忏悔而得到净化、并将永远留在他们身上并伴随他们的罪本身时，上帝的公义会因此受到丝毫损害吗？</w:t>
      </w:r>
    </w:p>
    <w:p w14:paraId="0F41DD03" w14:textId="77777777" w:rsidR="00BE1885" w:rsidRPr="006A21F9" w:rsidRDefault="00BE1885" w:rsidP="00BE1885">
      <w:pPr>
        <w:ind w:firstLine="708"/>
        <w:rPr>
          <w:lang w:val="ru-RU"/>
        </w:rPr>
      </w:pPr>
      <w:r w:rsidRPr="006A21F9">
        <w:rPr>
          <w:b/>
          <w:bCs/>
          <w:lang w:val="ru-RU"/>
        </w:rPr>
        <w:t xml:space="preserve">4) </w:t>
      </w:r>
      <w:r w:rsidRPr="006A21F9">
        <w:rPr>
          <w:lang w:val="ru-RU"/>
        </w:rPr>
        <w:t>“上帝是无限智慧的：既然祂创造道德存在是为了使其获得幸福，那么如果罪人将遭受永恒的痛苦，祂的智慧又如何得以彰显呢？” 上帝确实创造了有道德的生物，其中之一就是为了使他们获得幸福（§59）；但有一个不可动摇的条件，即他们作为自由的存在，必须按照上帝指明的道路追求这一目标，从而使自己既具备获得幸福的能力，又配得上这种幸福。 而通往幸福的唯一道路，道德存在体使自己具备幸福能力并配得幸福的唯一途径，就是虔诚的生活。 因此，如果罪人无法获得为有道德的存有所预定的幸福，反而将招致永恒的惩罚——其原因在于他们自身，而上帝的智慧——祂仅在该条件下召唤他们追求幸福——将依然完全彰显其力量。 此外，必须记住，许多、非常多的有理性的存在——无数善良的天使和数不胜数的义人——都将获得永恒的福乐；因此，由上帝的智慧所选定的这一宇宙目的，也必将实现。</w:t>
      </w:r>
    </w:p>
    <w:p w14:paraId="6CC88644" w14:textId="77777777" w:rsidR="00BE1885" w:rsidRPr="006A21F9" w:rsidRDefault="00BE1885" w:rsidP="00BE1885">
      <w:pPr>
        <w:rPr>
          <w:lang w:val="ru-RU"/>
        </w:rPr>
      </w:pPr>
      <w:r w:rsidRPr="006A21F9">
        <w:rPr>
          <w:lang w:val="ru-RU"/>
        </w:rPr>
        <w:tab/>
      </w:r>
    </w:p>
    <w:p w14:paraId="63D3D829" w14:textId="77777777" w:rsidR="00BE1885" w:rsidRPr="006A21F9" w:rsidRDefault="00BE1885" w:rsidP="00BE1885">
      <w:pPr>
        <w:pStyle w:val="Heading5"/>
        <w:rPr>
          <w:lang w:val="ru-RU"/>
        </w:rPr>
      </w:pPr>
      <w:bookmarkStart w:id="1259" w:name="_Toc133143052"/>
      <w:bookmarkStart w:id="1260" w:name="_Toc133166409"/>
      <w:bookmarkStart w:id="1261" w:name="_Toc182221619"/>
      <w:bookmarkStart w:id="1262" w:name="_Toc238453186"/>
      <w:bookmarkStart w:id="1263" w:name="_Toc238453986"/>
      <w:bookmarkStart w:id="1264" w:name="_Toc238576646"/>
      <w:r w:rsidRPr="006A21F9">
        <w:rPr>
          <w:bCs/>
          <w:lang w:val="ru-RU"/>
        </w:rPr>
        <w:t>§272.</w:t>
      </w:r>
      <w:r w:rsidRPr="006A21F9">
        <w:rPr>
          <w:lang w:val="ru-RU"/>
        </w:rPr>
        <w:t xml:space="preserve"> 义人的赏报：</w:t>
      </w:r>
      <w:r w:rsidRPr="006A21F9">
        <w:rPr>
          <w:bCs/>
          <w:lang w:val="ru-RU"/>
        </w:rPr>
        <w:t>a)</w:t>
      </w:r>
      <w:r w:rsidRPr="006A21F9">
        <w:rPr>
          <w:lang w:val="ru-RU"/>
        </w:rPr>
        <w:t xml:space="preserve"> 他们的福乐将体现在哪些方面？</w:t>
      </w:r>
      <w:bookmarkEnd w:id="1259"/>
      <w:bookmarkEnd w:id="1260"/>
      <w:bookmarkEnd w:id="1261"/>
      <w:bookmarkEnd w:id="1262"/>
      <w:bookmarkEnd w:id="1263"/>
      <w:bookmarkEnd w:id="1264"/>
    </w:p>
    <w:p w14:paraId="511887A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一方面，上帝的话语用多么阴暗的笔触描绘了末日审判后罪人的下场；另一方面，它又用同样明亮而喜乐的笔触描绘了义人的归宿。</w:t>
      </w:r>
    </w:p>
    <w:p w14:paraId="35197EBE" w14:textId="77777777" w:rsidR="00BE1885" w:rsidRPr="006A21F9" w:rsidRDefault="00BE1885" w:rsidP="00BE1885">
      <w:pPr>
        <w:ind w:firstLine="708"/>
        <w:rPr>
          <w:lang w:val="ru-RU"/>
        </w:rPr>
      </w:pPr>
      <w:r w:rsidRPr="006A21F9">
        <w:rPr>
          <w:b/>
          <w:bCs/>
          <w:lang w:val="ru-RU"/>
        </w:rPr>
        <w:t>1)</w:t>
      </w:r>
      <w:r w:rsidRPr="006A21F9">
        <w:rPr>
          <w:lang w:val="ru-RU"/>
        </w:rPr>
        <w:t xml:space="preserve"> 他们将继承自世界创立以来就为他们预备的国度（玛 25:34）——这个国度也被称为天国 [(玛 5:3-10)；(玛 19:23-24)]、天主国 [(</w:t>
      </w:r>
      <w:r>
        <w:rPr>
          <w:lang w:val="ru-RU"/>
        </w:rPr>
        <w:t>谷</w:t>
      </w:r>
      <w:r w:rsidRPr="006A21F9">
        <w:rPr>
          <w:lang w:val="ru-RU"/>
        </w:rPr>
        <w:t xml:space="preserve"> 9:47</w:t>
      </w:r>
      <w:r>
        <w:rPr>
          <w:lang w:val="ru-RU"/>
        </w:rPr>
        <w:t>)</w:t>
      </w:r>
      <w:r w:rsidRPr="006A21F9">
        <w:rPr>
          <w:lang w:val="ru-RU"/>
        </w:rPr>
        <w:t>；</w:t>
      </w:r>
      <w:r w:rsidRPr="006A21F9">
        <w:rPr>
          <w:rFonts w:cs="Cambria Math"/>
          <w:lang w:val="ru-RU"/>
        </w:rPr>
        <w:t xml:space="preserve"> </w:t>
      </w:r>
      <w:r w:rsidRPr="006A21F9">
        <w:rPr>
          <w:lang w:val="ru-RU"/>
        </w:rPr>
        <w:t>(</w:t>
      </w:r>
      <w:r>
        <w:rPr>
          <w:lang w:val="ru-RU"/>
        </w:rPr>
        <w:t>可</w:t>
      </w:r>
      <w:r w:rsidRPr="006A21F9">
        <w:rPr>
          <w:lang w:val="ru-RU"/>
        </w:rPr>
        <w:t xml:space="preserve">10:23)；(林前15:50)]、天父的国度 </w:t>
      </w:r>
      <w:r w:rsidRPr="00430F02">
        <w:rPr>
          <w:lang w:val="ru-RU"/>
        </w:rPr>
        <w:t>[</w:t>
      </w:r>
      <w:r w:rsidRPr="006A21F9">
        <w:rPr>
          <w:lang w:val="ru-RU"/>
        </w:rPr>
        <w:t>(太13:43</w:t>
      </w:r>
      <w:r>
        <w:rPr>
          <w:lang w:val="ru-RU"/>
        </w:rPr>
        <w:t>)</w:t>
      </w:r>
      <w:r w:rsidRPr="006A21F9">
        <w:rPr>
          <w:lang w:val="ru-RU"/>
        </w:rPr>
        <w:t>；(太26:29)</w:t>
      </w:r>
      <w:r w:rsidRPr="00430F02">
        <w:rPr>
          <w:lang w:val="ru-RU"/>
        </w:rPr>
        <w:t>]</w:t>
      </w:r>
      <w:r w:rsidRPr="006A21F9">
        <w:rPr>
          <w:lang w:val="ru-RU"/>
        </w:rPr>
        <w:t>、主耶稣基督的国度 [(彼后1:11)； (提后 4:18)；(启 1:9)]；也被称为永生神的城（来 12:22）和天父的家（约 14:2）。</w:t>
      </w:r>
    </w:p>
    <w:p w14:paraId="2E200DC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在这个国度、这座城、这座上帝的殿中，义人获得福乐的首要源泉，就是他们能与上帝和主耶稣基督永恒地同在、共处，并在受造物所能达到的范围内，持续地分享神的荣耀。 </w:t>
      </w:r>
      <w:r w:rsidRPr="006A21F9">
        <w:rPr>
          <w:i/>
          <w:iCs/>
          <w:lang w:val="ru-RU"/>
        </w:rPr>
        <w:t>“你们心里不要忧愁</w:t>
      </w:r>
      <w:r w:rsidRPr="006A21F9">
        <w:rPr>
          <w:lang w:val="ru-RU"/>
        </w:rPr>
        <w:t>，”救主 在离开世人之前对门徒们说</w:t>
      </w:r>
      <w:r w:rsidRPr="006A21F9">
        <w:rPr>
          <w:i/>
          <w:iCs/>
          <w:lang w:val="ru-RU"/>
        </w:rPr>
        <w:t>，“你们要信靠上帝，也要信靠我。” “在我父的家里有许多住处。若是没有，我就早已告诉你们了；我去原是为你们预备地方去。我若去为你们预备了地方，就必再来接你们到我那里去，叫你们也在哪里与我同在</w:t>
      </w:r>
      <w:r w:rsidRPr="006A21F9">
        <w:rPr>
          <w:lang w:val="ru-RU"/>
        </w:rPr>
        <w:t>”（约14:1-3）。 随后，他在向天父的祷告中说</w:t>
      </w:r>
      <w:r w:rsidRPr="006A21F9">
        <w:rPr>
          <w:i/>
          <w:iCs/>
          <w:lang w:val="ru-RU"/>
        </w:rPr>
        <w:t>：“父啊！你所赐给我的人，我愿他们也在我那里，与我同在，使他们看见你所赐给我的荣耀；因为你爱我，早在世界创立之前就爱我了</w:t>
      </w:r>
      <w:r w:rsidRPr="006A21F9">
        <w:rPr>
          <w:lang w:val="ru-RU"/>
        </w:rPr>
        <w:t>”（约翰福音17:24）。 最后在《启示录》中作证说：</w:t>
      </w:r>
      <w:r w:rsidRPr="006A21F9">
        <w:rPr>
          <w:i/>
          <w:iCs/>
          <w:lang w:val="ru-RU"/>
        </w:rPr>
        <w:t>得胜的，我要叫他在我宝座上与我同坐，正如我得了胜，也与我父同坐他的宝座一样</w:t>
      </w:r>
      <w:r w:rsidRPr="006A21F9">
        <w:rPr>
          <w:lang w:val="ru-RU"/>
        </w:rPr>
        <w:t>[（约3:21）；（太19:27-29）]。 圣使徒保罗写信给基督徒说</w:t>
      </w:r>
      <w:r w:rsidRPr="006A21F9">
        <w:rPr>
          <w:i/>
          <w:iCs/>
          <w:lang w:val="ru-RU"/>
        </w:rPr>
        <w:t>：“这话是可信的：我们若与祂同死，也必与祂同活；我们若忍耐，也必与祂一同作王</w:t>
      </w:r>
      <w:r w:rsidRPr="006A21F9">
        <w:rPr>
          <w:lang w:val="ru-RU"/>
        </w:rPr>
        <w:t>（提后2:11-12），</w:t>
      </w:r>
      <w:r w:rsidRPr="006A21F9">
        <w:rPr>
          <w:i/>
          <w:iCs/>
          <w:lang w:val="ru-RU"/>
        </w:rPr>
        <w:t>并且我们必永远与主同在</w:t>
      </w:r>
      <w:r w:rsidRPr="006A21F9">
        <w:rPr>
          <w:lang w:val="ru-RU"/>
        </w:rPr>
        <w:t>（帖前4:17）。” 那时，义人将真正成为</w:t>
      </w:r>
      <w:r w:rsidRPr="006A21F9">
        <w:rPr>
          <w:i/>
          <w:iCs/>
          <w:lang w:val="ru-RU"/>
        </w:rPr>
        <w:t>神的继承者，也是基督的共同继承者</w:t>
      </w:r>
      <w:r w:rsidRPr="006A21F9">
        <w:rPr>
          <w:lang w:val="ru-RU"/>
        </w:rPr>
        <w:t>（罗8:17）。</w:t>
      </w:r>
    </w:p>
    <w:p w14:paraId="1EBD3B19"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在天国里常与主同在时，义人将有幸面对面地看见三位一体</w:t>
      </w:r>
      <w:r w:rsidRPr="006A21F9">
        <w:rPr>
          <w:i/>
          <w:iCs/>
          <w:lang w:val="ru-RU"/>
        </w:rPr>
        <w:t>的上帝</w:t>
      </w:r>
      <w:r w:rsidRPr="006A21F9">
        <w:rPr>
          <w:lang w:val="ru-RU"/>
        </w:rPr>
        <w:t>：</w:t>
      </w:r>
      <w:r w:rsidRPr="006A21F9">
        <w:rPr>
          <w:i/>
          <w:iCs/>
          <w:lang w:val="ru-RU"/>
        </w:rPr>
        <w:t>“清心的人有福了，因为他们必得见上帝</w:t>
      </w:r>
      <w:r w:rsidRPr="006A21F9">
        <w:rPr>
          <w:lang w:val="ru-RU"/>
        </w:rPr>
        <w:t>”（太5:8）。而在这面对面凝视至全能者的过程中，他们将不断获得：</w:t>
      </w:r>
    </w:p>
    <w:p w14:paraId="5C910393" w14:textId="77777777" w:rsidR="00BE1885" w:rsidRPr="006A21F9" w:rsidRDefault="00BE1885" w:rsidP="00BE1885">
      <w:pPr>
        <w:rPr>
          <w:lang w:val="ru-RU"/>
        </w:rPr>
      </w:pPr>
      <w:r w:rsidRPr="006A21F9">
        <w:rPr>
          <w:lang w:val="ru-RU"/>
        </w:rPr>
        <w:tab/>
      </w:r>
      <w:r w:rsidRPr="006A21F9">
        <w:rPr>
          <w:b/>
          <w:bCs/>
          <w:lang w:val="ru-RU"/>
        </w:rPr>
        <w:t>a)</w:t>
      </w:r>
      <w:r w:rsidRPr="006A21F9">
        <w:rPr>
          <w:lang w:val="ru-RU"/>
        </w:rPr>
        <w:t xml:space="preserve"> 他们渴求真理的心灵将获得完全的满足：圣使徒说：“</w:t>
      </w:r>
      <w:r w:rsidRPr="006A21F9">
        <w:rPr>
          <w:i/>
          <w:iCs/>
          <w:lang w:val="ru-RU"/>
        </w:rPr>
        <w:t>如今我们仿佛对着镜子观看，模糊不清，到那时就要面对面了；如今我所知道的有限，到那时就全知道，如同主知道我一样</w:t>
      </w:r>
      <w:r w:rsidRPr="006A21F9">
        <w:rPr>
          <w:lang w:val="ru-RU"/>
        </w:rPr>
        <w:t xml:space="preserve">”（林前13:12）。 </w:t>
      </w:r>
      <w:r w:rsidRPr="006A21F9">
        <w:rPr>
          <w:i/>
          <w:iCs/>
          <w:lang w:val="ru-RU"/>
        </w:rPr>
        <w:t>那时，那“部分地”的认知将终止</w:t>
      </w:r>
      <w:r w:rsidRPr="006A21F9">
        <w:rPr>
          <w:lang w:val="ru-RU"/>
        </w:rPr>
        <w:t>（林前13:10），信心将被废去，唯有直接的看见（林后5:7）。</w:t>
      </w:r>
    </w:p>
    <w:p w14:paraId="424301E8"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对自己渴求良善的意志的完全满足：</w:t>
      </w:r>
      <w:r w:rsidRPr="006A21F9">
        <w:rPr>
          <w:i/>
          <w:iCs/>
          <w:lang w:val="ru-RU"/>
        </w:rPr>
        <w:t>“饥渴慕义的人有福了，因为他们必得饱足</w:t>
      </w:r>
      <w:r w:rsidRPr="006A21F9">
        <w:rPr>
          <w:lang w:val="ru-RU"/>
        </w:rPr>
        <w:t>”（太5:6）。 随着义人越来越深入地以自己的理智默观并领悟至善者的完美，他们对祂的爱也会日益炽热；正如使徒所言，这种爱永不停止 （林前13:8），并在无条件顺服祂至圣的旨意以及在品德上效法祂方面日益臻于完善：</w:t>
      </w:r>
      <w:r w:rsidRPr="006A21F9">
        <w:rPr>
          <w:i/>
          <w:iCs/>
          <w:lang w:val="ru-RU"/>
        </w:rPr>
        <w:t>亲爱的</w:t>
      </w:r>
      <w:r w:rsidRPr="006A21F9">
        <w:rPr>
          <w:lang w:val="ru-RU"/>
        </w:rPr>
        <w:t>，圣约翰神学家曾说，</w:t>
      </w:r>
      <w:r w:rsidRPr="006A21F9">
        <w:rPr>
          <w:i/>
          <w:iCs/>
          <w:lang w:val="ru-RU"/>
        </w:rPr>
        <w:t>我们现在是神的儿女；但将来会怎样，尚未显明。 我们只知道，当那日显明的时候，我们必像祂，因为我们要看见祂本来的样子</w:t>
      </w:r>
      <w:r w:rsidRPr="006A21F9">
        <w:rPr>
          <w:lang w:val="ru-RU"/>
        </w:rPr>
        <w:t>（约一3:2）。</w:t>
      </w:r>
    </w:p>
    <w:p w14:paraId="1FAD0384" w14:textId="77777777" w:rsidR="00BE1885" w:rsidRPr="006A21F9" w:rsidRDefault="00BE1885" w:rsidP="00BE1885">
      <w:pPr>
        <w:rPr>
          <w:lang w:val="ru-RU"/>
        </w:rPr>
      </w:pPr>
      <w:r w:rsidRPr="006A21F9">
        <w:rPr>
          <w:lang w:val="ru-RU"/>
        </w:rPr>
        <w:tab/>
      </w:r>
      <w:r w:rsidRPr="006A21F9">
        <w:rPr>
          <w:b/>
          <w:bCs/>
          <w:lang w:val="ru-RU"/>
        </w:rPr>
        <w:t>c)</w:t>
      </w:r>
      <w:r w:rsidRPr="006A21F9">
        <w:rPr>
          <w:lang w:val="ru-RU"/>
        </w:rPr>
        <w:t xml:space="preserve"> 使渴求福乐的心得到完全的满足。因为借着他们自身的爱，他们将有幸与福乐之源——上帝——建立最亲密的交通与合一：</w:t>
      </w:r>
      <w:r w:rsidRPr="006A21F9">
        <w:rPr>
          <w:i/>
          <w:iCs/>
          <w:lang w:val="ru-RU"/>
        </w:rPr>
        <w:t>上帝就是爱；住在爱里的，就是住在上帝里面，上帝也住在他里面</w:t>
      </w:r>
      <w:r w:rsidRPr="006A21F9">
        <w:rPr>
          <w:lang w:val="ru-RU"/>
        </w:rPr>
        <w:t>（《约翰一书》4:16）。 届时，救主的话语将以全部的力量在他们身上应验：</w:t>
      </w:r>
      <w:r w:rsidRPr="006A21F9">
        <w:rPr>
          <w:i/>
          <w:iCs/>
          <w:lang w:val="ru-RU"/>
        </w:rPr>
        <w:t>“愿他们合而为一，正如你，父啊，在我里面，我在你里面，使他们也在我们里面合而为一……我在他们里面，你在我里面；愿他们合而为一，得以完全</w:t>
      </w:r>
      <w:r w:rsidRPr="006A21F9">
        <w:rPr>
          <w:lang w:val="ru-RU"/>
        </w:rPr>
        <w:t>”（约翰福音17:21-23）。</w:t>
      </w:r>
    </w:p>
    <w:p w14:paraId="4B6C9773" w14:textId="77777777" w:rsidR="00BE1885" w:rsidRPr="006A21F9" w:rsidRDefault="00BE1885" w:rsidP="00BE1885">
      <w:pPr>
        <w:ind w:firstLine="708"/>
        <w:rPr>
          <w:lang w:val="ru-RU"/>
        </w:rPr>
      </w:pPr>
      <w:r w:rsidRPr="006A21F9">
        <w:rPr>
          <w:b/>
          <w:bCs/>
          <w:lang w:val="ru-RU"/>
        </w:rPr>
        <w:t>4)</w:t>
      </w:r>
      <w:r w:rsidRPr="006A21F9">
        <w:rPr>
          <w:lang w:val="ru-RU"/>
        </w:rPr>
        <w:t xml:space="preserve"> 义人在灵魂上的福乐状态，将在天国中与他们肉体的状态相呼应。除了我们已经看到的那样，他们的身体将作为不朽、荣耀、发光、强健且属灵的躯体复活，进入来世生活（§264）之外，他们还将从现世生活的种种需求中被解脱出来。 那位洞察天上圣徒的先知说，他们</w:t>
      </w:r>
      <w:r w:rsidRPr="006A21F9">
        <w:rPr>
          <w:i/>
          <w:iCs/>
          <w:lang w:val="ru-RU"/>
        </w:rPr>
        <w:t>将不再饥饿，也不再口渴，太阳和任何酷热都不会灼伤他们</w:t>
      </w:r>
      <w:r w:rsidRPr="006A21F9">
        <w:rPr>
          <w:lang w:val="ru-RU"/>
        </w:rPr>
        <w:t>（《启示录》7:16）。</w:t>
      </w:r>
      <w:r w:rsidRPr="006A21F9">
        <w:rPr>
          <w:i/>
          <w:iCs/>
          <w:lang w:val="ru-RU"/>
        </w:rPr>
        <w:t>上帝要擦去他们眼上的一切眼泪，死亡不再存在；也不再有哀哭、呼号，也不再有疾病</w:t>
      </w:r>
      <w:r w:rsidRPr="006A21F9">
        <w:rPr>
          <w:lang w:val="ru-RU"/>
        </w:rPr>
        <w:t>（《启示录》21:4）。</w:t>
      </w:r>
    </w:p>
    <w:p w14:paraId="1FFAEEF8" w14:textId="77777777" w:rsidR="00BE1885" w:rsidRPr="006A21F9" w:rsidRDefault="00BE1885" w:rsidP="00BE1885">
      <w:pPr>
        <w:ind w:firstLine="708"/>
        <w:rPr>
          <w:lang w:val="ru-RU"/>
        </w:rPr>
      </w:pPr>
      <w:r w:rsidRPr="006A21F9">
        <w:rPr>
          <w:b/>
          <w:bCs/>
          <w:lang w:val="ru-RU"/>
        </w:rPr>
        <w:t>5)</w:t>
      </w:r>
      <w:r w:rsidRPr="006A21F9">
        <w:rPr>
          <w:lang w:val="ru-RU"/>
        </w:rPr>
        <w:t xml:space="preserve"> 除此之外，义人之间以及他们与天使之间还将建立最亲密、最幸福的关系。 因为他们不仅将进入，而且确实</w:t>
      </w:r>
      <w:r w:rsidRPr="006A21F9">
        <w:rPr>
          <w:i/>
          <w:iCs/>
          <w:lang w:val="ru-RU"/>
        </w:rPr>
        <w:t>要与永生神的城——天上的耶路撒冷，以及众天使的军旅，与那欢庆的大会和在天上被记名的长子之教会——</w:t>
      </w:r>
      <w:r w:rsidRPr="006A21F9">
        <w:rPr>
          <w:lang w:val="ru-RU"/>
        </w:rPr>
        <w:t>联合在一起（希伯来书 12:22-23）； 所有人都将与亚伯拉罕、以撒和雅各一同在天国里安息（马太福音 8:11）；所有人将合而为一（约翰福音 17:21），彼此以最纯洁的互爱之纽带相连，如同同一位共同天父的儿女，那一位天父终将在万有之中作万有（哥林多前书 15:28）。</w:t>
      </w:r>
    </w:p>
    <w:p w14:paraId="78AE71EA" w14:textId="77777777" w:rsidR="00BE1885" w:rsidRPr="006A21F9" w:rsidRDefault="00BE1885" w:rsidP="00BE1885">
      <w:pPr>
        <w:ind w:firstLine="708"/>
        <w:rPr>
          <w:lang w:val="ru-RU"/>
        </w:rPr>
      </w:pPr>
      <w:r w:rsidRPr="00EC54BC">
        <w:rPr>
          <w:b/>
          <w:bCs/>
          <w:lang w:val="ru-RU"/>
        </w:rPr>
        <w:t>6)</w:t>
      </w:r>
      <w:r w:rsidRPr="006A21F9">
        <w:rPr>
          <w:lang w:val="ru-RU"/>
        </w:rPr>
        <w:t xml:space="preserve"> 总的来说，义人在天上的福乐境界是如此超乎想象，以至于我们如今既无法设想，也无法描绘：</w:t>
      </w:r>
      <w:r w:rsidRPr="006A21F9">
        <w:rPr>
          <w:i/>
          <w:iCs/>
          <w:lang w:val="ru-RU"/>
        </w:rPr>
        <w:t xml:space="preserve">眼未曾见，耳未曾闻，人心也未曾想过，神为爱他的人所预备的，正是这般奇妙 </w:t>
      </w:r>
      <w:r w:rsidRPr="006A21F9">
        <w:rPr>
          <w:lang w:val="ru-RU"/>
        </w:rPr>
        <w:t>[(林前 2:9)；(约壹 3:2)]。</w:t>
      </w:r>
    </w:p>
    <w:p w14:paraId="57550555"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根据圣经，教会的圣父们和教师们曾描绘过义人未来的福乐。例如：</w:t>
      </w:r>
    </w:p>
    <w:p w14:paraId="73BA7A4C" w14:textId="77777777" w:rsidR="00BE1885" w:rsidRPr="006A21F9" w:rsidRDefault="00BE1885" w:rsidP="00BE1885">
      <w:pPr>
        <w:rPr>
          <w:lang w:val="ru-RU"/>
        </w:rPr>
      </w:pPr>
      <w:r w:rsidRPr="006A21F9">
        <w:rPr>
          <w:lang w:val="ru-RU"/>
        </w:rPr>
        <w:tab/>
        <w:t xml:space="preserve">殉道者圣贾斯汀：我们得知，如果人们按照祂（即上帝）的旨意，因自己的行为被认定为配得，便有幸与祂同住、与祂一同作王，成为不朽且无情欲的。 </w:t>
      </w:r>
      <w:r w:rsidRPr="006A21F9">
        <w:rPr>
          <w:lang w:val="ru-RU"/>
        </w:rPr>
        <w:lastRenderedPageBreak/>
        <w:t>“因为祂在起初是如何创造原本不存在的万物，我们相信， ，祂也将以同样的方式，凭着祂的慈爱，使那些喜爱祂所喜悦之事的人，得享不朽，并与祂同住。”</w:t>
      </w:r>
      <w:r>
        <w:rPr>
          <w:rStyle w:val="FootnoteReference"/>
        </w:rPr>
        <w:footnoteReference w:id="2092"/>
      </w:r>
    </w:p>
    <w:p w14:paraId="53F2AF71" w14:textId="77777777" w:rsidR="00BE1885" w:rsidRPr="006A21F9" w:rsidRDefault="00BE1885" w:rsidP="00BE1885">
      <w:pPr>
        <w:rPr>
          <w:lang w:val="ru-RU"/>
        </w:rPr>
      </w:pPr>
      <w:r w:rsidRPr="006A21F9">
        <w:rPr>
          <w:lang w:val="ru-RU"/>
        </w:rPr>
        <w:tab/>
        <w:t>圣基普里安：“那将是何等的荣耀，何等的喜乐——有幸得见上帝，并与基督——你的主、你的上帝——一同品尝救恩与永恒之光的喜乐；向亚伯拉罕、以撒、雅各，以及所有族长、先知、使徒和殉道者致意； 与诸圣及上帝的子民一同享受所赐不朽之甘美——并获得那眼未曾见、耳未曾闻、人心也未曾想到的恩典！”</w:t>
      </w:r>
      <w:r>
        <w:rPr>
          <w:rStyle w:val="FootnoteReference"/>
        </w:rPr>
        <w:footnoteReference w:id="2093"/>
      </w:r>
    </w:p>
    <w:p w14:paraId="20416961" w14:textId="77777777" w:rsidR="00BE1885" w:rsidRPr="006A21F9" w:rsidRDefault="00BE1885" w:rsidP="00BE1885">
      <w:pPr>
        <w:rPr>
          <w:lang w:val="ru-RU"/>
        </w:rPr>
      </w:pPr>
      <w:r w:rsidRPr="006A21F9">
        <w:rPr>
          <w:lang w:val="ru-RU"/>
        </w:rPr>
        <w:tab/>
        <w:t>叙利亚的圣以弗所说：“凡劳苦担重担的人，都到我这里来，我必使你们在天上的城中得安息，那里我的众圣徒都在极大的喜乐中安息…… 在那里，亚伯拉罕的怀抱接纳了那些经历过苦难的人，正如当年接纳了穷人拉撒路一样；在那里，我永恒福分的宝库向你们敞开；在那里，天上的耶路撒冷——长子们的母亲；在那里，是温柔之人的福地。 你们都到我这里来吧，我必使你们安息，在那一切都宁静安详、光明悦目之处；在那既无加害者也无受压迫者、既无罪恶也无悔改、光芒不可企及、喜乐难以言表之处……在那既无劳苦、也无眼泪、既无劳作、也无忧虑、既无叹息之处……那里既无魔鬼，也无死亡；既无斋戒，也无悲伤；既无争吵，也无狂热，唯有喜乐与和平、安息与欢欣……那里有庆贺者的欢呼声，那里揭示着智慧与知识中未知的宝藏…… 那里有天使的行列，长子们的庆典，使徒们的宝座，先知们的首席，宗主教们的权杖，殉道者的冠冕，义人的赞美；那里为一切首领、权柄和等级都预备了赏赐和位置。 “凡饥渴慕义的人，都当到我这里来，我必使你们饱享福乐，这些福乐是你们所渴望的，是眼睛未曾看见、耳朵未曾听闻、人心也未曾想到的。”</w:t>
      </w:r>
      <w:r>
        <w:rPr>
          <w:rStyle w:val="FootnoteReference"/>
        </w:rPr>
        <w:footnoteReference w:id="2094"/>
      </w:r>
    </w:p>
    <w:p w14:paraId="0874743A" w14:textId="77777777" w:rsidR="00BE1885" w:rsidRPr="006A21F9" w:rsidRDefault="00BE1885" w:rsidP="00BE1885">
      <w:pPr>
        <w:rPr>
          <w:lang w:val="ru-RU"/>
        </w:rPr>
      </w:pPr>
      <w:r w:rsidRPr="006A21F9">
        <w:rPr>
          <w:lang w:val="ru-RU"/>
        </w:rPr>
        <w:tab/>
        <w:t>圣大巴西尔：“天国即为观照。如今，我们如同在镜中一般，只能看见万物的影子；而将来，当我们摆脱这尘世之躯，披上不朽且永生的身体时，便能看见它们的原貌。 只要我们按正道度过此生，并坚守正信——若无此正信，无人能得见主——届时我们必将得见。”</w:t>
      </w:r>
      <w:r>
        <w:rPr>
          <w:rStyle w:val="FootnoteReference"/>
        </w:rPr>
        <w:footnoteReference w:id="2095"/>
      </w:r>
    </w:p>
    <w:p w14:paraId="769B7B35" w14:textId="77777777" w:rsidR="00BE1885" w:rsidRPr="006A21F9" w:rsidRDefault="00BE1885" w:rsidP="00BE1885">
      <w:pPr>
        <w:rPr>
          <w:lang w:val="ru-RU"/>
        </w:rPr>
      </w:pPr>
      <w:r w:rsidRPr="006A21F9">
        <w:rPr>
          <w:lang w:val="ru-RU"/>
        </w:rPr>
        <w:tab/>
        <w:t>圣格里高利·神学家：“首先生者（即义人）将继承那不可言喻的光，并得见圣而尊贵的圣三一；届时，圣三一将以更明亮、更纯净的光辉照耀，并与全然的理智完全结合（我特别将天国置于此合一之中）。”</w:t>
      </w:r>
      <w:r>
        <w:rPr>
          <w:rStyle w:val="FootnoteReference"/>
        </w:rPr>
        <w:footnoteReference w:id="2096"/>
      </w:r>
      <w:r w:rsidRPr="006A21F9">
        <w:rPr>
          <w:lang w:val="ru-RU"/>
        </w:rPr>
        <w:t xml:space="preserve"> “我认为，这无非就是达到至纯至善的境界。而在一切存在之中，最完美的莫过于对上帝的认知。 让我们在世间生活期间，部分地守护这种认知，部分地获取它，并将其余部分珍藏于彼岸的宝库之中，以便作为劳苦的奖赏，获得对圣三一的全然认知——即祂究竟是什么、祂的本质如何、祂的规模有多大（若允许我如此表述的话）， 就在我们主基督自己里面，愿荣耀和权能归于祂，直到永永远远。”</w:t>
      </w:r>
      <w:r>
        <w:rPr>
          <w:rStyle w:val="FootnoteReference"/>
        </w:rPr>
        <w:footnoteReference w:id="2097"/>
      </w:r>
    </w:p>
    <w:p w14:paraId="45D28B8D" w14:textId="77777777" w:rsidR="00BE1885" w:rsidRPr="006A21F9" w:rsidRDefault="00BE1885" w:rsidP="00BE1885">
      <w:pPr>
        <w:rPr>
          <w:lang w:val="ru-RU"/>
        </w:rPr>
      </w:pPr>
      <w:r w:rsidRPr="006A21F9">
        <w:rPr>
          <w:lang w:val="ru-RU"/>
        </w:rPr>
        <w:tab/>
        <w:t>圣约翰·金口：“试着想象那种生活的状态，尽你所能去想象，因为没有任何言语能恰如其分</w:t>
      </w:r>
      <w:r w:rsidRPr="001E4083">
        <w:t>地描绘它</w:t>
      </w:r>
      <w:r w:rsidRPr="006A21F9">
        <w:rPr>
          <w:lang w:val="ru-RU"/>
        </w:rPr>
        <w:t>；我们只能从所听到的——仿佛是某种谜语——中，对其获得一些模糊的印象。 经上说：‘疾病、悲哀和叹息都已消逝’（以赛亚书 35:10）。 还有什么能比这种生活更幸福呢？在那里无需惧怕贫穷和疾病；既不会见到欺凌者，也不会见到被欺凌</w:t>
      </w:r>
      <w:r w:rsidRPr="006A21F9">
        <w:rPr>
          <w:lang w:val="ru-RU"/>
        </w:rPr>
        <w:lastRenderedPageBreak/>
        <w:t>者；既不会见到惹人恼怒者，也不会见到被惹恼者；既不会见到发怒者，也不会见到嫉妒者；既不会见到被卑劣的情欲所煽动者，也不会见到因谋生所需而忧心忡忡者；更不会见到为权势和权威而忧愁者： 因为我们一切激情的风暴都将平息，一切都将充满和平、欢愉与喜乐，一切都静谧安详，一切都是白昼、澄澈与光明——那并非如今的光明，而是比这明亮无数倍的光明，正如 （太阳）比蜡烛之光更耀眼。因为在那儿，光明既不会在黑夜中黯淡，也不会因云层遮蔽而减弱； 也不会灼烧或灼痛身体：因为那里既没有夜晚，也没有黄昏，既没有寒冷，也没有酷热，更没有其他任何季节的变化；而是一种截然不同的状态，唯有配得之人方能领悟。那里既没有衰老，也没有衰老带来的种种困扰；一切会朽坏的事物都被驱逐，因为无朽的荣耀无处不在。 而比这一切都更重要的，是与基督、天使、大天使以及天上诸位权能者一同相交所带来的无尽喜乐。现在请仰望天空，让思绪飞向天界之上，想象万物都已焕然一新： 因为它不会保持原样；而是会变得更加美好、更加明亮，正如闪亮的黄金比锡更胜一筹，那时的情景将比现在更美好，正如蒙福的保罗所言：</w:t>
      </w:r>
      <w:r w:rsidRPr="006A21F9">
        <w:rPr>
          <w:i/>
          <w:iCs/>
          <w:lang w:val="ru-RU"/>
        </w:rPr>
        <w:t>“受造之物自己也要从败坏的奴役中得释放</w:t>
      </w:r>
      <w:r w:rsidRPr="006A21F9">
        <w:rPr>
          <w:lang w:val="ru-RU"/>
        </w:rPr>
        <w:t>”（罗8:21）。 如今，万物因参与朽坏，正承受着此类肉体所特有的种种苦难；但那时，当万物脱去这一切之后，将向我们展现不朽的荣美。既然万物将获得不朽的身体，那么万物本身也将因此而变得更加美好。 那时将不再有任何混乱与争斗，因为圣徒之间将充满和谐，这源于他们之间永无止境的同心合意。 在那里，无需惧怕魔鬼和恶魔的诡计，也无需惧怕地狱的威胁，更无需惧怕死亡——无论是现世的死亡，还是比这更可怕的死亡；所有此类恐怖都将不复存在。”</w:t>
      </w:r>
      <w:r>
        <w:rPr>
          <w:rStyle w:val="FootnoteReference"/>
        </w:rPr>
        <w:footnoteReference w:id="2098"/>
      </w:r>
    </w:p>
    <w:p w14:paraId="39407E42" w14:textId="77777777" w:rsidR="00BE1885" w:rsidRPr="006A21F9" w:rsidRDefault="00BE1885" w:rsidP="00BE1885">
      <w:pPr>
        <w:rPr>
          <w:lang w:val="ru-RU"/>
        </w:rPr>
      </w:pPr>
      <w:r w:rsidRPr="006A21F9">
        <w:rPr>
          <w:lang w:val="ru-RU"/>
        </w:rPr>
        <w:tab/>
        <w:t>我们在安提阿的西奥菲勒、阿提纳戈拉斯、伊里内乌斯、亚历山大的克利门特、</w:t>
      </w:r>
      <w:r>
        <w:rPr>
          <w:rStyle w:val="FootnoteReference"/>
        </w:rPr>
        <w:footnoteReference w:id="2099"/>
      </w:r>
      <w:r w:rsidRPr="006A21F9">
        <w:rPr>
          <w:lang w:val="ru-RU"/>
        </w:rPr>
        <w:t xml:space="preserve"> 安布罗斯、</w:t>
      </w:r>
      <w:r>
        <w:rPr>
          <w:rStyle w:val="FootnoteReference"/>
        </w:rPr>
        <w:footnoteReference w:id="2100"/>
      </w:r>
      <w:r w:rsidRPr="006A21F9">
        <w:rPr>
          <w:lang w:val="ru-RU"/>
        </w:rPr>
        <w:t xml:space="preserve"> 伊拉里乌斯、</w:t>
      </w:r>
      <w:r>
        <w:rPr>
          <w:rStyle w:val="FootnoteReference"/>
        </w:rPr>
        <w:footnoteReference w:id="2101"/>
      </w:r>
      <w:r w:rsidRPr="006A21F9">
        <w:rPr>
          <w:lang w:val="ru-RU"/>
        </w:rPr>
        <w:t xml:space="preserve"> 奥古斯丁</w:t>
      </w:r>
      <w:r>
        <w:rPr>
          <w:rStyle w:val="FootnoteReference"/>
        </w:rPr>
        <w:footnoteReference w:id="2102"/>
      </w:r>
      <w:r w:rsidRPr="006A21F9">
        <w:rPr>
          <w:lang w:val="ru-RU"/>
        </w:rPr>
        <w:t xml:space="preserve"> 以及其他人的著作中也能找到类似的观点。</w:t>
      </w:r>
      <w:r>
        <w:rPr>
          <w:rStyle w:val="FootnoteReference"/>
        </w:rPr>
        <w:footnoteReference w:id="2103"/>
      </w:r>
    </w:p>
    <w:p w14:paraId="7A38823D" w14:textId="77777777" w:rsidR="00BE1885" w:rsidRPr="006A21F9" w:rsidRDefault="00BE1885" w:rsidP="00BE1885">
      <w:pPr>
        <w:rPr>
          <w:lang w:val="ru-RU"/>
        </w:rPr>
      </w:pPr>
    </w:p>
    <w:p w14:paraId="64E95D50" w14:textId="77777777" w:rsidR="00BE1885" w:rsidRPr="006A21F9" w:rsidRDefault="00BE1885" w:rsidP="00BE1885">
      <w:pPr>
        <w:pStyle w:val="Heading5"/>
        <w:rPr>
          <w:lang w:val="ru-RU"/>
        </w:rPr>
      </w:pPr>
      <w:bookmarkStart w:id="1265" w:name="_Toc133143053"/>
      <w:bookmarkStart w:id="1266" w:name="_Toc133166410"/>
      <w:bookmarkStart w:id="1267" w:name="_Toc182221620"/>
      <w:bookmarkStart w:id="1268" w:name="_Toc238453187"/>
      <w:bookmarkStart w:id="1269" w:name="_Toc238453987"/>
      <w:bookmarkStart w:id="1270" w:name="_Toc238576647"/>
      <w:r w:rsidRPr="006A21F9">
        <w:rPr>
          <w:bCs/>
          <w:lang w:val="ru-RU"/>
        </w:rPr>
        <w:t>§273. b)</w:t>
      </w:r>
      <w:r w:rsidRPr="006A21F9">
        <w:rPr>
          <w:lang w:val="ru-RU"/>
        </w:rPr>
        <w:t xml:space="preserve"> 义人福乐的等级</w:t>
      </w:r>
      <w:bookmarkEnd w:id="1265"/>
      <w:bookmarkEnd w:id="1266"/>
      <w:bookmarkEnd w:id="1267"/>
      <w:bookmarkEnd w:id="1268"/>
      <w:bookmarkEnd w:id="1269"/>
      <w:bookmarkEnd w:id="1270"/>
    </w:p>
    <w:p w14:paraId="67ADA957" w14:textId="77777777" w:rsidR="00BE1885" w:rsidRPr="006A21F9" w:rsidRDefault="00BE1885" w:rsidP="00BE1885">
      <w:pPr>
        <w:ind w:firstLine="708"/>
        <w:rPr>
          <w:lang w:val="ru-RU"/>
        </w:rPr>
      </w:pPr>
      <w:r w:rsidRPr="006A21F9">
        <w:rPr>
          <w:lang w:val="ru-RU"/>
        </w:rPr>
        <w:t>义人在天上的福乐，虽为他们所有人所共有，但将根据每个人的道德品格而有所不同。这一真理源于对上帝无限公义的理解，源于义人功绩的差异，以及源于他们享受福乐的能力在每个人身上展现程度的不同：</w:t>
      </w:r>
    </w:p>
    <w:p w14:paraId="0C46624C" w14:textId="77777777" w:rsidR="00BE1885" w:rsidRPr="006A21F9" w:rsidRDefault="00BE1885" w:rsidP="00BE1885">
      <w:pPr>
        <w:ind w:firstLine="708"/>
        <w:rPr>
          <w:lang w:val="ru-RU"/>
        </w:rPr>
      </w:pPr>
      <w:r w:rsidRPr="006A21F9">
        <w:rPr>
          <w:b/>
          <w:bCs/>
          <w:lang w:val="ru-RU"/>
        </w:rPr>
        <w:t xml:space="preserve">1) </w:t>
      </w:r>
      <w:r w:rsidRPr="006A21F9">
        <w:rPr>
          <w:lang w:val="ru-RU"/>
        </w:rPr>
        <w:t>在圣经中得到了明确的见证。 主耶稣曾如此表达这一真理，他说：</w:t>
      </w:r>
      <w:r w:rsidRPr="006A21F9">
        <w:rPr>
          <w:i/>
          <w:iCs/>
          <w:lang w:val="ru-RU"/>
        </w:rPr>
        <w:t>“在我父的家里有许多住处</w:t>
      </w:r>
      <w:r w:rsidRPr="006A21F9">
        <w:rPr>
          <w:lang w:val="ru-RU"/>
        </w:rPr>
        <w:t>”（约14:2），又说：</w:t>
      </w:r>
      <w:r w:rsidRPr="006A21F9">
        <w:rPr>
          <w:i/>
          <w:iCs/>
          <w:lang w:val="ru-RU"/>
        </w:rPr>
        <w:t>“人子要在他父的荣耀里，同着众天使降临，那时，他要照各人的行为报应各人</w:t>
      </w:r>
      <w:r w:rsidRPr="006A21F9">
        <w:rPr>
          <w:lang w:val="ru-RU"/>
        </w:rPr>
        <w:t xml:space="preserve">”（太16:27）； </w:t>
      </w:r>
      <w:r w:rsidRPr="006A21F9">
        <w:rPr>
          <w:i/>
          <w:iCs/>
          <w:lang w:val="ru-RU"/>
        </w:rPr>
        <w:t>“凡因先知的名接待先知的，必得先知的赏赐；凡因义人的名接待义人的，必得义人的赏赐。凡因门徒的名，只给这些小者中的一人一杯凉水喝的，我实在告诉你们，他必不能失掉他的赏赐</w:t>
      </w:r>
      <w:r w:rsidRPr="006A21F9">
        <w:rPr>
          <w:lang w:val="ru-RU"/>
        </w:rPr>
        <w:t>”（马太福音10:</w:t>
      </w:r>
      <w:r w:rsidRPr="006A21F9">
        <w:rPr>
          <w:lang w:val="ru-RU"/>
        </w:rPr>
        <w:lastRenderedPageBreak/>
        <w:t>41-42）； 此外，在讲述“塔兰特”的比喻时，因忠心的仆人以不同方式运用这些塔兰特，便从主人那里获得了不同的赏赐（路加福音 19:17-20）。 圣使徒保罗的话同样明确：</w:t>
      </w:r>
      <w:r w:rsidRPr="006A21F9">
        <w:rPr>
          <w:i/>
          <w:iCs/>
          <w:lang w:val="ru-RU"/>
        </w:rPr>
        <w:t>各人必按自己的劳苦得自己的赏赐</w:t>
      </w:r>
      <w:r w:rsidRPr="006A21F9">
        <w:rPr>
          <w:lang w:val="ru-RU"/>
        </w:rPr>
        <w:t>（林前3:8）；</w:t>
      </w:r>
      <w:r w:rsidRPr="006A21F9">
        <w:rPr>
          <w:i/>
          <w:iCs/>
          <w:lang w:val="ru-RU"/>
        </w:rPr>
        <w:t>谁吝啬地撒种，就吝啬地收成；谁慷慨地撒种，就慷慨地收成</w:t>
      </w:r>
      <w:r w:rsidRPr="006A21F9">
        <w:rPr>
          <w:lang w:val="ru-RU"/>
        </w:rPr>
        <w:t>（林后9:6）。</w:t>
      </w:r>
    </w:p>
    <w:p w14:paraId="0335C279" w14:textId="77777777" w:rsidR="00BE1885" w:rsidRPr="006A21F9" w:rsidRDefault="00BE1885" w:rsidP="00BE1885">
      <w:pPr>
        <w:ind w:firstLine="708"/>
        <w:rPr>
          <w:lang w:val="ru-RU"/>
        </w:rPr>
      </w:pPr>
      <w:r w:rsidRPr="006A21F9">
        <w:rPr>
          <w:b/>
          <w:bCs/>
          <w:lang w:val="ru-RU"/>
        </w:rPr>
        <w:t>2)</w:t>
      </w:r>
      <w:r w:rsidRPr="006A21F9">
        <w:rPr>
          <w:lang w:val="ru-RU"/>
        </w:rPr>
        <w:t xml:space="preserve"> 这一观点在圣教父和教会导师的著作中多次被提及，例如：爱任纽（Иринея）、</w:t>
      </w:r>
      <w:r>
        <w:rPr>
          <w:rStyle w:val="FootnoteReference"/>
        </w:rPr>
        <w:footnoteReference w:id="2104"/>
      </w:r>
      <w:r w:rsidRPr="006A21F9">
        <w:rPr>
          <w:lang w:val="ru-RU"/>
        </w:rPr>
        <w:t xml:space="preserve"> 安提阿的西奥菲勒（Феофила антиохийского）、</w:t>
      </w:r>
      <w:r>
        <w:rPr>
          <w:rStyle w:val="FootnoteReference"/>
        </w:rPr>
        <w:footnoteReference w:id="2105"/>
      </w:r>
      <w:r w:rsidRPr="006A21F9">
        <w:rPr>
          <w:lang w:val="ru-RU"/>
        </w:rPr>
        <w:t xml:space="preserve"> 亚历山大的克利门特（Климента александрийского）、</w:t>
      </w:r>
      <w:r>
        <w:rPr>
          <w:rStyle w:val="FootnoteReference"/>
        </w:rPr>
        <w:footnoteReference w:id="2106"/>
      </w:r>
      <w:r w:rsidRPr="006A21F9">
        <w:rPr>
          <w:lang w:val="ru-RU"/>
        </w:rPr>
        <w:t xml:space="preserve"> 特土良（Тертуллиана）、</w:t>
      </w:r>
      <w:r>
        <w:rPr>
          <w:rStyle w:val="FootnoteReference"/>
        </w:rPr>
        <w:footnoteReference w:id="2107"/>
      </w:r>
      <w:r w:rsidRPr="006A21F9">
        <w:rPr>
          <w:lang w:val="ru-RU"/>
        </w:rPr>
        <w:t xml:space="preserve"> 伊拉里乌斯（Илария）、</w:t>
      </w:r>
      <w:r>
        <w:rPr>
          <w:rStyle w:val="FootnoteReference"/>
        </w:rPr>
        <w:footnoteReference w:id="2108"/>
      </w:r>
      <w:r w:rsidRPr="006A21F9">
        <w:rPr>
          <w:lang w:val="ru-RU"/>
        </w:rPr>
        <w:t xml:space="preserve"> 狄奥多里特（Феодорита）、</w:t>
      </w:r>
      <w:r>
        <w:rPr>
          <w:rStyle w:val="FootnoteReference"/>
        </w:rPr>
        <w:footnoteReference w:id="2109"/>
      </w:r>
      <w:r w:rsidRPr="006A21F9">
        <w:rPr>
          <w:lang w:val="ru-RU"/>
        </w:rPr>
        <w:t xml:space="preserve"> 奥古斯丁（Августина）</w:t>
      </w:r>
      <w:r>
        <w:rPr>
          <w:rStyle w:val="FootnoteReference"/>
        </w:rPr>
        <w:footnoteReference w:id="2110"/>
      </w:r>
      <w:r w:rsidRPr="006A21F9">
        <w:rPr>
          <w:lang w:val="ru-RU"/>
        </w:rPr>
        <w:t xml:space="preserve"> 以及许多其他人。现引用如下：</w:t>
      </w:r>
    </w:p>
    <w:p w14:paraId="40724CA9" w14:textId="77777777" w:rsidR="00BE1885" w:rsidRPr="006A21F9" w:rsidRDefault="00BE1885" w:rsidP="00BE1885">
      <w:pPr>
        <w:rPr>
          <w:lang w:val="ru-RU"/>
        </w:rPr>
      </w:pPr>
      <w:r w:rsidRPr="006A21F9">
        <w:rPr>
          <w:lang w:val="ru-RU"/>
        </w:rPr>
        <w:tab/>
        <w:t>圣以弗所·西里尔：“救主将那国中居民的智慧程度称为‘许多居所’；我所指的，正是他们根据各自的智慧，在那里所享有的那些差异与不同。因为主所提到的许多居所，并非基于地点的差异，而是基于恩赐的程度。 正如每个人根据视力的纯净程度和感官印象的不同，以不同的方式享受感官所见的阳光；又如同一盏灯照亮一间屋子时，每一道光线都各不相同，而光本身并未被分成多盏灯：同样，在来世，所有义人将不可分割地同居于一种喜乐之中。 但每个人都会按自己的程度被同一颗心灵之日照耀，并根据其品德的程度汲取喜乐与欢欣，仿佛置身于同一片空气、同一处所在、同一座宝座、同一场默观与同一幅图景之中。 没有人能察觉高低之分，以免在目睹他人超乎寻常的恩典与自身的匮乏时，因此而感到悲伤和不安。 愿在既无悲伤也无叹息之处，绝无此类情形；但每个人都按所赐的恩典，在自己的分内内心欢欣，而外在表现上，众人皆怀同一的默观与同一的喜乐。”</w:t>
      </w:r>
      <w:r>
        <w:rPr>
          <w:rStyle w:val="FootnoteReference"/>
        </w:rPr>
        <w:footnoteReference w:id="2111"/>
      </w:r>
    </w:p>
    <w:p w14:paraId="7BF3CBC8" w14:textId="77777777" w:rsidR="00BE1885" w:rsidRPr="006A21F9" w:rsidRDefault="00BE1885" w:rsidP="00BE1885">
      <w:pPr>
        <w:rPr>
          <w:lang w:val="ru-RU"/>
        </w:rPr>
      </w:pPr>
      <w:r w:rsidRPr="006A21F9">
        <w:rPr>
          <w:lang w:val="ru-RU"/>
        </w:rPr>
        <w:tab/>
        <w:t>大圣巴西尔说：“既然</w:t>
      </w:r>
      <w:r w:rsidRPr="006A21F9">
        <w:rPr>
          <w:i/>
          <w:iCs/>
          <w:lang w:val="ru-RU"/>
        </w:rPr>
        <w:t>在我父的家里有许多住处</w:t>
      </w:r>
      <w:r w:rsidRPr="006A21F9">
        <w:rPr>
          <w:lang w:val="ru-RU"/>
        </w:rPr>
        <w:t>（约14:2），而且在温柔的人将要继承的产业之地（太5:4）中，已为各人预定了不同的份： 因此显然，有些人将在上帝显现的光明中安息，有些人将在天军的庇护下安息，还有些人则仿佛被烟雾笼罩一般，隐没在光明的荣耀之中。”</w:t>
      </w:r>
      <w:r>
        <w:rPr>
          <w:rStyle w:val="FootnoteReference"/>
        </w:rPr>
        <w:footnoteReference w:id="2112"/>
      </w:r>
      <w:r w:rsidRPr="006A21F9">
        <w:rPr>
          <w:lang w:val="ru-RU"/>
        </w:rPr>
        <w:t xml:space="preserve"> 在另一处又说：“主所赐的安息，乃是按着神的公义，根据行为的功绩所分配的荣耀。因为有些人将获得更大的尊荣，有些人则较少；正如</w:t>
      </w:r>
      <w:r w:rsidRPr="006A21F9">
        <w:rPr>
          <w:i/>
          <w:iCs/>
          <w:lang w:val="ru-RU"/>
        </w:rPr>
        <w:t>星辰与星辰在荣耀上有所不同</w:t>
      </w:r>
      <w:r w:rsidRPr="006A21F9">
        <w:rPr>
          <w:lang w:val="ru-RU"/>
        </w:rPr>
        <w:t>（林前15:41）。 既然父那里有许多住处（约14:2）：祂便会使一些人安息于更卓越、更高的境界，另一些人则安息于较低的境界，但为了荣耀，所有人都会获得安息。”</w:t>
      </w:r>
      <w:r>
        <w:rPr>
          <w:rStyle w:val="FootnoteReference"/>
        </w:rPr>
        <w:footnoteReference w:id="2113"/>
      </w:r>
    </w:p>
    <w:p w14:paraId="52DDA713" w14:textId="77777777" w:rsidR="00BE1885" w:rsidRPr="006A21F9" w:rsidRDefault="00BE1885" w:rsidP="00BE1885">
      <w:pPr>
        <w:rPr>
          <w:lang w:val="ru-RU"/>
        </w:rPr>
      </w:pPr>
      <w:r w:rsidRPr="006A21F9">
        <w:rPr>
          <w:lang w:val="ru-RU"/>
        </w:rPr>
        <w:tab/>
        <w:t xml:space="preserve">圣格里高利·神学家说：“每一种美德都是一条通往救赎的独特道路，无疑会引领人抵达某处永恒而幸福的居所。因为正如生活方式各不相同，上帝的居所也多种多样（约14:2），它们根据每个人的功德而有所区分并被分配给相应之人。 </w:t>
      </w:r>
      <w:r w:rsidRPr="006A21F9">
        <w:rPr>
          <w:lang w:val="ru-RU"/>
        </w:rPr>
        <w:lastRenderedPageBreak/>
        <w:t>因此，让一个人践行这一美德，另一个人践行另一项，还有人践行多项，而若有可能，甚至有人践行所有美德； 只要每个人都永不停歇地前行，奋力向前，并坚定不移地追随那位良善的向导的足迹——他正直地指引着我们的道路，并通过狭窄的门（马太福音7:14），引领我们进入天国福乐的广阔之地。”</w:t>
      </w:r>
      <w:r>
        <w:rPr>
          <w:rStyle w:val="FootnoteReference"/>
        </w:rPr>
        <w:footnoteReference w:id="2114"/>
      </w:r>
    </w:p>
    <w:p w14:paraId="1C5F61A4" w14:textId="77777777" w:rsidR="00BE1885" w:rsidRPr="006A21F9" w:rsidRDefault="00BE1885" w:rsidP="00BE1885">
      <w:pPr>
        <w:rPr>
          <w:lang w:val="ru-RU"/>
        </w:rPr>
      </w:pPr>
      <w:r w:rsidRPr="006A21F9">
        <w:rPr>
          <w:lang w:val="ru-RU"/>
        </w:rPr>
        <w:tab/>
        <w:t>圣约翰·金口：“在这件事上（即赏赐的差异），不仅我们的推理，而且上帝的话语也使我们确信。因为（耶稣基督）自己说：‘他要照各人的行为报应各人’（马太福音 16:27）。 不仅在地狱中，就连在天国里，你也会发现许多差异：</w:t>
      </w:r>
      <w:r w:rsidRPr="006A21F9">
        <w:rPr>
          <w:i/>
          <w:iCs/>
          <w:lang w:val="ru-RU"/>
        </w:rPr>
        <w:t>‘在我父的家里有许多住处</w:t>
      </w:r>
      <w:r w:rsidRPr="006A21F9">
        <w:rPr>
          <w:lang w:val="ru-RU"/>
        </w:rPr>
        <w:t>’（约14:2）；还有：</w:t>
      </w:r>
      <w:r w:rsidRPr="006A21F9">
        <w:rPr>
          <w:i/>
          <w:iCs/>
          <w:lang w:val="ru-RU"/>
        </w:rPr>
        <w:t>‘太阳的荣耀与月亮的荣耀不同</w:t>
      </w:r>
      <w:r w:rsidRPr="006A21F9">
        <w:rPr>
          <w:lang w:val="ru-RU"/>
        </w:rPr>
        <w:t>’（林前15:41）。 这有什么可惊讶的呢？既然（使徒）已经指出这种差异，他同时又提到，那里还将存在如同一颗星与另一颗星之间的那种差异。”</w:t>
      </w:r>
      <w:r>
        <w:rPr>
          <w:rStyle w:val="FootnoteReference"/>
        </w:rPr>
        <w:footnoteReference w:id="2115"/>
      </w:r>
    </w:p>
    <w:p w14:paraId="12318CF9" w14:textId="77777777" w:rsidR="00BE1885" w:rsidRPr="006A21F9" w:rsidRDefault="00BE1885" w:rsidP="00BE1885">
      <w:pPr>
        <w:rPr>
          <w:lang w:val="ru-RU"/>
        </w:rPr>
      </w:pPr>
      <w:r w:rsidRPr="006A21F9">
        <w:rPr>
          <w:lang w:val="ru-RU"/>
        </w:rPr>
        <w:tab/>
      </w:r>
    </w:p>
    <w:p w14:paraId="11F9EF5F" w14:textId="77777777" w:rsidR="00BE1885" w:rsidRPr="006A21F9" w:rsidRDefault="00BE1885" w:rsidP="00BE1885">
      <w:pPr>
        <w:pStyle w:val="Heading5"/>
        <w:rPr>
          <w:lang w:val="ru-RU"/>
        </w:rPr>
      </w:pPr>
      <w:bookmarkStart w:id="1271" w:name="_Toc133143054"/>
      <w:bookmarkStart w:id="1272" w:name="_Toc133166411"/>
      <w:bookmarkStart w:id="1273" w:name="_Toc182221621"/>
      <w:bookmarkStart w:id="1274" w:name="_Toc238453188"/>
      <w:bookmarkStart w:id="1275" w:name="_Toc238453988"/>
      <w:bookmarkStart w:id="1276" w:name="_Toc238576648"/>
      <w:r w:rsidRPr="006A21F9">
        <w:rPr>
          <w:bCs/>
          <w:lang w:val="ru-RU"/>
        </w:rPr>
        <w:t>§274. c)</w:t>
      </w:r>
      <w:r w:rsidRPr="006A21F9">
        <w:rPr>
          <w:lang w:val="ru-RU"/>
        </w:rPr>
        <w:t xml:space="preserve"> 义人永恒的福乐</w:t>
      </w:r>
      <w:bookmarkEnd w:id="1271"/>
      <w:bookmarkEnd w:id="1272"/>
      <w:bookmarkEnd w:id="1273"/>
      <w:bookmarkEnd w:id="1274"/>
      <w:bookmarkEnd w:id="1275"/>
      <w:bookmarkEnd w:id="1276"/>
    </w:p>
    <w:p w14:paraId="3C60CADB" w14:textId="77777777" w:rsidR="00BE1885" w:rsidRPr="006A21F9" w:rsidRDefault="00BE1885" w:rsidP="00BE1885">
      <w:pPr>
        <w:ind w:firstLine="708"/>
        <w:rPr>
          <w:lang w:val="ru-RU"/>
        </w:rPr>
      </w:pPr>
      <w:r w:rsidRPr="006A21F9">
        <w:rPr>
          <w:lang w:val="ru-RU"/>
        </w:rPr>
        <w:t>如果罪人在阴间所受的折磨之所以显得可怕，主要是因为它们永无止境；那么，另一方面，义人在天上的福乐也正因同样会永无止境地延续到永恒，而变得更加令人向往。</w:t>
      </w:r>
    </w:p>
    <w:p w14:paraId="6853080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在圣经中，这种福乐：</w:t>
      </w:r>
    </w:p>
    <w:p w14:paraId="5466DD09" w14:textId="77777777" w:rsidR="00BE1885" w:rsidRPr="006A21F9" w:rsidRDefault="00BE1885" w:rsidP="00BE1885">
      <w:pPr>
        <w:ind w:firstLine="708"/>
        <w:rPr>
          <w:lang w:val="ru-RU"/>
        </w:rPr>
      </w:pPr>
      <w:r w:rsidRPr="006A21F9">
        <w:rPr>
          <w:b/>
          <w:bCs/>
          <w:lang w:val="ru-RU"/>
        </w:rPr>
        <w:t>1)</w:t>
      </w:r>
      <w:r w:rsidRPr="006A21F9">
        <w:rPr>
          <w:lang w:val="ru-RU"/>
        </w:rPr>
        <w:t xml:space="preserve"> 被直接称为永恒的。具体而言：</w:t>
      </w:r>
      <w:r w:rsidRPr="006A21F9">
        <w:rPr>
          <w:b/>
          <w:bCs/>
          <w:lang w:val="ru-RU"/>
        </w:rPr>
        <w:t>a)</w:t>
      </w:r>
      <w:r w:rsidRPr="006A21F9">
        <w:rPr>
          <w:lang w:val="ru-RU"/>
        </w:rPr>
        <w:t xml:space="preserve"> 永生：</w:t>
      </w:r>
      <w:r w:rsidRPr="006A21F9">
        <w:rPr>
          <w:i/>
          <w:iCs/>
          <w:lang w:val="ru-RU"/>
        </w:rPr>
        <w:t>“我赐给他们永生，他们永不灭亡；谁也不能从我手里把他们夺去</w:t>
      </w:r>
      <w:r w:rsidRPr="00EC54BC">
        <w:rPr>
          <w:lang w:val="ru-RU"/>
        </w:rPr>
        <w:t>”[</w:t>
      </w:r>
      <w:r w:rsidRPr="006A21F9">
        <w:rPr>
          <w:lang w:val="ru-RU"/>
        </w:rPr>
        <w:t>（约10:28</w:t>
      </w:r>
      <w:r w:rsidRPr="00EC54BC">
        <w:rPr>
          <w:lang w:val="ru-RU"/>
        </w:rPr>
        <w:t>）</w:t>
      </w:r>
      <w:r w:rsidRPr="006A21F9">
        <w:rPr>
          <w:lang w:val="ru-RU"/>
        </w:rPr>
        <w:t>；（约3:16）</w:t>
      </w:r>
      <w:r w:rsidRPr="00EC54BC">
        <w:rPr>
          <w:lang w:val="ru-RU"/>
        </w:rPr>
        <w:t>]</w:t>
      </w:r>
      <w:r w:rsidRPr="006A21F9">
        <w:rPr>
          <w:lang w:val="ru-RU"/>
        </w:rPr>
        <w:t xml:space="preserve">； </w:t>
      </w:r>
      <w:r w:rsidRPr="006A21F9">
        <w:rPr>
          <w:i/>
          <w:iCs/>
          <w:lang w:val="ru-RU"/>
        </w:rPr>
        <w:t>“我就是复活，就是生命；信我的人，虽然死了，也必复活。凡活着信我的人，必永远不死</w:t>
      </w:r>
      <w:r w:rsidRPr="006A21F9">
        <w:rPr>
          <w:lang w:val="ru-RU"/>
        </w:rPr>
        <w:t>”[(约11:25-26</w:t>
      </w:r>
      <w:r w:rsidRPr="00EC54BC">
        <w:rPr>
          <w:lang w:val="ru-RU"/>
        </w:rPr>
        <w:t>)</w:t>
      </w:r>
      <w:r w:rsidRPr="006A21F9">
        <w:rPr>
          <w:lang w:val="ru-RU"/>
        </w:rPr>
        <w:t xml:space="preserve">；(约8:51)；(林前15:26)]； </w:t>
      </w:r>
      <w:r w:rsidRPr="006A21F9">
        <w:rPr>
          <w:i/>
          <w:iCs/>
          <w:lang w:val="ru-RU"/>
        </w:rPr>
        <w:t xml:space="preserve">祂应许给我们的，就是永生 </w:t>
      </w:r>
      <w:r w:rsidRPr="006A21F9">
        <w:rPr>
          <w:lang w:val="ru-RU"/>
        </w:rPr>
        <w:t>[(约壹 2:25)； (提多书 1:2)]；</w:t>
      </w:r>
      <w:r w:rsidRPr="006A21F9">
        <w:rPr>
          <w:i/>
          <w:iCs/>
          <w:lang w:val="ru-RU"/>
        </w:rPr>
        <w:t>义人……要进入永生</w:t>
      </w:r>
      <w:r w:rsidRPr="006A21F9">
        <w:rPr>
          <w:lang w:val="ru-RU"/>
        </w:rPr>
        <w:t>（马太福音 25:46）；</w:t>
      </w:r>
      <w:r w:rsidRPr="006A21F9">
        <w:rPr>
          <w:b/>
          <w:bCs/>
          <w:lang w:val="ru-RU"/>
        </w:rPr>
        <w:t>b)</w:t>
      </w:r>
      <w:r w:rsidRPr="006A21F9">
        <w:rPr>
          <w:lang w:val="ru-RU"/>
        </w:rPr>
        <w:t xml:space="preserve"> 耶稣基督的永恒国度：</w:t>
      </w:r>
      <w:r w:rsidRPr="006A21F9">
        <w:rPr>
          <w:i/>
          <w:iCs/>
          <w:lang w:val="ru-RU"/>
        </w:rPr>
        <w:t>这样，你们就必得着进入我们主兼救主耶稣基督永恒国度的自由</w:t>
      </w:r>
      <w:r w:rsidRPr="006A21F9">
        <w:rPr>
          <w:lang w:val="ru-RU"/>
        </w:rPr>
        <w:t xml:space="preserve">（彼得后书 1:11）； </w:t>
      </w:r>
      <w:r w:rsidRPr="006A21F9">
        <w:rPr>
          <w:b/>
          <w:bCs/>
          <w:lang w:val="ru-RU"/>
        </w:rPr>
        <w:t>c)</w:t>
      </w:r>
      <w:r w:rsidRPr="006A21F9">
        <w:rPr>
          <w:lang w:val="ru-RU"/>
        </w:rPr>
        <w:t xml:space="preserve"> 永恒的救恩：</w:t>
      </w:r>
      <w:r w:rsidRPr="006A21F9">
        <w:rPr>
          <w:i/>
          <w:iCs/>
          <w:lang w:val="ru-RU"/>
        </w:rPr>
        <w:t>他虽是儿子，却因所受的苦难学会了顺从；既得以完全，就为凡顺从他的人成了永恒救恩的根源</w:t>
      </w:r>
      <w:r w:rsidRPr="006A21F9">
        <w:rPr>
          <w:lang w:val="ru-RU"/>
        </w:rPr>
        <w:t xml:space="preserve">（希伯来书 5:8-9）； </w:t>
      </w:r>
      <w:r w:rsidRPr="006A21F9">
        <w:rPr>
          <w:b/>
          <w:bCs/>
          <w:lang w:val="ru-RU"/>
        </w:rPr>
        <w:t>d)</w:t>
      </w:r>
      <w:r w:rsidRPr="006A21F9">
        <w:rPr>
          <w:lang w:val="ru-RU"/>
        </w:rPr>
        <w:t xml:space="preserve"> 永恒的基业：</w:t>
      </w:r>
      <w:r w:rsidRPr="006A21F9">
        <w:rPr>
          <w:i/>
          <w:iCs/>
          <w:lang w:val="ru-RU"/>
        </w:rPr>
        <w:t>因此，祂是新约的中保，为要借着祂的死——这死是为赎去旧约中的过犯——使那些蒙召得着永恒基业的人，得以领受所应许的</w:t>
      </w:r>
      <w:r w:rsidRPr="006A21F9">
        <w:rPr>
          <w:lang w:val="ru-RU"/>
        </w:rPr>
        <w:t>（希伯来书 9:15）；</w:t>
      </w:r>
      <w:r w:rsidRPr="006A21F9">
        <w:rPr>
          <w:b/>
          <w:bCs/>
          <w:lang w:val="ru-RU"/>
        </w:rPr>
        <w:t>e)</w:t>
      </w:r>
      <w:r w:rsidRPr="006A21F9">
        <w:rPr>
          <w:lang w:val="ru-RU"/>
        </w:rPr>
        <w:t xml:space="preserve"> 永恒的荣耀，与暂时的苦难和悲伤相对： </w:t>
      </w:r>
      <w:r w:rsidRPr="006A21F9">
        <w:rPr>
          <w:i/>
          <w:iCs/>
          <w:lang w:val="ru-RU"/>
        </w:rPr>
        <w:t>那赐诸般恩典的神，曾召我们进入祂在基督耶稣里的永恒荣耀，祂自己必在你们短暂的患难之后，使你们完全、坚固、加强，并使你们坚定不移</w:t>
      </w:r>
      <w:r w:rsidRPr="006A21F9">
        <w:rPr>
          <w:lang w:val="ru-RU"/>
        </w:rPr>
        <w:t xml:space="preserve">（彼得前书 5:10）； </w:t>
      </w:r>
      <w:r w:rsidRPr="006A21F9">
        <w:rPr>
          <w:i/>
          <w:iCs/>
          <w:lang w:val="ru-RU"/>
        </w:rPr>
        <w:t>因为我们这短暂轻微的苦楚，要为我们成就极重无比的荣耀；我们不是注视所见的，乃是注视所不见的；因为所见的是暂时的，所不见的是永恒的</w:t>
      </w:r>
      <w:r w:rsidRPr="006A21F9">
        <w:rPr>
          <w:lang w:val="ru-RU"/>
        </w:rPr>
        <w:t>（哥林多后书 4:17-18）。</w:t>
      </w:r>
    </w:p>
    <w:p w14:paraId="093A97D6" w14:textId="77777777" w:rsidR="00BE1885" w:rsidRPr="006A21F9" w:rsidRDefault="00BE1885" w:rsidP="00BE1885">
      <w:pPr>
        <w:ind w:firstLine="708"/>
        <w:rPr>
          <w:lang w:val="ru-RU"/>
        </w:rPr>
      </w:pPr>
      <w:r w:rsidRPr="006A21F9">
        <w:rPr>
          <w:b/>
          <w:bCs/>
          <w:lang w:val="ru-RU"/>
        </w:rPr>
        <w:t>2)</w:t>
      </w:r>
      <w:r w:rsidRPr="006A21F9">
        <w:rPr>
          <w:lang w:val="ru-RU"/>
        </w:rPr>
        <w:t xml:space="preserve"> 它被描绘成这样的意象，表明它永无止境。 它被描绘为</w:t>
      </w:r>
      <w:r w:rsidRPr="006A21F9">
        <w:rPr>
          <w:b/>
          <w:bCs/>
          <w:lang w:val="ru-RU"/>
        </w:rPr>
        <w:t xml:space="preserve">——a) </w:t>
      </w:r>
      <w:r w:rsidRPr="006A21F9">
        <w:rPr>
          <w:lang w:val="ru-RU"/>
        </w:rPr>
        <w:t>天上永不枯竭的财宝：</w:t>
      </w:r>
      <w:r w:rsidRPr="006A21F9">
        <w:rPr>
          <w:i/>
          <w:iCs/>
          <w:lang w:val="ru-RU"/>
        </w:rPr>
        <w:t xml:space="preserve">你们要为自己积攒不朽坏的财宝，就是天上永不枯竭的财宝，那里没有贼能靠近，也没有虫子能蛀蚀 </w:t>
      </w:r>
      <w:r w:rsidRPr="006A21F9">
        <w:rPr>
          <w:lang w:val="ru-RU"/>
        </w:rPr>
        <w:t xml:space="preserve">[(路12:33)；(太6:20)]； </w:t>
      </w:r>
      <w:r w:rsidRPr="006A21F9">
        <w:rPr>
          <w:b/>
          <w:bCs/>
          <w:lang w:val="ru-RU"/>
        </w:rPr>
        <w:t>b)</w:t>
      </w:r>
      <w:r w:rsidRPr="006A21F9">
        <w:rPr>
          <w:lang w:val="ru-RU"/>
        </w:rPr>
        <w:t xml:space="preserve"> 如同天上永存、恒久的产业：</w:t>
      </w:r>
      <w:r w:rsidRPr="006A21F9">
        <w:rPr>
          <w:i/>
          <w:iCs/>
          <w:lang w:val="ru-RU"/>
        </w:rPr>
        <w:t>你们曾与我的囚徒同受苦难，也欢欢喜喜地接受了你们产业被掠夺，因为你们知道在天上有一处更美、永不衰残的产业</w:t>
      </w:r>
      <w:r w:rsidRPr="006A21F9">
        <w:rPr>
          <w:lang w:val="ru-RU"/>
        </w:rPr>
        <w:t>（希伯来书 10:34）；</w:t>
      </w:r>
      <w:r w:rsidRPr="006A21F9">
        <w:rPr>
          <w:b/>
          <w:bCs/>
          <w:lang w:val="ru-RU"/>
        </w:rPr>
        <w:t>c)</w:t>
      </w:r>
      <w:r w:rsidRPr="006A21F9">
        <w:rPr>
          <w:lang w:val="ru-RU"/>
        </w:rPr>
        <w:t xml:space="preserve"> 如同不朽不凋的基业： </w:t>
      </w:r>
      <w:r w:rsidRPr="006A21F9">
        <w:rPr>
          <w:i/>
          <w:iCs/>
          <w:lang w:val="ru-RU"/>
        </w:rPr>
        <w:t>愿颂赞归于我们主耶稣基督的父神，祂因着祂的大怜悯，借着耶稣基督从死里复活，重生了我们，使我们得着活泼的盼望，得着那在天上为你们存留的、不能朽坏、不能玷污、不能衰残的基业</w:t>
      </w:r>
      <w:r w:rsidRPr="006A21F9">
        <w:rPr>
          <w:lang w:val="ru-RU"/>
        </w:rPr>
        <w:t xml:space="preserve">（彼得前书 </w:t>
      </w:r>
      <w:r w:rsidRPr="006A21F9">
        <w:rPr>
          <w:lang w:val="ru-RU"/>
        </w:rPr>
        <w:lastRenderedPageBreak/>
        <w:t xml:space="preserve">1:3-4）； </w:t>
      </w:r>
      <w:r w:rsidRPr="006A21F9">
        <w:rPr>
          <w:b/>
          <w:bCs/>
          <w:lang w:val="ru-RU"/>
        </w:rPr>
        <w:t>d)</w:t>
      </w:r>
      <w:r w:rsidRPr="006A21F9">
        <w:rPr>
          <w:lang w:val="ru-RU"/>
        </w:rPr>
        <w:t xml:space="preserve"> 作为不凋谢的荣耀冠冕：</w:t>
      </w:r>
      <w:r w:rsidRPr="006A21F9">
        <w:rPr>
          <w:i/>
          <w:iCs/>
          <w:lang w:val="ru-RU"/>
        </w:rPr>
        <w:t>当大牧人显现的时候，你们必得着不凋谢的荣耀冠冕</w:t>
      </w:r>
      <w:r w:rsidRPr="006A21F9">
        <w:rPr>
          <w:lang w:val="ru-RU"/>
        </w:rPr>
        <w:t>（彼得前书 5:4）；</w:t>
      </w:r>
      <w:r w:rsidRPr="006A21F9">
        <w:rPr>
          <w:b/>
          <w:bCs/>
          <w:lang w:val="ru-RU"/>
        </w:rPr>
        <w:t>e)</w:t>
      </w:r>
      <w:r w:rsidRPr="006A21F9">
        <w:rPr>
          <w:lang w:val="ru-RU"/>
        </w:rPr>
        <w:t xml:space="preserve"> 作为永远与基督同在：</w:t>
      </w:r>
      <w:r w:rsidRPr="006A21F9">
        <w:rPr>
          <w:i/>
          <w:iCs/>
          <w:lang w:val="ru-RU"/>
        </w:rPr>
        <w:t xml:space="preserve">这样，我们就要永远与主同在了 </w:t>
      </w:r>
      <w:r w:rsidRPr="006A21F9">
        <w:rPr>
          <w:lang w:val="ru-RU"/>
        </w:rPr>
        <w:t>[(帖撒罗尼迦前书 4:17)； （约12:26</w:t>
      </w:r>
      <w:r w:rsidRPr="00430F02">
        <w:rPr>
          <w:lang w:val="ru-RU"/>
        </w:rPr>
        <w:t>）</w:t>
      </w:r>
      <w:r w:rsidRPr="006A21F9">
        <w:rPr>
          <w:lang w:val="ru-RU"/>
        </w:rPr>
        <w:t>；（约17:24）；（罗8:17-30）]。</w:t>
      </w:r>
    </w:p>
    <w:p w14:paraId="27DF9F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w:t>
      </w:r>
      <w:r w:rsidRPr="006A21F9">
        <w:rPr>
          <w:lang w:val="ru-RU"/>
        </w:rPr>
        <w:t xml:space="preserve"> 教会的圣父们和教师们也将义人在天上的福乐描绘为永恒且无尽的。例如：</w:t>
      </w:r>
    </w:p>
    <w:p w14:paraId="4909B667" w14:textId="77777777" w:rsidR="00BE1885" w:rsidRPr="006A21F9" w:rsidRDefault="00BE1885" w:rsidP="00BE1885">
      <w:pPr>
        <w:rPr>
          <w:lang w:val="ru-RU"/>
        </w:rPr>
      </w:pPr>
      <w:r w:rsidRPr="006A21F9">
        <w:rPr>
          <w:lang w:val="ru-RU"/>
        </w:rPr>
        <w:tab/>
        <w:t>安提阿的圣西奥菲勒斯：“对于那些通过坚持行善来寻求不朽的人，祂将赐予永生、喜乐、平安、安宁以及丰盛的恩典——这些恩典是人眼未曾看见、人耳未曾听闻、人心也未曾想到的。”</w:t>
      </w:r>
      <w:r>
        <w:rPr>
          <w:rStyle w:val="FootnoteReference"/>
        </w:rPr>
        <w:footnoteReference w:id="2116"/>
      </w:r>
    </w:p>
    <w:p w14:paraId="14A7732C" w14:textId="77777777" w:rsidR="00BE1885" w:rsidRPr="006A21F9" w:rsidRDefault="00BE1885" w:rsidP="00BE1885">
      <w:pPr>
        <w:rPr>
          <w:lang w:val="ru-RU"/>
        </w:rPr>
      </w:pPr>
      <w:r w:rsidRPr="006A21F9">
        <w:rPr>
          <w:lang w:val="ru-RU"/>
        </w:rPr>
        <w:tab/>
        <w:t>圣埃弗拉姆·西里安：你们都到我这里来，我必使你们在那儿得享安息，那里有伟大的恩赐、无与伦比的喜乐、永恒的欢欣、永不停息的颂歌、 不息的赞美、永恒的感恩、无尽的敬拜、无边的国度、数不尽的财富、无垠的永恒、深不可测的恩典、仁慈与博爱的汪洋，以及一切人类之口无法言表、唯能借由默想表达的一切。”</w:t>
      </w:r>
      <w:r>
        <w:rPr>
          <w:rStyle w:val="FootnoteReference"/>
        </w:rPr>
        <w:footnoteReference w:id="2117"/>
      </w:r>
      <w:r w:rsidRPr="006A21F9">
        <w:rPr>
          <w:lang w:val="ru-RU"/>
        </w:rPr>
        <w:t xml:space="preserve"> “若有人走过这窄门，行在这狭窄的道路上，他必得着福乐的赏赐，那永无止境的天上赏赐。”</w:t>
      </w:r>
      <w:r>
        <w:rPr>
          <w:rStyle w:val="FootnoteReference"/>
        </w:rPr>
        <w:footnoteReference w:id="2118"/>
      </w:r>
    </w:p>
    <w:p w14:paraId="76FA2C15" w14:textId="77777777" w:rsidR="00BE1885" w:rsidRPr="006A21F9" w:rsidRDefault="00BE1885" w:rsidP="00BE1885">
      <w:pPr>
        <w:rPr>
          <w:lang w:val="ru-RU"/>
        </w:rPr>
      </w:pPr>
      <w:r w:rsidRPr="006A21F9">
        <w:rPr>
          <w:lang w:val="ru-RU"/>
        </w:rPr>
        <w:tab/>
        <w:t>伊拉里乌斯：“这就是圣徒的遗产：生命、不朽、天国，以及与上帝永恒的同在。”</w:t>
      </w:r>
      <w:r>
        <w:rPr>
          <w:rStyle w:val="FootnoteReference"/>
        </w:rPr>
        <w:footnoteReference w:id="2119"/>
      </w:r>
    </w:p>
    <w:p w14:paraId="767A1E4E" w14:textId="77777777" w:rsidR="00BE1885" w:rsidRPr="006A21F9" w:rsidRDefault="00BE1885" w:rsidP="00BE1885">
      <w:pPr>
        <w:rPr>
          <w:lang w:val="ru-RU"/>
        </w:rPr>
      </w:pPr>
      <w:r w:rsidRPr="006A21F9">
        <w:rPr>
          <w:lang w:val="ru-RU"/>
        </w:rPr>
        <w:tab/>
        <w:t>圣约翰·金口：“（末日审判）之后将会发生什么，圣言将向我们展现什么，即源于与基督相交的甘美、益处与喜乐？ 因为灵魂重新获得了其高贵本性，最终得以大胆地见主，其所获得的喜乐与益处，实难言表——它不仅因所拥有的福分而欢欣，更因确信这些福分永无止境而满怀喜乐。 因此，这种喜乐既无法用言语完全描绘，也无法用理智完全领悟。”</w:t>
      </w:r>
      <w:r>
        <w:rPr>
          <w:rStyle w:val="FootnoteReference"/>
        </w:rPr>
        <w:footnoteReference w:id="2120"/>
      </w:r>
    </w:p>
    <w:p w14:paraId="45E9A021" w14:textId="77777777" w:rsidR="00BE1885" w:rsidRPr="006A21F9" w:rsidRDefault="00BE1885" w:rsidP="00BE1885">
      <w:pPr>
        <w:rPr>
          <w:lang w:val="ru-RU"/>
        </w:rPr>
      </w:pPr>
      <w:r w:rsidRPr="006A21F9">
        <w:rPr>
          <w:lang w:val="ru-RU"/>
        </w:rPr>
        <w:tab/>
        <w:t>同样如此教导的还有：亚历山大的克利门特，</w:t>
      </w:r>
      <w:r>
        <w:rPr>
          <w:rStyle w:val="FootnoteReference"/>
        </w:rPr>
        <w:footnoteReference w:id="2121"/>
      </w:r>
      <w:r w:rsidRPr="006A21F9">
        <w:rPr>
          <w:lang w:val="ru-RU"/>
        </w:rPr>
        <w:t xml:space="preserve"> 圣基普里安，</w:t>
      </w:r>
      <w:r>
        <w:rPr>
          <w:rStyle w:val="FootnoteReference"/>
        </w:rPr>
        <w:footnoteReference w:id="2122"/>
      </w:r>
      <w:r w:rsidRPr="006A21F9">
        <w:rPr>
          <w:lang w:val="ru-RU"/>
        </w:rPr>
        <w:t xml:space="preserve"> 圣安布罗斯，</w:t>
      </w:r>
      <w:r>
        <w:rPr>
          <w:rStyle w:val="FootnoteReference"/>
        </w:rPr>
        <w:footnoteReference w:id="2123"/>
      </w:r>
      <w:r w:rsidRPr="006A21F9">
        <w:rPr>
          <w:lang w:val="ru-RU"/>
        </w:rPr>
        <w:t xml:space="preserve"> 圣格里高利·神学家，</w:t>
      </w:r>
      <w:r>
        <w:rPr>
          <w:rStyle w:val="FootnoteReference"/>
        </w:rPr>
        <w:footnoteReference w:id="2124"/>
      </w:r>
      <w:r w:rsidRPr="006A21F9">
        <w:rPr>
          <w:lang w:val="ru-RU"/>
        </w:rPr>
        <w:t xml:space="preserve"> 圣大巴西尔，</w:t>
      </w:r>
      <w:r>
        <w:rPr>
          <w:rStyle w:val="FootnoteReference"/>
        </w:rPr>
        <w:footnoteReference w:id="2125"/>
      </w:r>
      <w:r w:rsidRPr="006A21F9">
        <w:rPr>
          <w:lang w:val="ru-RU"/>
        </w:rPr>
        <w:t xml:space="preserve"> 以及其他人。</w:t>
      </w:r>
      <w:r>
        <w:rPr>
          <w:rStyle w:val="FootnoteReference"/>
        </w:rPr>
        <w:footnoteReference w:id="2126"/>
      </w:r>
    </w:p>
    <w:p w14:paraId="2EB0ED54" w14:textId="77777777" w:rsidR="00BE1885" w:rsidRPr="006A21F9" w:rsidRDefault="00BE1885" w:rsidP="00BE1885">
      <w:pPr>
        <w:rPr>
          <w:lang w:val="ru-RU"/>
        </w:rPr>
      </w:pPr>
      <w:r w:rsidRPr="006A21F9">
        <w:rPr>
          <w:lang w:val="ru-RU"/>
        </w:rPr>
        <w:tab/>
      </w:r>
    </w:p>
    <w:p w14:paraId="548D731A" w14:textId="77777777" w:rsidR="00BE1885" w:rsidRPr="006A21F9" w:rsidRDefault="00BE1885" w:rsidP="00BE1885">
      <w:pPr>
        <w:pStyle w:val="Heading5"/>
        <w:rPr>
          <w:lang w:val="ru-RU"/>
        </w:rPr>
      </w:pPr>
      <w:bookmarkStart w:id="1277" w:name="_Toc133143055"/>
      <w:bookmarkStart w:id="1278" w:name="_Toc133166412"/>
      <w:bookmarkStart w:id="1279" w:name="_Toc182221622"/>
      <w:bookmarkStart w:id="1280" w:name="_Toc238453189"/>
      <w:bookmarkStart w:id="1281" w:name="_Toc238453989"/>
      <w:bookmarkStart w:id="1282" w:name="_Toc238576649"/>
      <w:r w:rsidRPr="006A21F9">
        <w:rPr>
          <w:bCs/>
          <w:lang w:val="ru-RU"/>
        </w:rPr>
        <w:t>§275.</w:t>
      </w:r>
      <w:r w:rsidRPr="006A21F9">
        <w:rPr>
          <w:lang w:val="ru-RU"/>
        </w:rPr>
        <w:t xml:space="preserve"> 关于普世审判与报应教义的道德应用</w:t>
      </w:r>
      <w:bookmarkEnd w:id="1277"/>
      <w:bookmarkEnd w:id="1278"/>
      <w:bookmarkEnd w:id="1279"/>
      <w:bookmarkEnd w:id="1280"/>
      <w:bookmarkEnd w:id="1281"/>
      <w:bookmarkEnd w:id="1282"/>
    </w:p>
    <w:p w14:paraId="51858024" w14:textId="77777777" w:rsidR="00BE1885" w:rsidRPr="006A21F9" w:rsidRDefault="00BE1885" w:rsidP="00BE1885">
      <w:pPr>
        <w:ind w:firstLine="708"/>
        <w:rPr>
          <w:lang w:val="ru-RU"/>
        </w:rPr>
      </w:pPr>
      <w:r w:rsidRPr="006A21F9">
        <w:rPr>
          <w:lang w:val="ru-RU"/>
        </w:rPr>
        <w:t>关于最后审判以及对义人和罪人进行最终、永恒报应的教义——我们的救赎工程将以此告终——是基督教道德中最发人深省的教义之一。</w:t>
      </w:r>
    </w:p>
    <w:p w14:paraId="0991BACD" w14:textId="77777777" w:rsidR="00BE1885" w:rsidRPr="006A21F9" w:rsidRDefault="00BE1885" w:rsidP="00BE1885">
      <w:pPr>
        <w:ind w:firstLine="708"/>
        <w:rPr>
          <w:lang w:val="ru-RU"/>
        </w:rPr>
      </w:pPr>
      <w:r w:rsidRPr="006A21F9">
        <w:rPr>
          <w:b/>
          <w:bCs/>
          <w:lang w:val="ru-RU"/>
        </w:rPr>
        <w:t>1.</w:t>
      </w:r>
      <w:r w:rsidRPr="006A21F9">
        <w:rPr>
          <w:i/>
          <w:iCs/>
          <w:lang w:val="ru-RU"/>
        </w:rPr>
        <w:t xml:space="preserve"> 上帝已定下那日，要在那日公义地审判全世界</w:t>
      </w:r>
      <w:r w:rsidRPr="006A21F9">
        <w:rPr>
          <w:lang w:val="ru-RU"/>
        </w:rPr>
        <w:t>（使徒行传 17:31）；但这日何时到来，我们无人知晓：</w:t>
      </w:r>
      <w:r w:rsidRPr="006A21F9">
        <w:rPr>
          <w:i/>
          <w:iCs/>
          <w:lang w:val="ru-RU"/>
        </w:rPr>
        <w:t>你们要警醒，因为你们不知道人子降临的日子和时刻</w:t>
      </w:r>
      <w:r w:rsidRPr="006A21F9">
        <w:rPr>
          <w:lang w:val="ru-RU"/>
        </w:rPr>
        <w:t>（马太福音 25:13）。</w:t>
      </w:r>
    </w:p>
    <w:p w14:paraId="36B7F628" w14:textId="77777777" w:rsidR="00BE1885" w:rsidRPr="006A21F9" w:rsidRDefault="00BE1885" w:rsidP="00BE1885">
      <w:pPr>
        <w:ind w:firstLine="708"/>
        <w:rPr>
          <w:lang w:val="ru-RU"/>
        </w:rPr>
      </w:pPr>
      <w:r w:rsidRPr="006A21F9">
        <w:rPr>
          <w:b/>
          <w:bCs/>
          <w:lang w:val="ru-RU"/>
        </w:rPr>
        <w:t>2.</w:t>
      </w:r>
      <w:r w:rsidRPr="006A21F9">
        <w:rPr>
          <w:lang w:val="ru-RU"/>
        </w:rPr>
        <w:t xml:space="preserve"> 主将带着祂所有的天使，以全部的荣耀从天而降，施行普世性的、公开而庄严的、最公正且最可畏的审判：噢，那时谁能站在那位威严的审判者面前呢！</w:t>
      </w:r>
      <w:r w:rsidRPr="006A21F9">
        <w:rPr>
          <w:i/>
          <w:iCs/>
          <w:lang w:val="ru-RU"/>
        </w:rPr>
        <w:t>若连义人尚且勉强得救，那不义之人和罪人又将何去何从</w:t>
      </w:r>
      <w:r w:rsidRPr="006A21F9">
        <w:rPr>
          <w:lang w:val="ru-RU"/>
        </w:rPr>
        <w:t xml:space="preserve">（彼得前书 4:18）？ </w:t>
      </w:r>
      <w:r w:rsidRPr="006A21F9">
        <w:rPr>
          <w:lang w:val="ru-RU"/>
        </w:rPr>
        <w:lastRenderedPageBreak/>
        <w:t>当我们突然发现自己站在祂的左边时，当我们所有不配的行为、意念和欲望在天地之间被公之于众时，当我们最终听到那可怕的判决：</w:t>
      </w:r>
      <w:r w:rsidRPr="006A21F9">
        <w:rPr>
          <w:i/>
          <w:iCs/>
          <w:lang w:val="ru-RU"/>
        </w:rPr>
        <w:t>“你们这些被咒诅的人，离开我，进入那为魔鬼和他的使者所预备的永火里去”</w:t>
      </w:r>
      <w:r w:rsidRPr="006A21F9">
        <w:rPr>
          <w:lang w:val="ru-RU"/>
        </w:rPr>
        <w:t xml:space="preserve"> （马太福音 25:41）？当我们在同一时刻看见义人站在主右边，并听见向他们发出的呼召：</w:t>
      </w:r>
      <w:r w:rsidRPr="006A21F9">
        <w:rPr>
          <w:i/>
          <w:iCs/>
          <w:lang w:val="ru-RU"/>
        </w:rPr>
        <w:t>“你们这蒙我父赐福的，可来承受那为你们预备的国度，这国度是从创世以来为你们预备的</w:t>
      </w:r>
      <w:r w:rsidRPr="006A21F9">
        <w:rPr>
          <w:lang w:val="ru-RU"/>
        </w:rPr>
        <w:t>”（马太福音 25:34）时，我们又会作何感想？</w:t>
      </w:r>
    </w:p>
    <w:p w14:paraId="4A6B3266" w14:textId="77777777" w:rsidR="00BE1885" w:rsidRPr="006A21F9" w:rsidRDefault="00BE1885" w:rsidP="00BE1885">
      <w:pPr>
        <w:ind w:firstLine="708"/>
        <w:rPr>
          <w:lang w:val="ru-RU"/>
        </w:rPr>
      </w:pPr>
      <w:r w:rsidRPr="006A21F9">
        <w:rPr>
          <w:b/>
          <w:bCs/>
          <w:lang w:val="ru-RU"/>
        </w:rPr>
        <w:t xml:space="preserve">3. </w:t>
      </w:r>
      <w:r w:rsidRPr="006A21F9">
        <w:rPr>
          <w:lang w:val="ru-RU"/>
        </w:rPr>
        <w:t>我们如此执着于的这个现世，届时将一去不返：</w:t>
      </w:r>
      <w:r w:rsidRPr="006A21F9">
        <w:rPr>
          <w:i/>
          <w:iCs/>
          <w:lang w:val="ru-RU"/>
        </w:rPr>
        <w:t>大地和地上的一切都将被焚毁</w:t>
      </w:r>
      <w:r w:rsidRPr="006A21F9">
        <w:rPr>
          <w:lang w:val="ru-RU"/>
        </w:rPr>
        <w:t>（彼得后书 3:10）。 那么，我们如此挂心的所有这些财宝，最终还能剩下什么呢？我们如此追逐的世俗荣耀与尊荣，以及我们常常为此耗尽精力与健康的世俗享乐，到头来又能给我们带来什么益处呢？</w:t>
      </w:r>
    </w:p>
    <w:p w14:paraId="0D79530B" w14:textId="77777777" w:rsidR="00BE1885" w:rsidRPr="006A21F9" w:rsidRDefault="00BE1885" w:rsidP="00BE1885">
      <w:pPr>
        <w:ind w:firstLine="708"/>
        <w:rPr>
          <w:lang w:val="ru-RU"/>
        </w:rPr>
      </w:pPr>
      <w:r w:rsidRPr="006A21F9">
        <w:rPr>
          <w:b/>
          <w:bCs/>
          <w:lang w:val="ru-RU"/>
        </w:rPr>
        <w:t>4.</w:t>
      </w:r>
      <w:r w:rsidRPr="006A21F9">
        <w:rPr>
          <w:lang w:val="ru-RU"/>
        </w:rPr>
        <w:t xml:space="preserve"> 罪人在地狱中的折磨将是永恒的：世纪接世纪，千年接千年；时间的计数将完全丧失——而地狱的折磨却永无止境…… 光是想到这一点，怎能不令人不寒而栗？如果我们能真切地想象罪恶将把我们引向何方，又怎能不憎恶罪恶及其所有的诱惑与欺骗呢？又怎能不热爱悔改，因为唯有悔改才能洗净我们的罪孽，使我们免于永恒的折磨？</w:t>
      </w:r>
    </w:p>
    <w:p w14:paraId="02737443" w14:textId="77777777" w:rsidR="00BE1885" w:rsidRPr="006A21F9" w:rsidRDefault="00BE1885" w:rsidP="00BE1885">
      <w:pPr>
        <w:ind w:firstLine="708"/>
        <w:rPr>
          <w:lang w:val="ru-RU"/>
        </w:rPr>
      </w:pPr>
      <w:r w:rsidRPr="006A21F9">
        <w:rPr>
          <w:b/>
          <w:bCs/>
          <w:lang w:val="ru-RU"/>
        </w:rPr>
        <w:t>5.</w:t>
      </w:r>
      <w:r w:rsidRPr="006A21F9">
        <w:rPr>
          <w:lang w:val="ru-RU"/>
        </w:rPr>
        <w:t xml:space="preserve"> 义人在天上的福乐将难以言喻：他们将进入他们主的喜乐之中，这喜乐无人能从他们那里夺去，直到永永远远。 为了这至高无上、永无止境的 福乐，难道不该弃绝世界及其一切事务，全心全意地献身于侍奉上帝，并决心践行圣洁信仰所要求的一切壮举与劳苦吗？</w:t>
      </w:r>
    </w:p>
    <w:p w14:paraId="223FE8B6" w14:textId="77777777" w:rsidR="00BE1885" w:rsidRPr="006A21F9" w:rsidRDefault="00BE1885" w:rsidP="00BE1885">
      <w:pPr>
        <w:rPr>
          <w:lang w:val="ru-RU"/>
        </w:rPr>
      </w:pPr>
      <w:r w:rsidRPr="006A21F9">
        <w:rPr>
          <w:lang w:val="ru-RU"/>
        </w:rPr>
        <w:tab/>
        <w:t>噢，倘若我们能更频繁、更专注地默想那伟大的日子（使徒行传 2:20）——那充满愤怒、彰显上帝公义审判的日子（罗马书 2:5），我们救恩的全部筹备工作终将在此日画上句号！ 倘若我们能更鲜活、更清晰地想象那些为义人在天上预备的无尽福分，以及等待罪人在阴间承受的永恒折磨！我们便会找到多少动力，使自己远离罪恶，在虔敬中奋力前行！</w:t>
      </w:r>
    </w:p>
    <w:p w14:paraId="08CF54B5" w14:textId="77777777" w:rsidR="00BE1885" w:rsidRPr="006A21F9" w:rsidRDefault="00BE1885" w:rsidP="00BE1885">
      <w:pPr>
        <w:rPr>
          <w:lang w:val="ru-RU"/>
        </w:rPr>
      </w:pPr>
      <w:r w:rsidRPr="006A21F9">
        <w:rPr>
          <w:lang w:val="ru-RU"/>
        </w:rPr>
        <w:tab/>
        <w:t>主啊，求祢赐给我们所有人，时刻铭记祢将来荣耀的再来、祢对我们那最后而可畏的审判，以及祢对义人和罪人最公义且永恒的赏罚——是的， 在祢光照与恩典的帮助下，让我们在今世过着贞洁、公义、敬虔的生活（提多书 2:12）， 并最终在天上获得永恒的福乐，好叫我们以全身心与祢无始的父，以及祢至圣、至善、赐生命的圣灵一同赞美祢，直到永永远远。</w:t>
      </w:r>
    </w:p>
    <w:p w14:paraId="14F14BEB" w14:textId="77777777" w:rsidR="00BE1885" w:rsidRPr="006A21F9" w:rsidRDefault="00BE1885" w:rsidP="00BE1885">
      <w:pPr>
        <w:rPr>
          <w:lang w:val="ru-RU"/>
        </w:rPr>
      </w:pPr>
    </w:p>
    <w:p w14:paraId="1DE5F2B1" w14:textId="77777777" w:rsidR="00BE1885" w:rsidRPr="00BE1885" w:rsidRDefault="00BE1885">
      <w:pPr>
        <w:rPr>
          <w:lang w:val="ru-RU"/>
        </w:rPr>
      </w:pPr>
    </w:p>
    <w:sectPr w:rsidR="00BE1885" w:rsidRPr="00BE1885" w:rsidSect="0035025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BC2CD" w14:textId="77777777" w:rsidR="000A5D22" w:rsidRDefault="000A5D22">
      <w:r>
        <w:separator/>
      </w:r>
    </w:p>
  </w:endnote>
  <w:endnote w:type="continuationSeparator" w:id="0">
    <w:p w14:paraId="73DDC94F" w14:textId="77777777" w:rsidR="000A5D22" w:rsidRDefault="000A5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600F" w14:textId="77777777" w:rsidR="007B240B" w:rsidRDefault="007B2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BBAE"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3894B2FD" w14:textId="77777777" w:rsidR="007E45DC" w:rsidRDefault="007E4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4000"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285B00BD" w14:textId="77777777" w:rsidR="007E45DC" w:rsidRDefault="007E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AB80F" w14:textId="77777777" w:rsidR="000A5D22" w:rsidRDefault="000A5D22">
      <w:r>
        <w:separator/>
      </w:r>
    </w:p>
  </w:footnote>
  <w:footnote w:type="continuationSeparator" w:id="0">
    <w:p w14:paraId="7D1EB3AF" w14:textId="77777777" w:rsidR="000A5D22" w:rsidRDefault="000A5D22">
      <w:r>
        <w:continuationSeparator/>
      </w:r>
    </w:p>
  </w:footnote>
  <w:footnote w:id="1">
    <w:p w14:paraId="5B7CC0DF" w14:textId="77777777" w:rsidR="00943B37" w:rsidRPr="004C59BB" w:rsidRDefault="00943B37">
      <w:pPr>
        <w:pStyle w:val="FootnoteText"/>
        <w:rPr>
          <w:color w:val="0000FF"/>
          <w:lang w:val="ru-RU"/>
        </w:rPr>
      </w:pPr>
      <w:r w:rsidRPr="004C59BB">
        <w:rPr>
          <w:rStyle w:val="FootnoteReference"/>
          <w:color w:val="0000FF"/>
        </w:rPr>
        <w:footnoteRef/>
      </w:r>
      <w:r w:rsidRPr="004C59BB">
        <w:rPr>
          <w:color w:val="0000FF"/>
          <w:lang w:val="ru-RU"/>
        </w:rPr>
        <w:t xml:space="preserve"> 例如：</w:t>
      </w:r>
      <w:r w:rsidRPr="004C59BB">
        <w:rPr>
          <w:i/>
          <w:iCs/>
          <w:color w:val="0000FF"/>
          <w:lang w:val="ru-RU"/>
        </w:rPr>
        <w:t>愿荣耀、尊贵、能力、权柄，都归于独一全智的上帝——我们的救主，借着我们的主耶稣基督，从万世以前、现在直到永远</w:t>
      </w:r>
      <w:r w:rsidRPr="004C59BB">
        <w:rPr>
          <w:color w:val="0000FF"/>
          <w:lang w:val="ru-RU"/>
        </w:rPr>
        <w:t>（</w:t>
      </w:r>
      <w:r w:rsidRPr="004C59BB">
        <w:rPr>
          <w:rStyle w:val="bgdatatitle"/>
          <w:color w:val="0000FF"/>
          <w:lang w:val="ru-RU"/>
        </w:rPr>
        <w:t>犹大书 1:25</w:t>
      </w:r>
      <w:r w:rsidRPr="004C59BB">
        <w:rPr>
          <w:color w:val="0000FF"/>
          <w:lang w:val="ru-RU"/>
        </w:rPr>
        <w:t xml:space="preserve">）。 </w:t>
      </w:r>
      <w:r w:rsidRPr="004C59BB">
        <w:rPr>
          <w:i/>
          <w:iCs/>
          <w:color w:val="0000FF"/>
          <w:lang w:val="ru-RU"/>
        </w:rPr>
        <w:t>保罗，奉神——我们的救主，以及主耶稣基督——我们所盼望</w:t>
      </w:r>
      <w:r w:rsidRPr="004C59BB">
        <w:rPr>
          <w:color w:val="0000FF"/>
          <w:lang w:val="ru-RU"/>
        </w:rPr>
        <w:t>的——的</w:t>
      </w:r>
      <w:r w:rsidRPr="004C59BB">
        <w:rPr>
          <w:i/>
          <w:iCs/>
          <w:color w:val="0000FF"/>
          <w:lang w:val="ru-RU"/>
        </w:rPr>
        <w:t>命令，作耶稣基督的使徒</w:t>
      </w:r>
      <w:r w:rsidRPr="004C59BB">
        <w:rPr>
          <w:color w:val="0000FF"/>
          <w:lang w:val="ru-RU"/>
        </w:rPr>
        <w:t>（</w:t>
      </w:r>
      <w:r w:rsidRPr="004C59BB">
        <w:rPr>
          <w:rStyle w:val="bgdatatitle"/>
          <w:color w:val="0000FF"/>
          <w:lang w:val="ru-RU"/>
        </w:rPr>
        <w:t>提摩太前书 1:1</w:t>
      </w:r>
      <w:r w:rsidRPr="004C59BB">
        <w:rPr>
          <w:color w:val="0000FF"/>
          <w:lang w:val="ru-RU"/>
        </w:rPr>
        <w:t>）</w:t>
      </w:r>
      <w:r w:rsidRPr="004C59BB">
        <w:rPr>
          <w:i/>
          <w:iCs/>
          <w:color w:val="0000FF"/>
          <w:lang w:val="ru-RU"/>
        </w:rPr>
        <w:t>。因为这是好的，也是蒙我们救主神喜悦的；他愿意万人得救，并且明白真道。 因为只有一位神，在神和人之间也只有一位中保，就是人基督耶稣</w:t>
      </w:r>
      <w:r w:rsidRPr="004C59BB">
        <w:rPr>
          <w:color w:val="0000FF"/>
          <w:lang w:val="ru-RU"/>
        </w:rPr>
        <w:t>（提摩太前书 2:3-5</w:t>
      </w:r>
      <w:r w:rsidRPr="004C59BB">
        <w:rPr>
          <w:i/>
          <w:iCs/>
          <w:color w:val="0000FF"/>
          <w:lang w:val="ru-RU"/>
        </w:rPr>
        <w:t>）</w:t>
      </w:r>
      <w:r w:rsidRPr="004C59BB">
        <w:rPr>
          <w:color w:val="0000FF"/>
          <w:lang w:val="ru-RU"/>
        </w:rPr>
        <w:t xml:space="preserve">。 </w:t>
      </w:r>
      <w:r w:rsidR="009B573E" w:rsidRPr="004C59BB">
        <w:rPr>
          <w:i/>
          <w:iCs/>
          <w:color w:val="0000FF"/>
          <w:lang w:val="ru-RU"/>
        </w:rPr>
        <w:t>当我们救主上帝的恩典和仁爱显明的时候，祂拯救我们，并不是因我们自己所行的义，乃是照祂的怜悯，藉着圣灵重生的洗和更新，这圣灵是祂藉着我们的救主耶稣基督丰丰富富地浇灌在我们身上的</w:t>
      </w:r>
      <w:r w:rsidRPr="004C59BB">
        <w:rPr>
          <w:color w:val="0000FF"/>
          <w:lang w:val="ru-RU"/>
        </w:rPr>
        <w:t>（</w:t>
      </w:r>
      <w:r w:rsidRPr="004C59BB">
        <w:rPr>
          <w:rStyle w:val="bgdatatitle"/>
          <w:color w:val="0000FF"/>
          <w:lang w:val="ru-RU"/>
        </w:rPr>
        <w:t>提多书 3</w:t>
      </w:r>
      <w:r w:rsidR="009B573E" w:rsidRPr="004C59BB">
        <w:rPr>
          <w:rStyle w:val="bgdatatitle"/>
          <w:color w:val="0000FF"/>
          <w:lang w:val="ru-RU"/>
        </w:rPr>
        <w:t>:</w:t>
      </w:r>
      <w:r w:rsidRPr="004C59BB">
        <w:rPr>
          <w:rStyle w:val="bgdatatitle"/>
          <w:color w:val="0000FF"/>
          <w:lang w:val="ru-RU"/>
        </w:rPr>
        <w:t>4-6</w:t>
      </w:r>
      <w:r w:rsidRPr="004C59BB">
        <w:rPr>
          <w:color w:val="0000FF"/>
          <w:lang w:val="ru-RU"/>
        </w:rPr>
        <w:t>）。 在教会经文中亦有记载：“求祢垂听我们，上帝，我们的救主，大地四方众人的盼望</w:t>
      </w:r>
      <w:r w:rsidR="009B573E" w:rsidRPr="004C59BB">
        <w:rPr>
          <w:color w:val="0000FF"/>
          <w:lang w:val="ru-RU"/>
        </w:rPr>
        <w:t>……</w:t>
      </w:r>
      <w:r w:rsidRPr="004C59BB">
        <w:rPr>
          <w:color w:val="0000FF"/>
          <w:lang w:val="ru-RU"/>
        </w:rPr>
        <w:t>因为祢是仁慈且爱人的上帝，我们将荣耀归于圣父、圣子和圣灵</w:t>
      </w:r>
      <w:r w:rsidR="005666A3" w:rsidRPr="004C59BB">
        <w:rPr>
          <w:color w:val="0000FF"/>
          <w:lang w:val="ru-RU"/>
        </w:rPr>
        <w:t>……”</w:t>
      </w:r>
      <w:r w:rsidRPr="004C59BB">
        <w:rPr>
          <w:color w:val="0000FF"/>
          <w:lang w:val="ru-RU"/>
        </w:rPr>
        <w:t>（礼拜仪式中的呼求）。 又如：“因为你是世界的君王，是我们灵魂的救主，我们将荣耀归于圣父、圣子和</w:t>
      </w:r>
      <w:r w:rsidR="005666A3" w:rsidRPr="004C59BB">
        <w:rPr>
          <w:color w:val="0000FF"/>
          <w:lang w:val="ru-RU"/>
        </w:rPr>
        <w:t>圣灵……”</w:t>
      </w:r>
      <w:r w:rsidRPr="004C59BB">
        <w:rPr>
          <w:color w:val="0000FF"/>
          <w:lang w:val="ru-RU"/>
        </w:rPr>
        <w:t>（第六首赞美诗的呼求）。</w:t>
      </w:r>
    </w:p>
  </w:footnote>
  <w:footnote w:id="2">
    <w:p w14:paraId="5C0013AF" w14:textId="77777777" w:rsidR="009B573E" w:rsidRPr="004C59BB" w:rsidRDefault="009B573E">
      <w:pPr>
        <w:pStyle w:val="FootnoteText"/>
        <w:rPr>
          <w:color w:val="0000FF"/>
          <w:lang w:val="ru-RU"/>
        </w:rPr>
      </w:pPr>
      <w:r w:rsidRPr="004C59BB">
        <w:rPr>
          <w:rStyle w:val="FootnoteReference"/>
          <w:color w:val="0000FF"/>
        </w:rPr>
        <w:footnoteRef/>
      </w:r>
      <w:r w:rsidRPr="004C59BB">
        <w:rPr>
          <w:color w:val="0000FF"/>
          <w:lang w:val="ru-RU"/>
        </w:rPr>
        <w:t xml:space="preserve"> 例如：</w:t>
      </w:r>
      <w:r w:rsidRPr="004C59BB">
        <w:rPr>
          <w:i/>
          <w:iCs/>
          <w:color w:val="0000FF"/>
          <w:lang w:val="ru-RU"/>
        </w:rPr>
        <w:t>父差遣圣子作世人的救主</w:t>
      </w:r>
      <w:r w:rsidRPr="004C59BB">
        <w:rPr>
          <w:color w:val="0000FF"/>
          <w:lang w:val="ru-RU"/>
        </w:rPr>
        <w:t>（约壹4:14）。</w:t>
      </w:r>
      <w:r w:rsidR="00AC412A" w:rsidRPr="004C59BB">
        <w:rPr>
          <w:i/>
          <w:iCs/>
          <w:color w:val="0000FF"/>
          <w:lang w:val="ru-RU"/>
        </w:rPr>
        <w:t>恩典、怜悯与平安，来自天父和我们的救主主耶稣基督</w:t>
      </w:r>
      <w:r w:rsidRPr="004C59BB">
        <w:rPr>
          <w:color w:val="0000FF"/>
          <w:lang w:val="ru-RU"/>
        </w:rPr>
        <w:t>（提多书1</w:t>
      </w:r>
      <w:r w:rsidR="00AC412A" w:rsidRPr="004C59BB">
        <w:rPr>
          <w:color w:val="0000FF"/>
          <w:lang w:val="ru-RU"/>
        </w:rPr>
        <w:t>:</w:t>
      </w:r>
      <w:r w:rsidRPr="004C59BB">
        <w:rPr>
          <w:color w:val="0000FF"/>
          <w:lang w:val="ru-RU"/>
        </w:rPr>
        <w:t>4；参见2</w:t>
      </w:r>
      <w:r w:rsidR="00AC412A" w:rsidRPr="004C59BB">
        <w:rPr>
          <w:color w:val="0000FF"/>
          <w:lang w:val="ru-RU"/>
        </w:rPr>
        <w:t>:</w:t>
      </w:r>
      <w:r w:rsidRPr="004C59BB">
        <w:rPr>
          <w:color w:val="0000FF"/>
          <w:lang w:val="ru-RU"/>
        </w:rPr>
        <w:t>13；3</w:t>
      </w:r>
      <w:r w:rsidR="00AC412A" w:rsidRPr="004C59BB">
        <w:rPr>
          <w:color w:val="0000FF"/>
          <w:lang w:val="ru-RU"/>
        </w:rPr>
        <w:t>:</w:t>
      </w:r>
      <w:r w:rsidRPr="004C59BB">
        <w:rPr>
          <w:color w:val="0000FF"/>
          <w:lang w:val="ru-RU"/>
        </w:rPr>
        <w:t>6）。 此外还有：“我们主耶稣基督的父，伟大的神和救主，我们的盼望</w:t>
      </w:r>
      <w:r w:rsidR="005666A3" w:rsidRPr="004C59BB">
        <w:rPr>
          <w:color w:val="0000FF"/>
          <w:lang w:val="ru-RU"/>
        </w:rPr>
        <w:t>……”</w:t>
      </w:r>
      <w:r w:rsidRPr="004C59BB">
        <w:rPr>
          <w:color w:val="0000FF"/>
          <w:lang w:val="ru-RU"/>
        </w:rPr>
        <w:t>（1717年莫斯科版礼仪书第128页背面）。</w:t>
      </w:r>
      <w:r w:rsidR="005666A3" w:rsidRPr="004C59BB">
        <w:rPr>
          <w:color w:val="0000FF"/>
          <w:lang w:val="ru-RU"/>
        </w:rPr>
        <w:t>“</w:t>
      </w:r>
      <w:r w:rsidRPr="004C59BB">
        <w:rPr>
          <w:color w:val="0000FF"/>
          <w:lang w:val="ru-RU"/>
        </w:rPr>
        <w:t>主上帝，万物的创造者与主宰……，祢并未轻视人类……，而是藉着祢独生子——我们的主、上帝和救主耶稣基督——救赎性的道成肉身，再次寻回并拯救了人类，将他们领回祢的怀抱</w:t>
      </w:r>
      <w:r w:rsidR="005666A3" w:rsidRPr="004C59BB">
        <w:rPr>
          <w:color w:val="0000FF"/>
          <w:lang w:val="ru-RU"/>
        </w:rPr>
        <w:t>……”</w:t>
      </w:r>
      <w:r w:rsidRPr="004C59BB">
        <w:rPr>
          <w:color w:val="0000FF"/>
          <w:lang w:val="ru-RU"/>
        </w:rPr>
        <w:t>（《礼仪书》第247页，莫斯科，1836年）。</w:t>
      </w:r>
    </w:p>
  </w:footnote>
  <w:footnote w:id="3">
    <w:p w14:paraId="0A00174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参见上文第90节：关于我们始祖堕落的后果。</w:t>
      </w:r>
    </w:p>
  </w:footnote>
  <w:footnote w:id="4">
    <w:p w14:paraId="4089346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“人甚至无法为自己的罪向神献上赎罪祭。又怎能为他人献上呢？况且，他在今世又能获得什么如此珍贵之物，足以作为灵魂的充分替代品呢？灵魂本就因按造物主的形象被造而珍贵…… 兄弟不能为兄弟赎罪，每个人也不能为自己赎罪，因为用自己来赎他人的人，其品格必须远胜于那个被囚禁并已沦为奴隶的人。 而且，人本就不具备在神面前为罪人求情的能力：因为他自己也身负</w:t>
      </w:r>
      <w:r w:rsidR="005666A3" w:rsidRPr="004C59BB">
        <w:rPr>
          <w:color w:val="0000FF"/>
          <w:lang w:val="ru-RU"/>
        </w:rPr>
        <w:t>罪孽”</w:t>
      </w:r>
      <w:r w:rsidRPr="004C59BB">
        <w:rPr>
          <w:color w:val="0000FF"/>
          <w:lang w:val="ru-RU"/>
        </w:rPr>
        <w:t>（圣巴西尔大帝，《</w:t>
      </w:r>
      <w:r w:rsidRPr="004C59BB">
        <w:rPr>
          <w:rStyle w:val="bgdatatitle"/>
          <w:color w:val="0000FF"/>
          <w:lang w:val="ru-RU"/>
        </w:rPr>
        <w:t>诗篇48篇</w:t>
      </w:r>
      <w:r w:rsidRPr="004C59BB">
        <w:rPr>
          <w:color w:val="0000FF"/>
          <w:lang w:val="ru-RU"/>
        </w:rPr>
        <w:t>讲道集》，载于《圣教父文集》</w:t>
      </w:r>
      <w:r w:rsidRPr="004C59BB">
        <w:rPr>
          <w:color w:val="0000FF"/>
        </w:rPr>
        <w:t>第五</w:t>
      </w:r>
      <w:r w:rsidRPr="004C59BB">
        <w:rPr>
          <w:color w:val="0000FF"/>
          <w:lang w:val="ru-RU"/>
        </w:rPr>
        <w:t>卷，358、359及后续页）。</w:t>
      </w:r>
    </w:p>
  </w:footnote>
  <w:footnote w:id="5">
    <w:p w14:paraId="6AABAC01"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《东正教普世与使徒教会信条》第1卷，对第20个问题的回答；大圣巴西尔《论圣灵》第16章，载于《圣教父文集》</w:t>
      </w:r>
      <w:r w:rsidRPr="004C59BB">
        <w:rPr>
          <w:color w:val="0000FF"/>
        </w:rPr>
        <w:t>第VII</w:t>
      </w:r>
      <w:r w:rsidRPr="004C59BB">
        <w:rPr>
          <w:color w:val="0000FF"/>
          <w:lang w:val="ru-RU"/>
        </w:rPr>
        <w:t>卷，第289–290页； 格里高利《五旬节神学词典》，同上，</w:t>
      </w:r>
      <w:r w:rsidRPr="004C59BB">
        <w:rPr>
          <w:rStyle w:val="foreign"/>
          <w:color w:val="0000FF"/>
        </w:rPr>
        <w:t>VI</w:t>
      </w:r>
      <w:r w:rsidRPr="004C59BB">
        <w:rPr>
          <w:color w:val="0000FF"/>
          <w:lang w:val="ru-RU"/>
        </w:rPr>
        <w:t>，16；基里尔·耶路撒冷《公开讲道集》</w:t>
      </w:r>
      <w:r w:rsidRPr="004C59BB">
        <w:rPr>
          <w:color w:val="0000FF"/>
        </w:rPr>
        <w:t>第十七</w:t>
      </w:r>
      <w:r w:rsidRPr="004C59BB">
        <w:rPr>
          <w:color w:val="0000FF"/>
          <w:lang w:val="ru-RU"/>
        </w:rPr>
        <w:t>卷，第2节，第373页；约翰·达马斯库斯《信仰真义》</w:t>
      </w:r>
      <w:r w:rsidRPr="004C59BB">
        <w:rPr>
          <w:color w:val="0000FF"/>
        </w:rPr>
        <w:t>第二</w:t>
      </w:r>
      <w:r w:rsidRPr="004C59BB">
        <w:rPr>
          <w:color w:val="0000FF"/>
          <w:lang w:val="ru-RU"/>
        </w:rPr>
        <w:t>卷，第3章，第56页。</w:t>
      </w:r>
    </w:p>
  </w:footnote>
  <w:footnote w:id="6">
    <w:p w14:paraId="56F28DBC"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君士坦丁堡的圣普罗克尔说：‘必须是二者之一——要么根据判决，所有人都要面临死亡，因为所有人都犯了罪；要么献上相应的赎价，以此撤销一切定罪。但人无法拯救自己：因为他本人正是该为罪孽承担责任的那一个。 天使也无法拯救人类：因为他无力支付如此高的赎价（</w:t>
      </w:r>
      <w:r w:rsidRPr="004C59BB">
        <w:rPr>
          <w:rStyle w:val="foreign"/>
          <w:color w:val="0000FF"/>
        </w:rPr>
        <w:t>ήπόρει</w:t>
      </w:r>
      <w:r w:rsidRPr="0097554A">
        <w:rPr>
          <w:rStyle w:val="foreign"/>
          <w:color w:val="0000FF"/>
          <w:lang w:val="ru-RU"/>
        </w:rPr>
        <w:t xml:space="preserve"> </w:t>
      </w:r>
      <w:r w:rsidRPr="004C59BB">
        <w:rPr>
          <w:rStyle w:val="foreign"/>
          <w:color w:val="0000FF"/>
        </w:rPr>
        <w:t>γάρ</w:t>
      </w:r>
      <w:r w:rsidRPr="0097554A">
        <w:rPr>
          <w:rStyle w:val="foreign"/>
          <w:color w:val="0000FF"/>
          <w:lang w:val="ru-RU"/>
        </w:rPr>
        <w:t xml:space="preserve"> </w:t>
      </w:r>
      <w:r w:rsidRPr="004C59BB">
        <w:rPr>
          <w:rStyle w:val="foreign"/>
          <w:color w:val="0000FF"/>
        </w:rPr>
        <w:t>τοιούτου</w:t>
      </w:r>
      <w:r w:rsidRPr="0097554A">
        <w:rPr>
          <w:rStyle w:val="foreign"/>
          <w:color w:val="0000FF"/>
          <w:lang w:val="ru-RU"/>
        </w:rPr>
        <w:t xml:space="preserve"> </w:t>
      </w:r>
      <w:r w:rsidRPr="004C59BB">
        <w:rPr>
          <w:rStyle w:val="foreign"/>
          <w:color w:val="0000FF"/>
        </w:rPr>
        <w:t>λύτρου</w:t>
      </w:r>
      <w:r w:rsidRPr="004C59BB">
        <w:rPr>
          <w:color w:val="0000FF"/>
          <w:lang w:val="ru-RU"/>
        </w:rPr>
        <w:t>）。因此，唯有无罪的上帝为有罪者而死：这才是消除邪恶的唯一良方</w:t>
      </w:r>
      <w:r w:rsidR="005666A3" w:rsidRPr="004C59BB">
        <w:rPr>
          <w:color w:val="0000FF"/>
          <w:lang w:val="ru-RU"/>
        </w:rPr>
        <w:t>”</w:t>
      </w:r>
      <w:r w:rsidRPr="004C59BB">
        <w:rPr>
          <w:color w:val="0000FF"/>
          <w:lang w:val="ru-RU"/>
        </w:rPr>
        <w:t>（</w:t>
      </w:r>
      <w:r w:rsidRPr="004C59BB">
        <w:rPr>
          <w:color w:val="0000FF"/>
        </w:rPr>
        <w:t>《赞美圣母演说</w:t>
      </w:r>
      <w:r w:rsidRPr="004C59BB">
        <w:rPr>
          <w:color w:val="0000FF"/>
          <w:lang w:val="ru-RU"/>
        </w:rPr>
        <w:t>》第1篇）。</w:t>
      </w:r>
    </w:p>
  </w:footnote>
  <w:footnote w:id="7">
    <w:p w14:paraId="32344A4D" w14:textId="77777777" w:rsidR="00196E35" w:rsidRPr="004C59BB" w:rsidRDefault="00196E35">
      <w:pPr>
        <w:pStyle w:val="FootnoteText"/>
        <w:rPr>
          <w:color w:val="0000FF"/>
          <w:lang w:val="ru-RU"/>
        </w:rPr>
      </w:pPr>
      <w:r w:rsidRPr="004C59BB">
        <w:rPr>
          <w:rStyle w:val="FootnoteReference"/>
          <w:color w:val="0000FF"/>
        </w:rPr>
        <w:footnoteRef/>
      </w:r>
      <w:r w:rsidRPr="004C59BB">
        <w:rPr>
          <w:color w:val="0000FF"/>
          <w:lang w:val="ru-RU"/>
        </w:rPr>
        <w:t xml:space="preserve"> “有什么受造之物能通过另一个受造之物与造物主重新联合呢？或者，同类之人——他们自己同样需要这种帮助——又怎能向同类提供帮助呢？ 此外，倘若道是受造之物，它又如何能解除上帝的判决并赦免罪孽呢？这本是上帝独有的权柄，正如先知所言：</w:t>
      </w:r>
      <w:r w:rsidRPr="004C59BB">
        <w:rPr>
          <w:i/>
          <w:iCs/>
          <w:color w:val="0000FF"/>
          <w:lang w:val="ru-RU"/>
        </w:rPr>
        <w:t>‘有谁像你，赦免罪孽、不追讨过犯的上帝</w:t>
      </w:r>
      <w:r w:rsidRPr="004C59BB">
        <w:rPr>
          <w:color w:val="0000FF"/>
          <w:lang w:val="ru-RU"/>
        </w:rPr>
        <w:t>呢？’（</w:t>
      </w:r>
      <w:r w:rsidRPr="004C59BB">
        <w:rPr>
          <w:rStyle w:val="bgdatatitle"/>
          <w:color w:val="0000FF"/>
          <w:lang w:val="ru-RU"/>
        </w:rPr>
        <w:t>弥迦书 7:18</w:t>
      </w:r>
      <w:r w:rsidRPr="004C59BB">
        <w:rPr>
          <w:color w:val="0000FF"/>
          <w:lang w:val="ru-RU"/>
        </w:rPr>
        <w:t xml:space="preserve">） </w:t>
      </w:r>
      <w:r w:rsidR="005666A3" w:rsidRPr="004C59BB">
        <w:rPr>
          <w:color w:val="0000FF"/>
          <w:lang w:val="ru-RU"/>
        </w:rPr>
        <w:t>“</w:t>
      </w:r>
      <w:r w:rsidRPr="004C59BB">
        <w:rPr>
          <w:color w:val="0000FF"/>
          <w:lang w:val="ru-RU"/>
        </w:rPr>
        <w:t>受造之物又怎能使我们脱离罪恶呢？</w:t>
      </w:r>
      <w:r w:rsidR="005666A3" w:rsidRPr="004C59BB">
        <w:rPr>
          <w:color w:val="0000FF"/>
          <w:lang w:val="ru-RU"/>
        </w:rPr>
        <w:t>”</w:t>
      </w:r>
      <w:r w:rsidRPr="004C59BB">
        <w:rPr>
          <w:color w:val="0000FF"/>
          <w:lang w:val="ru-RU"/>
        </w:rPr>
        <w:t>（圣亚法纳西大主教，《</w:t>
      </w:r>
      <w:r w:rsidRPr="004C59BB">
        <w:rPr>
          <w:color w:val="0000FF"/>
        </w:rPr>
        <w:t>反阿里乌</w:t>
      </w:r>
      <w:r w:rsidRPr="004C59BB">
        <w:rPr>
          <w:color w:val="0000FF"/>
          <w:lang w:val="ru-RU"/>
        </w:rPr>
        <w:t>派</w:t>
      </w:r>
      <w:r w:rsidRPr="004C59BB">
        <w:rPr>
          <w:color w:val="0000FF"/>
        </w:rPr>
        <w:t>讲道</w:t>
      </w:r>
      <w:r w:rsidRPr="004C59BB">
        <w:rPr>
          <w:color w:val="0000FF"/>
          <w:lang w:val="ru-RU"/>
        </w:rPr>
        <w:t>集》</w:t>
      </w:r>
      <w:r w:rsidRPr="004C59BB">
        <w:rPr>
          <w:color w:val="0000FF"/>
        </w:rPr>
        <w:t>第</w:t>
      </w:r>
      <w:r w:rsidRPr="0097554A">
        <w:rPr>
          <w:color w:val="0000FF"/>
          <w:lang w:val="ru-RU"/>
        </w:rPr>
        <w:t>1</w:t>
      </w:r>
      <w:r w:rsidRPr="004C59BB">
        <w:rPr>
          <w:color w:val="0000FF"/>
          <w:lang w:val="ru-RU"/>
        </w:rPr>
        <w:t>1篇，第67节）。另见下文注释34及该引文所指的原文。</w:t>
      </w:r>
    </w:p>
  </w:footnote>
  <w:footnote w:id="8">
    <w:p w14:paraId="1B13401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当受造物自身尚需得救之时，任何受造物都无法为受造物的得救作出</w:t>
      </w:r>
      <w:r w:rsidR="005666A3" w:rsidRPr="004C59BB">
        <w:rPr>
          <w:color w:val="0000FF"/>
          <w:lang w:val="ru-RU"/>
        </w:rPr>
        <w:t>贡献”</w:t>
      </w:r>
      <w:r w:rsidRPr="004C59BB">
        <w:rPr>
          <w:color w:val="0000FF"/>
          <w:lang w:val="ru-RU"/>
        </w:rPr>
        <w:t>（圣亚法纳西《</w:t>
      </w:r>
      <w:r w:rsidRPr="004C59BB">
        <w:rPr>
          <w:color w:val="0000FF"/>
        </w:rPr>
        <w:t>反阿里乌斯论</w:t>
      </w:r>
      <w:r w:rsidRPr="004C59BB">
        <w:rPr>
          <w:color w:val="0000FF"/>
          <w:lang w:val="ru-RU"/>
        </w:rPr>
        <w:t>》第11</w:t>
      </w:r>
      <w:r w:rsidRPr="004C59BB">
        <w:rPr>
          <w:color w:val="0000FF"/>
        </w:rPr>
        <w:t>篇</w:t>
      </w:r>
      <w:r w:rsidRPr="004C59BB">
        <w:rPr>
          <w:color w:val="0000FF"/>
          <w:lang w:val="ru-RU"/>
        </w:rPr>
        <w:t xml:space="preserve">，第69节）。 </w:t>
      </w:r>
      <w:r w:rsidR="005666A3" w:rsidRPr="004C59BB">
        <w:rPr>
          <w:color w:val="0000FF"/>
          <w:lang w:val="ru-RU"/>
        </w:rPr>
        <w:t>“</w:t>
      </w:r>
      <w:r w:rsidRPr="004C59BB">
        <w:rPr>
          <w:color w:val="0000FF"/>
          <w:lang w:val="ru-RU"/>
        </w:rPr>
        <w:t>自从人类因犯罪而遭受本性败坏并丧失了恩典之后，除了那位在起初从无到有创造万物的</w:t>
      </w:r>
      <w:r w:rsidRPr="004C59BB">
        <w:rPr>
          <w:color w:val="0000FF"/>
        </w:rPr>
        <w:t>道成肉身</w:t>
      </w:r>
      <w:r w:rsidRPr="004C59BB">
        <w:rPr>
          <w:color w:val="0000FF"/>
          <w:lang w:val="ru-RU"/>
        </w:rPr>
        <w:t>之神，还有什么其他事物应当承担，或者还有谁能恢复他们呢？</w:t>
      </w:r>
      <w:r w:rsidR="005666A3" w:rsidRPr="004C59BB">
        <w:rPr>
          <w:color w:val="0000FF"/>
          <w:lang w:val="ru-RU"/>
        </w:rPr>
        <w:t>”</w:t>
      </w:r>
      <w:r w:rsidRPr="004C59BB">
        <w:rPr>
          <w:color w:val="0000FF"/>
          <w:lang w:val="ru-RU"/>
        </w:rPr>
        <w:t>（</w:t>
      </w:r>
      <w:r w:rsidRPr="004C59BB">
        <w:rPr>
          <w:color w:val="0000FF"/>
        </w:rPr>
        <w:t>《论上帝之道的道成肉身</w:t>
      </w:r>
      <w:r w:rsidRPr="004C59BB">
        <w:rPr>
          <w:color w:val="0000FF"/>
          <w:lang w:val="ru-RU"/>
        </w:rPr>
        <w:t>》第7节）。</w:t>
      </w:r>
    </w:p>
  </w:footnote>
  <w:footnote w:id="9">
    <w:p w14:paraId="4C8F9810"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参见上文——第93节：关于原罪在我们身上产生的后果。</w:t>
      </w:r>
    </w:p>
  </w:footnote>
  <w:footnote w:id="10">
    <w:p w14:paraId="3BC97D7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《对话录》</w:t>
      </w:r>
      <w:r w:rsidRPr="004C59BB">
        <w:rPr>
          <w:color w:val="0000FF"/>
        </w:rPr>
        <w:t>第XLVI篇</w:t>
      </w:r>
      <w:r w:rsidRPr="004C59BB">
        <w:rPr>
          <w:color w:val="0000FF"/>
          <w:lang w:val="ru-RU"/>
        </w:rPr>
        <w:t>。</w:t>
      </w:r>
    </w:p>
  </w:footnote>
  <w:footnote w:id="11">
    <w:p w14:paraId="3BE0494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《正统信仰精要》</w:t>
      </w:r>
      <w:r w:rsidRPr="004C59BB">
        <w:rPr>
          <w:color w:val="0000FF"/>
        </w:rPr>
        <w:t>第三</w:t>
      </w:r>
      <w:r w:rsidRPr="004C59BB">
        <w:rPr>
          <w:color w:val="0000FF"/>
          <w:lang w:val="ru-RU"/>
        </w:rPr>
        <w:t>卷，第一章，第136–137页。</w:t>
      </w:r>
    </w:p>
  </w:footnote>
  <w:footnote w:id="12">
    <w:p w14:paraId="26670D78"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“神的儿子乐意成为并被称为人子，却未改变祂原本的本质（因为祂爱人），以便使那不可测度的成为可测度的…… 为此，不可结合者得以结合：不仅上帝与时间中的降生、灵性与肉体、超时间者与时间、不可测者与可测者得以结合，而且降生与童贞、无辱者与超乎一切尊荣者、无情者与受苦者、不朽者与</w:t>
      </w:r>
      <w:r w:rsidR="005666A3" w:rsidRPr="004C59BB">
        <w:rPr>
          <w:color w:val="0000FF"/>
          <w:lang w:val="ru-RU"/>
        </w:rPr>
        <w:t>朽坏者也得以结合</w:t>
      </w:r>
      <w:r w:rsidRPr="004C59BB">
        <w:rPr>
          <w:color w:val="0000FF"/>
          <w:lang w:val="ru-RU"/>
        </w:rPr>
        <w:t>”（在圣光显现节的讲道中 《圣父文集》</w:t>
      </w:r>
      <w:r w:rsidRPr="004C59BB">
        <w:rPr>
          <w:color w:val="0000FF"/>
        </w:rPr>
        <w:t>第三</w:t>
      </w:r>
      <w:r w:rsidRPr="004C59BB">
        <w:rPr>
          <w:color w:val="0000FF"/>
          <w:lang w:val="ru-RU"/>
        </w:rPr>
        <w:t>卷，第263页）。</w:t>
      </w:r>
    </w:p>
  </w:footnote>
  <w:footnote w:id="13">
    <w:p w14:paraId="5A7C79AD"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难道（上帝）对我们的这种关怀，会使我们的思想趋向于某种卑微之事吗？还是恰恰相反，它使我们对救主那伟大的能力及其对人类的仁爱感到惊叹，因为祂不仅乐意与我们的软弱同受苦难，而且能够降尊纡贵，降临到我们软弱的境地？ 因为，天、地、浩瀚的大海、栖息于水陆的动物、植物、星辰、空气、 四季更迭，以及宇宙万物的丰富装点，而是那不可测度的上帝能够借着肉身无私地与死亡抗争，借着祂自身的受难，将</w:t>
      </w:r>
      <w:r w:rsidR="005666A3" w:rsidRPr="004C59BB">
        <w:rPr>
          <w:color w:val="0000FF"/>
          <w:lang w:val="ru-RU"/>
        </w:rPr>
        <w:t>无私的品格</w:t>
      </w:r>
      <w:r w:rsidRPr="004C59BB">
        <w:rPr>
          <w:color w:val="0000FF"/>
          <w:lang w:val="ru-RU"/>
        </w:rPr>
        <w:t>赐予</w:t>
      </w:r>
      <w:r w:rsidR="005666A3" w:rsidRPr="004C59BB">
        <w:rPr>
          <w:color w:val="0000FF"/>
          <w:lang w:val="ru-RU"/>
        </w:rPr>
        <w:t>世人”</w:t>
      </w:r>
      <w:r w:rsidRPr="004C59BB">
        <w:rPr>
          <w:color w:val="0000FF"/>
          <w:lang w:val="ru-RU"/>
        </w:rPr>
        <w:t>（《论圣灵》第8章，载于《圣教父著作集》</w:t>
      </w:r>
      <w:r w:rsidRPr="004C59BB">
        <w:rPr>
          <w:color w:val="0000FF"/>
        </w:rPr>
        <w:t>第七</w:t>
      </w:r>
      <w:r w:rsidRPr="004C59BB">
        <w:rPr>
          <w:color w:val="0000FF"/>
          <w:lang w:val="ru-RU"/>
        </w:rPr>
        <w:t>卷，第257页）。</w:t>
      </w:r>
    </w:p>
  </w:footnote>
  <w:footnote w:id="14">
    <w:p w14:paraId="7454CDD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“那自存的本性竟能降卑至人类本性的软弱——这比无数惊人的神迹更能彰显上帝的大能，因为创造任何伟大而卓越之事，对上帝的全能而言，似乎是顺理成章的。 而降临到那被轻视和贬低的事物之上，则是全能之力的某种过剩，即使在超自然领域中，它也找不到任何障碍</w:t>
      </w:r>
      <w:r w:rsidR="005666A3" w:rsidRPr="004C59BB">
        <w:rPr>
          <w:color w:val="0000FF"/>
          <w:lang w:val="ru-RU"/>
        </w:rPr>
        <w:t>”</w:t>
      </w:r>
      <w:r w:rsidRPr="004C59BB">
        <w:rPr>
          <w:color w:val="0000FF"/>
          <w:lang w:val="ru-RU"/>
        </w:rPr>
        <w:t>（《</w:t>
      </w:r>
      <w:r w:rsidRPr="004C59BB">
        <w:rPr>
          <w:color w:val="0000FF"/>
        </w:rPr>
        <w:t>教理问答</w:t>
      </w:r>
      <w:r w:rsidRPr="004C59BB">
        <w:rPr>
          <w:color w:val="0000FF"/>
          <w:lang w:val="ru-RU"/>
        </w:rPr>
        <w:t>》第24节）。</w:t>
      </w:r>
    </w:p>
  </w:footnote>
  <w:footnote w:id="15">
    <w:p w14:paraId="7468C14F" w14:textId="77777777" w:rsidR="00CD5030" w:rsidRPr="0097554A" w:rsidRDefault="00CD503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特土良《反马吉安论》</w:t>
      </w:r>
      <w:r w:rsidRPr="0097554A">
        <w:rPr>
          <w:color w:val="0000FF"/>
          <w:lang w:val="ru-RU"/>
        </w:rPr>
        <w:t>11，</w:t>
      </w:r>
      <w:r w:rsidRPr="004C59BB">
        <w:rPr>
          <w:color w:val="0000FF"/>
        </w:rPr>
        <w:t>第</w:t>
      </w:r>
      <w:r w:rsidRPr="0097554A">
        <w:rPr>
          <w:color w:val="0000FF"/>
          <w:lang w:val="ru-RU"/>
        </w:rPr>
        <w:t>3</w:t>
      </w:r>
      <w:r w:rsidRPr="004C59BB">
        <w:rPr>
          <w:color w:val="0000FF"/>
        </w:rPr>
        <w:t>页</w:t>
      </w:r>
      <w:r w:rsidRPr="0097554A">
        <w:rPr>
          <w:color w:val="0000FF"/>
          <w:lang w:val="ru-RU"/>
        </w:rPr>
        <w:t>；</w:t>
      </w:r>
      <w:r w:rsidRPr="004C59BB">
        <w:rPr>
          <w:color w:val="0000FF"/>
        </w:rPr>
        <w:t>奥古斯丁《上帝之城》第</w:t>
      </w:r>
      <w:r w:rsidRPr="0097554A">
        <w:rPr>
          <w:color w:val="0000FF"/>
          <w:lang w:val="ru-RU"/>
        </w:rPr>
        <w:t>10</w:t>
      </w:r>
      <w:r w:rsidRPr="004C59BB">
        <w:rPr>
          <w:color w:val="0000FF"/>
        </w:rPr>
        <w:t>卷</w:t>
      </w:r>
      <w:r w:rsidRPr="0097554A">
        <w:rPr>
          <w:color w:val="0000FF"/>
          <w:lang w:val="ru-RU"/>
        </w:rPr>
        <w:t>，</w:t>
      </w:r>
      <w:r w:rsidRPr="004C59BB">
        <w:rPr>
          <w:color w:val="0000FF"/>
        </w:rPr>
        <w:t>第</w:t>
      </w:r>
      <w:r w:rsidRPr="0097554A">
        <w:rPr>
          <w:color w:val="0000FF"/>
          <w:lang w:val="ru-RU"/>
        </w:rPr>
        <w:t>29</w:t>
      </w:r>
      <w:r w:rsidRPr="004C59BB">
        <w:rPr>
          <w:color w:val="0000FF"/>
        </w:rPr>
        <w:t>章</w:t>
      </w:r>
      <w:r w:rsidRPr="0097554A">
        <w:rPr>
          <w:color w:val="0000FF"/>
          <w:lang w:val="ru-RU"/>
        </w:rPr>
        <w:t>；</w:t>
      </w:r>
      <w:r w:rsidRPr="004C59BB">
        <w:rPr>
          <w:color w:val="0000FF"/>
        </w:rPr>
        <w:t>利奥大帝《论基督本性讲道集》第</w:t>
      </w:r>
      <w:r w:rsidRPr="0097554A">
        <w:rPr>
          <w:color w:val="0000FF"/>
          <w:lang w:val="ru-RU"/>
        </w:rPr>
        <w:t>1</w:t>
      </w:r>
      <w:r w:rsidRPr="004C59BB">
        <w:rPr>
          <w:color w:val="0000FF"/>
        </w:rPr>
        <w:t>篇</w:t>
      </w:r>
      <w:r w:rsidRPr="0097554A">
        <w:rPr>
          <w:color w:val="0000FF"/>
          <w:lang w:val="ru-RU"/>
        </w:rPr>
        <w:t>，</w:t>
      </w:r>
      <w:r w:rsidRPr="004C59BB">
        <w:rPr>
          <w:color w:val="0000FF"/>
        </w:rPr>
        <w:t>及《论基督受难讲道集》第</w:t>
      </w:r>
      <w:r w:rsidRPr="0097554A">
        <w:rPr>
          <w:color w:val="0000FF"/>
          <w:lang w:val="ru-RU"/>
        </w:rPr>
        <w:t>3</w:t>
      </w:r>
      <w:r w:rsidRPr="004C59BB">
        <w:rPr>
          <w:color w:val="0000FF"/>
        </w:rPr>
        <w:t>篇。</w:t>
      </w:r>
    </w:p>
  </w:footnote>
  <w:footnote w:id="16">
    <w:p w14:paraId="71CCF399" w14:textId="77777777" w:rsidR="0035025D" w:rsidRPr="004C59BB" w:rsidRDefault="0035025D">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《反阿里乌派演说》第II卷</w:t>
      </w:r>
      <w:r w:rsidRPr="0097554A">
        <w:rPr>
          <w:color w:val="0000FF"/>
          <w:lang w:val="ru-RU"/>
        </w:rPr>
        <w:t>，</w:t>
      </w:r>
      <w:r w:rsidRPr="004C59BB">
        <w:rPr>
          <w:color w:val="0000FF"/>
        </w:rPr>
        <w:t>第</w:t>
      </w:r>
      <w:r w:rsidRPr="0097554A">
        <w:rPr>
          <w:color w:val="0000FF"/>
          <w:lang w:val="ru-RU"/>
        </w:rPr>
        <w:t>68</w:t>
      </w:r>
      <w:r w:rsidRPr="004C59BB">
        <w:rPr>
          <w:color w:val="0000FF"/>
        </w:rPr>
        <w:t>节</w:t>
      </w:r>
      <w:r w:rsidRPr="004C59BB">
        <w:rPr>
          <w:color w:val="0000FF"/>
          <w:lang w:val="ru-RU"/>
        </w:rPr>
        <w:t>。随后，这位圣父进一步阐述了这样的观点：倘若上帝凭其大能，仅凭一句话便解除誓言并赦免世人的罪过，这固然会彰显祂的大能，也不会对世人造成任何伤害。 人们会因此学会犯罪，很快又会再次堕落：届时又必须宽恕他们，这样的宽恕将永无止境——而人类则会变得越来越坏。他们若不断犯罪，便永远需要宽恕，永远无法从罪恶及其毁灭性的后果中解脱出来。</w:t>
      </w:r>
    </w:p>
  </w:footnote>
  <w:footnote w:id="17">
    <w:p w14:paraId="5EAA372E" w14:textId="77777777" w:rsidR="0035025D" w:rsidRPr="0097554A" w:rsidRDefault="0035025D">
      <w:pPr>
        <w:pStyle w:val="FootnoteText"/>
        <w:rPr>
          <w:color w:val="0000FF"/>
          <w:lang w:val="ru-RU"/>
        </w:rPr>
      </w:pPr>
      <w:r w:rsidRPr="004C59BB">
        <w:rPr>
          <w:rStyle w:val="FootnoteReference"/>
          <w:color w:val="0000FF"/>
        </w:rPr>
        <w:footnoteRef/>
      </w:r>
      <w:r w:rsidRPr="004C59BB">
        <w:rPr>
          <w:color w:val="0000FF"/>
          <w:lang w:val="ru-RU"/>
        </w:rPr>
        <w:t xml:space="preserve"> 《箴言》19，见《圣父著作集》</w:t>
      </w:r>
      <w:r w:rsidRPr="004C59BB">
        <w:rPr>
          <w:color w:val="0000FF"/>
        </w:rPr>
        <w:t>第二</w:t>
      </w:r>
      <w:r w:rsidRPr="004C59BB">
        <w:rPr>
          <w:color w:val="0000FF"/>
          <w:lang w:val="ru-RU"/>
        </w:rPr>
        <w:t>卷，第158页。圣格里高利·尼撒也断言，上帝本可以仅凭祂的旨意和话语就拯救我们（</w:t>
      </w:r>
      <w:r w:rsidRPr="004C59BB">
        <w:rPr>
          <w:color w:val="0000FF"/>
        </w:rPr>
        <w:t>《Orat</w:t>
      </w:r>
      <w:r w:rsidRPr="004C59BB">
        <w:rPr>
          <w:color w:val="0000FF"/>
          <w:lang w:val="ru-RU"/>
        </w:rPr>
        <w:t xml:space="preserve">. </w:t>
      </w:r>
      <w:r w:rsidRPr="004C59BB">
        <w:rPr>
          <w:color w:val="0000FF"/>
        </w:rPr>
        <w:t>Satech</w:t>
      </w:r>
      <w:r w:rsidRPr="0097554A">
        <w:rPr>
          <w:color w:val="0000FF"/>
          <w:lang w:val="ru-RU"/>
        </w:rPr>
        <w:t>.</w:t>
      </w:r>
      <w:r w:rsidRPr="004C59BB">
        <w:rPr>
          <w:color w:val="0000FF"/>
          <w:lang w:val="ru-RU"/>
        </w:rPr>
        <w:t>》</w:t>
      </w:r>
      <w:r w:rsidRPr="004C59BB">
        <w:rPr>
          <w:color w:val="0000FF"/>
        </w:rPr>
        <w:t>第十五章</w:t>
      </w:r>
      <w:r w:rsidRPr="0097554A">
        <w:rPr>
          <w:color w:val="0000FF"/>
          <w:lang w:val="ru-RU"/>
        </w:rPr>
        <w:t>）</w:t>
      </w:r>
      <w:r w:rsidRPr="004C59BB">
        <w:rPr>
          <w:color w:val="0000FF"/>
        </w:rPr>
        <w:t>。</w:t>
      </w:r>
    </w:p>
  </w:footnote>
  <w:footnote w:id="18">
    <w:p w14:paraId="4313D0A1" w14:textId="77777777" w:rsidR="0035025D" w:rsidRPr="004C59BB" w:rsidRDefault="0035025D">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《论三位一体》第十三章</w:t>
      </w:r>
      <w:r w:rsidRPr="0097554A">
        <w:rPr>
          <w:color w:val="0000FF"/>
          <w:lang w:val="ru-RU"/>
        </w:rPr>
        <w:t>，</w:t>
      </w:r>
      <w:r w:rsidRPr="004C59BB">
        <w:rPr>
          <w:color w:val="0000FF"/>
        </w:rPr>
        <w:t>第</w:t>
      </w:r>
      <w:r w:rsidRPr="0097554A">
        <w:rPr>
          <w:color w:val="0000FF"/>
          <w:lang w:val="ru-RU"/>
        </w:rPr>
        <w:t>13</w:t>
      </w:r>
      <w:r w:rsidRPr="004C59BB">
        <w:rPr>
          <w:color w:val="0000FF"/>
        </w:rPr>
        <w:t>页。他在另一处还说：“那些说‘若非道成肉身、由女人所生、并为罪人受尽一切苦难，上帝的智慧便无法拯救人类’的人，实属愚昧…… 对此我们说：祂当然可以；但如果祂采取其他方式，同样也会令你们的愚昧感到不满（《论基督徒的争战》第11章）。</w:t>
      </w:r>
    </w:p>
  </w:footnote>
  <w:footnote w:id="19">
    <w:p w14:paraId="6A37800F"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《反希腊人讲道集》第四篇，载于《著作集》第四卷，第578页。</w:t>
      </w:r>
    </w:p>
  </w:footnote>
  <w:footnote w:id="20">
    <w:p w14:paraId="6E38BBE7" w14:textId="77777777" w:rsidR="0035025D" w:rsidRPr="0097554A" w:rsidRDefault="0035025D">
      <w:pPr>
        <w:pStyle w:val="FootnoteText"/>
        <w:rPr>
          <w:color w:val="0000FF"/>
        </w:rPr>
      </w:pPr>
      <w:r w:rsidRPr="004C59BB">
        <w:rPr>
          <w:rStyle w:val="FootnoteReference"/>
          <w:color w:val="0000FF"/>
        </w:rPr>
        <w:footnoteRef/>
      </w:r>
      <w:r w:rsidRPr="004C59BB">
        <w:rPr>
          <w:color w:val="0000FF"/>
        </w:rPr>
        <w:t xml:space="preserve"> 《论基督降生》第二篇讲道，参见第六十三篇讲道，第一章。另一位教宗——大格里高利——也表达了类似的观点：“那位从无中创造了我们的人，本可无需经历死亡便将我们从苦难中解救出来。” 但为了彰显怜悯之力的伟大，他甘愿为我们成为他所愿我们成为的那样（《道德论》第20</w:t>
      </w:r>
      <w:r w:rsidRPr="004C59BB">
        <w:rPr>
          <w:color w:val="0000FF"/>
          <w:lang w:val="ru-RU"/>
        </w:rPr>
        <w:t>卷</w:t>
      </w:r>
      <w:r w:rsidRPr="0097554A">
        <w:rPr>
          <w:color w:val="0000FF"/>
        </w:rPr>
        <w:t>，</w:t>
      </w:r>
      <w:r w:rsidRPr="004C59BB">
        <w:rPr>
          <w:color w:val="0000FF"/>
          <w:lang w:val="ru-RU"/>
        </w:rPr>
        <w:t>第</w:t>
      </w:r>
      <w:r w:rsidRPr="0097554A">
        <w:rPr>
          <w:color w:val="0000FF"/>
        </w:rPr>
        <w:t>26</w:t>
      </w:r>
      <w:r w:rsidRPr="004C59BB">
        <w:rPr>
          <w:color w:val="0000FF"/>
          <w:lang w:val="ru-RU"/>
        </w:rPr>
        <w:t>章</w:t>
      </w:r>
      <w:r w:rsidRPr="0097554A">
        <w:rPr>
          <w:color w:val="0000FF"/>
        </w:rPr>
        <w:t>）</w:t>
      </w:r>
    </w:p>
  </w:footnote>
  <w:footnote w:id="21">
    <w:p w14:paraId="118D81CF" w14:textId="77777777" w:rsidR="0035025D" w:rsidRPr="0097554A" w:rsidRDefault="0035025D">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《正统信仰精确阐述》</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18</w:t>
      </w:r>
      <w:r w:rsidRPr="004C59BB">
        <w:rPr>
          <w:color w:val="0000FF"/>
          <w:lang w:val="ru-RU"/>
        </w:rPr>
        <w:t>章</w:t>
      </w:r>
      <w:r w:rsidRPr="0097554A">
        <w:rPr>
          <w:color w:val="0000FF"/>
        </w:rPr>
        <w:t>，</w:t>
      </w:r>
      <w:r w:rsidRPr="004C59BB">
        <w:rPr>
          <w:color w:val="0000FF"/>
          <w:lang w:val="ru-RU"/>
        </w:rPr>
        <w:t>第</w:t>
      </w:r>
      <w:r w:rsidRPr="0097554A">
        <w:rPr>
          <w:color w:val="0000FF"/>
        </w:rPr>
        <w:t>199–200</w:t>
      </w:r>
      <w:r w:rsidRPr="004C59BB">
        <w:rPr>
          <w:color w:val="0000FF"/>
          <w:lang w:val="ru-RU"/>
        </w:rPr>
        <w:t>页。</w:t>
      </w:r>
    </w:p>
  </w:footnote>
  <w:footnote w:id="22">
    <w:p w14:paraId="7CB9A375" w14:textId="77777777" w:rsidR="00090AA9" w:rsidRPr="004C59BB" w:rsidRDefault="00090AA9">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要证明这一点</w:t>
      </w:r>
      <w:r w:rsidRPr="0097554A">
        <w:rPr>
          <w:color w:val="0000FF"/>
        </w:rPr>
        <w:t>，</w:t>
      </w:r>
      <w:r w:rsidRPr="004C59BB">
        <w:rPr>
          <w:color w:val="0000FF"/>
          <w:lang w:val="ru-RU"/>
        </w:rPr>
        <w:t>只需注意到一点就足够了</w:t>
      </w:r>
      <w:r w:rsidRPr="0097554A">
        <w:rPr>
          <w:color w:val="0000FF"/>
        </w:rPr>
        <w:t>：</w:t>
      </w:r>
      <w:r w:rsidRPr="004C59BB">
        <w:rPr>
          <w:color w:val="0000FF"/>
          <w:lang w:val="ru-RU"/>
        </w:rPr>
        <w:t>那些主张上帝之子必须道成肉身并为拯救人类而死的人</w:t>
      </w:r>
      <w:r w:rsidRPr="0097554A">
        <w:rPr>
          <w:color w:val="0000FF"/>
        </w:rPr>
        <w:t>，</w:t>
      </w:r>
      <w:r w:rsidRPr="004C59BB">
        <w:rPr>
          <w:color w:val="0000FF"/>
          <w:lang w:val="ru-RU"/>
        </w:rPr>
        <w:t>正是那些</w:t>
      </w:r>
      <w:r w:rsidRPr="0097554A">
        <w:rPr>
          <w:color w:val="0000FF"/>
        </w:rPr>
        <w:t>——</w:t>
      </w:r>
      <w:r w:rsidRPr="004C59BB">
        <w:rPr>
          <w:color w:val="0000FF"/>
          <w:lang w:val="ru-RU"/>
        </w:rPr>
        <w:t>正如我们所见</w:t>
      </w:r>
      <w:r w:rsidRPr="0097554A">
        <w:rPr>
          <w:color w:val="0000FF"/>
        </w:rPr>
        <w:t>——</w:t>
      </w:r>
      <w:r w:rsidRPr="004C59BB">
        <w:rPr>
          <w:color w:val="0000FF"/>
          <w:lang w:val="ru-RU"/>
        </w:rPr>
        <w:t>明确宣讲上帝本可以通过其他方式拯救人类的教会导师们</w:t>
      </w:r>
      <w:r w:rsidRPr="0097554A">
        <w:rPr>
          <w:color w:val="0000FF"/>
        </w:rPr>
        <w:t>，</w:t>
      </w:r>
      <w:r w:rsidRPr="004C59BB">
        <w:rPr>
          <w:color w:val="0000FF"/>
          <w:lang w:val="ru-RU"/>
        </w:rPr>
        <w:t>即</w:t>
      </w:r>
      <w:r w:rsidRPr="0097554A">
        <w:rPr>
          <w:color w:val="0000FF"/>
        </w:rPr>
        <w:t>：</w:t>
      </w:r>
      <w:r w:rsidRPr="004C59BB">
        <w:rPr>
          <w:color w:val="0000FF"/>
        </w:rPr>
        <w:t>圣亚他那修（《论上帝道成肉身》第7节；《反阿里乌派论》 《第三篇讲道集》第四部分，第33节）；福者奥古斯丁（《讲道集》第CLXXIV篇，第八部分，论使徒之言，</w:t>
      </w:r>
      <w:r w:rsidR="00F45CFB" w:rsidRPr="004C59BB">
        <w:rPr>
          <w:b/>
          <w:color w:val="0000FF"/>
        </w:rPr>
        <w:t>第1节）</w:t>
      </w:r>
      <w:r w:rsidRPr="004C59BB">
        <w:rPr>
          <w:color w:val="0000FF"/>
        </w:rPr>
        <w:t>以及圣利奥（《讲道集》第L篇，第一部分，论主受难，第9章）。参见注释16、18和20。</w:t>
      </w:r>
    </w:p>
  </w:footnote>
  <w:footnote w:id="23">
    <w:p w14:paraId="78C0C7B8" w14:textId="77777777" w:rsidR="00090AA9" w:rsidRPr="004C59BB" w:rsidRDefault="00090AA9">
      <w:pPr>
        <w:pStyle w:val="FootnoteText"/>
        <w:rPr>
          <w:color w:val="0000FF"/>
        </w:rPr>
      </w:pPr>
      <w:r w:rsidRPr="004C59BB">
        <w:rPr>
          <w:rStyle w:val="FootnoteReference"/>
          <w:color w:val="0000FF"/>
        </w:rPr>
        <w:footnoteRef/>
      </w:r>
      <w:r w:rsidRPr="004C59BB">
        <w:rPr>
          <w:color w:val="0000FF"/>
        </w:rPr>
        <w:t xml:space="preserve"> “那由童贞女受孕并诞生的受造物，尽管仅与圣子位格相关，却是整个圣三所创造的：因为圣三的作为是不可分割的”（奥古斯丁，《手册》第XXVIII章，第2节；参见《论圣三》第二卷，第5章，第9节；第10章，第2节）。</w:t>
      </w:r>
    </w:p>
  </w:footnote>
  <w:footnote w:id="24">
    <w:p w14:paraId="16BAE6BE" w14:textId="77777777" w:rsidR="00090AA9" w:rsidRPr="004C59BB" w:rsidRDefault="00090AA9">
      <w:pPr>
        <w:pStyle w:val="FootnoteText"/>
        <w:rPr>
          <w:color w:val="0000FF"/>
        </w:rPr>
      </w:pPr>
      <w:r w:rsidRPr="004C59BB">
        <w:rPr>
          <w:rStyle w:val="FootnoteReference"/>
          <w:color w:val="0000FF"/>
        </w:rPr>
        <w:footnoteRef/>
      </w:r>
      <w:r w:rsidRPr="0097554A">
        <w:rPr>
          <w:color w:val="0000FF"/>
        </w:rPr>
        <w:t xml:space="preserve"> </w:t>
      </w:r>
      <w:r w:rsidR="005666A3" w:rsidRPr="0097554A">
        <w:rPr>
          <w:color w:val="0000FF"/>
        </w:rPr>
        <w:t>“</w:t>
      </w:r>
      <w:r w:rsidRPr="004C59BB">
        <w:rPr>
          <w:color w:val="0000FF"/>
          <w:lang w:val="ru-RU"/>
        </w:rPr>
        <w:t>道成肉身是出于天父的旨意</w:t>
      </w:r>
      <w:r w:rsidRPr="0097554A">
        <w:rPr>
          <w:color w:val="0000FF"/>
        </w:rPr>
        <w:t>，</w:t>
      </w:r>
      <w:r w:rsidRPr="004C59BB">
        <w:rPr>
          <w:color w:val="0000FF"/>
          <w:lang w:val="ru-RU"/>
        </w:rPr>
        <w:t>圣灵的感召与作为</w:t>
      </w:r>
      <w:r w:rsidRPr="0097554A">
        <w:rPr>
          <w:color w:val="0000FF"/>
        </w:rPr>
        <w:t>，</w:t>
      </w:r>
      <w:r w:rsidRPr="004C59BB">
        <w:rPr>
          <w:color w:val="0000FF"/>
          <w:lang w:val="ru-RU"/>
        </w:rPr>
        <w:t>以及道本身的</w:t>
      </w:r>
      <w:r w:rsidR="005666A3" w:rsidRPr="004C59BB">
        <w:rPr>
          <w:color w:val="0000FF"/>
          <w:lang w:val="ru-RU"/>
        </w:rPr>
        <w:t>意愿</w:t>
      </w:r>
      <w:r w:rsidR="005666A3" w:rsidRPr="0097554A">
        <w:rPr>
          <w:color w:val="0000FF"/>
        </w:rPr>
        <w:t>”</w:t>
      </w:r>
      <w:r w:rsidRPr="0097554A">
        <w:rPr>
          <w:color w:val="0000FF"/>
        </w:rPr>
        <w:t>（</w:t>
      </w:r>
      <w:r w:rsidRPr="004C59BB">
        <w:rPr>
          <w:color w:val="0000FF"/>
          <w:lang w:val="ru-RU"/>
        </w:rPr>
        <w:t>圣迪米特里</w:t>
      </w:r>
      <w:r w:rsidRPr="0097554A">
        <w:rPr>
          <w:color w:val="0000FF"/>
        </w:rPr>
        <w:t>·</w:t>
      </w:r>
      <w:r w:rsidRPr="004C59BB">
        <w:rPr>
          <w:color w:val="0000FF"/>
          <w:lang w:val="ru-RU"/>
        </w:rPr>
        <w:t>罗斯托夫</w:t>
      </w:r>
      <w:r w:rsidRPr="004C59BB">
        <w:rPr>
          <w:color w:val="0000FF"/>
        </w:rPr>
        <w:t>，</w:t>
      </w:r>
      <w:r w:rsidRPr="004C59BB">
        <w:rPr>
          <w:color w:val="0000FF"/>
          <w:lang w:val="ru-RU"/>
        </w:rPr>
        <w:t>《文集</w:t>
      </w:r>
      <w:r w:rsidRPr="004C59BB">
        <w:rPr>
          <w:color w:val="0000FF"/>
        </w:rPr>
        <w:t>》第1</w:t>
      </w:r>
      <w:r w:rsidRPr="004C59BB">
        <w:rPr>
          <w:color w:val="0000FF"/>
          <w:lang w:val="ru-RU"/>
        </w:rPr>
        <w:t>卷</w:t>
      </w:r>
      <w:r w:rsidRPr="004C59BB">
        <w:rPr>
          <w:color w:val="0000FF"/>
        </w:rPr>
        <w:t>，第169页）。</w:t>
      </w:r>
    </w:p>
  </w:footnote>
  <w:footnote w:id="25">
    <w:p w14:paraId="1B32B51B"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参见奥古斯丁《反阿里乌派讲道集》第XV章；亚历山大的西里尔《谴责书》第九章，载于《1841年基督读本》第1卷，第60页。</w:t>
      </w:r>
    </w:p>
  </w:footnote>
  <w:footnote w:id="26">
    <w:p w14:paraId="035A9B7D" w14:textId="77777777" w:rsidR="003E0D56" w:rsidRPr="0097554A" w:rsidRDefault="003E0D56">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《正统信仰精确阐述》</w:t>
      </w:r>
      <w:r w:rsidRPr="004C59BB">
        <w:rPr>
          <w:color w:val="0000FF"/>
        </w:rPr>
        <w:t>第IV</w:t>
      </w:r>
      <w:r w:rsidRPr="004C59BB">
        <w:rPr>
          <w:color w:val="0000FF"/>
          <w:lang w:val="ru-RU"/>
        </w:rPr>
        <w:t>卷</w:t>
      </w:r>
      <w:r w:rsidRPr="0097554A">
        <w:rPr>
          <w:color w:val="0000FF"/>
        </w:rPr>
        <w:t>，</w:t>
      </w:r>
      <w:r w:rsidRPr="004C59BB">
        <w:rPr>
          <w:color w:val="0000FF"/>
          <w:lang w:val="ru-RU"/>
        </w:rPr>
        <w:t>第</w:t>
      </w:r>
      <w:r w:rsidRPr="0097554A">
        <w:rPr>
          <w:color w:val="0000FF"/>
        </w:rPr>
        <w:t>4</w:t>
      </w:r>
      <w:r w:rsidRPr="004C59BB">
        <w:rPr>
          <w:color w:val="0000FF"/>
          <w:lang w:val="ru-RU"/>
        </w:rPr>
        <w:t>章</w:t>
      </w:r>
      <w:r w:rsidRPr="0097554A">
        <w:rPr>
          <w:color w:val="0000FF"/>
        </w:rPr>
        <w:t>，</w:t>
      </w:r>
      <w:r w:rsidRPr="004C59BB">
        <w:rPr>
          <w:color w:val="0000FF"/>
          <w:lang w:val="ru-RU"/>
        </w:rPr>
        <w:t>第</w:t>
      </w:r>
      <w:r w:rsidRPr="0097554A">
        <w:rPr>
          <w:color w:val="0000FF"/>
        </w:rPr>
        <w:t>225</w:t>
      </w:r>
      <w:r w:rsidRPr="004C59BB">
        <w:rPr>
          <w:color w:val="0000FF"/>
          <w:lang w:val="ru-RU"/>
        </w:rPr>
        <w:t>页。</w:t>
      </w:r>
    </w:p>
  </w:footnote>
  <w:footnote w:id="27">
    <w:p w14:paraId="460BB33F" w14:textId="77777777" w:rsidR="003E0D56" w:rsidRPr="004C59BB" w:rsidRDefault="003E0D56">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《箴言》</w:t>
      </w:r>
      <w:r w:rsidRPr="0097554A">
        <w:rPr>
          <w:color w:val="0000FF"/>
        </w:rPr>
        <w:t>39，</w:t>
      </w:r>
      <w:r w:rsidRPr="004C59BB">
        <w:rPr>
          <w:color w:val="0000FF"/>
          <w:lang w:val="ru-RU"/>
        </w:rPr>
        <w:t>载于《圣教父著作集》</w:t>
      </w:r>
      <w:r w:rsidRPr="004C59BB">
        <w:rPr>
          <w:color w:val="0000FF"/>
        </w:rPr>
        <w:t>第三卷，第263页。</w:t>
      </w:r>
    </w:p>
  </w:footnote>
  <w:footnote w:id="28">
    <w:p w14:paraId="49E85180"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“并非圣父取了肉身，也非圣灵，而是唯有圣子，使那位本在天父神性中的圣子，自己成为人母所生的人子，以免‘儿子’之名转归于另一人——那人并非因永恒的诞生而成为儿子”（《论教会信条》第II章）。</w:t>
      </w:r>
    </w:p>
  </w:footnote>
  <w:footnote w:id="29">
    <w:p w14:paraId="708B7EA1"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富尔根提乌斯《致彼得论信仰》第二章；费兰德（执事）《致雷吉努姆伯爵的劝诫》第12段；迪米特里·波克莫夫《文集》第一卷，第52页。</w:t>
      </w:r>
    </w:p>
  </w:footnote>
  <w:footnote w:id="30">
    <w:p w14:paraId="3285CC3E" w14:textId="77777777" w:rsidR="00AD5A52" w:rsidRPr="004C59BB" w:rsidRDefault="00AD5A52">
      <w:pPr>
        <w:pStyle w:val="FootnoteText"/>
        <w:rPr>
          <w:color w:val="0000FF"/>
        </w:rPr>
      </w:pPr>
      <w:r w:rsidRPr="004C59BB">
        <w:rPr>
          <w:rStyle w:val="FootnoteReference"/>
          <w:color w:val="0000FF"/>
        </w:rPr>
        <w:footnoteRef/>
      </w:r>
      <w:r w:rsidRPr="004C59BB">
        <w:rPr>
          <w:color w:val="0000FF"/>
        </w:rPr>
        <w:t xml:space="preserve"> 《论上帝道成肉身》第10节；参见第7、20节。</w:t>
      </w:r>
    </w:p>
  </w:footnote>
  <w:footnote w:id="31">
    <w:p w14:paraId="51F933C6" w14:textId="77777777" w:rsidR="005D5534" w:rsidRPr="004C59BB" w:rsidRDefault="005D5534">
      <w:pPr>
        <w:pStyle w:val="FootnoteText"/>
        <w:rPr>
          <w:color w:val="0000FF"/>
        </w:rPr>
      </w:pPr>
      <w:r w:rsidRPr="004C59BB">
        <w:rPr>
          <w:rStyle w:val="FootnoteReference"/>
          <w:color w:val="0000FF"/>
        </w:rPr>
        <w:footnoteRef/>
      </w:r>
      <w:r w:rsidRPr="004C59BB">
        <w:rPr>
          <w:color w:val="0000FF"/>
        </w:rPr>
        <w:t xml:space="preserve"> 《讲道集》第LXI篇，第二章。</w:t>
      </w:r>
    </w:p>
  </w:footnote>
  <w:footnote w:id="32">
    <w:p w14:paraId="6044172F" w14:textId="77777777" w:rsidR="005D5534" w:rsidRPr="0097554A" w:rsidRDefault="005D5534">
      <w:pPr>
        <w:pStyle w:val="FootnoteText"/>
        <w:rPr>
          <w:color w:val="0000FF"/>
        </w:rPr>
      </w:pPr>
      <w:r w:rsidRPr="004C59BB">
        <w:rPr>
          <w:rStyle w:val="FootnoteReference"/>
          <w:color w:val="0000FF"/>
        </w:rPr>
        <w:footnoteRef/>
      </w:r>
      <w:r w:rsidRPr="004C59BB">
        <w:rPr>
          <w:color w:val="0000FF"/>
        </w:rPr>
        <w:t xml:space="preserve"> 金口若望，《约翰福音讲道集》，第十七篇；亚历山大的西里尔，《格拉菲尔》，第一卷；奥古斯丁，《诗篇注释》第三十二</w:t>
      </w:r>
      <w:r w:rsidRPr="004C59BB">
        <w:rPr>
          <w:color w:val="0000FF"/>
          <w:lang w:val="ru-RU"/>
        </w:rPr>
        <w:t>篇</w:t>
      </w:r>
      <w:r w:rsidRPr="0097554A">
        <w:rPr>
          <w:color w:val="0000FF"/>
        </w:rPr>
        <w:t>，</w:t>
      </w:r>
      <w:r w:rsidRPr="004C59BB">
        <w:rPr>
          <w:color w:val="0000FF"/>
          <w:lang w:val="ru-RU"/>
        </w:rPr>
        <w:t>《</w:t>
      </w:r>
      <w:r w:rsidRPr="004C59BB">
        <w:rPr>
          <w:color w:val="0000FF"/>
        </w:rPr>
        <w:t>论恩典</w:t>
      </w:r>
      <w:r w:rsidRPr="004C59BB">
        <w:rPr>
          <w:color w:val="0000FF"/>
          <w:lang w:val="ru-RU"/>
        </w:rPr>
        <w:t>》</w:t>
      </w:r>
      <w:r w:rsidRPr="004C59BB">
        <w:rPr>
          <w:color w:val="0000FF"/>
        </w:rPr>
        <w:t>第三卷</w:t>
      </w:r>
      <w:r w:rsidRPr="0097554A">
        <w:rPr>
          <w:color w:val="0000FF"/>
        </w:rPr>
        <w:t>，</w:t>
      </w:r>
      <w:r w:rsidRPr="004C59BB">
        <w:rPr>
          <w:color w:val="0000FF"/>
          <w:lang w:val="ru-RU"/>
        </w:rPr>
        <w:t>第</w:t>
      </w:r>
      <w:r w:rsidRPr="0097554A">
        <w:rPr>
          <w:color w:val="0000FF"/>
        </w:rPr>
        <w:t>16</w:t>
      </w:r>
      <w:r w:rsidRPr="004C59BB">
        <w:rPr>
          <w:color w:val="0000FF"/>
          <w:lang w:val="ru-RU"/>
        </w:rPr>
        <w:t>节。</w:t>
      </w:r>
    </w:p>
  </w:footnote>
  <w:footnote w:id="33">
    <w:p w14:paraId="2F3A4143" w14:textId="77777777" w:rsidR="00AE4DBE" w:rsidRPr="0097554A" w:rsidRDefault="00AE4DBE">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反异端</w:t>
      </w:r>
      <w:r w:rsidRPr="004C59BB">
        <w:rPr>
          <w:color w:val="0000FF"/>
          <w:lang w:val="ru-RU"/>
        </w:rPr>
        <w:t>论》</w:t>
      </w:r>
      <w:r w:rsidRPr="004C59BB">
        <w:rPr>
          <w:color w:val="0000FF"/>
        </w:rPr>
        <w:t>第V</w:t>
      </w:r>
      <w:r w:rsidRPr="004C59BB">
        <w:rPr>
          <w:color w:val="0000FF"/>
          <w:lang w:val="ru-RU"/>
        </w:rPr>
        <w:t>卷</w:t>
      </w:r>
      <w:r w:rsidRPr="0097554A">
        <w:rPr>
          <w:color w:val="0000FF"/>
        </w:rPr>
        <w:t>，</w:t>
      </w:r>
      <w:r w:rsidRPr="004C59BB">
        <w:rPr>
          <w:color w:val="0000FF"/>
          <w:lang w:val="ru-RU"/>
        </w:rPr>
        <w:t>第</w:t>
      </w:r>
      <w:r w:rsidRPr="0097554A">
        <w:rPr>
          <w:color w:val="0000FF"/>
        </w:rPr>
        <w:t>1</w:t>
      </w:r>
      <w:r w:rsidRPr="004C59BB">
        <w:rPr>
          <w:color w:val="0000FF"/>
          <w:lang w:val="ru-RU"/>
        </w:rPr>
        <w:t>章。圣</w:t>
      </w:r>
      <w:r w:rsidRPr="004C59BB">
        <w:rPr>
          <w:color w:val="0000FF"/>
        </w:rPr>
        <w:t>亚他那修</w:t>
      </w:r>
      <w:r w:rsidRPr="004C59BB">
        <w:rPr>
          <w:color w:val="0000FF"/>
          <w:lang w:val="ru-RU"/>
        </w:rPr>
        <w:t>也持同样观点</w:t>
      </w:r>
      <w:r w:rsidRPr="0097554A">
        <w:rPr>
          <w:color w:val="0000FF"/>
          <w:lang w:val="ru-RU"/>
        </w:rPr>
        <w:t>（</w:t>
      </w:r>
      <w:r w:rsidRPr="004C59BB">
        <w:rPr>
          <w:color w:val="0000FF"/>
        </w:rPr>
        <w:t>《论上帝道成肉身》第</w:t>
      </w:r>
      <w:r w:rsidRPr="0097554A">
        <w:rPr>
          <w:color w:val="0000FF"/>
          <w:lang w:val="ru-RU"/>
        </w:rPr>
        <w:t>11</w:t>
      </w:r>
      <w:r w:rsidRPr="004C59BB">
        <w:rPr>
          <w:color w:val="0000FF"/>
        </w:rPr>
        <w:t>节</w:t>
      </w:r>
      <w:r w:rsidRPr="0097554A">
        <w:rPr>
          <w:color w:val="0000FF"/>
          <w:lang w:val="ru-RU"/>
        </w:rPr>
        <w:t>）</w:t>
      </w:r>
      <w:r w:rsidRPr="004C59BB">
        <w:rPr>
          <w:color w:val="0000FF"/>
        </w:rPr>
        <w:t>。</w:t>
      </w:r>
    </w:p>
  </w:footnote>
  <w:footnote w:id="34">
    <w:p w14:paraId="68E6835A" w14:textId="77777777" w:rsidR="00AE4DBE" w:rsidRPr="004C59BB" w:rsidRDefault="00AE4DBE">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《论上帝道成肉身》</w:t>
      </w:r>
      <w:r w:rsidRPr="004C59BB">
        <w:rPr>
          <w:color w:val="0000FF"/>
          <w:lang w:val="ru-RU"/>
        </w:rPr>
        <w:t>第13节。随后，在同一著作（第20节）中，这位圣父简要列举了上帝之子道成肉身的所有原因，如下所述：“除了那位在起初从无中创造宇宙的救主本人之外，没有人能将不朽赐予我们这会朽坏的本性， ——除了那位是圣父形像的，无人能恢复人内里的上帝形像；——除了你们的主耶稣基督——祂就是自有永有的生命——之外，无人能将我们必死的本性提升至不朽；——最后， 除了那掌管宇宙的道——那位独一真神、父的独生子之外，无人能将对圣父的认识传给世人，并推翻偶像崇拜的邪恶</w:t>
      </w:r>
      <w:r w:rsidR="005666A3" w:rsidRPr="004C59BB">
        <w:rPr>
          <w:color w:val="0000FF"/>
          <w:lang w:val="ru-RU"/>
        </w:rPr>
        <w:t>”</w:t>
      </w:r>
      <w:r w:rsidRPr="004C59BB">
        <w:rPr>
          <w:color w:val="0000FF"/>
          <w:lang w:val="ru-RU"/>
        </w:rPr>
        <w:t>（《基督教读本》1838年版，</w:t>
      </w:r>
      <w:r w:rsidRPr="004C59BB">
        <w:rPr>
          <w:color w:val="0000FF"/>
        </w:rPr>
        <w:t>第二</w:t>
      </w:r>
      <w:r w:rsidRPr="004C59BB">
        <w:rPr>
          <w:color w:val="0000FF"/>
          <w:lang w:val="ru-RU"/>
        </w:rPr>
        <w:t>卷，132–133页）。</w:t>
      </w:r>
    </w:p>
  </w:footnote>
  <w:footnote w:id="35">
    <w:p w14:paraId="6E49EFA1" w14:textId="77777777" w:rsidR="00AB0280" w:rsidRPr="004C59BB" w:rsidRDefault="00AB0280">
      <w:pPr>
        <w:pStyle w:val="FootnoteText"/>
        <w:rPr>
          <w:color w:val="0000FF"/>
          <w:lang w:val="ru-RU"/>
        </w:rPr>
      </w:pPr>
      <w:r w:rsidRPr="004C59BB">
        <w:rPr>
          <w:rStyle w:val="FootnoteReference"/>
          <w:color w:val="0000FF"/>
        </w:rPr>
        <w:footnoteRef/>
      </w:r>
      <w:r w:rsidRPr="004C59BB">
        <w:rPr>
          <w:color w:val="0000FF"/>
          <w:lang w:val="ru-RU"/>
        </w:rPr>
        <w:t xml:space="preserve"> 参见上文——第57节：关于至圣三位一体所有位格参与创造之事，以及随后第100节。</w:t>
      </w:r>
    </w:p>
  </w:footnote>
  <w:footnote w:id="36">
    <w:p w14:paraId="257AEED2" w14:textId="77777777" w:rsidR="006E787C" w:rsidRPr="004C59BB" w:rsidRDefault="006E787C">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亚他那修《论上帝道成肉身》第</w:t>
      </w:r>
      <w:r w:rsidRPr="0097554A">
        <w:rPr>
          <w:color w:val="0000FF"/>
          <w:lang w:val="ru-RU"/>
        </w:rPr>
        <w:t>1</w:t>
      </w:r>
      <w:r w:rsidRPr="004C59BB">
        <w:rPr>
          <w:color w:val="0000FF"/>
        </w:rPr>
        <w:t>节</w:t>
      </w:r>
      <w:r w:rsidRPr="0097554A">
        <w:rPr>
          <w:color w:val="0000FF"/>
          <w:lang w:val="ru-RU"/>
        </w:rPr>
        <w:t>；</w:t>
      </w:r>
      <w:r w:rsidRPr="004C59BB">
        <w:rPr>
          <w:color w:val="0000FF"/>
        </w:rPr>
        <w:t>格雷戈里</w:t>
      </w:r>
      <w:r w:rsidRPr="0097554A">
        <w:rPr>
          <w:color w:val="0000FF"/>
          <w:lang w:val="ru-RU"/>
        </w:rPr>
        <w:t>·</w:t>
      </w:r>
      <w:r w:rsidRPr="004C59BB">
        <w:rPr>
          <w:color w:val="0000FF"/>
        </w:rPr>
        <w:t>尼西阿斯《反尤诺米乌斯论》第十二篇讲道</w:t>
      </w:r>
      <w:r w:rsidRPr="0097554A">
        <w:rPr>
          <w:color w:val="0000FF"/>
          <w:lang w:val="ru-RU"/>
        </w:rPr>
        <w:t>；</w:t>
      </w:r>
      <w:r w:rsidRPr="004C59BB">
        <w:rPr>
          <w:color w:val="0000FF"/>
        </w:rPr>
        <w:t>参见注释</w:t>
      </w:r>
      <w:r w:rsidRPr="004C59BB">
        <w:rPr>
          <w:color w:val="0000FF"/>
          <w:lang w:val="ru-RU"/>
        </w:rPr>
        <w:t>11、13、15。</w:t>
      </w:r>
    </w:p>
  </w:footnote>
  <w:footnote w:id="37">
    <w:p w14:paraId="7828C787"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《致希伯来书</w:t>
      </w:r>
      <w:r w:rsidRPr="004C59BB">
        <w:rPr>
          <w:color w:val="0000FF"/>
          <w:lang w:val="ru-RU"/>
        </w:rPr>
        <w:t>注释》第2章。</w:t>
      </w:r>
    </w:p>
  </w:footnote>
  <w:footnote w:id="38">
    <w:p w14:paraId="4F7B6CB2" w14:textId="77777777" w:rsidR="006E787C" w:rsidRPr="0097554A" w:rsidRDefault="006E787C">
      <w:pPr>
        <w:pStyle w:val="FootnoteText"/>
        <w:rPr>
          <w:color w:val="0000FF"/>
          <w:lang w:val="ru-RU"/>
        </w:rPr>
      </w:pPr>
      <w:r w:rsidRPr="004C59BB">
        <w:rPr>
          <w:rStyle w:val="FootnoteReference"/>
          <w:color w:val="0000FF"/>
        </w:rPr>
        <w:footnoteRef/>
      </w:r>
      <w:r w:rsidRPr="004C59BB">
        <w:rPr>
          <w:color w:val="0000FF"/>
          <w:lang w:val="ru-RU"/>
        </w:rPr>
        <w:t xml:space="preserve"> 第38篇讲道，主显节，载于《圣</w:t>
      </w:r>
      <w:r w:rsidRPr="004C59BB">
        <w:rPr>
          <w:color w:val="0000FF"/>
        </w:rPr>
        <w:t>教父</w:t>
      </w:r>
      <w:r w:rsidRPr="004C59BB">
        <w:rPr>
          <w:color w:val="0000FF"/>
          <w:lang w:val="ru-RU"/>
        </w:rPr>
        <w:t>著作集》</w:t>
      </w:r>
      <w:r w:rsidRPr="004C59BB">
        <w:rPr>
          <w:color w:val="0000FF"/>
        </w:rPr>
        <w:t>第三卷</w:t>
      </w:r>
      <w:r w:rsidRPr="0097554A">
        <w:rPr>
          <w:color w:val="0000FF"/>
          <w:lang w:val="ru-RU"/>
        </w:rPr>
        <w:t>，</w:t>
      </w:r>
      <w:r w:rsidRPr="004C59BB">
        <w:rPr>
          <w:color w:val="0000FF"/>
        </w:rPr>
        <w:t>第</w:t>
      </w:r>
      <w:r w:rsidRPr="0097554A">
        <w:rPr>
          <w:color w:val="0000FF"/>
          <w:lang w:val="ru-RU"/>
        </w:rPr>
        <w:t>245</w:t>
      </w:r>
      <w:r w:rsidRPr="004C59BB">
        <w:rPr>
          <w:color w:val="0000FF"/>
        </w:rPr>
        <w:t>页。</w:t>
      </w:r>
    </w:p>
  </w:footnote>
  <w:footnote w:id="39">
    <w:p w14:paraId="4D05BCCF" w14:textId="77777777" w:rsidR="006E787C" w:rsidRPr="0097554A" w:rsidRDefault="006E787C">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《反异端》第四卷</w:t>
      </w:r>
      <w:r w:rsidRPr="0097554A">
        <w:rPr>
          <w:color w:val="0000FF"/>
          <w:lang w:val="ru-RU"/>
        </w:rPr>
        <w:t>，</w:t>
      </w:r>
      <w:r w:rsidRPr="004C59BB">
        <w:rPr>
          <w:color w:val="0000FF"/>
        </w:rPr>
        <w:t>第</w:t>
      </w:r>
      <w:r w:rsidRPr="0097554A">
        <w:rPr>
          <w:color w:val="0000FF"/>
          <w:lang w:val="ru-RU"/>
        </w:rPr>
        <w:t>14</w:t>
      </w:r>
      <w:r w:rsidRPr="004C59BB">
        <w:rPr>
          <w:color w:val="0000FF"/>
        </w:rPr>
        <w:t>页。</w:t>
      </w:r>
    </w:p>
  </w:footnote>
  <w:footnote w:id="40">
    <w:p w14:paraId="70292A5C" w14:textId="77777777" w:rsidR="006E787C" w:rsidRPr="0097554A" w:rsidRDefault="006E787C">
      <w:pPr>
        <w:pStyle w:val="FootnoteText"/>
        <w:rPr>
          <w:color w:val="0000FF"/>
          <w:lang w:val="ru-RU"/>
        </w:rPr>
      </w:pPr>
      <w:r w:rsidRPr="004C59BB">
        <w:rPr>
          <w:rStyle w:val="FootnoteReference"/>
          <w:color w:val="0000FF"/>
        </w:rPr>
        <w:footnoteRef/>
      </w:r>
      <w:r w:rsidRPr="0097554A">
        <w:rPr>
          <w:color w:val="0000FF"/>
          <w:lang w:val="ru-RU"/>
        </w:rPr>
        <w:t xml:space="preserve"> </w:t>
      </w:r>
      <w:r w:rsidR="00CA5CE2" w:rsidRPr="004C59BB">
        <w:rPr>
          <w:color w:val="0000FF"/>
        </w:rPr>
        <w:t>《论上帝道成肉身》第</w:t>
      </w:r>
      <w:r w:rsidR="00CA5CE2" w:rsidRPr="0097554A">
        <w:rPr>
          <w:color w:val="0000FF"/>
          <w:lang w:val="ru-RU"/>
        </w:rPr>
        <w:t>4</w:t>
      </w:r>
      <w:r w:rsidR="00CA5CE2" w:rsidRPr="004C59BB">
        <w:rPr>
          <w:color w:val="0000FF"/>
        </w:rPr>
        <w:t>节。</w:t>
      </w:r>
    </w:p>
  </w:footnote>
  <w:footnote w:id="41">
    <w:p w14:paraId="764B1177" w14:textId="77777777" w:rsidR="00CA5CE2" w:rsidRPr="004C59BB" w:rsidRDefault="00CA5CE2">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w:t>
      </w:r>
      <w:r w:rsidRPr="004C59BB">
        <w:rPr>
          <w:color w:val="0000FF"/>
          <w:lang w:val="ru-RU"/>
        </w:rPr>
        <w:t>神学</w:t>
      </w:r>
      <w:r w:rsidRPr="004C59BB">
        <w:rPr>
          <w:color w:val="0000FF"/>
        </w:rPr>
        <w:t>讲道集》第四卷</w:t>
      </w:r>
      <w:r w:rsidRPr="004C59BB">
        <w:rPr>
          <w:color w:val="0000FF"/>
          <w:lang w:val="ru-RU"/>
        </w:rPr>
        <w:t>，载于《圣教父文集》</w:t>
      </w:r>
      <w:r w:rsidRPr="004C59BB">
        <w:rPr>
          <w:color w:val="0000FF"/>
        </w:rPr>
        <w:t>第三卷</w:t>
      </w:r>
      <w:r w:rsidRPr="004C59BB">
        <w:rPr>
          <w:color w:val="0000FF"/>
          <w:lang w:val="ru-RU"/>
        </w:rPr>
        <w:t>，第79页。</w:t>
      </w:r>
    </w:p>
  </w:footnote>
  <w:footnote w:id="42">
    <w:p w14:paraId="38EA00C9" w14:textId="77777777" w:rsidR="00CA5CE2" w:rsidRPr="0097554A" w:rsidRDefault="00CA5CE2">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《创世记讲道集》第三篇</w:t>
      </w:r>
      <w:r w:rsidRPr="0097554A">
        <w:rPr>
          <w:color w:val="0000FF"/>
          <w:lang w:val="ru-RU"/>
        </w:rPr>
        <w:t>，</w:t>
      </w:r>
      <w:r w:rsidRPr="004C59BB">
        <w:rPr>
          <w:color w:val="0000FF"/>
        </w:rPr>
        <w:t>第</w:t>
      </w:r>
      <w:r w:rsidRPr="0097554A">
        <w:rPr>
          <w:color w:val="0000FF"/>
          <w:lang w:val="ru-RU"/>
        </w:rPr>
        <w:t>4</w:t>
      </w:r>
      <w:r w:rsidRPr="004C59BB">
        <w:rPr>
          <w:color w:val="0000FF"/>
        </w:rPr>
        <w:t>节</w:t>
      </w:r>
      <w:r w:rsidRPr="0097554A">
        <w:rPr>
          <w:color w:val="0000FF"/>
          <w:lang w:val="ru-RU"/>
        </w:rPr>
        <w:t>；</w:t>
      </w:r>
      <w:r w:rsidRPr="004C59BB">
        <w:rPr>
          <w:color w:val="0000FF"/>
        </w:rPr>
        <w:t>第二十三篇</w:t>
      </w:r>
      <w:r w:rsidRPr="0097554A">
        <w:rPr>
          <w:color w:val="0000FF"/>
          <w:lang w:val="ru-RU"/>
        </w:rPr>
        <w:t>，</w:t>
      </w:r>
      <w:r w:rsidRPr="004C59BB">
        <w:rPr>
          <w:color w:val="0000FF"/>
        </w:rPr>
        <w:t>第</w:t>
      </w:r>
      <w:r w:rsidRPr="0097554A">
        <w:rPr>
          <w:color w:val="0000FF"/>
          <w:lang w:val="ru-RU"/>
        </w:rPr>
        <w:t>6</w:t>
      </w:r>
      <w:r w:rsidRPr="004C59BB">
        <w:rPr>
          <w:color w:val="0000FF"/>
        </w:rPr>
        <w:t>节。</w:t>
      </w:r>
    </w:p>
  </w:footnote>
  <w:footnote w:id="43">
    <w:p w14:paraId="042CF0EC" w14:textId="77777777" w:rsidR="00CA5CE2" w:rsidRPr="0097554A" w:rsidRDefault="00CA5CE2">
      <w:pPr>
        <w:pStyle w:val="FootnoteText"/>
        <w:rPr>
          <w:color w:val="0000FF"/>
          <w:lang w:val="ru-RU"/>
        </w:rPr>
      </w:pPr>
      <w:r w:rsidRPr="004C59BB">
        <w:rPr>
          <w:rStyle w:val="FootnoteReference"/>
          <w:color w:val="0000FF"/>
        </w:rPr>
        <w:footnoteRef/>
      </w:r>
      <w:r w:rsidRPr="004C59BB">
        <w:rPr>
          <w:color w:val="0000FF"/>
          <w:lang w:val="ru-RU"/>
        </w:rPr>
        <w:t xml:space="preserve"> 《论圣灵》第15章，载于《圣教父</w:t>
      </w:r>
      <w:r w:rsidRPr="004C59BB">
        <w:rPr>
          <w:color w:val="0000FF"/>
        </w:rPr>
        <w:t>文集》第七卷</w:t>
      </w:r>
      <w:r w:rsidRPr="0097554A">
        <w:rPr>
          <w:color w:val="0000FF"/>
          <w:lang w:val="ru-RU"/>
        </w:rPr>
        <w:t>，</w:t>
      </w:r>
      <w:r w:rsidRPr="004C59BB">
        <w:rPr>
          <w:color w:val="0000FF"/>
        </w:rPr>
        <w:t>第</w:t>
      </w:r>
      <w:r w:rsidRPr="0097554A">
        <w:rPr>
          <w:color w:val="0000FF"/>
          <w:lang w:val="ru-RU"/>
        </w:rPr>
        <w:t>282</w:t>
      </w:r>
      <w:r w:rsidRPr="004C59BB">
        <w:rPr>
          <w:color w:val="0000FF"/>
        </w:rPr>
        <w:t>页。</w:t>
      </w:r>
    </w:p>
  </w:footnote>
  <w:footnote w:id="44">
    <w:p w14:paraId="4B232F4D" w14:textId="77777777" w:rsidR="00CA5CE2" w:rsidRPr="0097554A" w:rsidRDefault="00CA5CE2">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《论主的话》第六篇。另见</w:t>
      </w:r>
      <w:r w:rsidRPr="0097554A">
        <w:rPr>
          <w:color w:val="0000FF"/>
          <w:lang w:val="ru-RU"/>
        </w:rPr>
        <w:t>：</w:t>
      </w:r>
      <w:r w:rsidRPr="004C59BB">
        <w:rPr>
          <w:color w:val="0000FF"/>
        </w:rPr>
        <w:t>若人未曾灭亡</w:t>
      </w:r>
      <w:r w:rsidRPr="0097554A">
        <w:rPr>
          <w:color w:val="0000FF"/>
          <w:lang w:val="ru-RU"/>
        </w:rPr>
        <w:t>，</w:t>
      </w:r>
      <w:r w:rsidRPr="004C59BB">
        <w:rPr>
          <w:color w:val="0000FF"/>
        </w:rPr>
        <w:t>人子便不会降临</w:t>
      </w:r>
      <w:r w:rsidRPr="0097554A">
        <w:rPr>
          <w:color w:val="0000FF"/>
          <w:lang w:val="ru-RU"/>
        </w:rPr>
        <w:t>（</w:t>
      </w:r>
      <w:r w:rsidRPr="004C59BB">
        <w:rPr>
          <w:color w:val="0000FF"/>
        </w:rPr>
        <w:t>《讲道集》第CLXXIV篇</w:t>
      </w:r>
      <w:r w:rsidRPr="0097554A">
        <w:rPr>
          <w:color w:val="0000FF"/>
          <w:lang w:val="ru-RU"/>
        </w:rPr>
        <w:t>，</w:t>
      </w:r>
      <w:r w:rsidRPr="004C59BB">
        <w:rPr>
          <w:color w:val="0000FF"/>
        </w:rPr>
        <w:t>第</w:t>
      </w:r>
      <w:r w:rsidRPr="0097554A">
        <w:rPr>
          <w:color w:val="0000FF"/>
          <w:lang w:val="ru-RU"/>
        </w:rPr>
        <w:t>2</w:t>
      </w:r>
      <w:r w:rsidRPr="004C59BB">
        <w:rPr>
          <w:color w:val="0000FF"/>
        </w:rPr>
        <w:t>节</w:t>
      </w:r>
      <w:r w:rsidRPr="0097554A">
        <w:rPr>
          <w:color w:val="0000FF"/>
          <w:lang w:val="ru-RU"/>
        </w:rPr>
        <w:t>；</w:t>
      </w:r>
      <w:r w:rsidRPr="004C59BB">
        <w:rPr>
          <w:color w:val="0000FF"/>
        </w:rPr>
        <w:t>参见第</w:t>
      </w:r>
      <w:r w:rsidRPr="0097554A">
        <w:rPr>
          <w:color w:val="0000FF"/>
          <w:lang w:val="ru-RU"/>
        </w:rPr>
        <w:t>8</w:t>
      </w:r>
      <w:r w:rsidRPr="004C59BB">
        <w:rPr>
          <w:color w:val="0000FF"/>
        </w:rPr>
        <w:t>节</w:t>
      </w:r>
      <w:r w:rsidRPr="0097554A">
        <w:rPr>
          <w:color w:val="0000FF"/>
          <w:lang w:val="ru-RU"/>
        </w:rPr>
        <w:t>）</w:t>
      </w:r>
      <w:r w:rsidRPr="004C59BB">
        <w:rPr>
          <w:color w:val="0000FF"/>
        </w:rPr>
        <w:t>。</w:t>
      </w:r>
    </w:p>
  </w:footnote>
  <w:footnote w:id="45">
    <w:p w14:paraId="1FDA8533" w14:textId="77777777" w:rsidR="00CA5CE2" w:rsidRPr="0097554A" w:rsidRDefault="00CA5CE2">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《列王纪上注释》第四卷</w:t>
      </w:r>
      <w:r w:rsidRPr="0097554A">
        <w:rPr>
          <w:color w:val="0000FF"/>
          <w:lang w:val="ru-RU"/>
        </w:rPr>
        <w:t>，</w:t>
      </w:r>
      <w:r w:rsidRPr="004C59BB">
        <w:rPr>
          <w:color w:val="0000FF"/>
        </w:rPr>
        <w:t>第一章。</w:t>
      </w:r>
    </w:p>
  </w:footnote>
  <w:footnote w:id="46">
    <w:p w14:paraId="1D34C268" w14:textId="77777777" w:rsidR="00CA5CE2" w:rsidRPr="0097554A" w:rsidRDefault="00CA5CE2">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为了人类的救赎</w:t>
      </w:r>
      <w:r w:rsidRPr="0097554A">
        <w:rPr>
          <w:color w:val="0000FF"/>
          <w:lang w:val="ru-RU"/>
        </w:rPr>
        <w:t>，</w:t>
      </w:r>
      <w:r w:rsidRPr="004C59BB">
        <w:rPr>
          <w:color w:val="0000FF"/>
        </w:rPr>
        <w:t>人子降生了。</w:t>
      </w:r>
      <w:r w:rsidRPr="0097554A">
        <w:rPr>
          <w:color w:val="0000FF"/>
          <w:lang w:val="ru-RU"/>
        </w:rPr>
        <w:t>”</w:t>
      </w:r>
      <w:r w:rsidRPr="004C59BB">
        <w:rPr>
          <w:color w:val="0000FF"/>
        </w:rPr>
        <w:t>《论三位一体》第三卷</w:t>
      </w:r>
      <w:r w:rsidRPr="0097554A">
        <w:rPr>
          <w:color w:val="0000FF"/>
          <w:lang w:val="ru-RU"/>
        </w:rPr>
        <w:t>，</w:t>
      </w:r>
      <w:r w:rsidRPr="004C59BB">
        <w:rPr>
          <w:color w:val="0000FF"/>
        </w:rPr>
        <w:t>第</w:t>
      </w:r>
      <w:r w:rsidRPr="0097554A">
        <w:rPr>
          <w:color w:val="0000FF"/>
          <w:lang w:val="ru-RU"/>
        </w:rPr>
        <w:t>4</w:t>
      </w:r>
      <w:r w:rsidRPr="004C59BB">
        <w:rPr>
          <w:color w:val="0000FF"/>
        </w:rPr>
        <w:t>章。</w:t>
      </w:r>
    </w:p>
  </w:footnote>
  <w:footnote w:id="47">
    <w:p w14:paraId="0C12D132" w14:textId="77777777" w:rsidR="00CA5CE2" w:rsidRPr="0097554A" w:rsidRDefault="00CA5CE2">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道成肉身的原因</w:t>
      </w:r>
      <w:r w:rsidRPr="0097554A">
        <w:rPr>
          <w:color w:val="0000FF"/>
          <w:lang w:val="ru-RU"/>
        </w:rPr>
        <w:t>，</w:t>
      </w:r>
      <w:r w:rsidRPr="004C59BB">
        <w:rPr>
          <w:color w:val="0000FF"/>
        </w:rPr>
        <w:t>难道不是为了赎回那犯了罪的肉体吗</w:t>
      </w:r>
      <w:r w:rsidRPr="0097554A">
        <w:rPr>
          <w:color w:val="0000FF"/>
          <w:lang w:val="ru-RU"/>
        </w:rPr>
        <w:t>？”（</w:t>
      </w:r>
      <w:r w:rsidRPr="004C59BB">
        <w:rPr>
          <w:color w:val="0000FF"/>
        </w:rPr>
        <w:t>《论道成肉身</w:t>
      </w:r>
      <w:r w:rsidRPr="004C59BB">
        <w:rPr>
          <w:color w:val="0000FF"/>
          <w:lang w:val="el-GR"/>
        </w:rPr>
        <w:t>》</w:t>
      </w:r>
      <w:r w:rsidRPr="004C59BB">
        <w:rPr>
          <w:color w:val="0000FF"/>
        </w:rPr>
        <w:t>第六</w:t>
      </w:r>
      <w:r w:rsidRPr="004C59BB">
        <w:rPr>
          <w:color w:val="0000FF"/>
          <w:lang w:val="el-GR"/>
        </w:rPr>
        <w:t>章</w:t>
      </w:r>
      <w:r w:rsidRPr="0097554A">
        <w:rPr>
          <w:color w:val="0000FF"/>
          <w:lang w:val="ru-RU"/>
        </w:rPr>
        <w:t>）</w:t>
      </w:r>
      <w:r w:rsidRPr="004C59BB">
        <w:rPr>
          <w:color w:val="0000FF"/>
          <w:lang w:val="el-GR"/>
        </w:rPr>
        <w:t>。</w:t>
      </w:r>
    </w:p>
  </w:footnote>
  <w:footnote w:id="48">
    <w:p w14:paraId="48F03498" w14:textId="77777777" w:rsidR="00CA5CE2" w:rsidRPr="0097554A" w:rsidRDefault="00CA5CE2">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主降临的一切</w:t>
      </w:r>
      <w:r w:rsidRPr="0097554A">
        <w:rPr>
          <w:color w:val="0000FF"/>
          <w:lang w:val="ru-RU"/>
        </w:rPr>
        <w:t>，</w:t>
      </w:r>
      <w:r w:rsidRPr="004C59BB">
        <w:rPr>
          <w:color w:val="0000FF"/>
          <w:lang w:val="el-GR"/>
        </w:rPr>
        <w:t>都是为了那被囚禁在无罪之黑暗坟墓中的人</w:t>
      </w:r>
      <w:r w:rsidRPr="0097554A">
        <w:rPr>
          <w:color w:val="0000FF"/>
          <w:lang w:val="ru-RU"/>
        </w:rPr>
        <w:t>……”</w:t>
      </w:r>
      <w:r w:rsidRPr="004C59BB">
        <w:rPr>
          <w:color w:val="0000FF"/>
        </w:rPr>
        <w:t>《讲道集》第三十四篇。</w:t>
      </w:r>
    </w:p>
  </w:footnote>
  <w:footnote w:id="49">
    <w:p w14:paraId="421E855C" w14:textId="77777777" w:rsidR="00CA5CE2" w:rsidRPr="0097554A" w:rsidRDefault="00CA5CE2">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利奥《论五旬节讲道集》第三篇</w:t>
      </w:r>
      <w:r w:rsidRPr="0097554A">
        <w:rPr>
          <w:color w:val="0000FF"/>
          <w:lang w:val="ru-RU"/>
        </w:rPr>
        <w:t>；</w:t>
      </w:r>
      <w:r w:rsidRPr="004C59BB">
        <w:rPr>
          <w:color w:val="0000FF"/>
        </w:rPr>
        <w:t>特土良《论基督的肉身》第十四章</w:t>
      </w:r>
      <w:r w:rsidRPr="0097554A">
        <w:rPr>
          <w:color w:val="0000FF"/>
          <w:lang w:val="ru-RU"/>
        </w:rPr>
        <w:t>；</w:t>
      </w:r>
      <w:r w:rsidRPr="004C59BB">
        <w:rPr>
          <w:color w:val="0000FF"/>
        </w:rPr>
        <w:t>格莱米乌斯</w:t>
      </w:r>
      <w:r w:rsidRPr="0097554A">
        <w:rPr>
          <w:color w:val="0000FF"/>
          <w:lang w:val="ru-RU"/>
        </w:rPr>
        <w:t>·</w:t>
      </w:r>
      <w:r w:rsidRPr="004C59BB">
        <w:rPr>
          <w:color w:val="0000FF"/>
        </w:rPr>
        <w:t>亚历山大《教导》第三卷第一章</w:t>
      </w:r>
      <w:r w:rsidRPr="0097554A">
        <w:rPr>
          <w:color w:val="0000FF"/>
          <w:lang w:val="ru-RU"/>
        </w:rPr>
        <w:t>；</w:t>
      </w:r>
      <w:r w:rsidRPr="004C59BB">
        <w:rPr>
          <w:color w:val="0000FF"/>
        </w:rPr>
        <w:t>奥利金《民数记讲道集》第二十四篇</w:t>
      </w:r>
      <w:r w:rsidRPr="0097554A">
        <w:rPr>
          <w:color w:val="0000FF"/>
          <w:lang w:val="ru-RU"/>
        </w:rPr>
        <w:t>，</w:t>
      </w:r>
      <w:r w:rsidRPr="004C59BB">
        <w:rPr>
          <w:color w:val="0000FF"/>
        </w:rPr>
        <w:t>第</w:t>
      </w:r>
      <w:r w:rsidRPr="0097554A">
        <w:rPr>
          <w:color w:val="0000FF"/>
          <w:lang w:val="ru-RU"/>
        </w:rPr>
        <w:t>1</w:t>
      </w:r>
      <w:r w:rsidRPr="004C59BB">
        <w:rPr>
          <w:color w:val="0000FF"/>
        </w:rPr>
        <w:t>节</w:t>
      </w:r>
      <w:r w:rsidRPr="0097554A">
        <w:rPr>
          <w:color w:val="0000FF"/>
          <w:lang w:val="ru-RU"/>
        </w:rPr>
        <w:t>；</w:t>
      </w:r>
      <w:r w:rsidRPr="004C59BB">
        <w:rPr>
          <w:color w:val="0000FF"/>
        </w:rPr>
        <w:t>尼西阿的格雷戈里《教理问答》第十五章。</w:t>
      </w:r>
    </w:p>
  </w:footnote>
  <w:footnote w:id="50">
    <w:p w14:paraId="27EEE19B" w14:textId="77777777" w:rsidR="00CA5CE2" w:rsidRPr="0097554A" w:rsidRDefault="00CA5CE2">
      <w:pPr>
        <w:pStyle w:val="FootnoteText"/>
        <w:rPr>
          <w:color w:val="0000FF"/>
        </w:rPr>
      </w:pPr>
      <w:r w:rsidRPr="004C59BB">
        <w:rPr>
          <w:rStyle w:val="FootnoteReference"/>
          <w:color w:val="0000FF"/>
        </w:rPr>
        <w:footnoteRef/>
      </w:r>
      <w:r w:rsidRPr="0097554A">
        <w:rPr>
          <w:color w:val="0000FF"/>
          <w:lang w:val="ru-RU"/>
        </w:rPr>
        <w:t xml:space="preserve"> </w:t>
      </w:r>
      <w:r w:rsidR="002E6070" w:rsidRPr="004C59BB">
        <w:rPr>
          <w:color w:val="0000FF"/>
        </w:rPr>
        <w:t>继佩拉吉派之后</w:t>
      </w:r>
      <w:r w:rsidR="002E6070" w:rsidRPr="0097554A">
        <w:rPr>
          <w:color w:val="0000FF"/>
          <w:lang w:val="ru-RU"/>
        </w:rPr>
        <w:t>（</w:t>
      </w:r>
      <w:r w:rsidR="002E6070" w:rsidRPr="004C59BB">
        <w:rPr>
          <w:color w:val="0000FF"/>
        </w:rPr>
        <w:t>卡西安《论基督道成肉身</w:t>
      </w:r>
      <w:r w:rsidR="002E6070" w:rsidRPr="004C59BB">
        <w:rPr>
          <w:color w:val="0000FF"/>
          <w:lang w:val="ru-RU"/>
        </w:rPr>
        <w:t>，</w:t>
      </w:r>
      <w:r w:rsidR="002E6070" w:rsidRPr="004C59BB">
        <w:rPr>
          <w:color w:val="0000FF"/>
        </w:rPr>
        <w:t>反内斯托里乌斯</w:t>
      </w:r>
      <w:r w:rsidR="002E6070" w:rsidRPr="004C59BB">
        <w:rPr>
          <w:color w:val="0000FF"/>
          <w:lang w:val="ru-RU"/>
        </w:rPr>
        <w:t>》第1卷，第3章），许多经院哲学家也持这种观点（</w:t>
      </w:r>
      <w:r w:rsidR="002E6070" w:rsidRPr="004C59BB">
        <w:rPr>
          <w:color w:val="0000FF"/>
        </w:rPr>
        <w:t>亚历山大</w:t>
      </w:r>
      <w:r w:rsidR="002E6070" w:rsidRPr="0097554A">
        <w:rPr>
          <w:color w:val="0000FF"/>
          <w:lang w:val="ru-RU"/>
        </w:rPr>
        <w:t>·</w:t>
      </w:r>
      <w:r w:rsidR="002E6070" w:rsidRPr="004C59BB">
        <w:rPr>
          <w:color w:val="0000FF"/>
        </w:rPr>
        <w:t>哈伦斯《神学》第III卷</w:t>
      </w:r>
      <w:r w:rsidR="002E6070" w:rsidRPr="0097554A">
        <w:rPr>
          <w:color w:val="0000FF"/>
          <w:lang w:val="ru-RU"/>
        </w:rPr>
        <w:t>，</w:t>
      </w:r>
      <w:r w:rsidR="002E6070" w:rsidRPr="004C59BB">
        <w:rPr>
          <w:color w:val="0000FF"/>
        </w:rPr>
        <w:t>第II问</w:t>
      </w:r>
      <w:r w:rsidR="002E6070" w:rsidRPr="0097554A">
        <w:rPr>
          <w:color w:val="0000FF"/>
          <w:lang w:val="ru-RU"/>
        </w:rPr>
        <w:t>，</w:t>
      </w:r>
      <w:r w:rsidR="002E6070" w:rsidRPr="004C59BB">
        <w:rPr>
          <w:color w:val="0000FF"/>
        </w:rPr>
        <w:t>第</w:t>
      </w:r>
      <w:r w:rsidR="002E6070" w:rsidRPr="0097554A">
        <w:rPr>
          <w:color w:val="0000FF"/>
          <w:lang w:val="ru-RU"/>
        </w:rPr>
        <w:t>13</w:t>
      </w:r>
      <w:r w:rsidR="002E6070" w:rsidRPr="004C59BB">
        <w:rPr>
          <w:color w:val="0000FF"/>
        </w:rPr>
        <w:t>节</w:t>
      </w:r>
      <w:r w:rsidR="002E6070" w:rsidRPr="0097554A">
        <w:rPr>
          <w:color w:val="0000FF"/>
          <w:lang w:val="ru-RU"/>
        </w:rPr>
        <w:t>；</w:t>
      </w:r>
      <w:r w:rsidR="002E6070" w:rsidRPr="004C59BB">
        <w:rPr>
          <w:color w:val="0000FF"/>
        </w:rPr>
        <w:t>阿尔赫特</w:t>
      </w:r>
      <w:r w:rsidR="002E6070" w:rsidRPr="0097554A">
        <w:rPr>
          <w:color w:val="0000FF"/>
          <w:lang w:val="ru-RU"/>
        </w:rPr>
        <w:t>·</w:t>
      </w:r>
      <w:r w:rsidR="002E6070" w:rsidRPr="004C59BB">
        <w:rPr>
          <w:color w:val="0000FF"/>
        </w:rPr>
        <w:t>M</w:t>
      </w:r>
      <w:r w:rsidR="002E6070" w:rsidRPr="0097554A">
        <w:rPr>
          <w:color w:val="0000FF"/>
          <w:lang w:val="ru-RU"/>
        </w:rPr>
        <w:t>.</w:t>
      </w:r>
      <w:r w:rsidR="002E6070" w:rsidRPr="004C59BB">
        <w:rPr>
          <w:color w:val="0000FF"/>
        </w:rPr>
        <w:t>《神学论断》第III卷</w:t>
      </w:r>
      <w:r w:rsidR="002E6070" w:rsidRPr="0097554A">
        <w:rPr>
          <w:color w:val="0000FF"/>
          <w:lang w:val="ru-RU"/>
        </w:rPr>
        <w:t>，</w:t>
      </w:r>
      <w:r w:rsidR="002E6070" w:rsidRPr="004C59BB">
        <w:rPr>
          <w:color w:val="0000FF"/>
        </w:rPr>
        <w:t>第XX区分</w:t>
      </w:r>
      <w:r w:rsidR="002E6070" w:rsidRPr="0097554A">
        <w:rPr>
          <w:color w:val="0000FF"/>
          <w:lang w:val="ru-RU"/>
        </w:rPr>
        <w:t>，</w:t>
      </w:r>
      <w:r w:rsidR="002E6070" w:rsidRPr="004C59BB">
        <w:rPr>
          <w:color w:val="0000FF"/>
        </w:rPr>
        <w:t>第</w:t>
      </w:r>
      <w:r w:rsidR="002E6070" w:rsidRPr="0097554A">
        <w:rPr>
          <w:color w:val="0000FF"/>
          <w:lang w:val="ru-RU"/>
        </w:rPr>
        <w:t>4</w:t>
      </w:r>
      <w:r w:rsidR="002E6070" w:rsidRPr="004C59BB">
        <w:rPr>
          <w:color w:val="0000FF"/>
        </w:rPr>
        <w:t>条</w:t>
      </w:r>
      <w:r w:rsidR="002E6070" w:rsidRPr="0097554A">
        <w:rPr>
          <w:color w:val="0000FF"/>
          <w:lang w:val="ru-RU"/>
        </w:rPr>
        <w:t xml:space="preserve">； </w:t>
      </w:r>
      <w:r w:rsidR="002E6070" w:rsidRPr="004C59BB">
        <w:rPr>
          <w:color w:val="0000FF"/>
        </w:rPr>
        <w:t>邓肯</w:t>
      </w:r>
      <w:r w:rsidR="002E6070" w:rsidRPr="0097554A">
        <w:rPr>
          <w:color w:val="0000FF"/>
          <w:lang w:val="ru-RU"/>
        </w:rPr>
        <w:t>·</w:t>
      </w:r>
      <w:r w:rsidR="002E6070" w:rsidRPr="004C59BB">
        <w:rPr>
          <w:color w:val="0000FF"/>
        </w:rPr>
        <w:t>斯科特《神学论著》第三卷</w:t>
      </w:r>
      <w:r w:rsidR="002E6070" w:rsidRPr="0097554A">
        <w:rPr>
          <w:color w:val="0000FF"/>
          <w:lang w:val="ru-RU"/>
        </w:rPr>
        <w:t>，</w:t>
      </w:r>
      <w:r w:rsidR="002E6070" w:rsidRPr="004C59BB">
        <w:rPr>
          <w:color w:val="0000FF"/>
        </w:rPr>
        <w:t>第七区分</w:t>
      </w:r>
      <w:r w:rsidR="002E6070" w:rsidRPr="0097554A">
        <w:rPr>
          <w:color w:val="0000FF"/>
          <w:lang w:val="ru-RU"/>
        </w:rPr>
        <w:t>，</w:t>
      </w:r>
      <w:r w:rsidR="002E6070" w:rsidRPr="004C59BB">
        <w:rPr>
          <w:color w:val="0000FF"/>
        </w:rPr>
        <w:t>第三问</w:t>
      </w:r>
      <w:r w:rsidR="002E6070" w:rsidRPr="0097554A">
        <w:rPr>
          <w:color w:val="0000FF"/>
          <w:lang w:val="ru-RU"/>
        </w:rPr>
        <w:t>；</w:t>
      </w:r>
      <w:r w:rsidR="002E6070" w:rsidRPr="004C59BB">
        <w:rPr>
          <w:color w:val="0000FF"/>
        </w:rPr>
        <w:t>第十九区分</w:t>
      </w:r>
      <w:r w:rsidR="002E6070" w:rsidRPr="0097554A">
        <w:rPr>
          <w:color w:val="0000FF"/>
          <w:lang w:val="ru-RU"/>
        </w:rPr>
        <w:t>，</w:t>
      </w:r>
      <w:r w:rsidR="002E6070" w:rsidRPr="004C59BB">
        <w:rPr>
          <w:color w:val="0000FF"/>
        </w:rPr>
        <w:t>第一问</w:t>
      </w:r>
      <w:r w:rsidR="002E6070" w:rsidRPr="0097554A">
        <w:rPr>
          <w:color w:val="0000FF"/>
          <w:lang w:val="ru-RU"/>
        </w:rPr>
        <w:t>），</w:t>
      </w:r>
      <w:r w:rsidR="002E6070" w:rsidRPr="004C59BB">
        <w:rPr>
          <w:color w:val="0000FF"/>
        </w:rPr>
        <w:t>加尔文主义者和索西尼派也持此观点。</w:t>
      </w:r>
      <w:r w:rsidR="002E6070" w:rsidRPr="004C59BB">
        <w:rPr>
          <w:color w:val="0000FF"/>
          <w:lang w:val="ru-RU"/>
        </w:rPr>
        <w:t>关于对其论据的详细反驳</w:t>
      </w:r>
      <w:r w:rsidR="002E6070" w:rsidRPr="0097554A">
        <w:rPr>
          <w:color w:val="0000FF"/>
        </w:rPr>
        <w:t>，</w:t>
      </w:r>
      <w:r w:rsidR="002E6070" w:rsidRPr="004C59BB">
        <w:rPr>
          <w:color w:val="0000FF"/>
          <w:lang w:val="ru-RU"/>
        </w:rPr>
        <w:t>可参见费奥凡</w:t>
      </w:r>
      <w:r w:rsidR="002E6070" w:rsidRPr="0097554A">
        <w:rPr>
          <w:color w:val="0000FF"/>
        </w:rPr>
        <w:t>·</w:t>
      </w:r>
      <w:r w:rsidR="002E6070" w:rsidRPr="004C59BB">
        <w:rPr>
          <w:color w:val="0000FF"/>
          <w:lang w:val="ru-RU"/>
        </w:rPr>
        <w:t>普罗科波维奇的《神学》</w:t>
      </w:r>
      <w:r w:rsidR="002E6070" w:rsidRPr="004C59BB">
        <w:rPr>
          <w:color w:val="0000FF"/>
        </w:rPr>
        <w:t>第三</w:t>
      </w:r>
      <w:r w:rsidR="002E6070" w:rsidRPr="004C59BB">
        <w:rPr>
          <w:color w:val="0000FF"/>
          <w:lang w:val="ru-RU"/>
        </w:rPr>
        <w:t>卷</w:t>
      </w:r>
      <w:r w:rsidR="002E6070" w:rsidRPr="0097554A">
        <w:rPr>
          <w:color w:val="0000FF"/>
        </w:rPr>
        <w:t>，</w:t>
      </w:r>
      <w:r w:rsidR="002E6070" w:rsidRPr="004C59BB">
        <w:rPr>
          <w:color w:val="0000FF"/>
          <w:lang w:val="ru-RU"/>
        </w:rPr>
        <w:t>第</w:t>
      </w:r>
      <w:r w:rsidR="002E6070" w:rsidRPr="0097554A">
        <w:rPr>
          <w:color w:val="0000FF"/>
        </w:rPr>
        <w:t>205–217</w:t>
      </w:r>
      <w:r w:rsidR="002E6070" w:rsidRPr="004C59BB">
        <w:rPr>
          <w:color w:val="0000FF"/>
          <w:lang w:val="ru-RU"/>
        </w:rPr>
        <w:t>页。</w:t>
      </w:r>
    </w:p>
  </w:footnote>
  <w:footnote w:id="51">
    <w:p w14:paraId="1251C038" w14:textId="77777777" w:rsidR="002E6070" w:rsidRPr="0097554A" w:rsidRDefault="002E607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《神学词典》</w:t>
      </w:r>
      <w:r w:rsidRPr="004C59BB">
        <w:rPr>
          <w:color w:val="0000FF"/>
        </w:rPr>
        <w:t>第V卷</w:t>
      </w:r>
      <w:r w:rsidRPr="0097554A">
        <w:rPr>
          <w:color w:val="0000FF"/>
        </w:rPr>
        <w:t>，</w:t>
      </w:r>
      <w:r w:rsidRPr="004C59BB">
        <w:rPr>
          <w:color w:val="0000FF"/>
          <w:lang w:val="ru-RU"/>
        </w:rPr>
        <w:t>载于《圣教父著作集》</w:t>
      </w:r>
      <w:r w:rsidRPr="004C59BB">
        <w:rPr>
          <w:color w:val="0000FF"/>
        </w:rPr>
        <w:t>第III</w:t>
      </w:r>
      <w:r w:rsidRPr="004C59BB">
        <w:rPr>
          <w:color w:val="0000FF"/>
          <w:lang w:val="ru-RU"/>
        </w:rPr>
        <w:t>卷</w:t>
      </w:r>
      <w:r w:rsidRPr="0097554A">
        <w:rPr>
          <w:color w:val="0000FF"/>
        </w:rPr>
        <w:t>，</w:t>
      </w:r>
      <w:r w:rsidRPr="004C59BB">
        <w:rPr>
          <w:color w:val="0000FF"/>
          <w:lang w:val="ru-RU"/>
        </w:rPr>
        <w:t>第</w:t>
      </w:r>
      <w:r w:rsidRPr="0097554A">
        <w:rPr>
          <w:color w:val="0000FF"/>
        </w:rPr>
        <w:t>125</w:t>
      </w:r>
      <w:r w:rsidRPr="004C59BB">
        <w:rPr>
          <w:color w:val="0000FF"/>
          <w:lang w:val="ru-RU"/>
        </w:rPr>
        <w:t>页。</w:t>
      </w:r>
    </w:p>
  </w:footnote>
  <w:footnote w:id="52">
    <w:p w14:paraId="6547CDB4" w14:textId="77777777" w:rsidR="002E6070" w:rsidRPr="0097554A" w:rsidRDefault="002E6070">
      <w:pPr>
        <w:pStyle w:val="FootnoteText"/>
        <w:rPr>
          <w:color w:val="0000FF"/>
          <w:lang w:val="ru-RU"/>
        </w:rPr>
      </w:pPr>
      <w:r w:rsidRPr="004C59BB">
        <w:rPr>
          <w:rStyle w:val="FootnoteReference"/>
          <w:color w:val="0000FF"/>
        </w:rPr>
        <w:footnoteRef/>
      </w:r>
      <w:r w:rsidRPr="004C59BB">
        <w:rPr>
          <w:color w:val="0000FF"/>
        </w:rPr>
        <w:t xml:space="preserve"> 《生日讲道集》，收录于《全集》第III卷，第341页，巴黎，</w:t>
      </w:r>
      <w:r w:rsidRPr="0097554A">
        <w:rPr>
          <w:color w:val="0000FF"/>
        </w:rPr>
        <w:t>1638</w:t>
      </w:r>
      <w:r w:rsidRPr="004C59BB">
        <w:rPr>
          <w:color w:val="0000FF"/>
          <w:lang w:val="ru-RU"/>
        </w:rPr>
        <w:t>年。随后，这位圣父继续说道：“当一切罪恶的力量由此根源滋生，以多种形态滋长，并在历代以邪恶著称之人的意志中显现时； 那时，正如使徒所言，上帝（《使徒行传》17:30）轻视了无知的年代，在末世降临……随后，祂借着人的肉身击碎了</w:t>
      </w:r>
      <w:r w:rsidR="005666A3" w:rsidRPr="004C59BB">
        <w:rPr>
          <w:color w:val="0000FF"/>
          <w:lang w:val="ru-RU"/>
        </w:rPr>
        <w:t>蛇的许多头……”</w:t>
      </w:r>
      <w:r w:rsidRPr="004C59BB">
        <w:rPr>
          <w:color w:val="0000FF"/>
          <w:lang w:val="ru-RU"/>
        </w:rPr>
        <w:t>（同上，第342页）。 圣格里高利·神学家（《圣教父著作集》第三卷，</w:t>
      </w:r>
      <w:r w:rsidR="00F45CFB" w:rsidRPr="004C59BB">
        <w:rPr>
          <w:b/>
          <w:color w:val="0000FF"/>
          <w:lang w:val="ru-RU"/>
        </w:rPr>
        <w:t>294–295页）</w:t>
      </w:r>
      <w:r w:rsidRPr="004C59BB">
        <w:rPr>
          <w:color w:val="0000FF"/>
          <w:lang w:val="ru-RU"/>
        </w:rPr>
        <w:t>和福者狄奥多里</w:t>
      </w:r>
      <w:r w:rsidRPr="0097554A">
        <w:rPr>
          <w:color w:val="0000FF"/>
          <w:lang w:val="ru-RU"/>
        </w:rPr>
        <w:t>（</w:t>
      </w:r>
      <w:r w:rsidRPr="004C59BB">
        <w:rPr>
          <w:color w:val="0000FF"/>
        </w:rPr>
        <w:t>《反希腊人讲道集》第六卷</w:t>
      </w:r>
      <w:r w:rsidRPr="0097554A">
        <w:rPr>
          <w:color w:val="0000FF"/>
          <w:lang w:val="ru-RU"/>
        </w:rPr>
        <w:t>，</w:t>
      </w:r>
      <w:r w:rsidRPr="004C59BB">
        <w:rPr>
          <w:color w:val="0000FF"/>
        </w:rPr>
        <w:t>载于《著作集》第四卷</w:t>
      </w:r>
      <w:r w:rsidRPr="0097554A">
        <w:rPr>
          <w:color w:val="0000FF"/>
          <w:lang w:val="ru-RU"/>
        </w:rPr>
        <w:t>，</w:t>
      </w:r>
      <w:r w:rsidRPr="004C59BB">
        <w:rPr>
          <w:color w:val="0000FF"/>
        </w:rPr>
        <w:t>第</w:t>
      </w:r>
      <w:r w:rsidRPr="0097554A">
        <w:rPr>
          <w:color w:val="0000FF"/>
          <w:lang w:val="ru-RU"/>
        </w:rPr>
        <w:t>579</w:t>
      </w:r>
      <w:r w:rsidRPr="004C59BB">
        <w:rPr>
          <w:color w:val="0000FF"/>
        </w:rPr>
        <w:t>页</w:t>
      </w:r>
      <w:r w:rsidRPr="0097554A">
        <w:rPr>
          <w:color w:val="0000FF"/>
          <w:lang w:val="ru-RU"/>
        </w:rPr>
        <w:t>）</w:t>
      </w:r>
      <w:r w:rsidRPr="004C59BB">
        <w:rPr>
          <w:color w:val="0000FF"/>
          <w:lang w:val="ru-RU"/>
        </w:rPr>
        <w:t>也阐述了同样的思想</w:t>
      </w:r>
      <w:r w:rsidRPr="004C59BB">
        <w:rPr>
          <w:color w:val="0000FF"/>
        </w:rPr>
        <w:t>。</w:t>
      </w:r>
    </w:p>
  </w:footnote>
  <w:footnote w:id="53">
    <w:p w14:paraId="0EAB566C" w14:textId="77777777" w:rsidR="002E6070" w:rsidRPr="0097554A" w:rsidRDefault="002E607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见《约翰讲道集》第XXXI篇</w:t>
      </w:r>
      <w:r w:rsidRPr="0097554A">
        <w:rPr>
          <w:color w:val="0000FF"/>
          <w:lang w:val="ru-RU"/>
        </w:rPr>
        <w:t>，</w:t>
      </w:r>
      <w:r w:rsidRPr="004C59BB">
        <w:rPr>
          <w:color w:val="0000FF"/>
        </w:rPr>
        <w:t>第</w:t>
      </w:r>
      <w:r w:rsidRPr="0097554A">
        <w:rPr>
          <w:color w:val="0000FF"/>
          <w:lang w:val="ru-RU"/>
        </w:rPr>
        <w:t>5</w:t>
      </w:r>
      <w:r w:rsidRPr="004C59BB">
        <w:rPr>
          <w:color w:val="0000FF"/>
        </w:rPr>
        <w:t>节。</w:t>
      </w:r>
    </w:p>
  </w:footnote>
  <w:footnote w:id="54">
    <w:p w14:paraId="5E1F338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《论圣灵》第14章，载于《圣教父文集》</w:t>
      </w:r>
      <w:r w:rsidRPr="004C59BB">
        <w:rPr>
          <w:color w:val="0000FF"/>
        </w:rPr>
        <w:t>第七</w:t>
      </w:r>
      <w:r w:rsidRPr="004C59BB">
        <w:rPr>
          <w:color w:val="0000FF"/>
          <w:lang w:val="ru-RU"/>
        </w:rPr>
        <w:t>卷，第280–281页。另见圣格里高利·神学家《复活节讲道》，载于《圣教父文集》</w:t>
      </w:r>
      <w:r w:rsidRPr="004C59BB">
        <w:rPr>
          <w:color w:val="0000FF"/>
        </w:rPr>
        <w:t>第四</w:t>
      </w:r>
      <w:r w:rsidRPr="004C59BB">
        <w:rPr>
          <w:color w:val="0000FF"/>
          <w:lang w:val="ru-RU"/>
        </w:rPr>
        <w:t>卷，第164–165页。</w:t>
      </w:r>
    </w:p>
  </w:footnote>
  <w:footnote w:id="55">
    <w:p w14:paraId="6E083753" w14:textId="77777777" w:rsidR="002E6070" w:rsidRPr="0097554A" w:rsidRDefault="002E607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参见埃西莫斯</w:t>
      </w:r>
      <w:r w:rsidRPr="0097554A">
        <w:rPr>
          <w:color w:val="0000FF"/>
          <w:lang w:val="ru-RU"/>
        </w:rPr>
        <w:t>·</w:t>
      </w:r>
      <w:r w:rsidRPr="004C59BB">
        <w:rPr>
          <w:color w:val="0000FF"/>
        </w:rPr>
        <w:t>齐加本</w:t>
      </w:r>
      <w:r w:rsidRPr="004C59BB">
        <w:rPr>
          <w:color w:val="0000FF"/>
          <w:lang w:val="ru-RU"/>
        </w:rPr>
        <w:t>《</w:t>
      </w:r>
      <w:r w:rsidRPr="004C59BB">
        <w:rPr>
          <w:color w:val="0000FF"/>
        </w:rPr>
        <w:t>护教全集</w:t>
      </w:r>
      <w:r w:rsidRPr="004C59BB">
        <w:rPr>
          <w:color w:val="0000FF"/>
          <w:lang w:val="ru-RU"/>
        </w:rPr>
        <w:t>》</w:t>
      </w:r>
      <w:r w:rsidRPr="004C59BB">
        <w:rPr>
          <w:color w:val="0000FF"/>
        </w:rPr>
        <w:t>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7</w:t>
      </w:r>
      <w:r w:rsidRPr="004C59BB">
        <w:rPr>
          <w:color w:val="0000FF"/>
        </w:rPr>
        <w:t>题</w:t>
      </w:r>
      <w:r w:rsidRPr="0097554A">
        <w:rPr>
          <w:color w:val="0000FF"/>
          <w:lang w:val="ru-RU"/>
        </w:rPr>
        <w:t>，</w:t>
      </w:r>
      <w:r w:rsidRPr="004C59BB">
        <w:rPr>
          <w:color w:val="0000FF"/>
        </w:rPr>
        <w:t>第</w:t>
      </w:r>
      <w:r w:rsidRPr="0097554A">
        <w:rPr>
          <w:color w:val="0000FF"/>
          <w:lang w:val="ru-RU"/>
        </w:rPr>
        <w:t>142</w:t>
      </w:r>
      <w:r w:rsidRPr="004C59BB">
        <w:rPr>
          <w:color w:val="0000FF"/>
        </w:rPr>
        <w:t>页。</w:t>
      </w:r>
    </w:p>
  </w:footnote>
  <w:footnote w:id="56">
    <w:p w14:paraId="4C3F6C54" w14:textId="77777777" w:rsidR="002E6070" w:rsidRPr="004C59BB" w:rsidRDefault="002E607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圣</w:t>
      </w:r>
      <w:r w:rsidRPr="004C59BB">
        <w:rPr>
          <w:color w:val="0000FF"/>
          <w:lang w:val="ru-RU"/>
        </w:rPr>
        <w:t>迪米特里·波斯莫夫，《文集》</w:t>
      </w:r>
      <w:r w:rsidRPr="004C59BB">
        <w:rPr>
          <w:color w:val="0000FF"/>
        </w:rPr>
        <w:t>第三</w:t>
      </w:r>
      <w:r w:rsidRPr="004C59BB">
        <w:rPr>
          <w:color w:val="0000FF"/>
          <w:lang w:val="ru-RU"/>
        </w:rPr>
        <w:t>卷，第101页，载于《1842年基督教读本》</w:t>
      </w:r>
      <w:r w:rsidRPr="004C59BB">
        <w:rPr>
          <w:color w:val="0000FF"/>
        </w:rPr>
        <w:t>第四卷</w:t>
      </w:r>
      <w:r w:rsidRPr="004C59BB">
        <w:rPr>
          <w:color w:val="0000FF"/>
          <w:lang w:val="ru-RU"/>
        </w:rPr>
        <w:t>，第395页。</w:t>
      </w:r>
    </w:p>
  </w:footnote>
  <w:footnote w:id="57">
    <w:p w14:paraId="382BB20D"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关于父权制宗教，参见《东正教神学导论》。</w:t>
      </w:r>
      <w:r w:rsidRPr="004C59BB">
        <w:rPr>
          <w:color w:val="0000FF"/>
        </w:rPr>
        <w:t>A</w:t>
      </w:r>
      <w:r w:rsidRPr="004C59BB">
        <w:rPr>
          <w:color w:val="0000FF"/>
          <w:lang w:val="ru-RU"/>
        </w:rPr>
        <w:t>. M.</w:t>
      </w:r>
    </w:p>
  </w:footnote>
  <w:footnote w:id="58">
    <w:p w14:paraId="7F5A66E6" w14:textId="77777777" w:rsidR="00A84D26" w:rsidRPr="004C59BB" w:rsidRDefault="00A84D26">
      <w:pPr>
        <w:pStyle w:val="FootnoteText"/>
        <w:rPr>
          <w:color w:val="0000FF"/>
          <w:lang w:val="ru-RU"/>
        </w:rPr>
      </w:pPr>
      <w:r w:rsidRPr="004C59BB">
        <w:rPr>
          <w:rStyle w:val="FootnoteReference"/>
          <w:color w:val="0000FF"/>
        </w:rPr>
        <w:footnoteRef/>
      </w:r>
      <w:r w:rsidRPr="004C59BB">
        <w:rPr>
          <w:color w:val="0000FF"/>
          <w:lang w:val="ru-RU"/>
        </w:rPr>
        <w:t xml:space="preserve"> 教会自古以来就相信亚当获得了救赎，这可从爱任纽（《</w:t>
      </w:r>
      <w:r w:rsidRPr="004C59BB">
        <w:rPr>
          <w:color w:val="0000FF"/>
        </w:rPr>
        <w:t>反异端</w:t>
      </w:r>
      <w:r w:rsidRPr="004C59BB">
        <w:rPr>
          <w:color w:val="0000FF"/>
          <w:lang w:val="ru-RU"/>
        </w:rPr>
        <w:t>》</w:t>
      </w:r>
      <w:r w:rsidRPr="004C59BB">
        <w:rPr>
          <w:color w:val="0000FF"/>
        </w:rPr>
        <w:t>第三卷</w:t>
      </w:r>
      <w:r w:rsidRPr="0097554A">
        <w:rPr>
          <w:color w:val="0000FF"/>
          <w:lang w:val="ru-RU"/>
        </w:rPr>
        <w:t>，</w:t>
      </w:r>
      <w:r w:rsidRPr="004C59BB">
        <w:rPr>
          <w:color w:val="0000FF"/>
        </w:rPr>
        <w:t>第</w:t>
      </w:r>
      <w:r w:rsidRPr="0097554A">
        <w:rPr>
          <w:color w:val="0000FF"/>
          <w:lang w:val="ru-RU"/>
        </w:rPr>
        <w:t>54</w:t>
      </w:r>
      <w:r w:rsidRPr="004C59BB">
        <w:rPr>
          <w:color w:val="0000FF"/>
        </w:rPr>
        <w:t>章</w:t>
      </w:r>
      <w:r w:rsidRPr="0097554A">
        <w:rPr>
          <w:color w:val="0000FF"/>
          <w:lang w:val="ru-RU"/>
        </w:rPr>
        <w:t>）</w:t>
      </w:r>
      <w:r w:rsidRPr="004C59BB">
        <w:rPr>
          <w:color w:val="0000FF"/>
        </w:rPr>
        <w:t>、特土良</w:t>
      </w:r>
      <w:r w:rsidRPr="0097554A">
        <w:rPr>
          <w:color w:val="0000FF"/>
          <w:lang w:val="ru-RU"/>
        </w:rPr>
        <w:t>（</w:t>
      </w:r>
      <w:r w:rsidRPr="004C59BB">
        <w:rPr>
          <w:color w:val="0000FF"/>
        </w:rPr>
        <w:t>《反马吉安》第二卷</w:t>
      </w:r>
      <w:r w:rsidRPr="0097554A">
        <w:rPr>
          <w:color w:val="0000FF"/>
          <w:lang w:val="ru-RU"/>
        </w:rPr>
        <w:t>）</w:t>
      </w:r>
      <w:r w:rsidRPr="004C59BB">
        <w:rPr>
          <w:color w:val="0000FF"/>
        </w:rPr>
        <w:t>和奥利金</w:t>
      </w:r>
      <w:r w:rsidRPr="0097554A">
        <w:rPr>
          <w:color w:val="0000FF"/>
          <w:lang w:val="ru-RU"/>
        </w:rPr>
        <w:t>（</w:t>
      </w:r>
      <w:r w:rsidRPr="004C59BB">
        <w:rPr>
          <w:color w:val="0000FF"/>
        </w:rPr>
        <w:t>《马太福音讲道集》第三十三篇</w:t>
      </w:r>
      <w:r w:rsidRPr="0097554A">
        <w:rPr>
          <w:color w:val="0000FF"/>
          <w:lang w:val="ru-RU"/>
        </w:rPr>
        <w:t>）</w:t>
      </w:r>
      <w:r w:rsidRPr="004C59BB">
        <w:rPr>
          <w:color w:val="0000FF"/>
        </w:rPr>
        <w:t>等人的</w:t>
      </w:r>
      <w:r w:rsidRPr="004C59BB">
        <w:rPr>
          <w:color w:val="0000FF"/>
          <w:lang w:val="ru-RU"/>
        </w:rPr>
        <w:t>证言中看出</w:t>
      </w:r>
      <w:r w:rsidRPr="004C59BB">
        <w:rPr>
          <w:color w:val="0000FF"/>
        </w:rPr>
        <w:t>。</w:t>
      </w:r>
      <w:r w:rsidRPr="0097554A">
        <w:rPr>
          <w:color w:val="0000FF"/>
          <w:lang w:val="ru-RU"/>
        </w:rPr>
        <w:t xml:space="preserve"> </w:t>
      </w:r>
      <w:r w:rsidRPr="004C59BB">
        <w:rPr>
          <w:color w:val="0000FF"/>
          <w:lang w:val="ru-RU"/>
        </w:rPr>
        <w:t>前者在论及二世纪的异端“禁欲派”时指出：“他们甚至否认原初人类的得救，而这种观点实为他们自己杜撰的。 某位名叫塔齐安的人首先引入了这一亵渎神的教义……，并凭空捏造了证据来反驳亚当得救的教义</w:t>
      </w:r>
      <w:r w:rsidR="005666A3" w:rsidRPr="004C59BB">
        <w:rPr>
          <w:color w:val="0000FF"/>
          <w:lang w:val="ru-RU"/>
        </w:rPr>
        <w:t>”</w:t>
      </w:r>
      <w:r w:rsidRPr="004C59BB">
        <w:rPr>
          <w:color w:val="0000FF"/>
          <w:lang w:val="ru-RU"/>
        </w:rPr>
        <w:t>（参见优西比乌《教会史》</w:t>
      </w:r>
      <w:r w:rsidRPr="004C59BB">
        <w:rPr>
          <w:color w:val="0000FF"/>
        </w:rPr>
        <w:t>第IV卷</w:t>
      </w:r>
      <w:r w:rsidRPr="004C59BB">
        <w:rPr>
          <w:color w:val="0000FF"/>
          <w:lang w:val="ru-RU"/>
        </w:rPr>
        <w:t>第29章，俄文译本第242–243页）。</w:t>
      </w:r>
    </w:p>
  </w:footnote>
  <w:footnote w:id="59">
    <w:p w14:paraId="4A2A7F03" w14:textId="77777777" w:rsidR="00A84D26" w:rsidRPr="0097554A" w:rsidRDefault="00A84D26">
      <w:pPr>
        <w:pStyle w:val="FootnoteText"/>
        <w:rPr>
          <w:color w:val="0000FF"/>
          <w:lang w:val="ru-RU"/>
        </w:rPr>
      </w:pPr>
      <w:r w:rsidRPr="004C59BB">
        <w:rPr>
          <w:rStyle w:val="FootnoteReference"/>
          <w:color w:val="0000FF"/>
        </w:rPr>
        <w:footnoteRef/>
      </w:r>
      <w:r w:rsidRPr="004C59BB">
        <w:rPr>
          <w:color w:val="0000FF"/>
          <w:lang w:val="ru-RU"/>
        </w:rPr>
        <w:t xml:space="preserve"> 关于这些发生在族长时代和律法颁布前的有关弥赛亚的预言，我们此前已作过探讨</w:t>
      </w:r>
      <w:r w:rsidRPr="004C59BB">
        <w:rPr>
          <w:color w:val="0000FF"/>
        </w:rPr>
        <w:t>。《正统神学导论》第</w:t>
      </w:r>
      <w:r w:rsidRPr="0097554A">
        <w:rPr>
          <w:color w:val="0000FF"/>
          <w:lang w:val="ru-RU"/>
        </w:rPr>
        <w:t>61</w:t>
      </w:r>
      <w:r w:rsidRPr="004C59BB">
        <w:rPr>
          <w:color w:val="0000FF"/>
        </w:rPr>
        <w:t>、</w:t>
      </w:r>
      <w:r w:rsidRPr="0097554A">
        <w:rPr>
          <w:color w:val="0000FF"/>
          <w:lang w:val="ru-RU"/>
        </w:rPr>
        <w:t>77–89</w:t>
      </w:r>
      <w:r w:rsidRPr="004C59BB">
        <w:rPr>
          <w:color w:val="0000FF"/>
        </w:rPr>
        <w:t>节。</w:t>
      </w:r>
    </w:p>
  </w:footnote>
  <w:footnote w:id="60">
    <w:p w14:paraId="5B5780DC" w14:textId="77777777" w:rsidR="00A84D26" w:rsidRPr="0097554A" w:rsidRDefault="00A84D26">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而圣奥古斯丁也指出</w:t>
      </w:r>
      <w:r w:rsidRPr="0097554A">
        <w:rPr>
          <w:color w:val="0000FF"/>
          <w:lang w:val="ru-RU"/>
        </w:rPr>
        <w:t>：</w:t>
      </w:r>
      <w:r w:rsidRPr="004C59BB">
        <w:rPr>
          <w:color w:val="0000FF"/>
        </w:rPr>
        <w:t>因此</w:t>
      </w:r>
      <w:r w:rsidRPr="0097554A">
        <w:rPr>
          <w:color w:val="0000FF"/>
          <w:lang w:val="ru-RU"/>
        </w:rPr>
        <w:t>，</w:t>
      </w:r>
      <w:r w:rsidRPr="004C59BB">
        <w:rPr>
          <w:color w:val="0000FF"/>
        </w:rPr>
        <w:t>对于所有受律法管辖的人而言</w:t>
      </w:r>
      <w:r w:rsidRPr="0097554A">
        <w:rPr>
          <w:color w:val="0000FF"/>
          <w:lang w:val="ru-RU"/>
        </w:rPr>
        <w:t>，</w:t>
      </w:r>
      <w:r w:rsidRPr="004C59BB">
        <w:rPr>
          <w:color w:val="0000FF"/>
        </w:rPr>
        <w:t>律法使他们成为有罪之人</w:t>
      </w:r>
      <w:r w:rsidRPr="0097554A">
        <w:rPr>
          <w:color w:val="0000FF"/>
          <w:lang w:val="ru-RU"/>
        </w:rPr>
        <w:t>，</w:t>
      </w:r>
      <w:r w:rsidRPr="004C59BB">
        <w:rPr>
          <w:color w:val="0000FF"/>
        </w:rPr>
        <w:t>律法凌驾于他们之上</w:t>
      </w:r>
      <w:r w:rsidRPr="0097554A">
        <w:rPr>
          <w:color w:val="0000FF"/>
          <w:lang w:val="ru-RU"/>
        </w:rPr>
        <w:t>，</w:t>
      </w:r>
      <w:r w:rsidRPr="004C59BB">
        <w:rPr>
          <w:color w:val="0000FF"/>
        </w:rPr>
        <w:t>其目的在于揭示罪过</w:t>
      </w:r>
      <w:r w:rsidRPr="0097554A">
        <w:rPr>
          <w:color w:val="0000FF"/>
          <w:lang w:val="ru-RU"/>
        </w:rPr>
        <w:t>，</w:t>
      </w:r>
      <w:r w:rsidRPr="004C59BB">
        <w:rPr>
          <w:color w:val="0000FF"/>
        </w:rPr>
        <w:t>而非消除罪过</w:t>
      </w:r>
      <w:r w:rsidRPr="0097554A">
        <w:rPr>
          <w:color w:val="0000FF"/>
          <w:lang w:val="ru-RU"/>
        </w:rPr>
        <w:t xml:space="preserve">…… </w:t>
      </w:r>
      <w:r w:rsidRPr="004C59BB">
        <w:rPr>
          <w:color w:val="0000FF"/>
        </w:rPr>
        <w:t>人们试图凭自己的力量履行律法所规定的义务</w:t>
      </w:r>
      <w:r w:rsidRPr="0097554A">
        <w:rPr>
          <w:color w:val="0000FF"/>
          <w:lang w:val="ru-RU"/>
        </w:rPr>
        <w:t>，</w:t>
      </w:r>
      <w:r w:rsidRPr="004C59BB">
        <w:rPr>
          <w:color w:val="0000FF"/>
        </w:rPr>
        <w:t>却因自身鲁莽而仓促的自负而跌倒</w:t>
      </w:r>
      <w:r w:rsidRPr="0097554A">
        <w:rPr>
          <w:color w:val="0000FF"/>
          <w:lang w:val="ru-RU"/>
        </w:rPr>
        <w:t>……；</w:t>
      </w:r>
      <w:r w:rsidRPr="004C59BB">
        <w:rPr>
          <w:color w:val="0000FF"/>
        </w:rPr>
        <w:t>既然他们无法凭自己的力量遵守律法</w:t>
      </w:r>
      <w:r w:rsidRPr="0097554A">
        <w:rPr>
          <w:color w:val="0000FF"/>
          <w:lang w:val="ru-RU"/>
        </w:rPr>
        <w:t>，</w:t>
      </w:r>
      <w:r w:rsidRPr="004C59BB">
        <w:rPr>
          <w:color w:val="0000FF"/>
        </w:rPr>
        <w:t>便在律法之下成为有罪之人</w:t>
      </w:r>
      <w:r w:rsidRPr="0097554A">
        <w:rPr>
          <w:color w:val="0000FF"/>
          <w:lang w:val="ru-RU"/>
        </w:rPr>
        <w:t>，</w:t>
      </w:r>
      <w:r w:rsidRPr="004C59BB">
        <w:rPr>
          <w:color w:val="0000FF"/>
        </w:rPr>
        <w:t>恳求救赎主的帮助</w:t>
      </w:r>
      <w:r w:rsidRPr="0097554A">
        <w:rPr>
          <w:color w:val="0000FF"/>
          <w:lang w:val="ru-RU"/>
        </w:rPr>
        <w:t>；</w:t>
      </w:r>
      <w:r w:rsidRPr="004C59BB">
        <w:rPr>
          <w:color w:val="0000FF"/>
        </w:rPr>
        <w:t>律法所指的罪孽</w:t>
      </w:r>
      <w:r w:rsidRPr="0097554A">
        <w:rPr>
          <w:color w:val="0000FF"/>
          <w:lang w:val="ru-RU"/>
        </w:rPr>
        <w:t>，</w:t>
      </w:r>
      <w:r w:rsidRPr="004C59BB">
        <w:rPr>
          <w:color w:val="0000FF"/>
        </w:rPr>
        <w:t>使骄傲者陷入了病痛。</w:t>
      </w:r>
      <w:r w:rsidRPr="0097554A">
        <w:rPr>
          <w:color w:val="0000FF"/>
          <w:lang w:val="ru-RU"/>
        </w:rPr>
        <w:t xml:space="preserve"> </w:t>
      </w:r>
      <w:r w:rsidRPr="004C59BB">
        <w:rPr>
          <w:color w:val="0000FF"/>
        </w:rPr>
        <w:t>傲慢者的病痛成了谦卑者的忏悔</w:t>
      </w:r>
      <w:r w:rsidRPr="0097554A">
        <w:rPr>
          <w:color w:val="0000FF"/>
          <w:lang w:val="ru-RU"/>
        </w:rPr>
        <w:t>：</w:t>
      </w:r>
      <w:r w:rsidRPr="004C59BB">
        <w:rPr>
          <w:color w:val="0000FF"/>
        </w:rPr>
        <w:t>如今患病者因病而忏悔</w:t>
      </w:r>
      <w:r w:rsidRPr="0097554A">
        <w:rPr>
          <w:color w:val="0000FF"/>
          <w:lang w:val="ru-RU"/>
        </w:rPr>
        <w:t>；</w:t>
      </w:r>
      <w:r w:rsidRPr="004C59BB">
        <w:rPr>
          <w:color w:val="0000FF"/>
        </w:rPr>
        <w:t>医者将至</w:t>
      </w:r>
      <w:r w:rsidRPr="0097554A">
        <w:rPr>
          <w:color w:val="0000FF"/>
          <w:lang w:val="ru-RU"/>
        </w:rPr>
        <w:t>，</w:t>
      </w:r>
      <w:r w:rsidRPr="004C59BB">
        <w:rPr>
          <w:color w:val="0000FF"/>
        </w:rPr>
        <w:t>并要医治这些患病者</w:t>
      </w:r>
      <w:r w:rsidRPr="0097554A">
        <w:rPr>
          <w:color w:val="0000FF"/>
          <w:lang w:val="ru-RU"/>
        </w:rPr>
        <w:t>（</w:t>
      </w:r>
      <w:r w:rsidRPr="004C59BB">
        <w:rPr>
          <w:color w:val="0000FF"/>
        </w:rPr>
        <w:t>《约翰福音讲义》第三卷</w:t>
      </w:r>
      <w:r w:rsidRPr="0097554A">
        <w:rPr>
          <w:color w:val="0000FF"/>
          <w:lang w:val="ru-RU"/>
        </w:rPr>
        <w:t>，</w:t>
      </w:r>
      <w:r w:rsidRPr="004C59BB">
        <w:rPr>
          <w:color w:val="0000FF"/>
        </w:rPr>
        <w:t>第</w:t>
      </w:r>
      <w:r w:rsidRPr="0097554A">
        <w:rPr>
          <w:color w:val="0000FF"/>
          <w:lang w:val="ru-RU"/>
        </w:rPr>
        <w:t>2</w:t>
      </w:r>
      <w:r w:rsidRPr="004C59BB">
        <w:rPr>
          <w:color w:val="0000FF"/>
        </w:rPr>
        <w:t>节</w:t>
      </w:r>
      <w:r w:rsidRPr="0097554A">
        <w:rPr>
          <w:color w:val="0000FF"/>
          <w:lang w:val="ru-RU"/>
        </w:rPr>
        <w:t>，</w:t>
      </w:r>
      <w:r w:rsidRPr="004C59BB">
        <w:rPr>
          <w:color w:val="0000FF"/>
        </w:rPr>
        <w:t>第</w:t>
      </w:r>
      <w:r w:rsidRPr="0097554A">
        <w:rPr>
          <w:color w:val="0000FF"/>
          <w:lang w:val="ru-RU"/>
        </w:rPr>
        <w:t>1397</w:t>
      </w:r>
      <w:r w:rsidRPr="004C59BB">
        <w:rPr>
          <w:color w:val="0000FF"/>
        </w:rPr>
        <w:t>页</w:t>
      </w:r>
      <w:r w:rsidRPr="0097554A">
        <w:rPr>
          <w:color w:val="0000FF"/>
          <w:lang w:val="ru-RU"/>
        </w:rPr>
        <w:t>，</w:t>
      </w:r>
      <w:r w:rsidRPr="004C59BB">
        <w:rPr>
          <w:color w:val="0000FF"/>
        </w:rPr>
        <w:t>载于《教父文集》第XXXV卷</w:t>
      </w:r>
      <w:r w:rsidRPr="0097554A">
        <w:rPr>
          <w:color w:val="0000FF"/>
          <w:lang w:val="ru-RU"/>
        </w:rPr>
        <w:t>）</w:t>
      </w:r>
      <w:r w:rsidRPr="004C59BB">
        <w:rPr>
          <w:color w:val="0000FF"/>
        </w:rPr>
        <w:t>。</w:t>
      </w:r>
    </w:p>
  </w:footnote>
  <w:footnote w:id="61">
    <w:p w14:paraId="46F771E8" w14:textId="77777777" w:rsidR="00A84D26" w:rsidRPr="0097554A" w:rsidRDefault="00A84D26">
      <w:pPr>
        <w:pStyle w:val="FootnoteText"/>
        <w:rPr>
          <w:color w:val="0000FF"/>
          <w:lang w:val="ru-RU"/>
        </w:rPr>
      </w:pPr>
      <w:r w:rsidRPr="004C59BB">
        <w:rPr>
          <w:rStyle w:val="FootnoteReference"/>
          <w:color w:val="0000FF"/>
        </w:rPr>
        <w:footnoteRef/>
      </w:r>
      <w:r w:rsidRPr="004C59BB">
        <w:rPr>
          <w:color w:val="0000FF"/>
          <w:lang w:val="ru-RU"/>
        </w:rPr>
        <w:t xml:space="preserve"> 例如：萨摩斯的梅勒斯（</w:t>
      </w:r>
      <w:r w:rsidRPr="004C59BB">
        <w:rPr>
          <w:color w:val="0000FF"/>
        </w:rPr>
        <w:t>见迪奥根尼</w:t>
      </w:r>
      <w:r w:rsidRPr="0097554A">
        <w:rPr>
          <w:color w:val="0000FF"/>
          <w:lang w:val="ru-RU"/>
        </w:rPr>
        <w:t>·</w:t>
      </w:r>
      <w:r w:rsidRPr="004C59BB">
        <w:rPr>
          <w:color w:val="0000FF"/>
        </w:rPr>
        <w:t>拉尔修《名哲言行录》第九卷</w:t>
      </w:r>
      <w:r w:rsidRPr="0097554A">
        <w:rPr>
          <w:color w:val="0000FF"/>
          <w:lang w:val="ru-RU"/>
        </w:rPr>
        <w:t>，</w:t>
      </w:r>
      <w:r w:rsidRPr="004C59BB">
        <w:rPr>
          <w:color w:val="0000FF"/>
        </w:rPr>
        <w:t>第</w:t>
      </w:r>
      <w:r w:rsidRPr="0097554A">
        <w:rPr>
          <w:color w:val="0000FF"/>
          <w:lang w:val="ru-RU"/>
        </w:rPr>
        <w:t>24</w:t>
      </w:r>
      <w:r w:rsidRPr="004C59BB">
        <w:rPr>
          <w:color w:val="0000FF"/>
        </w:rPr>
        <w:t>条</w:t>
      </w:r>
      <w:r w:rsidRPr="0097554A">
        <w:rPr>
          <w:color w:val="0000FF"/>
          <w:lang w:val="ru-RU"/>
        </w:rPr>
        <w:t>）</w:t>
      </w:r>
      <w:r w:rsidRPr="004C59BB">
        <w:rPr>
          <w:color w:val="0000FF"/>
        </w:rPr>
        <w:t>、苏格拉底</w:t>
      </w:r>
      <w:r w:rsidRPr="0097554A">
        <w:rPr>
          <w:color w:val="0000FF"/>
          <w:lang w:val="ru-RU"/>
        </w:rPr>
        <w:t>（</w:t>
      </w:r>
      <w:r w:rsidRPr="004C59BB">
        <w:rPr>
          <w:color w:val="0000FF"/>
        </w:rPr>
        <w:t>色诺芬《回忆录》第四卷</w:t>
      </w:r>
      <w:r w:rsidRPr="0097554A">
        <w:rPr>
          <w:color w:val="0000FF"/>
          <w:lang w:val="ru-RU"/>
        </w:rPr>
        <w:t>，</w:t>
      </w:r>
      <w:r w:rsidRPr="004C59BB">
        <w:rPr>
          <w:color w:val="0000FF"/>
        </w:rPr>
        <w:t>以及柏拉图</w:t>
      </w:r>
      <w:r w:rsidRPr="0097554A">
        <w:rPr>
          <w:color w:val="0000FF"/>
          <w:lang w:val="ru-RU"/>
        </w:rPr>
        <w:t xml:space="preserve"> </w:t>
      </w:r>
      <w:r w:rsidRPr="004C59BB">
        <w:rPr>
          <w:color w:val="0000FF"/>
        </w:rPr>
        <w:t>《对话录》</w:t>
      </w:r>
      <w:r w:rsidR="005666A3" w:rsidRPr="0097554A">
        <w:rPr>
          <w:color w:val="0000FF"/>
          <w:lang w:val="ru-RU"/>
        </w:rPr>
        <w:t>“</w:t>
      </w:r>
      <w:r w:rsidR="005666A3" w:rsidRPr="004C59BB">
        <w:rPr>
          <w:color w:val="0000FF"/>
        </w:rPr>
        <w:t>阿尔西比亚德斯</w:t>
      </w:r>
      <w:r w:rsidR="005666A3" w:rsidRPr="0097554A">
        <w:rPr>
          <w:color w:val="0000FF"/>
          <w:lang w:val="ru-RU"/>
        </w:rPr>
        <w:t>”</w:t>
      </w:r>
      <w:r w:rsidRPr="0097554A">
        <w:rPr>
          <w:color w:val="0000FF"/>
          <w:lang w:val="ru-RU"/>
        </w:rPr>
        <w:t>）</w:t>
      </w:r>
      <w:r w:rsidRPr="004C59BB">
        <w:rPr>
          <w:color w:val="0000FF"/>
        </w:rPr>
        <w:t>、柏拉图</w:t>
      </w:r>
      <w:r w:rsidRPr="0097554A">
        <w:rPr>
          <w:color w:val="0000FF"/>
          <w:lang w:val="ru-RU"/>
        </w:rPr>
        <w:t>（</w:t>
      </w:r>
      <w:r w:rsidRPr="004C59BB">
        <w:rPr>
          <w:color w:val="0000FF"/>
        </w:rPr>
        <w:t>《论埃皮梅尼德》及《论法律》第九卷</w:t>
      </w:r>
      <w:r w:rsidRPr="0097554A">
        <w:rPr>
          <w:color w:val="0000FF"/>
          <w:lang w:val="ru-RU"/>
        </w:rPr>
        <w:t>）</w:t>
      </w:r>
      <w:r w:rsidRPr="004C59BB">
        <w:rPr>
          <w:color w:val="0000FF"/>
        </w:rPr>
        <w:t>、塞内卡</w:t>
      </w:r>
      <w:r w:rsidRPr="0097554A">
        <w:rPr>
          <w:color w:val="0000FF"/>
          <w:lang w:val="ru-RU"/>
        </w:rPr>
        <w:t>（</w:t>
      </w:r>
      <w:r w:rsidRPr="004C59BB">
        <w:rPr>
          <w:color w:val="0000FF"/>
        </w:rPr>
        <w:t>《论宽容》第一卷第六章</w:t>
      </w:r>
      <w:r w:rsidRPr="0097554A">
        <w:rPr>
          <w:color w:val="0000FF"/>
          <w:lang w:val="ru-RU"/>
        </w:rPr>
        <w:t>）</w:t>
      </w:r>
      <w:r w:rsidRPr="004C59BB">
        <w:rPr>
          <w:color w:val="0000FF"/>
        </w:rPr>
        <w:t>、雅姆布利赫</w:t>
      </w:r>
      <w:r w:rsidRPr="0097554A">
        <w:rPr>
          <w:color w:val="0000FF"/>
          <w:lang w:val="ru-RU"/>
        </w:rPr>
        <w:t>（</w:t>
      </w:r>
      <w:r w:rsidRPr="004C59BB">
        <w:rPr>
          <w:color w:val="0000FF"/>
        </w:rPr>
        <w:t>《毕达哥拉斯传》第</w:t>
      </w:r>
      <w:r w:rsidRPr="0097554A">
        <w:rPr>
          <w:color w:val="0000FF"/>
          <w:lang w:val="ru-RU"/>
        </w:rPr>
        <w:t>28</w:t>
      </w:r>
      <w:r w:rsidRPr="004C59BB">
        <w:rPr>
          <w:color w:val="0000FF"/>
        </w:rPr>
        <w:t>章</w:t>
      </w:r>
      <w:r w:rsidRPr="0097554A">
        <w:rPr>
          <w:color w:val="0000FF"/>
          <w:lang w:val="ru-RU"/>
        </w:rPr>
        <w:t>）</w:t>
      </w:r>
      <w:r w:rsidRPr="004C59BB">
        <w:rPr>
          <w:color w:val="0000FF"/>
        </w:rPr>
        <w:t>。</w:t>
      </w:r>
    </w:p>
  </w:footnote>
  <w:footnote w:id="62">
    <w:p w14:paraId="1DD9A009" w14:textId="77777777" w:rsidR="00A84D26" w:rsidRPr="0097554A" w:rsidRDefault="00A84D26">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亚历山大的克莱门特</w:t>
      </w:r>
      <w:r w:rsidRPr="0097554A">
        <w:rPr>
          <w:color w:val="0000FF"/>
          <w:lang w:val="ru-RU"/>
        </w:rPr>
        <w:t>，</w:t>
      </w:r>
      <w:r w:rsidRPr="004C59BB">
        <w:rPr>
          <w:color w:val="0000FF"/>
        </w:rPr>
        <w:t>《杂论》第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282</w:t>
      </w:r>
      <w:r w:rsidRPr="004C59BB">
        <w:rPr>
          <w:color w:val="0000FF"/>
        </w:rPr>
        <w:t>页</w:t>
      </w:r>
      <w:r w:rsidRPr="0097554A">
        <w:rPr>
          <w:color w:val="0000FF"/>
          <w:lang w:val="ru-RU"/>
        </w:rPr>
        <w:t>；</w:t>
      </w:r>
      <w:r w:rsidRPr="004C59BB">
        <w:rPr>
          <w:color w:val="0000FF"/>
        </w:rPr>
        <w:t>奥利金</w:t>
      </w:r>
      <w:r w:rsidRPr="0097554A">
        <w:rPr>
          <w:color w:val="0000FF"/>
          <w:lang w:val="ru-RU"/>
        </w:rPr>
        <w:t>，</w:t>
      </w:r>
      <w:r w:rsidRPr="004C59BB">
        <w:rPr>
          <w:color w:val="0000FF"/>
        </w:rPr>
        <w:t>《爱智论》第XIII章</w:t>
      </w:r>
      <w:r w:rsidRPr="0097554A">
        <w:rPr>
          <w:color w:val="0000FF"/>
          <w:lang w:val="ru-RU"/>
        </w:rPr>
        <w:t>，</w:t>
      </w:r>
      <w:r w:rsidRPr="004C59BB">
        <w:rPr>
          <w:color w:val="0000FF"/>
        </w:rPr>
        <w:t>第</w:t>
      </w:r>
      <w:r w:rsidRPr="0097554A">
        <w:rPr>
          <w:color w:val="0000FF"/>
          <w:lang w:val="ru-RU"/>
        </w:rPr>
        <w:t>41–42</w:t>
      </w:r>
      <w:r w:rsidRPr="004C59BB">
        <w:rPr>
          <w:color w:val="0000FF"/>
        </w:rPr>
        <w:t>页。</w:t>
      </w:r>
    </w:p>
  </w:footnote>
  <w:footnote w:id="63">
    <w:p w14:paraId="40DD2913" w14:textId="77777777" w:rsidR="00A84D26" w:rsidRPr="004C59BB" w:rsidRDefault="00A84D26">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柏拉图</w:t>
      </w:r>
      <w:r w:rsidRPr="0097554A">
        <w:rPr>
          <w:color w:val="0000FF"/>
          <w:lang w:val="ru-RU"/>
        </w:rPr>
        <w:t>，</w:t>
      </w:r>
      <w:r w:rsidRPr="004C59BB">
        <w:rPr>
          <w:color w:val="0000FF"/>
        </w:rPr>
        <w:t>《政治篇》</w:t>
      </w:r>
      <w:r w:rsidRPr="0097554A">
        <w:rPr>
          <w:color w:val="0000FF"/>
          <w:lang w:val="ru-RU"/>
        </w:rPr>
        <w:t>，</w:t>
      </w:r>
      <w:r w:rsidRPr="004C59BB">
        <w:rPr>
          <w:color w:val="0000FF"/>
        </w:rPr>
        <w:t>第</w:t>
      </w:r>
      <w:r w:rsidRPr="0097554A">
        <w:rPr>
          <w:color w:val="0000FF"/>
          <w:lang w:val="ru-RU"/>
        </w:rPr>
        <w:t>271</w:t>
      </w:r>
      <w:r w:rsidRPr="004C59BB">
        <w:rPr>
          <w:color w:val="0000FF"/>
        </w:rPr>
        <w:t>页</w:t>
      </w:r>
      <w:r w:rsidRPr="0097554A">
        <w:rPr>
          <w:color w:val="0000FF"/>
          <w:lang w:val="ru-RU"/>
        </w:rPr>
        <w:t>，</w:t>
      </w:r>
      <w:r w:rsidRPr="004C59BB">
        <w:rPr>
          <w:color w:val="0000FF"/>
        </w:rPr>
        <w:t>全集第II卷</w:t>
      </w:r>
      <w:r w:rsidRPr="0097554A">
        <w:rPr>
          <w:color w:val="0000FF"/>
          <w:lang w:val="ru-RU"/>
        </w:rPr>
        <w:t>，</w:t>
      </w:r>
      <w:r w:rsidRPr="004C59BB">
        <w:rPr>
          <w:color w:val="0000FF"/>
        </w:rPr>
        <w:t>巴黎</w:t>
      </w:r>
      <w:r w:rsidRPr="0097554A">
        <w:rPr>
          <w:color w:val="0000FF"/>
          <w:lang w:val="ru-RU"/>
        </w:rPr>
        <w:t>，1578</w:t>
      </w:r>
      <w:r w:rsidRPr="004C59BB">
        <w:rPr>
          <w:color w:val="0000FF"/>
        </w:rPr>
        <w:t>年</w:t>
      </w:r>
      <w:r w:rsidRPr="0097554A">
        <w:rPr>
          <w:color w:val="0000FF"/>
          <w:lang w:val="ru-RU"/>
        </w:rPr>
        <w:t>；</w:t>
      </w:r>
      <w:r w:rsidRPr="004C59BB">
        <w:rPr>
          <w:color w:val="0000FF"/>
        </w:rPr>
        <w:t>维吉尔</w:t>
      </w:r>
      <w:r w:rsidRPr="0097554A">
        <w:rPr>
          <w:color w:val="0000FF"/>
          <w:lang w:val="ru-RU"/>
        </w:rPr>
        <w:t>，</w:t>
      </w:r>
      <w:r w:rsidRPr="004C59BB">
        <w:rPr>
          <w:color w:val="0000FF"/>
        </w:rPr>
        <w:t>《农事诗》第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125</w:t>
      </w:r>
      <w:r w:rsidRPr="004C59BB">
        <w:rPr>
          <w:color w:val="0000FF"/>
        </w:rPr>
        <w:t>行</w:t>
      </w:r>
      <w:r w:rsidRPr="0097554A">
        <w:rPr>
          <w:color w:val="0000FF"/>
          <w:lang w:val="ru-RU"/>
        </w:rPr>
        <w:t>，</w:t>
      </w:r>
      <w:r w:rsidRPr="004C59BB">
        <w:rPr>
          <w:color w:val="0000FF"/>
        </w:rPr>
        <w:t>及《牧歌》第IV卷</w:t>
      </w:r>
      <w:r w:rsidRPr="0097554A">
        <w:rPr>
          <w:color w:val="0000FF"/>
          <w:lang w:val="ru-RU"/>
        </w:rPr>
        <w:t>；</w:t>
      </w:r>
      <w:r w:rsidRPr="004C59BB">
        <w:rPr>
          <w:color w:val="0000FF"/>
        </w:rPr>
        <w:t>奥维德</w:t>
      </w:r>
      <w:r w:rsidRPr="0097554A">
        <w:rPr>
          <w:color w:val="0000FF"/>
          <w:lang w:val="ru-RU"/>
        </w:rPr>
        <w:t>，</w:t>
      </w:r>
      <w:r w:rsidRPr="004C59BB">
        <w:rPr>
          <w:color w:val="0000FF"/>
        </w:rPr>
        <w:t>《变形记》第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89</w:t>
      </w:r>
      <w:r w:rsidRPr="004C59BB">
        <w:rPr>
          <w:color w:val="0000FF"/>
        </w:rPr>
        <w:t>行及后续</w:t>
      </w:r>
      <w:r w:rsidRPr="0097554A">
        <w:rPr>
          <w:color w:val="0000FF"/>
          <w:lang w:val="ru-RU"/>
        </w:rPr>
        <w:t xml:space="preserve">； </w:t>
      </w:r>
      <w:r w:rsidRPr="004C59BB">
        <w:rPr>
          <w:color w:val="0000FF"/>
        </w:rPr>
        <w:t>普鲁塔克《论伊西斯与奥西里斯》</w:t>
      </w:r>
      <w:r w:rsidRPr="0097554A">
        <w:rPr>
          <w:color w:val="0000FF"/>
          <w:lang w:val="ru-RU"/>
        </w:rPr>
        <w:t>；</w:t>
      </w:r>
      <w:r w:rsidRPr="004C59BB">
        <w:rPr>
          <w:color w:val="0000FF"/>
        </w:rPr>
        <w:t>斯特拉博</w:t>
      </w:r>
      <w:r w:rsidRPr="0097554A">
        <w:rPr>
          <w:color w:val="0000FF"/>
          <w:lang w:val="ru-RU"/>
        </w:rPr>
        <w:t>，</w:t>
      </w:r>
      <w:r w:rsidRPr="004C59BB">
        <w:rPr>
          <w:color w:val="0000FF"/>
        </w:rPr>
        <w:t>第</w:t>
      </w:r>
      <w:r w:rsidRPr="0097554A">
        <w:rPr>
          <w:color w:val="0000FF"/>
          <w:lang w:val="ru-RU"/>
        </w:rPr>
        <w:t>5</w:t>
      </w:r>
      <w:r w:rsidRPr="004C59BB">
        <w:rPr>
          <w:color w:val="0000FF"/>
        </w:rPr>
        <w:t>卷</w:t>
      </w:r>
      <w:r w:rsidRPr="0097554A">
        <w:rPr>
          <w:color w:val="0000FF"/>
          <w:lang w:val="ru-RU"/>
        </w:rPr>
        <w:t>，</w:t>
      </w:r>
      <w:r w:rsidRPr="004C59BB">
        <w:rPr>
          <w:color w:val="0000FF"/>
        </w:rPr>
        <w:t>第</w:t>
      </w:r>
      <w:r w:rsidRPr="0097554A">
        <w:rPr>
          <w:color w:val="0000FF"/>
          <w:lang w:val="ru-RU"/>
        </w:rPr>
        <w:t>250</w:t>
      </w:r>
      <w:r w:rsidRPr="004C59BB">
        <w:rPr>
          <w:color w:val="0000FF"/>
        </w:rPr>
        <w:t>页</w:t>
      </w:r>
      <w:r w:rsidRPr="0097554A">
        <w:rPr>
          <w:color w:val="0000FF"/>
          <w:lang w:val="ru-RU"/>
        </w:rPr>
        <w:t>，</w:t>
      </w:r>
      <w:r w:rsidRPr="004C59BB">
        <w:rPr>
          <w:color w:val="0000FF"/>
        </w:rPr>
        <w:t>《全集》第II卷</w:t>
      </w:r>
      <w:r w:rsidRPr="0097554A">
        <w:rPr>
          <w:color w:val="0000FF"/>
          <w:lang w:val="ru-RU"/>
        </w:rPr>
        <w:t>，</w:t>
      </w:r>
      <w:r w:rsidRPr="004C59BB">
        <w:rPr>
          <w:color w:val="0000FF"/>
        </w:rPr>
        <w:t>牛津</w:t>
      </w:r>
      <w:r w:rsidRPr="0097554A">
        <w:rPr>
          <w:color w:val="0000FF"/>
          <w:lang w:val="ru-RU"/>
        </w:rPr>
        <w:t>，1807</w:t>
      </w:r>
      <w:r w:rsidRPr="004C59BB">
        <w:rPr>
          <w:color w:val="0000FF"/>
        </w:rPr>
        <w:t>年。参见优西比乌《福音准备论》第1卷，第8章及第12卷，第13章。</w:t>
      </w:r>
    </w:p>
  </w:footnote>
  <w:footnote w:id="64">
    <w:p w14:paraId="7F7D9364"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施瓦茨，《论人类始祖的堕落，其原型见于异教》，阿尔托夫，1730年；克洛伊克尔，《赞达维斯特》，第I卷，第25页及第III卷，第84页及以下；温迪施曼，《世界历史进程中的哲学》，第1卷，第1页，第1节，波恩，1827年。</w:t>
      </w:r>
    </w:p>
  </w:footnote>
  <w:footnote w:id="65">
    <w:p w14:paraId="0F8C6D33" w14:textId="77777777" w:rsidR="00B40C20" w:rsidRPr="004C59BB" w:rsidRDefault="00B40C20">
      <w:pPr>
        <w:pStyle w:val="FootnoteText"/>
        <w:rPr>
          <w:color w:val="0000FF"/>
        </w:rPr>
      </w:pPr>
      <w:r w:rsidRPr="004C59BB">
        <w:rPr>
          <w:rStyle w:val="FootnoteReference"/>
          <w:color w:val="0000FF"/>
        </w:rPr>
        <w:footnoteRef/>
      </w:r>
      <w:r w:rsidRPr="004C59BB">
        <w:rPr>
          <w:color w:val="0000FF"/>
        </w:rPr>
        <w:t xml:space="preserve"> 施密特，《人类救赎：各民族宗教传统所预示的》，由亨里翁从德语译出，巴黎，1827年；《Xp. Чт》，1839年，第III卷。</w:t>
      </w:r>
    </w:p>
  </w:footnote>
  <w:footnote w:id="66">
    <w:p w14:paraId="1945F966"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教会</w:t>
      </w:r>
      <w:r w:rsidRPr="004C59BB">
        <w:rPr>
          <w:color w:val="0000FF"/>
        </w:rPr>
        <w:t>与</w:t>
      </w:r>
      <w:r w:rsidRPr="004C59BB">
        <w:rPr>
          <w:color w:val="0000FF"/>
          <w:lang w:val="ru-RU"/>
        </w:rPr>
        <w:t>圣经史纲</w:t>
      </w:r>
      <w:r w:rsidRPr="004C59BB">
        <w:rPr>
          <w:color w:val="0000FF"/>
        </w:rPr>
        <w:t>》，</w:t>
      </w:r>
      <w:r w:rsidRPr="004C59BB">
        <w:rPr>
          <w:color w:val="0000FF"/>
          <w:lang w:val="ru-RU"/>
        </w:rPr>
        <w:t>第</w:t>
      </w:r>
      <w:r w:rsidRPr="004C59BB">
        <w:rPr>
          <w:color w:val="0000FF"/>
        </w:rPr>
        <w:t>440</w:t>
      </w:r>
      <w:r w:rsidRPr="004C59BB">
        <w:rPr>
          <w:color w:val="0000FF"/>
          <w:lang w:val="ru-RU"/>
        </w:rPr>
        <w:t>页</w:t>
      </w:r>
      <w:r w:rsidRPr="004C59BB">
        <w:rPr>
          <w:color w:val="0000FF"/>
        </w:rPr>
        <w:t>，</w:t>
      </w:r>
      <w:r w:rsidRPr="004C59BB">
        <w:rPr>
          <w:color w:val="0000FF"/>
          <w:lang w:val="ru-RU"/>
        </w:rPr>
        <w:t>圣彼得堡</w:t>
      </w:r>
      <w:r w:rsidRPr="004C59BB">
        <w:rPr>
          <w:color w:val="0000FF"/>
        </w:rPr>
        <w:t>，1827年。</w:t>
      </w:r>
    </w:p>
  </w:footnote>
  <w:footnote w:id="67">
    <w:p w14:paraId="2C7D768D"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“整个世界都曾是关于神之知识和灵魂政体的神圣学堂。”《论神的道成肉身》第12节，《文集》第1卷，第57页，巴黎版，1698年。</w:t>
      </w:r>
    </w:p>
  </w:footnote>
  <w:footnote w:id="68">
    <w:p w14:paraId="6439D769"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参见亚历山大的克莱门特《杂论》第1卷，第22章；优西比乌《福音准备论》第VI卷，第6章。</w:t>
      </w:r>
    </w:p>
  </w:footnote>
  <w:footnote w:id="69">
    <w:p w14:paraId="1A09CF55"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贾斯汀，《致希腊人的辩护》，第14章；参见《护教论》第1卷，第20章；第2卷，第13章；特土良，《护教论》，第47章；亚历山大的克莱门特，《杂论》第1卷，第15、21章； 西奥菲勒斯《致安托尼书》第二卷，第37章；优西比乌《福音准备论》第九卷，第1章；奥古斯丁《上帝之城》第八卷，第12章。</w:t>
      </w:r>
    </w:p>
  </w:footnote>
  <w:footnote w:id="70">
    <w:p w14:paraId="0563B0D8"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正如以下文献所记载</w:t>
      </w:r>
      <w:r w:rsidRPr="004C59BB">
        <w:rPr>
          <w:color w:val="0000FF"/>
        </w:rPr>
        <w:t>：</w:t>
      </w:r>
      <w:r w:rsidRPr="004C59BB">
        <w:rPr>
          <w:color w:val="0000FF"/>
          <w:lang w:val="ru-RU"/>
        </w:rPr>
        <w:t>塔西佗</w:t>
      </w:r>
      <w:r w:rsidRPr="004C59BB">
        <w:rPr>
          <w:color w:val="0000FF"/>
        </w:rPr>
        <w:t>（《历史》第V卷，第13页）、苏埃托尼乌斯（《韦斯帕芗传》，第4章）、约瑟夫·弗拉维乌斯（《犹太战争》第III卷，第28页；第IV卷，</w:t>
      </w:r>
      <w:r w:rsidR="00F45CFB" w:rsidRPr="004C59BB">
        <w:rPr>
          <w:b/>
          <w:color w:val="0000FF"/>
        </w:rPr>
        <w:t>第31页）</w:t>
      </w:r>
      <w:r w:rsidRPr="004C59BB">
        <w:rPr>
          <w:color w:val="0000FF"/>
        </w:rPr>
        <w:t>以及埃格西普（《耶路撒冷陷落记》第V卷，第44页）。</w:t>
      </w:r>
    </w:p>
  </w:footnote>
  <w:footnote w:id="71">
    <w:p w14:paraId="5C84147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异端分子关于基督的谬误可归为三类：他们或就其神性、或就其人性、或就二者兼而有之而陷入谬误（《福音问答》第1卷，第45问，载于《教父文集》第XXXV卷，第1332页，第1行）。</w:t>
      </w:r>
    </w:p>
  </w:footnote>
  <w:footnote w:id="72">
    <w:p w14:paraId="521172A4"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伊雷内乌斯《反异端》1，26；第3卷，第2章，注1；第5卷，第1章，注3；优西比乌《教会史》第3卷，第27、38章；埃皮法尼乌斯《论异端》第28卷；杰罗姆《著名人物传》第9章。</w:t>
      </w:r>
    </w:p>
  </w:footnote>
  <w:footnote w:id="73">
    <w:p w14:paraId="0267E8E1"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爱任纽《反异端》1, 25；特土良《论异端预言》第54章；希波吕托斯《反诺埃特》第3章；埃皮法尼乌斯《论异端》LIV、LV。</w:t>
      </w:r>
    </w:p>
  </w:footnote>
  <w:footnote w:id="74">
    <w:p w14:paraId="675DB768"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菲拉斯特《反异端》第3卷，第64章；优西比乌《教会史》第5卷，第28章；第7卷，第27章；杰罗姆《著名人物传》第71章。</w:t>
      </w:r>
    </w:p>
  </w:footnote>
  <w:footnote w:id="75">
    <w:p w14:paraId="11520F6A"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埃皮法尼乌斯，《异端驳论》第69章，注12；第73和74章；索克拉底，《教会史》第1卷，第5、6章；第11卷，第30、35、40章；索佐门，《教会史》第1卷，第15章；第2卷，第33章；第3卷，第15章。</w:t>
      </w:r>
    </w:p>
  </w:footnote>
  <w:footnote w:id="76">
    <w:p w14:paraId="14261EF1" w14:textId="77777777" w:rsidR="00C23335" w:rsidRPr="0097554A" w:rsidRDefault="00C23335">
      <w:pPr>
        <w:pStyle w:val="FootnoteText"/>
        <w:rPr>
          <w:color w:val="0000FF"/>
        </w:rPr>
      </w:pPr>
      <w:r w:rsidRPr="004C59BB">
        <w:rPr>
          <w:rStyle w:val="FootnoteReference"/>
          <w:color w:val="0000FF"/>
        </w:rPr>
        <w:footnoteRef/>
      </w:r>
      <w:r w:rsidRPr="004C59BB">
        <w:rPr>
          <w:color w:val="0000FF"/>
        </w:rPr>
        <w:t xml:space="preserve"> 爱任纽《反异端》1, 23；埃皮法尼乌斯《异端论》</w:t>
      </w:r>
      <w:r w:rsidRPr="0097554A">
        <w:rPr>
          <w:color w:val="0000FF"/>
        </w:rPr>
        <w:t>57, 62；</w:t>
      </w:r>
      <w:r w:rsidRPr="004C59BB">
        <w:rPr>
          <w:color w:val="0000FF"/>
        </w:rPr>
        <w:t>巴西尔《书信集</w:t>
      </w:r>
      <w:r w:rsidRPr="004C59BB">
        <w:rPr>
          <w:color w:val="0000FF"/>
          <w:lang w:val="ru-RU"/>
        </w:rPr>
        <w:t>》</w:t>
      </w:r>
      <w:r w:rsidRPr="0097554A">
        <w:rPr>
          <w:color w:val="0000FF"/>
        </w:rPr>
        <w:t>210</w:t>
      </w:r>
      <w:r w:rsidRPr="004C59BB">
        <w:rPr>
          <w:color w:val="0000FF"/>
          <w:lang w:val="ru-RU"/>
        </w:rPr>
        <w:t>。</w:t>
      </w:r>
    </w:p>
  </w:footnote>
  <w:footnote w:id="77">
    <w:p w14:paraId="157DB754" w14:textId="77777777" w:rsidR="00C23335" w:rsidRPr="0097554A" w:rsidRDefault="00C23335">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源自希腊语单词</w:t>
      </w:r>
      <w:r w:rsidRPr="0097554A">
        <w:rPr>
          <w:color w:val="0000FF"/>
        </w:rPr>
        <w:t>：</w:t>
      </w:r>
      <w:r w:rsidRPr="004C59BB">
        <w:rPr>
          <w:color w:val="0000FF"/>
        </w:rPr>
        <w:t>δοκέω</w:t>
      </w:r>
      <w:r w:rsidRPr="0097554A">
        <w:rPr>
          <w:color w:val="0000FF"/>
        </w:rPr>
        <w:t>，</w:t>
      </w:r>
      <w:r w:rsidRPr="004C59BB">
        <w:rPr>
          <w:color w:val="0000FF"/>
          <w:lang w:val="ru-RU"/>
        </w:rPr>
        <w:t>意为</w:t>
      </w:r>
      <w:r w:rsidRPr="0097554A">
        <w:rPr>
          <w:color w:val="0000FF"/>
        </w:rPr>
        <w:t>“</w:t>
      </w:r>
      <w:r w:rsidRPr="004C59BB">
        <w:rPr>
          <w:color w:val="0000FF"/>
          <w:lang w:val="ru-RU"/>
        </w:rPr>
        <w:t>认为</w:t>
      </w:r>
      <w:r w:rsidRPr="0097554A">
        <w:rPr>
          <w:color w:val="0000FF"/>
        </w:rPr>
        <w:t>”</w:t>
      </w:r>
      <w:r w:rsidRPr="004C59BB">
        <w:rPr>
          <w:color w:val="0000FF"/>
          <w:lang w:val="ru-RU"/>
        </w:rPr>
        <w:t>、</w:t>
      </w:r>
      <w:r w:rsidRPr="0097554A">
        <w:rPr>
          <w:color w:val="0000FF"/>
        </w:rPr>
        <w:t>“</w:t>
      </w:r>
      <w:r w:rsidRPr="004C59BB">
        <w:rPr>
          <w:color w:val="0000FF"/>
          <w:lang w:val="ru-RU"/>
        </w:rPr>
        <w:t>想</w:t>
      </w:r>
      <w:r w:rsidRPr="0097554A">
        <w:rPr>
          <w:color w:val="0000FF"/>
        </w:rPr>
        <w:t>”</w:t>
      </w:r>
      <w:r w:rsidRPr="004C59BB">
        <w:rPr>
          <w:color w:val="0000FF"/>
          <w:lang w:val="ru-RU"/>
        </w:rPr>
        <w:t>、</w:t>
      </w:r>
      <w:r w:rsidRPr="0097554A">
        <w:rPr>
          <w:color w:val="0000FF"/>
        </w:rPr>
        <w:t>“</w:t>
      </w:r>
      <w:r w:rsidRPr="004C59BB">
        <w:rPr>
          <w:color w:val="0000FF"/>
          <w:lang w:val="ru-RU"/>
        </w:rPr>
        <w:t>似乎</w:t>
      </w:r>
      <w:r w:rsidRPr="0097554A">
        <w:rPr>
          <w:color w:val="0000FF"/>
        </w:rPr>
        <w:t>”</w:t>
      </w:r>
      <w:r w:rsidRPr="004C59BB">
        <w:rPr>
          <w:color w:val="0000FF"/>
          <w:lang w:val="ru-RU"/>
        </w:rPr>
        <w:t>。</w:t>
      </w:r>
    </w:p>
  </w:footnote>
  <w:footnote w:id="78">
    <w:p w14:paraId="12EED8B3" w14:textId="77777777" w:rsidR="00C23335" w:rsidRPr="0097554A" w:rsidRDefault="00C23335">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该学说的主要传播者是以下异端首领</w:t>
      </w:r>
      <w:r w:rsidRPr="0097554A">
        <w:rPr>
          <w:color w:val="0000FF"/>
        </w:rPr>
        <w:t>：</w:t>
      </w:r>
      <w:r w:rsidRPr="004C59BB">
        <w:rPr>
          <w:color w:val="0000FF"/>
          <w:lang w:val="ru-RU"/>
        </w:rPr>
        <w:t>西蒙</w:t>
      </w:r>
      <w:r w:rsidRPr="0097554A">
        <w:rPr>
          <w:color w:val="0000FF"/>
        </w:rPr>
        <w:t>·</w:t>
      </w:r>
      <w:r w:rsidRPr="004C59BB">
        <w:rPr>
          <w:color w:val="0000FF"/>
          <w:lang w:val="ru-RU"/>
        </w:rPr>
        <w:t>巫师</w:t>
      </w:r>
      <w:r w:rsidRPr="0097554A">
        <w:rPr>
          <w:color w:val="0000FF"/>
        </w:rPr>
        <w:t>（</w:t>
      </w:r>
      <w:r w:rsidRPr="004C59BB">
        <w:rPr>
          <w:color w:val="0000FF"/>
        </w:rPr>
        <w:t>Theodoret</w:t>
      </w:r>
      <w:r w:rsidRPr="0097554A">
        <w:rPr>
          <w:color w:val="0000FF"/>
        </w:rPr>
        <w:t xml:space="preserve">. </w:t>
      </w:r>
      <w:r w:rsidRPr="004C59BB">
        <w:rPr>
          <w:color w:val="0000FF"/>
        </w:rPr>
        <w:t>Epl</w:t>
      </w:r>
      <w:r w:rsidRPr="0097554A">
        <w:rPr>
          <w:color w:val="0000FF"/>
        </w:rPr>
        <w:t xml:space="preserve">. </w:t>
      </w:r>
      <w:r w:rsidRPr="004C59BB">
        <w:rPr>
          <w:color w:val="0000FF"/>
        </w:rPr>
        <w:t>CIV</w:t>
      </w:r>
      <w:r w:rsidRPr="0097554A">
        <w:rPr>
          <w:color w:val="0000FF"/>
        </w:rPr>
        <w:t>）</w:t>
      </w:r>
      <w:r w:rsidRPr="004C59BB">
        <w:rPr>
          <w:color w:val="0000FF"/>
          <w:lang w:val="ru-RU"/>
        </w:rPr>
        <w:t>、梅南德</w:t>
      </w:r>
      <w:r w:rsidRPr="0097554A">
        <w:rPr>
          <w:color w:val="0000FF"/>
        </w:rPr>
        <w:t>（</w:t>
      </w:r>
      <w:r w:rsidRPr="004C59BB">
        <w:rPr>
          <w:color w:val="0000FF"/>
        </w:rPr>
        <w:t>Theodoret</w:t>
      </w:r>
      <w:r w:rsidRPr="0097554A">
        <w:rPr>
          <w:color w:val="0000FF"/>
        </w:rPr>
        <w:t xml:space="preserve">. </w:t>
      </w:r>
      <w:r w:rsidRPr="004C59BB">
        <w:rPr>
          <w:color w:val="0000FF"/>
        </w:rPr>
        <w:t>Epl</w:t>
      </w:r>
      <w:r w:rsidRPr="0097554A">
        <w:rPr>
          <w:color w:val="0000FF"/>
        </w:rPr>
        <w:t xml:space="preserve">. </w:t>
      </w:r>
      <w:r w:rsidRPr="004C59BB">
        <w:rPr>
          <w:color w:val="0000FF"/>
        </w:rPr>
        <w:t>CXLV</w:t>
      </w:r>
      <w:r w:rsidRPr="0097554A">
        <w:rPr>
          <w:color w:val="0000FF"/>
        </w:rPr>
        <w:t>）；</w:t>
      </w:r>
      <w:r w:rsidRPr="004C59BB">
        <w:rPr>
          <w:color w:val="0000FF"/>
          <w:lang w:val="ru-RU"/>
        </w:rPr>
        <w:t>萨图尔宁</w:t>
      </w:r>
      <w:r w:rsidRPr="0097554A">
        <w:rPr>
          <w:color w:val="0000FF"/>
        </w:rPr>
        <w:t>（</w:t>
      </w:r>
      <w:r w:rsidRPr="004C59BB">
        <w:rPr>
          <w:color w:val="0000FF"/>
        </w:rPr>
        <w:t>Theod</w:t>
      </w:r>
      <w:r w:rsidRPr="0097554A">
        <w:rPr>
          <w:color w:val="0000FF"/>
        </w:rPr>
        <w:t xml:space="preserve">. </w:t>
      </w:r>
      <w:r w:rsidRPr="004C59BB">
        <w:rPr>
          <w:color w:val="0000FF"/>
        </w:rPr>
        <w:t>Haeret</w:t>
      </w:r>
      <w:r w:rsidRPr="0097554A">
        <w:rPr>
          <w:color w:val="0000FF"/>
        </w:rPr>
        <w:t xml:space="preserve">. </w:t>
      </w:r>
      <w:r w:rsidRPr="004C59BB">
        <w:rPr>
          <w:color w:val="0000FF"/>
        </w:rPr>
        <w:t>Fab</w:t>
      </w:r>
      <w:r w:rsidRPr="0097554A">
        <w:rPr>
          <w:color w:val="0000FF"/>
        </w:rPr>
        <w:t>. 1, 3）</w:t>
      </w:r>
      <w:r w:rsidRPr="004C59BB">
        <w:rPr>
          <w:color w:val="0000FF"/>
          <w:lang w:val="ru-RU"/>
        </w:rPr>
        <w:t>、瓦西里德</w:t>
      </w:r>
      <w:r w:rsidRPr="0097554A">
        <w:rPr>
          <w:color w:val="0000FF"/>
        </w:rPr>
        <w:t>（</w:t>
      </w:r>
      <w:r w:rsidRPr="004C59BB">
        <w:rPr>
          <w:color w:val="0000FF"/>
        </w:rPr>
        <w:t>Epiphan</w:t>
      </w:r>
      <w:r w:rsidRPr="0097554A">
        <w:rPr>
          <w:color w:val="0000FF"/>
        </w:rPr>
        <w:t xml:space="preserve">. </w:t>
      </w:r>
      <w:r w:rsidRPr="004C59BB">
        <w:rPr>
          <w:color w:val="0000FF"/>
        </w:rPr>
        <w:t>haer</w:t>
      </w:r>
      <w:r w:rsidRPr="0097554A">
        <w:rPr>
          <w:color w:val="0000FF"/>
        </w:rPr>
        <w:t xml:space="preserve">. </w:t>
      </w:r>
      <w:r w:rsidRPr="004C59BB">
        <w:rPr>
          <w:color w:val="0000FF"/>
        </w:rPr>
        <w:t>24和26）、瓦伦丁（特土良《论基督的肉身》第十四章）、凯德龙（埃皮法尼乌斯《异端驳论》第41章）、马吉安（特土良《反马吉安》第三章第8节）、塔西安（耶罗尼姆《致法比乌斯书信注释》第六章</w:t>
      </w:r>
      <w:r w:rsidRPr="0097554A">
        <w:rPr>
          <w:color w:val="0000FF"/>
        </w:rPr>
        <w:t>）</w:t>
      </w:r>
      <w:r w:rsidRPr="004C59BB">
        <w:rPr>
          <w:color w:val="0000FF"/>
          <w:lang w:val="el-GR"/>
        </w:rPr>
        <w:t>。</w:t>
      </w:r>
    </w:p>
  </w:footnote>
  <w:footnote w:id="79">
    <w:p w14:paraId="6FFC13EE" w14:textId="77777777" w:rsidR="00C23335" w:rsidRPr="004C59BB" w:rsidRDefault="00C23335">
      <w:pPr>
        <w:pStyle w:val="FootnoteText"/>
        <w:rPr>
          <w:color w:val="0000FF"/>
        </w:rPr>
      </w:pPr>
      <w:r w:rsidRPr="004C59BB">
        <w:rPr>
          <w:rStyle w:val="FootnoteReference"/>
          <w:color w:val="0000FF"/>
        </w:rPr>
        <w:footnoteRef/>
      </w:r>
      <w:r w:rsidRPr="0097554A">
        <w:rPr>
          <w:color w:val="0000FF"/>
        </w:rPr>
        <w:t xml:space="preserve"> </w:t>
      </w:r>
      <w:r w:rsidRPr="0097554A">
        <w:rPr>
          <w:rStyle w:val="foreign"/>
          <w:color w:val="0000FF"/>
        </w:rPr>
        <w:t>……</w:t>
      </w:r>
      <w:r w:rsidRPr="004C59BB">
        <w:rPr>
          <w:rStyle w:val="foreign"/>
          <w:color w:val="0000FF"/>
          <w:lang w:val="el-GR"/>
        </w:rPr>
        <w:t>他正是通过玛利亚而来的</w:t>
      </w:r>
      <w:r w:rsidRPr="0097554A">
        <w:rPr>
          <w:color w:val="0000FF"/>
        </w:rPr>
        <w:t>，</w:t>
      </w:r>
      <w:r w:rsidRPr="004C59BB">
        <w:rPr>
          <w:rStyle w:val="foreign"/>
          <w:color w:val="0000FF"/>
          <w:lang w:val="el-GR"/>
        </w:rPr>
        <w:t>正如水通过管道流过一样</w:t>
      </w:r>
      <w:r w:rsidRPr="004C59BB">
        <w:rPr>
          <w:color w:val="0000FF"/>
        </w:rPr>
        <w:t>。爱任纽《反异端》1, 7, n. 2；优西比乌《教会史》IV, 30；埃皮法尼乌斯《反异端》31和56；奥古斯丁《反异端》35。</w:t>
      </w:r>
    </w:p>
  </w:footnote>
  <w:footnote w:id="80">
    <w:p w14:paraId="3495878D"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源自世界的本质。特土良《论基督的肉身》第6章；《论异端预设》第51章；埃皮法尼乌斯《论异端》第44章；奥古斯丁《反福斯图斯》第XXIII卷第2章；《论异端》第47章；提奥多雷特《异端传说》第1卷第26章。</w:t>
      </w:r>
    </w:p>
  </w:footnote>
  <w:footnote w:id="81">
    <w:p w14:paraId="677DE9E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伊格纳提乌斯，《致士麦那书信》第2、4、5节；《致特拉勒书信》第10、11节；爱任纽，《反异端》 V，18，第3条；17，第3条；III，18、19、22；梅利顿《论道成肉身》第三卷残篇（见阿纳斯塔西乌斯·西奈《指引》第13章）；特土良《论基督的肉身》第5章；克莱门特·亚历山大《杂论》III，13。</w:t>
      </w:r>
    </w:p>
  </w:footnote>
  <w:footnote w:id="82">
    <w:p w14:paraId="6482961C"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w:t>
      </w:r>
      <w:r w:rsidR="00791E93" w:rsidRPr="004C59BB">
        <w:rPr>
          <w:color w:val="0000FF"/>
        </w:rPr>
        <w:t>《比利时信条》第XVIII条；《大公会议信条》第XI章；戈塔注释格哈德《神学论著》第III卷，第406页，论文1，第13页及以下。</w:t>
      </w:r>
    </w:p>
  </w:footnote>
  <w:footnote w:id="83">
    <w:p w14:paraId="00C5988D" w14:textId="77777777" w:rsidR="00730E59" w:rsidRPr="0097554A" w:rsidRDefault="00730E59">
      <w:pPr>
        <w:pStyle w:val="FootnoteText"/>
        <w:rPr>
          <w:color w:val="0000FF"/>
        </w:rPr>
      </w:pPr>
      <w:r w:rsidRPr="004C59BB">
        <w:rPr>
          <w:rStyle w:val="FootnoteReference"/>
          <w:color w:val="0000FF"/>
        </w:rPr>
        <w:footnoteRef/>
      </w:r>
      <w:r w:rsidRPr="004C59BB">
        <w:rPr>
          <w:color w:val="0000FF"/>
        </w:rPr>
        <w:t xml:space="preserve"> 《苏格拉底文集》H</w:t>
      </w:r>
      <w:r w:rsidRPr="0097554A">
        <w:rPr>
          <w:color w:val="0000FF"/>
        </w:rPr>
        <w:t xml:space="preserve">. E. </w:t>
      </w:r>
      <w:r w:rsidRPr="004C59BB">
        <w:rPr>
          <w:color w:val="0000FF"/>
        </w:rPr>
        <w:t>II</w:t>
      </w:r>
      <w:r w:rsidRPr="0097554A">
        <w:rPr>
          <w:color w:val="0000FF"/>
        </w:rPr>
        <w:t>，</w:t>
      </w:r>
      <w:r w:rsidRPr="004C59BB">
        <w:rPr>
          <w:color w:val="0000FF"/>
          <w:lang w:val="ru-RU"/>
        </w:rPr>
        <w:t>第</w:t>
      </w:r>
      <w:r w:rsidRPr="0097554A">
        <w:rPr>
          <w:color w:val="0000FF"/>
        </w:rPr>
        <w:t>46</w:t>
      </w:r>
      <w:r w:rsidRPr="004C59BB">
        <w:rPr>
          <w:color w:val="0000FF"/>
          <w:lang w:val="ru-RU"/>
        </w:rPr>
        <w:t>页。</w:t>
      </w:r>
    </w:p>
  </w:footnote>
  <w:footnote w:id="84">
    <w:p w14:paraId="377A0DAC" w14:textId="77777777" w:rsidR="00730E59" w:rsidRPr="0097554A" w:rsidRDefault="00730E59">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格里高利</w:t>
      </w:r>
      <w:r w:rsidRPr="0097554A">
        <w:rPr>
          <w:color w:val="0000FF"/>
        </w:rPr>
        <w:t>·</w:t>
      </w:r>
      <w:r w:rsidRPr="004C59BB">
        <w:rPr>
          <w:color w:val="0000FF"/>
          <w:lang w:val="ru-RU"/>
        </w:rPr>
        <w:t>神学家致克莱多尼乌斯的书信</w:t>
      </w:r>
      <w:r w:rsidRPr="0097554A">
        <w:rPr>
          <w:color w:val="0000FF"/>
        </w:rPr>
        <w:t xml:space="preserve"> </w:t>
      </w:r>
      <w:r w:rsidRPr="004C59BB">
        <w:rPr>
          <w:color w:val="0000FF"/>
        </w:rPr>
        <w:t xml:space="preserve">I </w:t>
      </w:r>
      <w:r w:rsidRPr="004C59BB">
        <w:rPr>
          <w:color w:val="0000FF"/>
          <w:lang w:val="ru-RU"/>
        </w:rPr>
        <w:t>和</w:t>
      </w:r>
      <w:r w:rsidRPr="0097554A">
        <w:rPr>
          <w:color w:val="0000FF"/>
        </w:rPr>
        <w:t xml:space="preserve"> </w:t>
      </w:r>
      <w:r w:rsidRPr="004C59BB">
        <w:rPr>
          <w:color w:val="0000FF"/>
        </w:rPr>
        <w:t>II</w:t>
      </w:r>
      <w:r w:rsidRPr="0097554A">
        <w:rPr>
          <w:color w:val="0000FF"/>
        </w:rPr>
        <w:t>，</w:t>
      </w:r>
      <w:r w:rsidRPr="004C59BB">
        <w:rPr>
          <w:color w:val="0000FF"/>
          <w:lang w:val="ru-RU"/>
        </w:rPr>
        <w:t>载于《圣教父文集》</w:t>
      </w:r>
      <w:r w:rsidRPr="004C59BB">
        <w:rPr>
          <w:color w:val="0000FF"/>
        </w:rPr>
        <w:t>第四</w:t>
      </w:r>
      <w:r w:rsidRPr="004C59BB">
        <w:rPr>
          <w:color w:val="0000FF"/>
          <w:lang w:val="ru-RU"/>
        </w:rPr>
        <w:t>卷</w:t>
      </w:r>
      <w:r w:rsidRPr="0097554A">
        <w:rPr>
          <w:color w:val="0000FF"/>
        </w:rPr>
        <w:t>，</w:t>
      </w:r>
      <w:r w:rsidRPr="004C59BB">
        <w:rPr>
          <w:color w:val="0000FF"/>
          <w:lang w:val="ru-RU"/>
        </w:rPr>
        <w:t>第</w:t>
      </w:r>
      <w:r w:rsidRPr="0097554A">
        <w:rPr>
          <w:color w:val="0000FF"/>
        </w:rPr>
        <w:t xml:space="preserve"> 200 </w:t>
      </w:r>
      <w:r w:rsidRPr="004C59BB">
        <w:rPr>
          <w:color w:val="0000FF"/>
          <w:lang w:val="ru-RU"/>
        </w:rPr>
        <w:t>页及后续。</w:t>
      </w:r>
    </w:p>
  </w:footnote>
  <w:footnote w:id="85">
    <w:p w14:paraId="606B5F04" w14:textId="77777777" w:rsidR="00730E59" w:rsidRPr="0097554A" w:rsidRDefault="00730E59">
      <w:pPr>
        <w:pStyle w:val="FootnoteText"/>
        <w:rPr>
          <w:color w:val="0000FF"/>
        </w:rPr>
      </w:pPr>
      <w:r w:rsidRPr="004C59BB">
        <w:rPr>
          <w:rStyle w:val="FootnoteReference"/>
          <w:color w:val="0000FF"/>
        </w:rPr>
        <w:footnoteRef/>
      </w:r>
      <w:r w:rsidRPr="004C59BB">
        <w:rPr>
          <w:color w:val="0000FF"/>
        </w:rPr>
        <w:t xml:space="preserve"> 阿波林纳里乌斯《致彼得书》（见《迈伊文集》第VII卷）、《致赫拉克勒斯书</w:t>
      </w:r>
      <w:r w:rsidRPr="004C59BB">
        <w:rPr>
          <w:color w:val="0000FF"/>
          <w:lang w:val="ru-RU"/>
        </w:rPr>
        <w:t>》</w:t>
      </w:r>
      <w:r w:rsidRPr="0097554A">
        <w:rPr>
          <w:color w:val="0000FF"/>
        </w:rPr>
        <w:t>（</w:t>
      </w:r>
      <w:r w:rsidRPr="004C59BB">
        <w:rPr>
          <w:color w:val="0000FF"/>
        </w:rPr>
        <w:t>同上</w:t>
      </w:r>
      <w:r w:rsidRPr="0097554A">
        <w:rPr>
          <w:color w:val="0000FF"/>
        </w:rPr>
        <w:t>）</w:t>
      </w:r>
      <w:r w:rsidRPr="004C59BB">
        <w:rPr>
          <w:color w:val="0000FF"/>
          <w:lang w:val="ru-RU"/>
        </w:rPr>
        <w:t>、《</w:t>
      </w:r>
      <w:r w:rsidRPr="004C59BB">
        <w:rPr>
          <w:color w:val="0000FF"/>
        </w:rPr>
        <w:t>反狄奥多尔论</w:t>
      </w:r>
      <w:r w:rsidRPr="004C59BB">
        <w:rPr>
          <w:color w:val="0000FF"/>
          <w:lang w:val="ru-RU"/>
        </w:rPr>
        <w:t>》</w:t>
      </w:r>
      <w:r w:rsidRPr="0097554A">
        <w:rPr>
          <w:color w:val="0000FF"/>
        </w:rPr>
        <w:t>（</w:t>
      </w:r>
      <w:r w:rsidRPr="004C59BB">
        <w:rPr>
          <w:color w:val="0000FF"/>
        </w:rPr>
        <w:t>同上</w:t>
      </w:r>
      <w:r w:rsidRPr="0097554A">
        <w:rPr>
          <w:color w:val="0000FF"/>
        </w:rPr>
        <w:t>）</w:t>
      </w:r>
      <w:r w:rsidRPr="004C59BB">
        <w:rPr>
          <w:color w:val="0000FF"/>
          <w:lang w:val="ru-RU"/>
        </w:rPr>
        <w:t>。</w:t>
      </w:r>
      <w:r w:rsidRPr="0097554A">
        <w:rPr>
          <w:color w:val="0000FF"/>
        </w:rPr>
        <w:t xml:space="preserve"> </w:t>
      </w:r>
      <w:r w:rsidRPr="004C59BB">
        <w:rPr>
          <w:color w:val="0000FF"/>
          <w:lang w:val="ru-RU"/>
        </w:rPr>
        <w:t>此前</w:t>
      </w:r>
      <w:r w:rsidRPr="0097554A">
        <w:rPr>
          <w:color w:val="0000FF"/>
        </w:rPr>
        <w:t>，</w:t>
      </w:r>
      <w:r w:rsidRPr="004C59BB">
        <w:rPr>
          <w:color w:val="0000FF"/>
          <w:lang w:val="ru-RU"/>
        </w:rPr>
        <w:t>卢西安</w:t>
      </w:r>
      <w:r w:rsidRPr="0097554A">
        <w:rPr>
          <w:color w:val="0000FF"/>
        </w:rPr>
        <w:t>（</w:t>
      </w:r>
      <w:r w:rsidRPr="004C59BB">
        <w:rPr>
          <w:color w:val="0000FF"/>
        </w:rPr>
        <w:t>埃皮法尼乌斯</w:t>
      </w:r>
      <w:r w:rsidRPr="004C59BB">
        <w:rPr>
          <w:color w:val="0000FF"/>
          <w:lang w:val="ru-RU"/>
        </w:rPr>
        <w:t>《</w:t>
      </w:r>
      <w:r w:rsidRPr="004C59BB">
        <w:rPr>
          <w:color w:val="0000FF"/>
        </w:rPr>
        <w:t>锚</w:t>
      </w:r>
      <w:r w:rsidRPr="004C59BB">
        <w:rPr>
          <w:color w:val="0000FF"/>
          <w:lang w:val="ru-RU"/>
        </w:rPr>
        <w:t>》</w:t>
      </w:r>
      <w:r w:rsidRPr="004C59BB">
        <w:rPr>
          <w:color w:val="0000FF"/>
        </w:rPr>
        <w:t>第XXXIII章</w:t>
      </w:r>
      <w:r w:rsidRPr="0097554A">
        <w:rPr>
          <w:color w:val="0000FF"/>
        </w:rPr>
        <w:t>）</w:t>
      </w:r>
      <w:r w:rsidRPr="004C59BB">
        <w:rPr>
          <w:color w:val="0000FF"/>
          <w:lang w:val="ru-RU"/>
        </w:rPr>
        <w:t>和阿里乌斯及其追随者也曾持持阿波利纳里乌斯的这一谬论</w:t>
      </w:r>
      <w:r w:rsidRPr="0097554A">
        <w:rPr>
          <w:color w:val="0000FF"/>
        </w:rPr>
        <w:t>（</w:t>
      </w:r>
      <w:r w:rsidRPr="004C59BB">
        <w:rPr>
          <w:color w:val="0000FF"/>
        </w:rPr>
        <w:t>参见《Mai》第VII卷</w:t>
      </w:r>
      <w:r w:rsidRPr="0097554A">
        <w:rPr>
          <w:color w:val="0000FF"/>
        </w:rPr>
        <w:t>，</w:t>
      </w:r>
      <w:r w:rsidRPr="004C59BB">
        <w:rPr>
          <w:color w:val="0000FF"/>
          <w:lang w:val="ru-RU"/>
        </w:rPr>
        <w:t>第</w:t>
      </w:r>
      <w:r w:rsidRPr="0097554A">
        <w:rPr>
          <w:color w:val="0000FF"/>
        </w:rPr>
        <w:t>17</w:t>
      </w:r>
      <w:r w:rsidRPr="004C59BB">
        <w:rPr>
          <w:color w:val="0000FF"/>
          <w:lang w:val="ru-RU"/>
        </w:rPr>
        <w:t>页</w:t>
      </w:r>
      <w:r w:rsidRPr="0097554A">
        <w:rPr>
          <w:color w:val="0000FF"/>
        </w:rPr>
        <w:t>；</w:t>
      </w:r>
      <w:r w:rsidRPr="004C59BB">
        <w:rPr>
          <w:color w:val="0000FF"/>
          <w:lang w:val="ru-RU"/>
        </w:rPr>
        <w:t>第</w:t>
      </w:r>
      <w:r w:rsidRPr="0097554A">
        <w:rPr>
          <w:color w:val="0000FF"/>
        </w:rPr>
        <w:t>40</w:t>
      </w:r>
      <w:r w:rsidRPr="004C59BB">
        <w:rPr>
          <w:color w:val="0000FF"/>
          <w:lang w:val="ru-RU"/>
        </w:rPr>
        <w:t>页</w:t>
      </w:r>
      <w:r w:rsidRPr="0097554A">
        <w:rPr>
          <w:color w:val="0000FF"/>
        </w:rPr>
        <w:t>；</w:t>
      </w:r>
      <w:r w:rsidRPr="004C59BB">
        <w:rPr>
          <w:color w:val="0000FF"/>
        </w:rPr>
        <w:t>第III卷</w:t>
      </w:r>
      <w:r w:rsidRPr="0097554A">
        <w:rPr>
          <w:color w:val="0000FF"/>
        </w:rPr>
        <w:t>，</w:t>
      </w:r>
      <w:r w:rsidRPr="004C59BB">
        <w:rPr>
          <w:color w:val="0000FF"/>
          <w:lang w:val="ru-RU"/>
        </w:rPr>
        <w:t>第</w:t>
      </w:r>
      <w:r w:rsidRPr="0097554A">
        <w:rPr>
          <w:color w:val="0000FF"/>
        </w:rPr>
        <w:t>65</w:t>
      </w:r>
      <w:r w:rsidRPr="004C59BB">
        <w:rPr>
          <w:color w:val="0000FF"/>
          <w:lang w:val="ru-RU"/>
        </w:rPr>
        <w:t>页</w:t>
      </w:r>
      <w:r w:rsidRPr="0097554A">
        <w:rPr>
          <w:color w:val="0000FF"/>
        </w:rPr>
        <w:t>）</w:t>
      </w:r>
      <w:r w:rsidRPr="004C59BB">
        <w:rPr>
          <w:color w:val="0000FF"/>
          <w:lang w:val="ru-RU"/>
        </w:rPr>
        <w:t>。</w:t>
      </w:r>
    </w:p>
  </w:footnote>
  <w:footnote w:id="86">
    <w:p w14:paraId="12291876" w14:textId="77777777" w:rsidR="00730E59" w:rsidRPr="004C59BB" w:rsidRDefault="00730E59">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例如</w:t>
      </w:r>
      <w:r w:rsidRPr="0097554A">
        <w:rPr>
          <w:color w:val="0000FF"/>
        </w:rPr>
        <w:t>：</w:t>
      </w:r>
      <w:r w:rsidRPr="004C59BB">
        <w:rPr>
          <w:color w:val="0000FF"/>
          <w:lang w:val="ru-RU"/>
        </w:rPr>
        <w:t>大亚他那修</w:t>
      </w:r>
      <w:r w:rsidRPr="0097554A">
        <w:rPr>
          <w:color w:val="0000FF"/>
        </w:rPr>
        <w:t>（</w:t>
      </w:r>
      <w:r w:rsidRPr="004C59BB">
        <w:rPr>
          <w:color w:val="0000FF"/>
          <w:lang w:val="ru-RU"/>
        </w:rPr>
        <w:t>《反</w:t>
      </w:r>
      <w:r w:rsidRPr="004C59BB">
        <w:rPr>
          <w:color w:val="0000FF"/>
        </w:rPr>
        <w:t>阿波利纳里乌斯</w:t>
      </w:r>
      <w:r w:rsidRPr="004C59BB">
        <w:rPr>
          <w:color w:val="0000FF"/>
          <w:lang w:val="ru-RU"/>
        </w:rPr>
        <w:t>》</w:t>
      </w:r>
      <w:r w:rsidRPr="004C59BB">
        <w:rPr>
          <w:color w:val="0000FF"/>
        </w:rPr>
        <w:t>及</w:t>
      </w:r>
      <w:r w:rsidRPr="004C59BB">
        <w:rPr>
          <w:color w:val="0000FF"/>
          <w:lang w:val="ru-RU"/>
        </w:rPr>
        <w:t>《</w:t>
      </w:r>
      <w:r w:rsidRPr="004C59BB">
        <w:rPr>
          <w:color w:val="0000FF"/>
        </w:rPr>
        <w:t>致埃皮克特图斯的书信</w:t>
      </w:r>
      <w:r w:rsidRPr="004C59BB">
        <w:rPr>
          <w:color w:val="0000FF"/>
          <w:lang w:val="ru-RU"/>
        </w:rPr>
        <w:t>》</w:t>
      </w:r>
      <w:r w:rsidRPr="0097554A">
        <w:rPr>
          <w:color w:val="0000FF"/>
        </w:rPr>
        <w:t>）</w:t>
      </w:r>
      <w:r w:rsidRPr="004C59BB">
        <w:rPr>
          <w:color w:val="0000FF"/>
          <w:lang w:val="ru-RU"/>
        </w:rPr>
        <w:t>、格里高利</w:t>
      </w:r>
      <w:r w:rsidRPr="0097554A">
        <w:rPr>
          <w:color w:val="0000FF"/>
        </w:rPr>
        <w:t>·</w:t>
      </w:r>
      <w:r w:rsidRPr="004C59BB">
        <w:rPr>
          <w:color w:val="0000FF"/>
          <w:lang w:val="ru-RU"/>
        </w:rPr>
        <w:t>神学家</w:t>
      </w:r>
      <w:r w:rsidRPr="0097554A">
        <w:rPr>
          <w:color w:val="0000FF"/>
        </w:rPr>
        <w:t>（</w:t>
      </w:r>
      <w:r w:rsidRPr="004C59BB">
        <w:rPr>
          <w:color w:val="0000FF"/>
          <w:lang w:val="ru-RU"/>
        </w:rPr>
        <w:t>在致克莱多尼乌斯的书信中</w:t>
      </w:r>
      <w:r w:rsidRPr="0097554A">
        <w:rPr>
          <w:color w:val="0000FF"/>
        </w:rPr>
        <w:t>）</w:t>
      </w:r>
      <w:r w:rsidRPr="004C59BB">
        <w:rPr>
          <w:color w:val="0000FF"/>
          <w:lang w:val="ru-RU"/>
        </w:rPr>
        <w:t>、尼西亚的格里高利</w:t>
      </w:r>
      <w:r w:rsidRPr="0097554A">
        <w:rPr>
          <w:color w:val="0000FF"/>
        </w:rPr>
        <w:t>（</w:t>
      </w:r>
      <w:r w:rsidRPr="004C59BB">
        <w:rPr>
          <w:color w:val="0000FF"/>
        </w:rPr>
        <w:t>《反阿波利纳里乌斯论》）、埃皮法尼乌斯（《锚》第71章及以下）、奥古斯丁（《论各种问题》 LXXXIII，第80问）。</w:t>
      </w:r>
    </w:p>
  </w:footnote>
  <w:footnote w:id="87">
    <w:p w14:paraId="4D9C31F2"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伊雷内乌斯《反异端》I，25，注1；26，注I；III，2，注I；V，1，注3；菲拉斯特《异端》36；西奥多雷特《异端》Fab. 1，5。</w:t>
      </w:r>
    </w:p>
  </w:footnote>
  <w:footnote w:id="88">
    <w:p w14:paraId="7C34EAE6"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伊格纳提乌斯《致以弗所人书》注18；爱任纽《反异端》第三卷，21；特土良《论异端预设》第13章；西里尔（《教理问答》第四卷，9）；金口若望《以赛亚书注》第七章，注6。</w:t>
      </w:r>
    </w:p>
  </w:footnote>
  <w:footnote w:id="89">
    <w:p w14:paraId="15247F88"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涅斯托尔，《论道成肉身》讲道集第1篇，第10节（见《马可福音》星期三篇，加拉版，第II卷，第5页；参见第118页）；亚历山大的西里尔，《致君士坦丁堡教士书》第VIII封。</w:t>
      </w:r>
    </w:p>
  </w:footnote>
  <w:footnote w:id="90">
    <w:p w14:paraId="343D2F31" w14:textId="77777777" w:rsidR="00730E59" w:rsidRPr="0097554A" w:rsidRDefault="00730E59">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参见</w:t>
      </w:r>
      <w:r w:rsidRPr="004C59BB">
        <w:rPr>
          <w:color w:val="0000FF"/>
        </w:rPr>
        <w:t>《第三</w:t>
      </w:r>
      <w:r w:rsidRPr="004C59BB">
        <w:rPr>
          <w:color w:val="0000FF"/>
          <w:lang w:val="ru-RU"/>
        </w:rPr>
        <w:t>次大公会议简</w:t>
      </w:r>
      <w:r w:rsidRPr="004C59BB">
        <w:rPr>
          <w:color w:val="0000FF"/>
        </w:rPr>
        <w:t>史》</w:t>
      </w:r>
      <w:r w:rsidRPr="0097554A">
        <w:rPr>
          <w:color w:val="0000FF"/>
        </w:rPr>
        <w:t>，</w:t>
      </w:r>
      <w:r w:rsidRPr="004C59BB">
        <w:rPr>
          <w:color w:val="0000FF"/>
          <w:lang w:val="ru-RU"/>
        </w:rPr>
        <w:t>载于《基督教周报》</w:t>
      </w:r>
      <w:r w:rsidRPr="0097554A">
        <w:rPr>
          <w:color w:val="0000FF"/>
        </w:rPr>
        <w:t>1842</w:t>
      </w:r>
      <w:r w:rsidRPr="004C59BB">
        <w:rPr>
          <w:color w:val="0000FF"/>
          <w:lang w:val="ru-RU"/>
        </w:rPr>
        <w:t>年</w:t>
      </w:r>
      <w:r w:rsidRPr="0097554A">
        <w:rPr>
          <w:color w:val="0000FF"/>
        </w:rPr>
        <w:t>，</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340</w:t>
      </w:r>
      <w:r w:rsidRPr="004C59BB">
        <w:rPr>
          <w:color w:val="0000FF"/>
          <w:lang w:val="ru-RU"/>
        </w:rPr>
        <w:t>页及后续内容。</w:t>
      </w:r>
    </w:p>
  </w:footnote>
  <w:footnote w:id="91">
    <w:p w14:paraId="2A4839C7"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尤提赫《论迦克墩大公会议》，会议记录第1卷，第91–93页，引自比尼乌斯；利奥《致弗拉维安书》，载于《迦克墩大公会议会议记录》第11卷，第165页，比尼乌斯版。</w:t>
      </w:r>
    </w:p>
  </w:footnote>
  <w:footnote w:id="92">
    <w:p w14:paraId="2FDD4C01" w14:textId="77777777" w:rsidR="00730E59" w:rsidRPr="0097554A" w:rsidRDefault="00730E59">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该学说曾由贝罗努斯和赫利克斯宣扬</w:t>
      </w:r>
      <w:r w:rsidRPr="004C59BB">
        <w:rPr>
          <w:color w:val="0000FF"/>
        </w:rPr>
        <w:t>（希波吕托斯《反贝罗努斯与赫利克斯》，第5段及以下），以及</w:t>
      </w:r>
      <w:r w:rsidRPr="004C59BB">
        <w:rPr>
          <w:color w:val="0000FF"/>
          <w:lang w:val="ru-RU"/>
        </w:rPr>
        <w:t>由尤多西乌斯</w:t>
      </w:r>
      <w:r w:rsidRPr="0097554A">
        <w:rPr>
          <w:color w:val="0000FF"/>
        </w:rPr>
        <w:t>·</w:t>
      </w:r>
      <w:r w:rsidRPr="004C59BB">
        <w:rPr>
          <w:color w:val="0000FF"/>
          <w:lang w:val="ru-RU"/>
        </w:rPr>
        <w:t>阿波利纳里乌斯宣扬</w:t>
      </w:r>
      <w:r w:rsidRPr="004C59BB">
        <w:rPr>
          <w:color w:val="0000FF"/>
        </w:rPr>
        <w:t>（参见Mai VII，第17页；埃皮法尼乌斯《异端论》LXXXII</w:t>
      </w:r>
      <w:r w:rsidRPr="0097554A">
        <w:rPr>
          <w:color w:val="0000FF"/>
        </w:rPr>
        <w:t>，</w:t>
      </w:r>
      <w:r w:rsidRPr="004C59BB">
        <w:rPr>
          <w:color w:val="0000FF"/>
          <w:lang w:val="ru-RU"/>
        </w:rPr>
        <w:t>第</w:t>
      </w:r>
      <w:r w:rsidRPr="0097554A">
        <w:rPr>
          <w:color w:val="0000FF"/>
        </w:rPr>
        <w:t>33</w:t>
      </w:r>
      <w:r w:rsidRPr="004C59BB">
        <w:rPr>
          <w:color w:val="0000FF"/>
          <w:lang w:val="ru-RU"/>
        </w:rPr>
        <w:t>段</w:t>
      </w:r>
      <w:r w:rsidRPr="0097554A">
        <w:rPr>
          <w:color w:val="0000FF"/>
        </w:rPr>
        <w:t>）</w:t>
      </w:r>
    </w:p>
  </w:footnote>
  <w:footnote w:id="93">
    <w:p w14:paraId="57B98B7E" w14:textId="77777777" w:rsidR="00730E59" w:rsidRPr="0097554A" w:rsidRDefault="00730E59">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w:t>
      </w:r>
      <w:r w:rsidRPr="004C59BB">
        <w:rPr>
          <w:color w:val="0000FF"/>
        </w:rPr>
        <w:t>第四</w:t>
      </w:r>
      <w:r w:rsidRPr="004C59BB">
        <w:rPr>
          <w:color w:val="0000FF"/>
          <w:lang w:val="ru-RU"/>
        </w:rPr>
        <w:t>次大公会议简史》</w:t>
      </w:r>
      <w:r w:rsidRPr="0097554A">
        <w:rPr>
          <w:color w:val="0000FF"/>
        </w:rPr>
        <w:t>（</w:t>
      </w:r>
      <w:r w:rsidRPr="004C59BB">
        <w:rPr>
          <w:color w:val="0000FF"/>
          <w:lang w:val="ru-RU"/>
        </w:rPr>
        <w:t>哈尔基顿会议</w:t>
      </w:r>
      <w:r w:rsidRPr="0097554A">
        <w:rPr>
          <w:color w:val="0000FF"/>
        </w:rPr>
        <w:t>），</w:t>
      </w:r>
      <w:r w:rsidRPr="004C59BB">
        <w:rPr>
          <w:color w:val="0000FF"/>
          <w:lang w:val="ru-RU"/>
        </w:rPr>
        <w:t>载于《基督教读物》</w:t>
      </w:r>
      <w:r w:rsidRPr="0097554A">
        <w:rPr>
          <w:color w:val="0000FF"/>
        </w:rPr>
        <w:t>1847</w:t>
      </w:r>
      <w:r w:rsidRPr="004C59BB">
        <w:rPr>
          <w:color w:val="0000FF"/>
          <w:lang w:val="ru-RU"/>
        </w:rPr>
        <w:t>年版</w:t>
      </w:r>
      <w:r w:rsidRPr="0097554A">
        <w:rPr>
          <w:color w:val="0000FF"/>
        </w:rPr>
        <w:t>，</w:t>
      </w:r>
      <w:r w:rsidRPr="004C59BB">
        <w:rPr>
          <w:color w:val="0000FF"/>
        </w:rPr>
        <w:t>第四卷</w:t>
      </w:r>
      <w:r w:rsidRPr="0097554A">
        <w:rPr>
          <w:color w:val="0000FF"/>
        </w:rPr>
        <w:t>，</w:t>
      </w:r>
      <w:r w:rsidRPr="004C59BB">
        <w:rPr>
          <w:color w:val="0000FF"/>
          <w:lang w:val="ru-RU"/>
        </w:rPr>
        <w:t>第</w:t>
      </w:r>
      <w:r w:rsidRPr="0097554A">
        <w:rPr>
          <w:color w:val="0000FF"/>
        </w:rPr>
        <w:t>112</w:t>
      </w:r>
      <w:r w:rsidRPr="004C59BB">
        <w:rPr>
          <w:color w:val="0000FF"/>
          <w:lang w:val="ru-RU"/>
        </w:rPr>
        <w:t>页及后续。</w:t>
      </w:r>
    </w:p>
  </w:footnote>
  <w:footnote w:id="94">
    <w:p w14:paraId="04294568" w14:textId="77777777" w:rsidR="00730E59" w:rsidRPr="0097554A" w:rsidRDefault="00730E59">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w:t>
      </w:r>
      <w:r w:rsidRPr="004C59BB">
        <w:rPr>
          <w:color w:val="0000FF"/>
        </w:rPr>
        <w:t>第六</w:t>
      </w:r>
      <w:r w:rsidRPr="004C59BB">
        <w:rPr>
          <w:color w:val="0000FF"/>
          <w:lang w:val="ru-RU"/>
        </w:rPr>
        <w:t>次大公会议简史》</w:t>
      </w:r>
      <w:r w:rsidRPr="0097554A">
        <w:rPr>
          <w:color w:val="0000FF"/>
        </w:rPr>
        <w:t>，</w:t>
      </w:r>
      <w:r w:rsidRPr="004C59BB">
        <w:rPr>
          <w:color w:val="0000FF"/>
          <w:lang w:val="ru-RU"/>
        </w:rPr>
        <w:t>载于《基督教读物》</w:t>
      </w:r>
      <w:r w:rsidRPr="0097554A">
        <w:rPr>
          <w:color w:val="0000FF"/>
        </w:rPr>
        <w:t>1848</w:t>
      </w:r>
      <w:r w:rsidRPr="004C59BB">
        <w:rPr>
          <w:color w:val="0000FF"/>
          <w:lang w:val="ru-RU"/>
        </w:rPr>
        <w:t>年</w:t>
      </w:r>
      <w:r w:rsidRPr="0097554A">
        <w:rPr>
          <w:color w:val="0000FF"/>
        </w:rPr>
        <w:t>，</w:t>
      </w:r>
      <w:r w:rsidRPr="004C59BB">
        <w:rPr>
          <w:color w:val="0000FF"/>
        </w:rPr>
        <w:t>第II</w:t>
      </w:r>
      <w:r w:rsidRPr="004C59BB">
        <w:rPr>
          <w:color w:val="0000FF"/>
          <w:lang w:val="ru-RU"/>
        </w:rPr>
        <w:t>卷</w:t>
      </w:r>
      <w:r w:rsidRPr="0097554A">
        <w:rPr>
          <w:color w:val="0000FF"/>
        </w:rPr>
        <w:t>，</w:t>
      </w:r>
      <w:r w:rsidRPr="004C59BB">
        <w:rPr>
          <w:color w:val="0000FF"/>
          <w:lang w:val="ru-RU"/>
        </w:rPr>
        <w:t>第</w:t>
      </w:r>
      <w:r w:rsidRPr="0097554A">
        <w:rPr>
          <w:color w:val="0000FF"/>
        </w:rPr>
        <w:t>1–33</w:t>
      </w:r>
      <w:r w:rsidRPr="004C59BB">
        <w:rPr>
          <w:color w:val="0000FF"/>
          <w:lang w:val="ru-RU"/>
        </w:rPr>
        <w:t>页。</w:t>
      </w:r>
    </w:p>
  </w:footnote>
  <w:footnote w:id="95">
    <w:p w14:paraId="3E585816" w14:textId="77777777" w:rsidR="00730E59" w:rsidRPr="0097554A" w:rsidRDefault="00730E59">
      <w:pPr>
        <w:pStyle w:val="FootnoteText"/>
        <w:rPr>
          <w:color w:val="0000FF"/>
        </w:rPr>
      </w:pPr>
      <w:r w:rsidRPr="004C59BB">
        <w:rPr>
          <w:rStyle w:val="FootnoteReference"/>
          <w:color w:val="0000FF"/>
        </w:rPr>
        <w:footnoteRef/>
      </w:r>
      <w:r w:rsidRPr="004C59BB">
        <w:rPr>
          <w:color w:val="0000FF"/>
        </w:rPr>
        <w:t xml:space="preserve"> </w:t>
      </w:r>
      <w:r w:rsidR="009A19ED" w:rsidRPr="004C59BB">
        <w:rPr>
          <w:color w:val="0000FF"/>
        </w:rPr>
        <w:t>《马德里西——论费利克斯与埃利帕纳斯异端之论述》，载于《保罗·阿奎拉文集》第207页及第599页，威尼斯版</w:t>
      </w:r>
      <w:r w:rsidR="009A19ED" w:rsidRPr="0097554A">
        <w:rPr>
          <w:color w:val="0000FF"/>
        </w:rPr>
        <w:t>，1737</w:t>
      </w:r>
      <w:r w:rsidR="009A19ED" w:rsidRPr="004C59BB">
        <w:rPr>
          <w:color w:val="0000FF"/>
          <w:lang w:val="ru-RU"/>
        </w:rPr>
        <w:t>年</w:t>
      </w:r>
      <w:r w:rsidR="009A19ED" w:rsidRPr="0097554A">
        <w:rPr>
          <w:color w:val="0000FF"/>
        </w:rPr>
        <w:t>；</w:t>
      </w:r>
      <w:r w:rsidR="009A19ED" w:rsidRPr="004C59BB">
        <w:rPr>
          <w:color w:val="0000FF"/>
        </w:rPr>
        <w:t>瓦尔赫</w:t>
      </w:r>
      <w:r w:rsidR="009A19ED" w:rsidRPr="004C59BB">
        <w:rPr>
          <w:color w:val="0000FF"/>
          <w:lang w:val="ru-RU"/>
        </w:rPr>
        <w:t>《</w:t>
      </w:r>
      <w:r w:rsidR="009A19ED" w:rsidRPr="004C59BB">
        <w:rPr>
          <w:color w:val="0000FF"/>
        </w:rPr>
        <w:t>阿多普蒂安派</w:t>
      </w:r>
      <w:r w:rsidR="009A19ED" w:rsidRPr="004C59BB">
        <w:rPr>
          <w:color w:val="0000FF"/>
          <w:lang w:val="ru-RU"/>
        </w:rPr>
        <w:t>史》</w:t>
      </w:r>
      <w:r w:rsidR="009A19ED" w:rsidRPr="0097554A">
        <w:rPr>
          <w:color w:val="0000FF"/>
        </w:rPr>
        <w:t>，</w:t>
      </w:r>
      <w:r w:rsidR="009A19ED" w:rsidRPr="004C59BB">
        <w:rPr>
          <w:color w:val="0000FF"/>
        </w:rPr>
        <w:t>哥廷根</w:t>
      </w:r>
      <w:r w:rsidR="009A19ED" w:rsidRPr="0097554A">
        <w:rPr>
          <w:color w:val="0000FF"/>
        </w:rPr>
        <w:t>，1755</w:t>
      </w:r>
      <w:r w:rsidR="009A19ED" w:rsidRPr="004C59BB">
        <w:rPr>
          <w:color w:val="0000FF"/>
          <w:lang w:val="ru-RU"/>
        </w:rPr>
        <w:t>年。</w:t>
      </w:r>
    </w:p>
  </w:footnote>
  <w:footnote w:id="96">
    <w:p w14:paraId="5E380B66" w14:textId="77777777" w:rsidR="009A19ED" w:rsidRPr="0097554A" w:rsidRDefault="009A19ED">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同样的教义也体现在被称为</w:t>
      </w:r>
      <w:r w:rsidRPr="0097554A">
        <w:rPr>
          <w:color w:val="0000FF"/>
        </w:rPr>
        <w:t>“</w:t>
      </w:r>
      <w:r w:rsidRPr="004C59BB">
        <w:rPr>
          <w:color w:val="0000FF"/>
          <w:lang w:val="ru-RU"/>
        </w:rPr>
        <w:t>亚历山大的圣亚法纳西信经</w:t>
      </w:r>
      <w:r w:rsidRPr="0097554A">
        <w:rPr>
          <w:color w:val="0000FF"/>
        </w:rPr>
        <w:t>”</w:t>
      </w:r>
      <w:r w:rsidRPr="004C59BB">
        <w:rPr>
          <w:color w:val="0000FF"/>
          <w:lang w:val="ru-RU"/>
        </w:rPr>
        <w:t>的信经中</w:t>
      </w:r>
      <w:r w:rsidRPr="0097554A">
        <w:rPr>
          <w:color w:val="0000FF"/>
        </w:rPr>
        <w:t>： “</w:t>
      </w:r>
      <w:r w:rsidRPr="004C59BB">
        <w:rPr>
          <w:color w:val="0000FF"/>
          <w:lang w:val="ru-RU"/>
        </w:rPr>
        <w:t>有正统的信仰</w:t>
      </w:r>
      <w:r w:rsidRPr="0097554A">
        <w:rPr>
          <w:color w:val="0000FF"/>
        </w:rPr>
        <w:t>，</w:t>
      </w:r>
      <w:r w:rsidRPr="004C59BB">
        <w:rPr>
          <w:color w:val="0000FF"/>
          <w:lang w:val="ru-RU"/>
        </w:rPr>
        <w:t>我们当信并宣认</w:t>
      </w:r>
      <w:r w:rsidRPr="0097554A">
        <w:rPr>
          <w:color w:val="0000FF"/>
        </w:rPr>
        <w:t>：</w:t>
      </w:r>
      <w:r w:rsidRPr="004C59BB">
        <w:rPr>
          <w:color w:val="0000FF"/>
          <w:lang w:val="ru-RU"/>
        </w:rPr>
        <w:t>主耶稣基督是神的儿子</w:t>
      </w:r>
      <w:r w:rsidRPr="0097554A">
        <w:rPr>
          <w:color w:val="0000FF"/>
        </w:rPr>
        <w:t>，</w:t>
      </w:r>
      <w:r w:rsidRPr="004C59BB">
        <w:rPr>
          <w:color w:val="0000FF"/>
          <w:lang w:val="ru-RU"/>
        </w:rPr>
        <w:t>既是神又是人</w:t>
      </w:r>
      <w:r w:rsidRPr="0097554A">
        <w:rPr>
          <w:color w:val="0000FF"/>
        </w:rPr>
        <w:t>——</w:t>
      </w:r>
      <w:r w:rsidRPr="004C59BB">
        <w:rPr>
          <w:color w:val="0000FF"/>
          <w:lang w:val="ru-RU"/>
        </w:rPr>
        <w:t>祂是神</w:t>
      </w:r>
      <w:r w:rsidRPr="0097554A">
        <w:rPr>
          <w:color w:val="0000FF"/>
        </w:rPr>
        <w:t>，</w:t>
      </w:r>
      <w:r w:rsidRPr="004C59BB">
        <w:rPr>
          <w:color w:val="0000FF"/>
          <w:lang w:val="ru-RU"/>
        </w:rPr>
        <w:t>由父的本性在永恒之前所生</w:t>
      </w:r>
      <w:r w:rsidRPr="0097554A">
        <w:rPr>
          <w:color w:val="0000FF"/>
        </w:rPr>
        <w:t>；</w:t>
      </w:r>
      <w:r w:rsidRPr="004C59BB">
        <w:rPr>
          <w:color w:val="0000FF"/>
          <w:lang w:val="ru-RU"/>
        </w:rPr>
        <w:t>祂是人</w:t>
      </w:r>
      <w:r w:rsidRPr="0097554A">
        <w:rPr>
          <w:color w:val="0000FF"/>
        </w:rPr>
        <w:t>，</w:t>
      </w:r>
      <w:r w:rsidRPr="004C59BB">
        <w:rPr>
          <w:color w:val="0000FF"/>
          <w:lang w:val="ru-RU"/>
        </w:rPr>
        <w:t>由母的本性在时间之中所生</w:t>
      </w:r>
      <w:r w:rsidRPr="0097554A">
        <w:rPr>
          <w:color w:val="0000FF"/>
        </w:rPr>
        <w:t>；</w:t>
      </w:r>
      <w:r w:rsidRPr="004C59BB">
        <w:rPr>
          <w:color w:val="0000FF"/>
          <w:lang w:val="ru-RU"/>
        </w:rPr>
        <w:t>祂是完全的神</w:t>
      </w:r>
      <w:r w:rsidRPr="0097554A">
        <w:rPr>
          <w:color w:val="0000FF"/>
        </w:rPr>
        <w:t>，</w:t>
      </w:r>
      <w:r w:rsidRPr="004C59BB">
        <w:rPr>
          <w:color w:val="0000FF"/>
          <w:lang w:val="ru-RU"/>
        </w:rPr>
        <w:t>也是完全的人</w:t>
      </w:r>
      <w:r w:rsidRPr="0097554A">
        <w:rPr>
          <w:color w:val="0000FF"/>
        </w:rPr>
        <w:t>，</w:t>
      </w:r>
      <w:r w:rsidRPr="004C59BB">
        <w:rPr>
          <w:color w:val="0000FF"/>
          <w:lang w:val="ru-RU"/>
        </w:rPr>
        <w:t>由圣灵所赐的灵与人的肉体所组成。</w:t>
      </w:r>
      <w:r w:rsidRPr="0097554A">
        <w:rPr>
          <w:color w:val="0000FF"/>
        </w:rPr>
        <w:t xml:space="preserve"> </w:t>
      </w:r>
      <w:r w:rsidRPr="004C59BB">
        <w:rPr>
          <w:color w:val="0000FF"/>
          <w:lang w:val="ru-RU"/>
        </w:rPr>
        <w:t>祂既是神又是人</w:t>
      </w:r>
      <w:r w:rsidRPr="0097554A">
        <w:rPr>
          <w:color w:val="0000FF"/>
        </w:rPr>
        <w:t>，</w:t>
      </w:r>
      <w:r w:rsidRPr="004C59BB">
        <w:rPr>
          <w:color w:val="0000FF"/>
          <w:lang w:val="ru-RU"/>
        </w:rPr>
        <w:t>但并非两个</w:t>
      </w:r>
      <w:r w:rsidRPr="0097554A">
        <w:rPr>
          <w:color w:val="0000FF"/>
        </w:rPr>
        <w:t>，</w:t>
      </w:r>
      <w:r w:rsidRPr="004C59BB">
        <w:rPr>
          <w:color w:val="0000FF"/>
          <w:lang w:val="ru-RU"/>
        </w:rPr>
        <w:t>而是唯一的基督</w:t>
      </w:r>
      <w:r w:rsidRPr="0097554A">
        <w:rPr>
          <w:color w:val="0000FF"/>
        </w:rPr>
        <w:t>；</w:t>
      </w:r>
      <w:r w:rsidRPr="004C59BB">
        <w:rPr>
          <w:color w:val="0000FF"/>
          <w:lang w:val="ru-RU"/>
        </w:rPr>
        <w:t>这种唯一性并非本性的融合</w:t>
      </w:r>
      <w:r w:rsidRPr="0097554A">
        <w:rPr>
          <w:color w:val="0000FF"/>
        </w:rPr>
        <w:t>，</w:t>
      </w:r>
      <w:r w:rsidRPr="004C59BB">
        <w:rPr>
          <w:color w:val="0000FF"/>
          <w:lang w:val="ru-RU"/>
        </w:rPr>
        <w:t>而是位格的合一。</w:t>
      </w:r>
      <w:r w:rsidRPr="0097554A">
        <w:rPr>
          <w:color w:val="0000FF"/>
        </w:rPr>
        <w:t>”</w:t>
      </w:r>
    </w:p>
  </w:footnote>
  <w:footnote w:id="97">
    <w:p w14:paraId="271A25DE" w14:textId="77777777" w:rsidR="004E44E5" w:rsidRPr="0097554A" w:rsidRDefault="004E44E5">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相关论述参见</w:t>
      </w:r>
      <w:r w:rsidRPr="004C59BB">
        <w:rPr>
          <w:color w:val="0000FF"/>
        </w:rPr>
        <w:t>A</w:t>
      </w:r>
      <w:r w:rsidRPr="0097554A">
        <w:rPr>
          <w:color w:val="0000FF"/>
        </w:rPr>
        <w:t>. M.</w:t>
      </w:r>
      <w:r w:rsidRPr="004C59BB">
        <w:rPr>
          <w:color w:val="0000FF"/>
        </w:rPr>
        <w:t>所著</w:t>
      </w:r>
      <w:r w:rsidR="005666A3" w:rsidRPr="004C59BB">
        <w:rPr>
          <w:color w:val="0000FF"/>
          <w:lang w:val="ru-RU"/>
        </w:rPr>
        <w:t>《</w:t>
      </w:r>
      <w:r w:rsidRPr="004C59BB">
        <w:rPr>
          <w:color w:val="0000FF"/>
          <w:lang w:val="ru-RU"/>
        </w:rPr>
        <w:t>东正教神学导论</w:t>
      </w:r>
      <w:r w:rsidR="005666A3" w:rsidRPr="004C59BB">
        <w:rPr>
          <w:color w:val="0000FF"/>
          <w:lang w:val="ru-RU"/>
        </w:rPr>
        <w:t>》</w:t>
      </w:r>
      <w:r w:rsidRPr="004C59BB">
        <w:rPr>
          <w:color w:val="0000FF"/>
          <w:lang w:val="ru-RU"/>
        </w:rPr>
        <w:t>第</w:t>
      </w:r>
      <w:r w:rsidRPr="0097554A">
        <w:rPr>
          <w:color w:val="0000FF"/>
        </w:rPr>
        <w:t>84</w:t>
      </w:r>
      <w:r w:rsidRPr="004C59BB">
        <w:rPr>
          <w:color w:val="0000FF"/>
          <w:lang w:val="ru-RU"/>
        </w:rPr>
        <w:t>节</w:t>
      </w:r>
      <w:r w:rsidRPr="0097554A">
        <w:rPr>
          <w:color w:val="0000FF"/>
        </w:rPr>
        <w:t>，</w:t>
      </w:r>
      <w:r w:rsidRPr="004C59BB">
        <w:rPr>
          <w:color w:val="0000FF"/>
          <w:lang w:val="ru-RU"/>
        </w:rPr>
        <w:t>注释</w:t>
      </w:r>
      <w:r w:rsidRPr="0097554A">
        <w:rPr>
          <w:color w:val="0000FF"/>
        </w:rPr>
        <w:t>225</w:t>
      </w:r>
      <w:r w:rsidRPr="004C59BB">
        <w:rPr>
          <w:color w:val="0000FF"/>
          <w:lang w:val="ru-RU"/>
        </w:rPr>
        <w:t>。</w:t>
      </w:r>
    </w:p>
  </w:footnote>
  <w:footnote w:id="98">
    <w:p w14:paraId="312B7903" w14:textId="77777777" w:rsidR="004E44E5" w:rsidRPr="0097554A" w:rsidRDefault="004E44E5">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参见同上注释</w:t>
      </w:r>
      <w:r w:rsidRPr="0097554A">
        <w:rPr>
          <w:color w:val="0000FF"/>
        </w:rPr>
        <w:t>224</w:t>
      </w:r>
      <w:r w:rsidRPr="004C59BB">
        <w:rPr>
          <w:color w:val="0000FF"/>
          <w:lang w:val="ru-RU"/>
        </w:rPr>
        <w:t>。</w:t>
      </w:r>
    </w:p>
  </w:footnote>
  <w:footnote w:id="99">
    <w:p w14:paraId="6BCE26E1" w14:textId="77777777" w:rsidR="005864AB" w:rsidRPr="0097554A" w:rsidRDefault="005864AB">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同上</w:t>
      </w:r>
      <w:r w:rsidRPr="0097554A">
        <w:rPr>
          <w:color w:val="0000FF"/>
        </w:rPr>
        <w:t>，</w:t>
      </w:r>
      <w:r w:rsidRPr="004C59BB">
        <w:rPr>
          <w:color w:val="0000FF"/>
          <w:lang w:val="ru-RU"/>
        </w:rPr>
        <w:t>注</w:t>
      </w:r>
      <w:r w:rsidRPr="0097554A">
        <w:rPr>
          <w:color w:val="0000FF"/>
        </w:rPr>
        <w:t>223</w:t>
      </w:r>
      <w:r w:rsidRPr="004C59BB">
        <w:rPr>
          <w:color w:val="0000FF"/>
          <w:lang w:val="ru-RU"/>
        </w:rPr>
        <w:t>。</w:t>
      </w:r>
    </w:p>
  </w:footnote>
  <w:footnote w:id="100">
    <w:p w14:paraId="5EB667D1" w14:textId="77777777" w:rsidR="005864AB" w:rsidRPr="0097554A" w:rsidRDefault="005864AB">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同上</w:t>
      </w:r>
      <w:r w:rsidRPr="0097554A">
        <w:rPr>
          <w:color w:val="0000FF"/>
        </w:rPr>
        <w:t>，</w:t>
      </w:r>
      <w:r w:rsidRPr="004C59BB">
        <w:rPr>
          <w:color w:val="0000FF"/>
          <w:lang w:val="ru-RU"/>
        </w:rPr>
        <w:t>注</w:t>
      </w:r>
      <w:r w:rsidRPr="0097554A">
        <w:rPr>
          <w:color w:val="0000FF"/>
        </w:rPr>
        <w:t>222</w:t>
      </w:r>
      <w:r w:rsidRPr="004C59BB">
        <w:rPr>
          <w:color w:val="0000FF"/>
          <w:lang w:val="ru-RU"/>
        </w:rPr>
        <w:t>。</w:t>
      </w:r>
    </w:p>
  </w:footnote>
  <w:footnote w:id="101">
    <w:p w14:paraId="16B9B44A" w14:textId="77777777" w:rsidR="005864AB" w:rsidRPr="004C59BB" w:rsidRDefault="005864AB">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我们此前已根据圣经</w:t>
      </w:r>
      <w:r w:rsidRPr="0097554A">
        <w:rPr>
          <w:color w:val="0000FF"/>
        </w:rPr>
        <w:t>，</w:t>
      </w:r>
      <w:r w:rsidRPr="004C59BB">
        <w:rPr>
          <w:color w:val="0000FF"/>
          <w:lang w:val="ru-RU"/>
        </w:rPr>
        <w:t>对关于耶稣基督</w:t>
      </w:r>
      <w:r w:rsidRPr="0097554A">
        <w:rPr>
          <w:color w:val="0000FF"/>
        </w:rPr>
        <w:t>——</w:t>
      </w:r>
      <w:r w:rsidRPr="004C59BB">
        <w:rPr>
          <w:color w:val="0000FF"/>
          <w:lang w:val="ru-RU"/>
        </w:rPr>
        <w:t>上帝之子</w:t>
      </w:r>
      <w:r w:rsidRPr="0097554A">
        <w:rPr>
          <w:color w:val="0000FF"/>
        </w:rPr>
        <w:t>——</w:t>
      </w:r>
      <w:r w:rsidRPr="004C59BB">
        <w:rPr>
          <w:color w:val="0000FF"/>
          <w:lang w:val="ru-RU"/>
        </w:rPr>
        <w:t>的神性教义作了更详细的阐述。参见</w:t>
      </w:r>
      <w:r w:rsidR="005666A3" w:rsidRPr="004C59BB">
        <w:rPr>
          <w:color w:val="0000FF"/>
          <w:lang w:val="ru-RU"/>
        </w:rPr>
        <w:t>《</w:t>
      </w:r>
      <w:r w:rsidRPr="004C59BB">
        <w:rPr>
          <w:color w:val="0000FF"/>
          <w:lang w:val="ru-RU"/>
        </w:rPr>
        <w:t>东正教教义神学</w:t>
      </w:r>
      <w:r w:rsidR="005666A3" w:rsidRPr="004C59BB">
        <w:rPr>
          <w:color w:val="0000FF"/>
          <w:lang w:val="ru-RU"/>
        </w:rPr>
        <w:t>》</w:t>
      </w:r>
      <w:r w:rsidRPr="004C59BB">
        <w:rPr>
          <w:color w:val="0000FF"/>
          <w:lang w:val="ru-RU"/>
        </w:rPr>
        <w:t>第1卷，第33节，第219–230页。</w:t>
      </w:r>
    </w:p>
  </w:footnote>
  <w:footnote w:id="102">
    <w:p w14:paraId="6D463BEB"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此外，我们还依据圣传更详细地阐释了关于耶稣基督神性的教义，详见同上第31节，第212–217页。此处仅列举其中未曾提及的若干佐证。</w:t>
      </w:r>
    </w:p>
  </w:footnote>
  <w:footnote w:id="103">
    <w:p w14:paraId="3A7599B0" w14:textId="77777777" w:rsidR="005864AB" w:rsidRPr="0097554A" w:rsidRDefault="005864A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致特拉勒斯</w:t>
      </w:r>
      <w:r w:rsidRPr="004C59BB">
        <w:rPr>
          <w:color w:val="0000FF"/>
          <w:lang w:val="ru-RU"/>
        </w:rPr>
        <w:t>书》</w:t>
      </w:r>
      <w:r w:rsidRPr="004C59BB">
        <w:rPr>
          <w:color w:val="0000FF"/>
        </w:rPr>
        <w:t>第七</w:t>
      </w:r>
      <w:r w:rsidRPr="004C59BB">
        <w:rPr>
          <w:color w:val="0000FF"/>
          <w:lang w:val="ru-RU"/>
        </w:rPr>
        <w:t>章</w:t>
      </w:r>
      <w:r w:rsidRPr="0097554A">
        <w:rPr>
          <w:color w:val="0000FF"/>
          <w:lang w:val="ru-RU"/>
        </w:rPr>
        <w:t>，</w:t>
      </w:r>
      <w:r w:rsidRPr="004C59BB">
        <w:rPr>
          <w:color w:val="0000FF"/>
        </w:rPr>
        <w:t>第</w:t>
      </w:r>
      <w:r w:rsidRPr="0097554A">
        <w:rPr>
          <w:color w:val="0000FF"/>
          <w:lang w:val="ru-RU"/>
        </w:rPr>
        <w:t>194</w:t>
      </w:r>
      <w:r w:rsidRPr="004C59BB">
        <w:rPr>
          <w:color w:val="0000FF"/>
        </w:rPr>
        <w:t>页</w:t>
      </w:r>
      <w:r w:rsidRPr="0097554A">
        <w:rPr>
          <w:color w:val="0000FF"/>
          <w:lang w:val="ru-RU"/>
        </w:rPr>
        <w:t>；</w:t>
      </w:r>
      <w:r w:rsidRPr="004C59BB">
        <w:rPr>
          <w:color w:val="0000FF"/>
        </w:rPr>
        <w:t>《使徒著作集》</w:t>
      </w:r>
      <w:r w:rsidRPr="0097554A">
        <w:rPr>
          <w:color w:val="0000FF"/>
          <w:lang w:val="ru-RU"/>
        </w:rPr>
        <w:t>，</w:t>
      </w:r>
      <w:r w:rsidRPr="004C59BB">
        <w:rPr>
          <w:color w:val="0000FF"/>
        </w:rPr>
        <w:t>赫费勒编</w:t>
      </w:r>
      <w:r w:rsidRPr="0097554A">
        <w:rPr>
          <w:color w:val="0000FF"/>
          <w:lang w:val="ru-RU"/>
        </w:rPr>
        <w:t>，</w:t>
      </w:r>
      <w:r w:rsidRPr="004C59BB">
        <w:rPr>
          <w:color w:val="0000FF"/>
        </w:rPr>
        <w:t>图宾根</w:t>
      </w:r>
      <w:r w:rsidRPr="0097554A">
        <w:rPr>
          <w:color w:val="0000FF"/>
          <w:lang w:val="ru-RU"/>
        </w:rPr>
        <w:t>，1847</w:t>
      </w:r>
      <w:r w:rsidRPr="004C59BB">
        <w:rPr>
          <w:color w:val="0000FF"/>
        </w:rPr>
        <w:t>年。</w:t>
      </w:r>
    </w:p>
  </w:footnote>
  <w:footnote w:id="104">
    <w:p w14:paraId="4C95BD65" w14:textId="77777777" w:rsidR="005864AB" w:rsidRPr="0097554A" w:rsidRDefault="005864AB">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《致埃普利斯书》</w:t>
      </w:r>
      <w:r w:rsidRPr="0097554A">
        <w:rPr>
          <w:color w:val="0000FF"/>
          <w:lang w:val="ru-RU"/>
        </w:rPr>
        <w:t>（</w:t>
      </w:r>
      <w:r w:rsidRPr="004C59BB">
        <w:rPr>
          <w:color w:val="0000FF"/>
        </w:rPr>
        <w:t>Ad</w:t>
      </w:r>
      <w:r w:rsidRPr="0097554A">
        <w:rPr>
          <w:color w:val="0000FF"/>
          <w:lang w:val="ru-RU"/>
        </w:rPr>
        <w:t xml:space="preserve"> </w:t>
      </w:r>
      <w:r w:rsidRPr="004C59BB">
        <w:rPr>
          <w:color w:val="0000FF"/>
        </w:rPr>
        <w:t>Eplies</w:t>
      </w:r>
      <w:r w:rsidRPr="0097554A">
        <w:rPr>
          <w:color w:val="0000FF"/>
          <w:lang w:val="ru-RU"/>
        </w:rPr>
        <w:t>.），</w:t>
      </w:r>
      <w:r w:rsidRPr="004C59BB">
        <w:rPr>
          <w:color w:val="0000FF"/>
        </w:rPr>
        <w:t>第十九章和第二十章</w:t>
      </w:r>
      <w:r w:rsidRPr="0097554A">
        <w:rPr>
          <w:color w:val="0000FF"/>
          <w:lang w:val="ru-RU"/>
        </w:rPr>
        <w:t>，</w:t>
      </w:r>
      <w:r w:rsidRPr="004C59BB">
        <w:rPr>
          <w:color w:val="0000FF"/>
        </w:rPr>
        <w:t>第</w:t>
      </w:r>
      <w:r w:rsidRPr="0097554A">
        <w:rPr>
          <w:color w:val="0000FF"/>
          <w:lang w:val="ru-RU"/>
        </w:rPr>
        <w:t>172</w:t>
      </w:r>
      <w:r w:rsidRPr="004C59BB">
        <w:rPr>
          <w:color w:val="0000FF"/>
        </w:rPr>
        <w:t>、</w:t>
      </w:r>
      <w:r w:rsidRPr="0097554A">
        <w:rPr>
          <w:color w:val="0000FF"/>
          <w:lang w:val="ru-RU"/>
        </w:rPr>
        <w:t>174</w:t>
      </w:r>
      <w:r w:rsidRPr="004C59BB">
        <w:rPr>
          <w:color w:val="0000FF"/>
        </w:rPr>
        <w:t>页</w:t>
      </w:r>
      <w:r w:rsidRPr="0097554A">
        <w:rPr>
          <w:color w:val="0000FF"/>
          <w:lang w:val="ru-RU"/>
        </w:rPr>
        <w:t>，</w:t>
      </w:r>
      <w:r w:rsidRPr="004C59BB">
        <w:rPr>
          <w:color w:val="0000FF"/>
        </w:rPr>
        <w:t>同上版</w:t>
      </w:r>
      <w:r w:rsidRPr="0097554A">
        <w:rPr>
          <w:color w:val="0000FF"/>
          <w:lang w:val="ru-RU"/>
        </w:rPr>
        <w:t>；</w:t>
      </w:r>
      <w:r w:rsidRPr="004C59BB">
        <w:rPr>
          <w:color w:val="0000FF"/>
          <w:lang w:val="ru-RU"/>
        </w:rPr>
        <w:t>载于</w:t>
      </w:r>
      <w:r w:rsidRPr="004C59BB">
        <w:rPr>
          <w:color w:val="0000FF"/>
        </w:rPr>
        <w:t>《基督教读物》</w:t>
      </w:r>
      <w:r w:rsidRPr="0097554A">
        <w:rPr>
          <w:color w:val="0000FF"/>
          <w:lang w:val="ru-RU"/>
        </w:rPr>
        <w:t>（</w:t>
      </w:r>
      <w:r w:rsidRPr="004C59BB">
        <w:rPr>
          <w:color w:val="0000FF"/>
        </w:rPr>
        <w:t>Xp</w:t>
      </w:r>
      <w:r w:rsidRPr="0097554A">
        <w:rPr>
          <w:color w:val="0000FF"/>
          <w:lang w:val="ru-RU"/>
        </w:rPr>
        <w:t xml:space="preserve">. </w:t>
      </w:r>
      <w:r w:rsidRPr="004C59BB">
        <w:rPr>
          <w:color w:val="0000FF"/>
          <w:lang w:val="ru-RU"/>
        </w:rPr>
        <w:t>Чт</w:t>
      </w:r>
      <w:r w:rsidRPr="0097554A">
        <w:rPr>
          <w:color w:val="0000FF"/>
          <w:lang w:val="ru-RU"/>
        </w:rPr>
        <w:t>.），1821</w:t>
      </w:r>
      <w:r w:rsidRPr="004C59BB">
        <w:rPr>
          <w:color w:val="0000FF"/>
        </w:rPr>
        <w:t>年</w:t>
      </w:r>
      <w:r w:rsidRPr="004C59BB">
        <w:rPr>
          <w:color w:val="0000FF"/>
          <w:lang w:val="ru-RU"/>
        </w:rPr>
        <w:t>，第1期</w:t>
      </w:r>
      <w:r w:rsidRPr="0097554A">
        <w:rPr>
          <w:color w:val="0000FF"/>
          <w:lang w:val="ru-RU"/>
        </w:rPr>
        <w:t>，</w:t>
      </w:r>
      <w:r w:rsidRPr="004C59BB">
        <w:rPr>
          <w:color w:val="0000FF"/>
        </w:rPr>
        <w:t>第</w:t>
      </w:r>
      <w:r w:rsidRPr="0097554A">
        <w:rPr>
          <w:color w:val="0000FF"/>
          <w:lang w:val="ru-RU"/>
        </w:rPr>
        <w:t>41</w:t>
      </w:r>
      <w:r w:rsidRPr="004C59BB">
        <w:rPr>
          <w:color w:val="0000FF"/>
        </w:rPr>
        <w:t>页。</w:t>
      </w:r>
    </w:p>
  </w:footnote>
  <w:footnote w:id="105">
    <w:p w14:paraId="278F97F8" w14:textId="77777777" w:rsidR="00224D5E" w:rsidRPr="0097554A" w:rsidRDefault="00224D5E">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《致罗马人书》第</w:t>
      </w:r>
      <w:r w:rsidRPr="0097554A">
        <w:rPr>
          <w:color w:val="0000FF"/>
          <w:lang w:val="ru-RU"/>
        </w:rPr>
        <w:t>1</w:t>
      </w:r>
      <w:r w:rsidRPr="004C59BB">
        <w:rPr>
          <w:color w:val="0000FF"/>
        </w:rPr>
        <w:t>章</w:t>
      </w:r>
      <w:r w:rsidRPr="0097554A">
        <w:rPr>
          <w:color w:val="0000FF"/>
          <w:lang w:val="ru-RU"/>
        </w:rPr>
        <w:t>，</w:t>
      </w:r>
      <w:r w:rsidRPr="004C59BB">
        <w:rPr>
          <w:color w:val="0000FF"/>
        </w:rPr>
        <w:t>第</w:t>
      </w:r>
      <w:r w:rsidRPr="0097554A">
        <w:rPr>
          <w:color w:val="0000FF"/>
          <w:lang w:val="ru-RU"/>
        </w:rPr>
        <w:t>200</w:t>
      </w:r>
      <w:r w:rsidRPr="004C59BB">
        <w:rPr>
          <w:color w:val="0000FF"/>
        </w:rPr>
        <w:t>页</w:t>
      </w:r>
      <w:r w:rsidRPr="0097554A">
        <w:rPr>
          <w:color w:val="0000FF"/>
          <w:lang w:val="ru-RU"/>
        </w:rPr>
        <w:t>，</w:t>
      </w:r>
      <w:r w:rsidRPr="004C59BB">
        <w:rPr>
          <w:color w:val="0000FF"/>
        </w:rPr>
        <w:t>同上版。</w:t>
      </w:r>
    </w:p>
  </w:footnote>
  <w:footnote w:id="106">
    <w:p w14:paraId="4AC5DB7C" w14:textId="77777777" w:rsidR="00224D5E" w:rsidRPr="0097554A" w:rsidRDefault="00224D5E">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《致腓力书》</w:t>
      </w:r>
      <w:r w:rsidRPr="0097554A">
        <w:rPr>
          <w:color w:val="0000FF"/>
          <w:lang w:val="ru-RU"/>
        </w:rPr>
        <w:t>，</w:t>
      </w:r>
      <w:r w:rsidRPr="004C59BB">
        <w:rPr>
          <w:color w:val="0000FF"/>
        </w:rPr>
        <w:t>第</w:t>
      </w:r>
      <w:r w:rsidRPr="0097554A">
        <w:rPr>
          <w:color w:val="0000FF"/>
          <w:lang w:val="ru-RU"/>
        </w:rPr>
        <w:t>1</w:t>
      </w:r>
      <w:r w:rsidRPr="004C59BB">
        <w:rPr>
          <w:color w:val="0000FF"/>
        </w:rPr>
        <w:t>章</w:t>
      </w:r>
      <w:r w:rsidRPr="0097554A">
        <w:rPr>
          <w:color w:val="0000FF"/>
          <w:lang w:val="ru-RU"/>
        </w:rPr>
        <w:t>，</w:t>
      </w:r>
      <w:r w:rsidRPr="004C59BB">
        <w:rPr>
          <w:color w:val="0000FF"/>
        </w:rPr>
        <w:t>第</w:t>
      </w:r>
      <w:r w:rsidRPr="0097554A">
        <w:rPr>
          <w:color w:val="0000FF"/>
          <w:lang w:val="ru-RU"/>
        </w:rPr>
        <w:t>258</w:t>
      </w:r>
      <w:r w:rsidRPr="004C59BB">
        <w:rPr>
          <w:color w:val="0000FF"/>
        </w:rPr>
        <w:t>页</w:t>
      </w:r>
      <w:r w:rsidRPr="0097554A">
        <w:rPr>
          <w:color w:val="0000FF"/>
          <w:lang w:val="ru-RU"/>
        </w:rPr>
        <w:t>，</w:t>
      </w:r>
      <w:r w:rsidRPr="004C59BB">
        <w:rPr>
          <w:color w:val="0000FF"/>
        </w:rPr>
        <w:t>同上版。</w:t>
      </w:r>
    </w:p>
  </w:footnote>
  <w:footnote w:id="107">
    <w:p w14:paraId="23820E72" w14:textId="77777777" w:rsidR="00A619D0" w:rsidRPr="0097554A" w:rsidRDefault="00A619D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《致迪奥格涅特书》</w:t>
      </w:r>
      <w:r w:rsidRPr="0097554A">
        <w:rPr>
          <w:color w:val="0000FF"/>
          <w:lang w:val="ru-RU"/>
        </w:rPr>
        <w:t>，</w:t>
      </w:r>
      <w:r w:rsidRPr="004C59BB">
        <w:rPr>
          <w:color w:val="0000FF"/>
        </w:rPr>
        <w:t>第IX章</w:t>
      </w:r>
      <w:r w:rsidRPr="0097554A">
        <w:rPr>
          <w:color w:val="0000FF"/>
          <w:lang w:val="ru-RU"/>
        </w:rPr>
        <w:t>，</w:t>
      </w:r>
      <w:r w:rsidRPr="004C59BB">
        <w:rPr>
          <w:color w:val="0000FF"/>
        </w:rPr>
        <w:t>第</w:t>
      </w:r>
      <w:r w:rsidRPr="0097554A">
        <w:rPr>
          <w:color w:val="0000FF"/>
          <w:lang w:val="ru-RU"/>
        </w:rPr>
        <w:t>316</w:t>
      </w:r>
      <w:r w:rsidRPr="004C59BB">
        <w:rPr>
          <w:color w:val="0000FF"/>
        </w:rPr>
        <w:t>页</w:t>
      </w:r>
      <w:r w:rsidRPr="0097554A">
        <w:rPr>
          <w:color w:val="0000FF"/>
          <w:lang w:val="ru-RU"/>
        </w:rPr>
        <w:t>，</w:t>
      </w:r>
      <w:r w:rsidRPr="004C59BB">
        <w:rPr>
          <w:color w:val="0000FF"/>
        </w:rPr>
        <w:t>同上版。</w:t>
      </w:r>
    </w:p>
  </w:footnote>
  <w:footnote w:id="108">
    <w:p w14:paraId="4F71028E" w14:textId="77777777" w:rsidR="00A619D0" w:rsidRPr="0097554A" w:rsidRDefault="00A619D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《与特里丰的对话》</w:t>
      </w:r>
      <w:r w:rsidRPr="0097554A">
        <w:rPr>
          <w:color w:val="0000FF"/>
          <w:lang w:val="ru-RU"/>
        </w:rPr>
        <w:t>，</w:t>
      </w:r>
      <w:r w:rsidRPr="004C59BB">
        <w:rPr>
          <w:color w:val="0000FF"/>
        </w:rPr>
        <w:t>第</w:t>
      </w:r>
      <w:r w:rsidRPr="0097554A">
        <w:rPr>
          <w:color w:val="0000FF"/>
          <w:lang w:val="ru-RU"/>
        </w:rPr>
        <w:t>285</w:t>
      </w:r>
      <w:r w:rsidRPr="004C59BB">
        <w:rPr>
          <w:color w:val="0000FF"/>
        </w:rPr>
        <w:t>页</w:t>
      </w:r>
      <w:r w:rsidRPr="0097554A">
        <w:rPr>
          <w:color w:val="0000FF"/>
          <w:lang w:val="ru-RU"/>
        </w:rPr>
        <w:t>，</w:t>
      </w:r>
      <w:r w:rsidRPr="004C59BB">
        <w:rPr>
          <w:color w:val="0000FF"/>
        </w:rPr>
        <w:t>载于《圣贾斯汀文集》</w:t>
      </w:r>
      <w:r w:rsidRPr="0097554A">
        <w:rPr>
          <w:color w:val="0000FF"/>
          <w:lang w:val="ru-RU"/>
        </w:rPr>
        <w:t>，</w:t>
      </w:r>
      <w:r w:rsidRPr="004C59BB">
        <w:rPr>
          <w:color w:val="0000FF"/>
        </w:rPr>
        <w:t>科隆</w:t>
      </w:r>
      <w:r w:rsidRPr="0097554A">
        <w:rPr>
          <w:color w:val="0000FF"/>
          <w:lang w:val="ru-RU"/>
        </w:rPr>
        <w:t>1686</w:t>
      </w:r>
      <w:r w:rsidRPr="004C59BB">
        <w:rPr>
          <w:color w:val="0000FF"/>
        </w:rPr>
        <w:t>年版。</w:t>
      </w:r>
    </w:p>
  </w:footnote>
  <w:footnote w:id="109">
    <w:p w14:paraId="3D7BE4F1" w14:textId="77777777" w:rsidR="00A619D0" w:rsidRPr="0097554A" w:rsidRDefault="00A619D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《反异端》第</w:t>
      </w:r>
      <w:r w:rsidRPr="0097554A">
        <w:rPr>
          <w:color w:val="0000FF"/>
          <w:lang w:val="ru-RU"/>
        </w:rPr>
        <w:t>1</w:t>
      </w:r>
      <w:r w:rsidRPr="004C59BB">
        <w:rPr>
          <w:color w:val="0000FF"/>
        </w:rPr>
        <w:t>卷第</w:t>
      </w:r>
      <w:r w:rsidRPr="0097554A">
        <w:rPr>
          <w:color w:val="0000FF"/>
          <w:lang w:val="ru-RU"/>
        </w:rPr>
        <w:t>10</w:t>
      </w:r>
      <w:r w:rsidRPr="004C59BB">
        <w:rPr>
          <w:color w:val="0000FF"/>
        </w:rPr>
        <w:t>章</w:t>
      </w:r>
      <w:r w:rsidRPr="0097554A">
        <w:rPr>
          <w:color w:val="0000FF"/>
          <w:lang w:val="ru-RU"/>
        </w:rPr>
        <w:t>，</w:t>
      </w:r>
      <w:r w:rsidRPr="004C59BB">
        <w:rPr>
          <w:color w:val="0000FF"/>
        </w:rPr>
        <w:t>注</w:t>
      </w:r>
      <w:r w:rsidRPr="0097554A">
        <w:rPr>
          <w:color w:val="0000FF"/>
          <w:lang w:val="ru-RU"/>
        </w:rPr>
        <w:t>1</w:t>
      </w:r>
      <w:r w:rsidRPr="004C59BB">
        <w:rPr>
          <w:color w:val="0000FF"/>
        </w:rPr>
        <w:t>。</w:t>
      </w:r>
    </w:p>
  </w:footnote>
  <w:footnote w:id="110">
    <w:p w14:paraId="550AC5D8" w14:textId="77777777" w:rsidR="007608BF" w:rsidRPr="004C59BB" w:rsidRDefault="007608BF">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《反贝罗尼乌斯与赫利乌斯》</w:t>
      </w:r>
      <w:r w:rsidRPr="0097554A">
        <w:rPr>
          <w:color w:val="0000FF"/>
          <w:lang w:val="ru-RU"/>
        </w:rPr>
        <w:t>，</w:t>
      </w:r>
      <w:r w:rsidRPr="004C59BB">
        <w:rPr>
          <w:color w:val="0000FF"/>
        </w:rPr>
        <w:t>见于法布里奇乌斯编</w:t>
      </w:r>
      <w:r w:rsidRPr="0097554A">
        <w:rPr>
          <w:color w:val="0000FF"/>
          <w:lang w:val="ru-RU"/>
        </w:rPr>
        <w:t>，</w:t>
      </w:r>
      <w:r w:rsidRPr="004C59BB">
        <w:rPr>
          <w:color w:val="0000FF"/>
        </w:rPr>
        <w:t>第</w:t>
      </w:r>
      <w:r w:rsidRPr="0097554A">
        <w:rPr>
          <w:color w:val="0000FF"/>
          <w:lang w:val="ru-RU"/>
        </w:rPr>
        <w:t xml:space="preserve"> </w:t>
      </w:r>
      <w:r w:rsidRPr="004C59BB">
        <w:rPr>
          <w:color w:val="0000FF"/>
        </w:rPr>
        <w:t>I</w:t>
      </w:r>
      <w:r w:rsidRPr="004C59BB">
        <w:rPr>
          <w:color w:val="0000FF"/>
          <w:lang w:val="ru-RU"/>
        </w:rPr>
        <w:t xml:space="preserve"> </w:t>
      </w:r>
      <w:r w:rsidRPr="004C59BB">
        <w:rPr>
          <w:color w:val="0000FF"/>
        </w:rPr>
        <w:t>卷</w:t>
      </w:r>
      <w:r w:rsidRPr="004C59BB">
        <w:rPr>
          <w:color w:val="0000FF"/>
          <w:lang w:val="ru-RU"/>
        </w:rPr>
        <w:t>，第 227 页。</w:t>
      </w:r>
    </w:p>
  </w:footnote>
  <w:footnote w:id="111">
    <w:p w14:paraId="1954D693" w14:textId="77777777" w:rsidR="007608BF" w:rsidRPr="0097554A" w:rsidRDefault="007608BF">
      <w:pPr>
        <w:pStyle w:val="FootnoteText"/>
        <w:rPr>
          <w:color w:val="0000FF"/>
          <w:lang w:val="ru-RU"/>
        </w:rPr>
      </w:pPr>
      <w:r w:rsidRPr="004C59BB">
        <w:rPr>
          <w:rStyle w:val="FootnoteReference"/>
          <w:color w:val="0000FF"/>
        </w:rPr>
        <w:footnoteRef/>
      </w:r>
      <w:r w:rsidRPr="004C59BB">
        <w:rPr>
          <w:color w:val="0000FF"/>
          <w:lang w:val="ru-RU"/>
        </w:rPr>
        <w:t xml:space="preserve"> 这些话引自圣亚他那修大主教</w:t>
      </w:r>
      <w:r w:rsidRPr="0097554A">
        <w:rPr>
          <w:color w:val="0000FF"/>
          <w:lang w:val="ru-RU"/>
        </w:rPr>
        <w:t>——</w:t>
      </w:r>
      <w:r w:rsidRPr="004C59BB">
        <w:rPr>
          <w:color w:val="0000FF"/>
        </w:rPr>
        <w:t>见《论狄奥尼修斯观点的书信》第</w:t>
      </w:r>
      <w:r w:rsidRPr="0097554A">
        <w:rPr>
          <w:color w:val="0000FF"/>
          <w:lang w:val="ru-RU"/>
        </w:rPr>
        <w:t>15</w:t>
      </w:r>
      <w:r w:rsidRPr="004C59BB">
        <w:rPr>
          <w:color w:val="0000FF"/>
        </w:rPr>
        <w:t>条。</w:t>
      </w:r>
    </w:p>
  </w:footnote>
  <w:footnote w:id="112">
    <w:p w14:paraId="66B8767A" w14:textId="77777777" w:rsidR="007608BF" w:rsidRPr="0097554A" w:rsidRDefault="007608BF">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《论西缅与安娜》第</w:t>
      </w:r>
      <w:r w:rsidRPr="0097554A">
        <w:rPr>
          <w:color w:val="0000FF"/>
          <w:lang w:val="ru-RU"/>
        </w:rPr>
        <w:t>11</w:t>
      </w:r>
      <w:r w:rsidRPr="004C59BB">
        <w:rPr>
          <w:color w:val="0000FF"/>
        </w:rPr>
        <w:t>节</w:t>
      </w:r>
      <w:r w:rsidRPr="0097554A">
        <w:rPr>
          <w:color w:val="0000FF"/>
          <w:lang w:val="ru-RU"/>
        </w:rPr>
        <w:t>，</w:t>
      </w:r>
      <w:r w:rsidRPr="004C59BB">
        <w:rPr>
          <w:color w:val="0000FF"/>
        </w:rPr>
        <w:t>第</w:t>
      </w:r>
      <w:r w:rsidRPr="0097554A">
        <w:rPr>
          <w:color w:val="0000FF"/>
          <w:lang w:val="ru-RU"/>
        </w:rPr>
        <w:t>403</w:t>
      </w:r>
      <w:r w:rsidRPr="004C59BB">
        <w:rPr>
          <w:color w:val="0000FF"/>
        </w:rPr>
        <w:t>页</w:t>
      </w:r>
      <w:r w:rsidRPr="0097554A">
        <w:rPr>
          <w:color w:val="0000FF"/>
          <w:lang w:val="ru-RU"/>
        </w:rPr>
        <w:t>，</w:t>
      </w:r>
      <w:r w:rsidRPr="004C59BB">
        <w:rPr>
          <w:color w:val="0000FF"/>
        </w:rPr>
        <w:t>载于《梅多迪乌斯全集》</w:t>
      </w:r>
      <w:r w:rsidRPr="0097554A">
        <w:rPr>
          <w:color w:val="0000FF"/>
          <w:lang w:val="ru-RU"/>
        </w:rPr>
        <w:t>，</w:t>
      </w:r>
      <w:r w:rsidRPr="004C59BB">
        <w:rPr>
          <w:color w:val="0000FF"/>
        </w:rPr>
        <w:t>康贝菲斯编</w:t>
      </w:r>
      <w:r w:rsidRPr="0097554A">
        <w:rPr>
          <w:color w:val="0000FF"/>
          <w:lang w:val="ru-RU"/>
        </w:rPr>
        <w:t>，</w:t>
      </w:r>
      <w:r w:rsidRPr="004C59BB">
        <w:rPr>
          <w:color w:val="0000FF"/>
        </w:rPr>
        <w:t>巴黎</w:t>
      </w:r>
      <w:r w:rsidRPr="0097554A">
        <w:rPr>
          <w:color w:val="0000FF"/>
          <w:lang w:val="ru-RU"/>
        </w:rPr>
        <w:t>，1644</w:t>
      </w:r>
      <w:r w:rsidRPr="004C59BB">
        <w:rPr>
          <w:color w:val="0000FF"/>
        </w:rPr>
        <w:t>年。</w:t>
      </w:r>
    </w:p>
  </w:footnote>
  <w:footnote w:id="113">
    <w:p w14:paraId="4DA6258C" w14:textId="77777777" w:rsidR="007608BF" w:rsidRPr="0097554A" w:rsidRDefault="007608BF">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见《拉莫斯</w:t>
      </w:r>
      <w:r w:rsidRPr="0097554A">
        <w:rPr>
          <w:color w:val="0000FF"/>
          <w:lang w:val="ru-RU"/>
        </w:rPr>
        <w:t>·</w:t>
      </w:r>
      <w:r w:rsidRPr="004C59BB">
        <w:rPr>
          <w:color w:val="0000FF"/>
        </w:rPr>
        <w:t>帕尔马尔》第</w:t>
      </w:r>
      <w:r w:rsidRPr="0097554A">
        <w:rPr>
          <w:color w:val="0000FF"/>
          <w:lang w:val="ru-RU"/>
        </w:rPr>
        <w:t>10</w:t>
      </w:r>
      <w:r w:rsidRPr="004C59BB">
        <w:rPr>
          <w:color w:val="0000FF"/>
        </w:rPr>
        <w:t>、</w:t>
      </w:r>
      <w:r w:rsidRPr="0097554A">
        <w:rPr>
          <w:color w:val="0000FF"/>
          <w:lang w:val="ru-RU"/>
        </w:rPr>
        <w:t>11</w:t>
      </w:r>
      <w:r w:rsidRPr="004C59BB">
        <w:rPr>
          <w:color w:val="0000FF"/>
        </w:rPr>
        <w:t>节</w:t>
      </w:r>
      <w:r w:rsidRPr="0097554A">
        <w:rPr>
          <w:color w:val="0000FF"/>
          <w:lang w:val="ru-RU"/>
        </w:rPr>
        <w:t>，</w:t>
      </w:r>
      <w:r w:rsidRPr="004C59BB">
        <w:rPr>
          <w:color w:val="0000FF"/>
        </w:rPr>
        <w:t>第</w:t>
      </w:r>
      <w:r w:rsidRPr="0097554A">
        <w:rPr>
          <w:color w:val="0000FF"/>
          <w:lang w:val="ru-RU"/>
        </w:rPr>
        <w:t>439</w:t>
      </w:r>
      <w:r w:rsidRPr="004C59BB">
        <w:rPr>
          <w:color w:val="0000FF"/>
        </w:rPr>
        <w:t>、</w:t>
      </w:r>
      <w:r w:rsidRPr="0097554A">
        <w:rPr>
          <w:color w:val="0000FF"/>
          <w:lang w:val="ru-RU"/>
        </w:rPr>
        <w:t>440</w:t>
      </w:r>
      <w:r w:rsidRPr="004C59BB">
        <w:rPr>
          <w:color w:val="0000FF"/>
        </w:rPr>
        <w:t>页</w:t>
      </w:r>
      <w:r w:rsidRPr="0097554A">
        <w:rPr>
          <w:color w:val="0000FF"/>
          <w:lang w:val="ru-RU"/>
        </w:rPr>
        <w:t>，</w:t>
      </w:r>
      <w:r w:rsidRPr="004C59BB">
        <w:rPr>
          <w:color w:val="0000FF"/>
        </w:rPr>
        <w:t>同上版。</w:t>
      </w:r>
    </w:p>
  </w:footnote>
  <w:footnote w:id="114">
    <w:p w14:paraId="79FB5608" w14:textId="77777777" w:rsidR="00E070F3" w:rsidRPr="004C59BB" w:rsidRDefault="00E070F3">
      <w:pPr>
        <w:pStyle w:val="FootnoteText"/>
        <w:rPr>
          <w:color w:val="0000FF"/>
          <w:lang w:val="ru-RU"/>
        </w:rPr>
      </w:pPr>
      <w:r w:rsidRPr="004C59BB">
        <w:rPr>
          <w:rStyle w:val="FootnoteReference"/>
          <w:color w:val="0000FF"/>
        </w:rPr>
        <w:footnoteRef/>
      </w:r>
      <w:r w:rsidRPr="004C59BB">
        <w:rPr>
          <w:color w:val="0000FF"/>
          <w:lang w:val="ru-RU"/>
        </w:rPr>
        <w:t xml:space="preserve"> 至于使徒的话：“头一个人是从地上来的，是尘土；第二个人是从天上来的，是主。有属地的雅各，就有属地的；有属天的雅各，就有属天的”（《哥林多前书》15:47-48）——异端分子正是由此得出结论。 仿佛基督并未从至圣童贞女那里取了肉身，而是仅以最精微的天上之体，像穿过管道一样从她体内经过：关于这一点，以下是相关论述——a）亚历山大的圣西里尔指出： “基督之所以被称为‘属天的人’，并非因为祂从上头、从天上带来了身体，而是因为道作为神，从天上降下，成为与我们相似，即按肉体由妇人所生，但在道成肉身后，祂依然是祂在按肉体出生之前所是的那一位， 即——既是天上的，来自天上，又是超乎万</w:t>
      </w:r>
      <w:r w:rsidR="005666A3" w:rsidRPr="004C59BB">
        <w:rPr>
          <w:color w:val="0000FF"/>
          <w:lang w:val="ru-RU"/>
        </w:rPr>
        <w:t>有的神”</w:t>
      </w:r>
      <w:r w:rsidRPr="004C59BB">
        <w:rPr>
          <w:color w:val="0000FF"/>
          <w:lang w:val="ru-RU"/>
        </w:rPr>
        <w:t>（《</w:t>
      </w:r>
      <w:r w:rsidRPr="004C59BB">
        <w:rPr>
          <w:color w:val="0000FF"/>
        </w:rPr>
        <w:t>对话</w:t>
      </w:r>
      <w:r w:rsidRPr="004C59BB">
        <w:rPr>
          <w:color w:val="0000FF"/>
          <w:lang w:val="ru-RU"/>
        </w:rPr>
        <w:t>录》</w:t>
      </w:r>
      <w:r w:rsidRPr="004C59BB">
        <w:rPr>
          <w:color w:val="0000FF"/>
        </w:rPr>
        <w:t>第九卷</w:t>
      </w:r>
      <w:r w:rsidRPr="0097554A">
        <w:rPr>
          <w:color w:val="0000FF"/>
          <w:lang w:val="ru-RU"/>
        </w:rPr>
        <w:t>，</w:t>
      </w:r>
      <w:r w:rsidRPr="004C59BB">
        <w:rPr>
          <w:color w:val="0000FF"/>
        </w:rPr>
        <w:t>载于</w:t>
      </w:r>
      <w:r w:rsidRPr="004C59BB">
        <w:rPr>
          <w:color w:val="0000FF"/>
          <w:lang w:val="ru-RU"/>
        </w:rPr>
        <w:t>《亚历山大里亚的西里尔文集》第723页，</w:t>
      </w:r>
      <w:r w:rsidRPr="004C59BB">
        <w:rPr>
          <w:color w:val="0000FF"/>
        </w:rPr>
        <w:t>法伊斯</w:t>
      </w:r>
      <w:r w:rsidRPr="004C59BB">
        <w:rPr>
          <w:color w:val="0000FF"/>
          <w:lang w:val="ru-RU"/>
        </w:rPr>
        <w:t>版，1638年）；b) 保加利亚的狄奥菲拉克特： “并非如阿波利纳里所臆测的那样，是因为基督从天上借用了人或人的本性，而是因为独一基督的独一位格，祂既作为人被称为‘天上的’，又作为被钉在十字架上的神——这两者皆因两种本性在独一位格中的联合</w:t>
      </w:r>
      <w:r w:rsidR="005666A3" w:rsidRPr="004C59BB">
        <w:rPr>
          <w:color w:val="0000FF"/>
          <w:lang w:val="ru-RU"/>
        </w:rPr>
        <w:t>”</w:t>
      </w:r>
      <w:r w:rsidRPr="004C59BB">
        <w:rPr>
          <w:color w:val="0000FF"/>
          <w:lang w:val="ru-RU"/>
        </w:rPr>
        <w:t xml:space="preserve"> （</w:t>
      </w:r>
      <w:r w:rsidRPr="004C59BB">
        <w:rPr>
          <w:color w:val="0000FF"/>
        </w:rPr>
        <w:t>《注释》</w:t>
      </w:r>
      <w:r w:rsidRPr="0097554A">
        <w:rPr>
          <w:color w:val="0000FF"/>
          <w:lang w:val="ru-RU"/>
        </w:rPr>
        <w:t>，</w:t>
      </w:r>
      <w:r w:rsidRPr="004C59BB">
        <w:rPr>
          <w:color w:val="0000FF"/>
        </w:rPr>
        <w:t>保罗书信</w:t>
      </w:r>
      <w:r w:rsidRPr="004C59BB">
        <w:rPr>
          <w:color w:val="0000FF"/>
          <w:lang w:val="ru-RU"/>
        </w:rPr>
        <w:t>，第310页，</w:t>
      </w:r>
      <w:r w:rsidRPr="004C59BB">
        <w:rPr>
          <w:color w:val="0000FF"/>
        </w:rPr>
        <w:t>伦敦</w:t>
      </w:r>
      <w:r w:rsidRPr="004C59BB">
        <w:rPr>
          <w:color w:val="0000FF"/>
          <w:lang w:val="ru-RU"/>
        </w:rPr>
        <w:t>版，1636年）。圣亚他那修（</w:t>
      </w:r>
      <w:r w:rsidRPr="004C59BB">
        <w:rPr>
          <w:color w:val="0000FF"/>
        </w:rPr>
        <w:t>《反阿里乌派讲道集》第二篇</w:t>
      </w:r>
      <w:r w:rsidRPr="0097554A">
        <w:rPr>
          <w:color w:val="0000FF"/>
          <w:lang w:val="ru-RU"/>
        </w:rPr>
        <w:t>，</w:t>
      </w:r>
      <w:r w:rsidRPr="004C59BB">
        <w:rPr>
          <w:color w:val="0000FF"/>
        </w:rPr>
        <w:t>收录于《文集》</w:t>
      </w:r>
      <w:r w:rsidRPr="0097554A">
        <w:rPr>
          <w:color w:val="0000FF"/>
          <w:lang w:val="ru-RU"/>
        </w:rPr>
        <w:t xml:space="preserve"> </w:t>
      </w:r>
      <w:r w:rsidRPr="004C59BB">
        <w:rPr>
          <w:color w:val="0000FF"/>
        </w:rPr>
        <w:t>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351</w:t>
      </w:r>
      <w:r w:rsidRPr="004C59BB">
        <w:rPr>
          <w:color w:val="0000FF"/>
        </w:rPr>
        <w:t>页</w:t>
      </w:r>
      <w:r w:rsidRPr="0097554A">
        <w:rPr>
          <w:color w:val="0000FF"/>
          <w:lang w:val="ru-RU"/>
        </w:rPr>
        <w:t>，</w:t>
      </w:r>
      <w:r w:rsidRPr="004C59BB">
        <w:rPr>
          <w:color w:val="0000FF"/>
        </w:rPr>
        <w:t>巴黎</w:t>
      </w:r>
      <w:r w:rsidRPr="0097554A">
        <w:rPr>
          <w:color w:val="0000FF"/>
          <w:lang w:val="ru-RU"/>
        </w:rPr>
        <w:t>1627</w:t>
      </w:r>
      <w:r w:rsidRPr="004C59BB">
        <w:rPr>
          <w:color w:val="0000FF"/>
        </w:rPr>
        <w:t>年版</w:t>
      </w:r>
      <w:r w:rsidRPr="0097554A">
        <w:rPr>
          <w:color w:val="0000FF"/>
          <w:lang w:val="ru-RU"/>
        </w:rPr>
        <w:t>）</w:t>
      </w:r>
      <w:r w:rsidRPr="004C59BB">
        <w:rPr>
          <w:color w:val="0000FF"/>
        </w:rPr>
        <w:t>和圣约翰</w:t>
      </w:r>
      <w:r w:rsidRPr="0097554A">
        <w:rPr>
          <w:color w:val="0000FF"/>
          <w:lang w:val="ru-RU"/>
        </w:rPr>
        <w:t>·</w:t>
      </w:r>
      <w:r w:rsidRPr="004C59BB">
        <w:rPr>
          <w:color w:val="0000FF"/>
        </w:rPr>
        <w:t>金口</w:t>
      </w:r>
      <w:r w:rsidRPr="0097554A">
        <w:rPr>
          <w:color w:val="0000FF"/>
          <w:lang w:val="ru-RU"/>
        </w:rPr>
        <w:t>（</w:t>
      </w:r>
      <w:r w:rsidRPr="004C59BB">
        <w:rPr>
          <w:color w:val="0000FF"/>
        </w:rPr>
        <w:t>《致哥林多前书讲道集》第</w:t>
      </w:r>
      <w:r w:rsidRPr="0097554A">
        <w:rPr>
          <w:color w:val="0000FF"/>
          <w:lang w:val="ru-RU"/>
        </w:rPr>
        <w:t>42</w:t>
      </w:r>
      <w:r w:rsidRPr="004C59BB">
        <w:rPr>
          <w:color w:val="0000FF"/>
        </w:rPr>
        <w:t>篇</w:t>
      </w:r>
      <w:r w:rsidRPr="0097554A">
        <w:rPr>
          <w:color w:val="0000FF"/>
          <w:lang w:val="ru-RU"/>
        </w:rPr>
        <w:t>，</w:t>
      </w:r>
      <w:r w:rsidRPr="004C59BB">
        <w:rPr>
          <w:color w:val="0000FF"/>
        </w:rPr>
        <w:t>收录于《全集》第</w:t>
      </w:r>
      <w:r w:rsidRPr="0097554A">
        <w:rPr>
          <w:color w:val="0000FF"/>
          <w:lang w:val="ru-RU"/>
        </w:rPr>
        <w:t>10</w:t>
      </w:r>
      <w:r w:rsidRPr="004C59BB">
        <w:rPr>
          <w:color w:val="0000FF"/>
        </w:rPr>
        <w:t>卷</w:t>
      </w:r>
      <w:r w:rsidRPr="0097554A">
        <w:rPr>
          <w:color w:val="0000FF"/>
          <w:lang w:val="ru-RU"/>
        </w:rPr>
        <w:t>，</w:t>
      </w:r>
      <w:r w:rsidRPr="004C59BB">
        <w:rPr>
          <w:color w:val="0000FF"/>
        </w:rPr>
        <w:t>第</w:t>
      </w:r>
      <w:r w:rsidRPr="0097554A">
        <w:rPr>
          <w:color w:val="0000FF"/>
          <w:lang w:val="ru-RU"/>
        </w:rPr>
        <w:t>394</w:t>
      </w:r>
      <w:r w:rsidRPr="004C59BB">
        <w:rPr>
          <w:color w:val="0000FF"/>
        </w:rPr>
        <w:t>页</w:t>
      </w:r>
      <w:r w:rsidRPr="0097554A">
        <w:rPr>
          <w:color w:val="0000FF"/>
          <w:lang w:val="ru-RU"/>
        </w:rPr>
        <w:t>，</w:t>
      </w:r>
      <w:r w:rsidRPr="004C59BB">
        <w:rPr>
          <w:color w:val="0000FF"/>
        </w:rPr>
        <w:t>蒙福版</w:t>
      </w:r>
      <w:r w:rsidRPr="004C59BB">
        <w:rPr>
          <w:color w:val="0000FF"/>
          <w:lang w:val="ru-RU"/>
        </w:rPr>
        <w:t>）也以同样的方式阐释了使徒的这段经文。</w:t>
      </w:r>
    </w:p>
  </w:footnote>
  <w:footnote w:id="115">
    <w:p w14:paraId="3A205982" w14:textId="77777777" w:rsidR="0087297C" w:rsidRPr="004C59BB" w:rsidRDefault="0087297C">
      <w:pPr>
        <w:pStyle w:val="FootnoteText"/>
        <w:rPr>
          <w:color w:val="0000FF"/>
          <w:lang w:val="ru-RU"/>
        </w:rPr>
      </w:pPr>
      <w:r w:rsidRPr="004C59BB">
        <w:rPr>
          <w:rStyle w:val="FootnoteReference"/>
          <w:color w:val="0000FF"/>
        </w:rPr>
        <w:footnoteRef/>
      </w:r>
      <w:r w:rsidRPr="004C59BB">
        <w:rPr>
          <w:color w:val="0000FF"/>
          <w:lang w:val="ru-RU"/>
        </w:rPr>
        <w:t xml:space="preserve"> 面对如此明确的证据，证明耶稣基督的身体是真实存在的，多克派主要引用了圣使徒保罗的一句话来反驳：上帝差遣他的儿子，以罪身的形状降世，为要在罪身中定罪（罗马书 8:3）——但正如真理的捍卫者所指出的，这种反驳是极其站不住脚的。 例如，圣金口若望指出：如果经上说上帝差遣祂的儿子“取了罪身的形状”，不要由此推断基督的肉体与我们不同： </w:t>
      </w:r>
      <w:r w:rsidR="005666A3" w:rsidRPr="004C59BB">
        <w:rPr>
          <w:color w:val="0000FF"/>
          <w:lang w:val="ru-RU"/>
        </w:rPr>
        <w:t>“</w:t>
      </w:r>
      <w:r w:rsidRPr="004C59BB">
        <w:rPr>
          <w:color w:val="0000FF"/>
          <w:lang w:val="ru-RU"/>
        </w:rPr>
        <w:t>‘形像’一词之所以被添加，是因为人的肉体被称为‘罪的肉体’——而基督并非拥有罪的肉体，尽管祂的本性与我们相同，但祂的肉体仅与我们有罪的肉体相似，却</w:t>
      </w:r>
      <w:r w:rsidR="005666A3" w:rsidRPr="004C59BB">
        <w:rPr>
          <w:color w:val="0000FF"/>
          <w:lang w:val="ru-RU"/>
        </w:rPr>
        <w:t>无罪”</w:t>
      </w:r>
      <w:r w:rsidRPr="0097554A">
        <w:rPr>
          <w:color w:val="0000FF"/>
          <w:lang w:val="ru-RU"/>
        </w:rPr>
        <w:t>（</w:t>
      </w:r>
      <w:r w:rsidRPr="004C59BB">
        <w:rPr>
          <w:color w:val="0000FF"/>
        </w:rPr>
        <w:t>《致罗马人书讲道集》第十三篇</w:t>
      </w:r>
      <w:r w:rsidRPr="0097554A">
        <w:rPr>
          <w:color w:val="0000FF"/>
          <w:lang w:val="ru-RU"/>
        </w:rPr>
        <w:t>，</w:t>
      </w:r>
      <w:r w:rsidRPr="004C59BB">
        <w:rPr>
          <w:color w:val="0000FF"/>
        </w:rPr>
        <w:t>载于《著作集》</w:t>
      </w:r>
      <w:r w:rsidRPr="0097554A">
        <w:rPr>
          <w:color w:val="0000FF"/>
          <w:lang w:val="ru-RU"/>
        </w:rPr>
        <w:t xml:space="preserve"> </w:t>
      </w:r>
      <w:r w:rsidRPr="004C59BB">
        <w:rPr>
          <w:color w:val="0000FF"/>
        </w:rPr>
        <w:t>第IX卷</w:t>
      </w:r>
      <w:r w:rsidRPr="0097554A">
        <w:rPr>
          <w:color w:val="0000FF"/>
          <w:lang w:val="ru-RU"/>
        </w:rPr>
        <w:t>，</w:t>
      </w:r>
      <w:r w:rsidRPr="004C59BB">
        <w:rPr>
          <w:color w:val="0000FF"/>
        </w:rPr>
        <w:t>第</w:t>
      </w:r>
      <w:r w:rsidRPr="0097554A">
        <w:rPr>
          <w:color w:val="0000FF"/>
          <w:lang w:val="ru-RU"/>
        </w:rPr>
        <w:t>564</w:t>
      </w:r>
      <w:r w:rsidRPr="004C59BB">
        <w:rPr>
          <w:color w:val="0000FF"/>
        </w:rPr>
        <w:t>页</w:t>
      </w:r>
      <w:r w:rsidRPr="0097554A">
        <w:rPr>
          <w:color w:val="0000FF"/>
          <w:lang w:val="ru-RU"/>
        </w:rPr>
        <w:t>，</w:t>
      </w:r>
      <w:r w:rsidRPr="004C59BB">
        <w:rPr>
          <w:color w:val="0000FF"/>
        </w:rPr>
        <w:t>蒙福克版</w:t>
      </w:r>
      <w:r w:rsidRPr="004C59BB">
        <w:rPr>
          <w:color w:val="0000FF"/>
          <w:lang w:val="ru-RU"/>
        </w:rPr>
        <w:t>），另见——亚历山大的圣西里尔： “使徒并非仅仅说：‘在肉身的形像中’，以此驳斥不敬虔教义的诽谤——因为圣灵的恩典预先知晓一切；而是说：‘在罪恶之肉身的形像中’，以便我们知道，他之所以使用‘形像’一词，是因为我们的救主远离一切罪恶。 因为祂成为人时，是按本性成为人，却无罪；因此，祂以罪之肉身的形像，在肉身中定罪了罪。 祂虽领受了人性，却并未接受那辖制人类的罪之轭；相反，祂粉碎了罪的一切权势，并表明即使在人性中，也有可能避开罪的箭</w:t>
      </w:r>
      <w:r w:rsidR="005666A3" w:rsidRPr="004C59BB">
        <w:rPr>
          <w:color w:val="0000FF"/>
          <w:lang w:val="ru-RU"/>
        </w:rPr>
        <w:t>矢”</w:t>
      </w:r>
      <w:r w:rsidRPr="004C59BB">
        <w:rPr>
          <w:color w:val="0000FF"/>
          <w:lang w:val="ru-RU"/>
        </w:rPr>
        <w:t>（论主的道成肉身，第9章，载于《基督教读本》1847年版，</w:t>
      </w:r>
      <w:r w:rsidRPr="004C59BB">
        <w:rPr>
          <w:color w:val="0000FF"/>
        </w:rPr>
        <w:t>第三</w:t>
      </w:r>
      <w:r w:rsidRPr="004C59BB">
        <w:rPr>
          <w:color w:val="0000FF"/>
          <w:lang w:val="ru-RU"/>
        </w:rPr>
        <w:t>卷，177–178页。 另请参阅本章全文）。</w:t>
      </w:r>
    </w:p>
  </w:footnote>
  <w:footnote w:id="116">
    <w:p w14:paraId="06169996" w14:textId="77777777" w:rsidR="000742DD" w:rsidRPr="0097554A" w:rsidRDefault="000742DD">
      <w:pPr>
        <w:pStyle w:val="FootnoteText"/>
        <w:rPr>
          <w:color w:val="0000FF"/>
          <w:lang w:val="ru-RU"/>
        </w:rPr>
      </w:pPr>
      <w:r w:rsidRPr="004C59BB">
        <w:rPr>
          <w:rStyle w:val="FootnoteReference"/>
          <w:color w:val="0000FF"/>
        </w:rPr>
        <w:footnoteRef/>
      </w:r>
      <w:r w:rsidRPr="004C59BB">
        <w:rPr>
          <w:color w:val="0000FF"/>
          <w:lang w:val="ru-RU"/>
        </w:rPr>
        <w:t xml:space="preserve"> 那些否认耶稣基督具有人性灵魂的异端分子，主要依据的是福音书作者的这句话：</w:t>
      </w:r>
      <w:r w:rsidR="006E76E1" w:rsidRPr="004C59BB">
        <w:rPr>
          <w:i/>
          <w:iCs/>
          <w:color w:val="0000FF"/>
          <w:lang w:val="ru-RU"/>
        </w:rPr>
        <w:t>“道成了肉身</w:t>
      </w:r>
      <w:r w:rsidRPr="004C59BB">
        <w:rPr>
          <w:color w:val="0000FF"/>
          <w:lang w:val="ru-RU"/>
        </w:rPr>
        <w:t>”（约1</w:t>
      </w:r>
      <w:r w:rsidR="006E76E1" w:rsidRPr="004C59BB">
        <w:rPr>
          <w:color w:val="0000FF"/>
          <w:lang w:val="ru-RU"/>
        </w:rPr>
        <w:t>:</w:t>
      </w:r>
      <w:r w:rsidRPr="004C59BB">
        <w:rPr>
          <w:color w:val="0000FF"/>
          <w:lang w:val="ru-RU"/>
        </w:rPr>
        <w:t>14）。但在圣经中，“肉身”一词经常被用来指代整个人，例如：</w:t>
      </w:r>
      <w:r w:rsidR="006E76E1" w:rsidRPr="004C59BB">
        <w:rPr>
          <w:color w:val="0000FF"/>
          <w:lang w:val="ru-RU"/>
        </w:rPr>
        <w:t>[(</w:t>
      </w:r>
      <w:r w:rsidRPr="004C59BB">
        <w:rPr>
          <w:color w:val="0000FF"/>
          <w:lang w:val="ru-RU"/>
        </w:rPr>
        <w:t>创6</w:t>
      </w:r>
      <w:r w:rsidR="006E76E1" w:rsidRPr="004C59BB">
        <w:rPr>
          <w:color w:val="0000FF"/>
          <w:lang w:val="ru-RU"/>
        </w:rPr>
        <w:t>:</w:t>
      </w:r>
      <w:r w:rsidRPr="004C59BB">
        <w:rPr>
          <w:color w:val="0000FF"/>
          <w:lang w:val="ru-RU"/>
        </w:rPr>
        <w:t>12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马太福音 24</w:t>
      </w:r>
      <w:r w:rsidR="006E76E1" w:rsidRPr="004C59BB">
        <w:rPr>
          <w:color w:val="0000FF"/>
          <w:lang w:val="ru-RU"/>
        </w:rPr>
        <w:t>:</w:t>
      </w:r>
      <w:r w:rsidRPr="004C59BB">
        <w:rPr>
          <w:color w:val="0000FF"/>
          <w:lang w:val="ru-RU"/>
        </w:rPr>
        <w:t>22</w:t>
      </w:r>
      <w:r w:rsidR="006E76E1" w:rsidRPr="004C59BB">
        <w:rPr>
          <w:color w:val="0000FF"/>
          <w:lang w:val="ru-RU"/>
        </w:rPr>
        <w:t>）</w:t>
      </w:r>
      <w:r w:rsidRPr="004C59BB">
        <w:rPr>
          <w:color w:val="0000FF"/>
          <w:lang w:val="ru-RU"/>
        </w:rPr>
        <w:t>；</w:t>
      </w:r>
      <w:r w:rsidR="006E76E1" w:rsidRPr="004C59BB">
        <w:rPr>
          <w:color w:val="0000FF"/>
          <w:lang w:val="ru-RU"/>
        </w:rPr>
        <w:t>（</w:t>
      </w:r>
      <w:r w:rsidRPr="004C59BB">
        <w:rPr>
          <w:color w:val="0000FF"/>
          <w:lang w:val="ru-RU"/>
        </w:rPr>
        <w:t>使徒行传 2</w:t>
      </w:r>
      <w:r w:rsidR="006E76E1" w:rsidRPr="004C59BB">
        <w:rPr>
          <w:color w:val="0000FF"/>
          <w:lang w:val="ru-RU"/>
        </w:rPr>
        <w:t>:</w:t>
      </w:r>
      <w:r w:rsidRPr="004C59BB">
        <w:rPr>
          <w:color w:val="0000FF"/>
          <w:lang w:val="ru-RU"/>
        </w:rPr>
        <w:t>17</w:t>
      </w:r>
      <w:r w:rsidR="006E76E1" w:rsidRPr="004C59BB">
        <w:rPr>
          <w:color w:val="0000FF"/>
          <w:lang w:val="ru-RU"/>
        </w:rPr>
        <w:t>）</w:t>
      </w:r>
      <w:r w:rsidRPr="004C59BB">
        <w:rPr>
          <w:color w:val="0000FF"/>
          <w:lang w:val="ru-RU"/>
        </w:rPr>
        <w:t>；</w:t>
      </w:r>
      <w:r w:rsidR="006E76E1" w:rsidRPr="004C59BB">
        <w:rPr>
          <w:color w:val="0000FF"/>
          <w:lang w:val="ru-RU"/>
        </w:rPr>
        <w:t>（</w:t>
      </w:r>
      <w:r w:rsidRPr="004C59BB">
        <w:rPr>
          <w:color w:val="0000FF"/>
          <w:lang w:val="ru-RU"/>
        </w:rPr>
        <w:t>罗马书 3</w:t>
      </w:r>
      <w:r w:rsidR="006E76E1" w:rsidRPr="004C59BB">
        <w:rPr>
          <w:color w:val="0000FF"/>
          <w:lang w:val="ru-RU"/>
        </w:rPr>
        <w:t>:</w:t>
      </w:r>
      <w:r w:rsidRPr="004C59BB">
        <w:rPr>
          <w:color w:val="0000FF"/>
          <w:lang w:val="ru-RU"/>
        </w:rPr>
        <w:t>20</w:t>
      </w:r>
      <w:r w:rsidR="006E76E1" w:rsidRPr="004C59BB">
        <w:rPr>
          <w:color w:val="0000FF"/>
          <w:lang w:val="ru-RU"/>
        </w:rPr>
        <w:t>）</w:t>
      </w:r>
      <w:r w:rsidRPr="004C59BB">
        <w:rPr>
          <w:color w:val="0000FF"/>
          <w:lang w:val="ru-RU"/>
        </w:rPr>
        <w:t>；</w:t>
      </w:r>
      <w:r w:rsidR="006E76E1" w:rsidRPr="004C59BB">
        <w:rPr>
          <w:color w:val="0000FF"/>
          <w:lang w:val="ru-RU"/>
        </w:rPr>
        <w:t>（</w:t>
      </w:r>
      <w:r w:rsidRPr="004C59BB">
        <w:rPr>
          <w:color w:val="0000FF"/>
          <w:lang w:val="ru-RU"/>
        </w:rPr>
        <w:t>哥林多前书 1</w:t>
      </w:r>
      <w:r w:rsidR="006E76E1" w:rsidRPr="004C59BB">
        <w:rPr>
          <w:color w:val="0000FF"/>
          <w:lang w:val="ru-RU"/>
        </w:rPr>
        <w:t>:</w:t>
      </w:r>
      <w:r w:rsidRPr="004C59BB">
        <w:rPr>
          <w:color w:val="0000FF"/>
          <w:lang w:val="ru-RU"/>
        </w:rPr>
        <w:t>29</w:t>
      </w:r>
      <w:r w:rsidR="006E76E1" w:rsidRPr="004C59BB">
        <w:rPr>
          <w:color w:val="0000FF"/>
          <w:lang w:val="ru-RU"/>
        </w:rPr>
        <w:t>）</w:t>
      </w:r>
      <w:r w:rsidRPr="004C59BB">
        <w:rPr>
          <w:color w:val="0000FF"/>
          <w:lang w:val="ru-RU"/>
        </w:rPr>
        <w:t>；</w:t>
      </w:r>
      <w:r w:rsidR="006E76E1" w:rsidRPr="004C59BB">
        <w:rPr>
          <w:color w:val="0000FF"/>
          <w:lang w:val="ru-RU"/>
        </w:rPr>
        <w:t>（</w:t>
      </w:r>
      <w:r w:rsidRPr="004C59BB">
        <w:rPr>
          <w:color w:val="0000FF"/>
          <w:lang w:val="ru-RU"/>
        </w:rPr>
        <w:t>加拉太书 2</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w:t>
      </w:r>
      <w:r w:rsidR="006E76E1" w:rsidRPr="004C59BB">
        <w:rPr>
          <w:color w:val="0000FF"/>
          <w:lang w:val="ru-RU"/>
        </w:rPr>
        <w:t>（</w:t>
      </w:r>
      <w:r w:rsidRPr="004C59BB">
        <w:rPr>
          <w:color w:val="0000FF"/>
          <w:lang w:val="ru-RU"/>
        </w:rPr>
        <w:t>提摩太前书 3</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“他以为，”亚历山大的圣西里尔在反对阿波利纳里乌斯的著作中写道，“能以那位最雄辩的神学讲道者——福音书作者约翰——作为自己疯狂论点的辩护者，因为约翰说：</w:t>
      </w:r>
      <w:r w:rsidR="006E76E1" w:rsidRPr="004C59BB">
        <w:rPr>
          <w:i/>
          <w:iCs/>
          <w:color w:val="0000FF"/>
          <w:lang w:val="ru-RU"/>
        </w:rPr>
        <w:t>‘道成了肉身，住在我们中间</w:t>
      </w:r>
      <w:r w:rsidRPr="004C59BB">
        <w:rPr>
          <w:color w:val="0000FF"/>
          <w:lang w:val="ru-RU"/>
        </w:rPr>
        <w:t>’（</w:t>
      </w:r>
      <w:r w:rsidR="006E76E1" w:rsidRPr="004C59BB">
        <w:rPr>
          <w:color w:val="0000FF"/>
          <w:lang w:val="ru-RU"/>
        </w:rPr>
        <w:t>约</w:t>
      </w:r>
      <w:r w:rsidRPr="004C59BB">
        <w:rPr>
          <w:color w:val="0000FF"/>
          <w:lang w:val="ru-RU"/>
        </w:rPr>
        <w:t>1</w:t>
      </w:r>
      <w:r w:rsidR="006E76E1" w:rsidRPr="004C59BB">
        <w:rPr>
          <w:color w:val="0000FF"/>
          <w:lang w:val="ru-RU"/>
        </w:rPr>
        <w:t>:</w:t>
      </w:r>
      <w:r w:rsidRPr="004C59BB">
        <w:rPr>
          <w:color w:val="0000FF"/>
          <w:lang w:val="ru-RU"/>
        </w:rPr>
        <w:t>14）。 然而他自己很清楚，神圣经文常常用部分来表示整体，例如，有时将整个人称为‘灵魂’，有时用‘肉身’来指代整个活着的生物（</w:t>
      </w:r>
      <w:r w:rsidRPr="004C59BB">
        <w:rPr>
          <w:color w:val="0000FF"/>
        </w:rPr>
        <w:t>ολον</w:t>
      </w:r>
      <w:r w:rsidRPr="0097554A">
        <w:rPr>
          <w:color w:val="0000FF"/>
          <w:lang w:val="ru-RU"/>
        </w:rPr>
        <w:t xml:space="preserve"> </w:t>
      </w:r>
      <w:r w:rsidRPr="004C59BB">
        <w:rPr>
          <w:color w:val="0000FF"/>
        </w:rPr>
        <w:t>το</w:t>
      </w:r>
      <w:r w:rsidRPr="0097554A">
        <w:rPr>
          <w:color w:val="0000FF"/>
          <w:lang w:val="ru-RU"/>
        </w:rPr>
        <w:t xml:space="preserve"> </w:t>
      </w:r>
      <w:r w:rsidRPr="004C59BB">
        <w:rPr>
          <w:color w:val="0000FF"/>
        </w:rPr>
        <w:t>ζώον</w:t>
      </w:r>
      <w:r w:rsidRPr="004C59BB">
        <w:rPr>
          <w:color w:val="0000FF"/>
          <w:lang w:val="ru-RU"/>
        </w:rPr>
        <w:t>）。 经上如此记载：</w:t>
      </w:r>
      <w:r w:rsidR="006E76E1" w:rsidRPr="004C59BB">
        <w:rPr>
          <w:i/>
          <w:iCs/>
          <w:color w:val="0000FF"/>
          <w:lang w:val="ru-RU"/>
        </w:rPr>
        <w:t>“雅各全家随他下埃及的，共有七十[五]人”</w:t>
      </w:r>
      <w:r w:rsidRPr="004C59BB">
        <w:rPr>
          <w:color w:val="0000FF"/>
          <w:lang w:val="ru-RU"/>
        </w:rPr>
        <w:t>（</w:t>
      </w:r>
      <w:r w:rsidR="006E76E1" w:rsidRPr="004C59BB">
        <w:rPr>
          <w:color w:val="0000FF"/>
          <w:lang w:val="ru-RU"/>
        </w:rPr>
        <w:t>创世记46:</w:t>
      </w:r>
      <w:r w:rsidRPr="004C59BB">
        <w:rPr>
          <w:color w:val="0000FF"/>
          <w:lang w:val="ru-RU"/>
        </w:rPr>
        <w:t>27）；显然，雅各的儿子和孙子并非无形体；但创世记的作者是用部分来指代整体。 此外；</w:t>
      </w:r>
      <w:r w:rsidR="008F5A17" w:rsidRPr="004C59BB">
        <w:rPr>
          <w:i/>
          <w:iCs/>
          <w:color w:val="0000FF"/>
          <w:lang w:val="ru-RU"/>
        </w:rPr>
        <w:t>“犯罪的灵魂必致死亡</w:t>
      </w:r>
      <w:r w:rsidRPr="004C59BB">
        <w:rPr>
          <w:color w:val="0000FF"/>
          <w:lang w:val="ru-RU"/>
        </w:rPr>
        <w:t>”（《</w:t>
      </w:r>
      <w:r w:rsidR="008F5A17" w:rsidRPr="004C59BB">
        <w:rPr>
          <w:color w:val="0000FF"/>
          <w:lang w:val="ru-RU"/>
        </w:rPr>
        <w:t>以西结书</w:t>
      </w:r>
      <w:r w:rsidRPr="004C59BB">
        <w:rPr>
          <w:color w:val="0000FF"/>
          <w:lang w:val="ru-RU"/>
        </w:rPr>
        <w:t>》</w:t>
      </w:r>
      <w:r w:rsidR="008F5A17" w:rsidRPr="004C59BB">
        <w:rPr>
          <w:color w:val="0000FF"/>
          <w:lang w:val="ru-RU"/>
        </w:rPr>
        <w:t>18:4</w:t>
      </w:r>
      <w:r w:rsidRPr="004C59BB">
        <w:rPr>
          <w:color w:val="0000FF"/>
          <w:lang w:val="ru-RU"/>
        </w:rPr>
        <w:t>）；但从来没有人知道，灵魂会脱离身体而犯罪。还有：</w:t>
      </w:r>
      <w:r w:rsidR="008F5A17" w:rsidRPr="004C59BB">
        <w:rPr>
          <w:i/>
          <w:iCs/>
          <w:color w:val="0000FF"/>
          <w:lang w:val="ru-RU"/>
        </w:rPr>
        <w:t>“我的灵不永远被这些人轻慢，因为他们是肉体</w:t>
      </w:r>
      <w:r w:rsidRPr="004C59BB">
        <w:rPr>
          <w:color w:val="0000FF"/>
          <w:lang w:val="ru-RU"/>
        </w:rPr>
        <w:t>”（《创世记》6</w:t>
      </w:r>
      <w:r w:rsidR="008F5A17" w:rsidRPr="004C59BB">
        <w:rPr>
          <w:color w:val="0000FF"/>
          <w:lang w:val="ru-RU"/>
        </w:rPr>
        <w:t>:</w:t>
      </w:r>
      <w:r w:rsidRPr="004C59BB">
        <w:rPr>
          <w:color w:val="0000FF"/>
          <w:lang w:val="ru-RU"/>
        </w:rPr>
        <w:t>3）…… 但众所周知，圣经在此所指责的、所赐予律法并揭示其本性的那些人，绝非没有灵魂</w:t>
      </w:r>
      <w:r w:rsidR="005666A3" w:rsidRPr="004C59BB">
        <w:rPr>
          <w:color w:val="0000FF"/>
          <w:lang w:val="ru-RU"/>
        </w:rPr>
        <w:t>的”</w:t>
      </w:r>
      <w:r w:rsidRPr="004C59BB">
        <w:rPr>
          <w:color w:val="0000FF"/>
          <w:lang w:val="ru-RU"/>
        </w:rPr>
        <w:t>（论主道成</w:t>
      </w:r>
      <w:r w:rsidRPr="004C59BB">
        <w:rPr>
          <w:color w:val="0000FF"/>
        </w:rPr>
        <w:t>肉身</w:t>
      </w:r>
      <w:r w:rsidRPr="0097554A">
        <w:rPr>
          <w:color w:val="0000FF"/>
          <w:lang w:val="ru-RU"/>
        </w:rPr>
        <w:t>，</w:t>
      </w:r>
      <w:r w:rsidRPr="004C59BB">
        <w:rPr>
          <w:color w:val="0000FF"/>
        </w:rPr>
        <w:t>第</w:t>
      </w:r>
      <w:r w:rsidRPr="0097554A">
        <w:rPr>
          <w:color w:val="0000FF"/>
          <w:lang w:val="ru-RU"/>
        </w:rPr>
        <w:t>17</w:t>
      </w:r>
      <w:r w:rsidRPr="004C59BB">
        <w:rPr>
          <w:color w:val="0000FF"/>
        </w:rPr>
        <w:t>章</w:t>
      </w:r>
      <w:r w:rsidRPr="004C59BB">
        <w:rPr>
          <w:color w:val="0000FF"/>
          <w:lang w:val="ru-RU"/>
        </w:rPr>
        <w:t>，载于</w:t>
      </w:r>
      <w:r w:rsidRPr="004C59BB">
        <w:rPr>
          <w:color w:val="0000FF"/>
        </w:rPr>
        <w:t>《</w:t>
      </w:r>
      <w:r w:rsidRPr="0097554A">
        <w:rPr>
          <w:color w:val="0000FF"/>
          <w:lang w:val="ru-RU"/>
        </w:rPr>
        <w:t>1847</w:t>
      </w:r>
      <w:r w:rsidRPr="004C59BB">
        <w:rPr>
          <w:color w:val="0000FF"/>
        </w:rPr>
        <w:t>年</w:t>
      </w:r>
      <w:r w:rsidRPr="004C59BB">
        <w:rPr>
          <w:color w:val="0000FF"/>
          <w:lang w:val="ru-RU"/>
        </w:rPr>
        <w:t>基督教</w:t>
      </w:r>
      <w:r w:rsidRPr="004C59BB">
        <w:rPr>
          <w:color w:val="0000FF"/>
        </w:rPr>
        <w:t>读本》</w:t>
      </w:r>
      <w:r w:rsidRPr="0097554A">
        <w:rPr>
          <w:color w:val="0000FF"/>
          <w:lang w:val="ru-RU"/>
        </w:rPr>
        <w:t>，</w:t>
      </w:r>
      <w:r w:rsidRPr="004C59BB">
        <w:rPr>
          <w:color w:val="0000FF"/>
        </w:rPr>
        <w:t>第三卷</w:t>
      </w:r>
      <w:r w:rsidRPr="0097554A">
        <w:rPr>
          <w:color w:val="0000FF"/>
          <w:lang w:val="ru-RU"/>
        </w:rPr>
        <w:t>，</w:t>
      </w:r>
      <w:r w:rsidRPr="004C59BB">
        <w:rPr>
          <w:color w:val="0000FF"/>
        </w:rPr>
        <w:t>第</w:t>
      </w:r>
      <w:r w:rsidRPr="0097554A">
        <w:rPr>
          <w:color w:val="0000FF"/>
          <w:lang w:val="ru-RU"/>
        </w:rPr>
        <w:t>202–203</w:t>
      </w:r>
      <w:r w:rsidRPr="004C59BB">
        <w:rPr>
          <w:color w:val="0000FF"/>
        </w:rPr>
        <w:t>页</w:t>
      </w:r>
      <w:r w:rsidRPr="0097554A">
        <w:rPr>
          <w:color w:val="0000FF"/>
          <w:lang w:val="ru-RU"/>
        </w:rPr>
        <w:t>）</w:t>
      </w:r>
      <w:r w:rsidRPr="004C59BB">
        <w:rPr>
          <w:color w:val="0000FF"/>
        </w:rPr>
        <w:t>。</w:t>
      </w:r>
    </w:p>
  </w:footnote>
  <w:footnote w:id="117">
    <w:p w14:paraId="2C0EBC4D" w14:textId="77777777" w:rsidR="0012757D" w:rsidRPr="004C59BB" w:rsidRDefault="0012757D">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金口若望</w:t>
      </w:r>
      <w:r w:rsidRPr="0097554A">
        <w:rPr>
          <w:color w:val="0000FF"/>
          <w:lang w:val="ru-RU"/>
        </w:rPr>
        <w:t>，</w:t>
      </w:r>
      <w:r w:rsidRPr="004C59BB">
        <w:rPr>
          <w:color w:val="0000FF"/>
        </w:rPr>
        <w:t>《致提摩太一书》第七篇讲道</w:t>
      </w:r>
      <w:r w:rsidRPr="0097554A">
        <w:rPr>
          <w:color w:val="0000FF"/>
          <w:lang w:val="ru-RU"/>
        </w:rPr>
        <w:t>，</w:t>
      </w:r>
      <w:r w:rsidRPr="004C59BB">
        <w:rPr>
          <w:color w:val="0000FF"/>
        </w:rPr>
        <w:t>载于《著作集》第十一卷</w:t>
      </w:r>
      <w:r w:rsidRPr="0097554A">
        <w:rPr>
          <w:color w:val="0000FF"/>
          <w:lang w:val="ru-RU"/>
        </w:rPr>
        <w:t>，</w:t>
      </w:r>
      <w:r w:rsidRPr="004C59BB">
        <w:rPr>
          <w:color w:val="0000FF"/>
        </w:rPr>
        <w:t>蒙福克版</w:t>
      </w:r>
      <w:r w:rsidRPr="004C59BB">
        <w:rPr>
          <w:color w:val="0000FF"/>
          <w:lang w:val="ru-RU"/>
        </w:rPr>
        <w:t>。以下几位也阐述了这一思想：</w:t>
      </w:r>
      <w:r w:rsidRPr="004C59BB">
        <w:rPr>
          <w:color w:val="0000FF"/>
        </w:rPr>
        <w:t>a</w:t>
      </w:r>
      <w:r w:rsidRPr="004C59BB">
        <w:rPr>
          <w:color w:val="0000FF"/>
          <w:lang w:val="ru-RU"/>
        </w:rPr>
        <w:t>) 圣爱任纽：“作为上帝与人类的调解者，理应通过自身与上帝及人类的亲缘关系，使双方达成共融与和谐，将人呈献给上帝，并将</w:t>
      </w:r>
      <w:r w:rsidR="005666A3" w:rsidRPr="004C59BB">
        <w:rPr>
          <w:color w:val="0000FF"/>
          <w:lang w:val="ru-RU"/>
        </w:rPr>
        <w:t>上帝</w:t>
      </w:r>
      <w:r w:rsidRPr="004C59BB">
        <w:rPr>
          <w:color w:val="0000FF"/>
          <w:lang w:val="ru-RU"/>
        </w:rPr>
        <w:t>启示给</w:t>
      </w:r>
      <w:r w:rsidR="005666A3" w:rsidRPr="004C59BB">
        <w:rPr>
          <w:color w:val="0000FF"/>
          <w:lang w:val="ru-RU"/>
        </w:rPr>
        <w:t>人类”</w:t>
      </w:r>
      <w:r w:rsidRPr="004C59BB">
        <w:rPr>
          <w:color w:val="0000FF"/>
          <w:lang w:val="ru-RU"/>
        </w:rPr>
        <w:t xml:space="preserve"> （《</w:t>
      </w:r>
      <w:r w:rsidRPr="004C59BB">
        <w:rPr>
          <w:color w:val="0000FF"/>
        </w:rPr>
        <w:t>反异端</w:t>
      </w:r>
      <w:r w:rsidRPr="004C59BB">
        <w:rPr>
          <w:color w:val="0000FF"/>
          <w:lang w:val="ru-RU"/>
        </w:rPr>
        <w:t>》</w:t>
      </w:r>
      <w:r w:rsidRPr="004C59BB">
        <w:rPr>
          <w:color w:val="0000FF"/>
        </w:rPr>
        <w:t>第三</w:t>
      </w:r>
      <w:r w:rsidRPr="004C59BB">
        <w:rPr>
          <w:color w:val="0000FF"/>
          <w:lang w:val="ru-RU"/>
        </w:rPr>
        <w:t>卷，第18页）；b) 福者狄奥多里特：“‘中保’这一名称本身就指向了神性与人性。若耶稣仅是神，便不会被称为中保；既然祂不具备我们任何的特质，又如何能在我们与神之间居中调解呢？ 但既然祂作为神与圣父联合，拥有同样的权能；作为人又与我们联合，从我们这里领受了仆人的形像：那么，祂被称作‘中保’是恰当的，因为祂通过神性与人性的联合，在自己里面将分离的两方面结合在一起</w:t>
      </w:r>
      <w:r w:rsidR="005666A3" w:rsidRPr="004C59BB">
        <w:rPr>
          <w:color w:val="0000FF"/>
          <w:lang w:val="ru-RU"/>
        </w:rPr>
        <w:t>”</w:t>
      </w:r>
      <w:r w:rsidRPr="004C59BB">
        <w:rPr>
          <w:color w:val="0000FF"/>
          <w:lang w:val="ru-RU"/>
        </w:rPr>
        <w:t xml:space="preserve"> （</w:t>
      </w:r>
      <w:r w:rsidRPr="004C59BB">
        <w:rPr>
          <w:color w:val="0000FF"/>
        </w:rPr>
        <w:t>《反驳</w:t>
      </w:r>
      <w:r w:rsidRPr="004C59BB">
        <w:rPr>
          <w:color w:val="0000FF"/>
          <w:lang w:val="ru-RU"/>
        </w:rPr>
        <w:t>异端</w:t>
      </w:r>
      <w:r w:rsidRPr="004C59BB">
        <w:rPr>
          <w:color w:val="0000FF"/>
        </w:rPr>
        <w:t>对话录</w:t>
      </w:r>
      <w:r w:rsidRPr="004C59BB">
        <w:rPr>
          <w:color w:val="0000FF"/>
          <w:lang w:val="ru-RU"/>
        </w:rPr>
        <w:t>》</w:t>
      </w:r>
      <w:r w:rsidRPr="004C59BB">
        <w:rPr>
          <w:color w:val="0000FF"/>
        </w:rPr>
        <w:t>第二卷</w:t>
      </w:r>
      <w:r w:rsidRPr="004C59BB">
        <w:rPr>
          <w:color w:val="0000FF"/>
          <w:lang w:val="ru-RU"/>
        </w:rPr>
        <w:t>，全集</w:t>
      </w:r>
      <w:r w:rsidRPr="004C59BB">
        <w:rPr>
          <w:color w:val="0000FF"/>
        </w:rPr>
        <w:t>第四卷</w:t>
      </w:r>
      <w:r w:rsidRPr="004C59BB">
        <w:rPr>
          <w:color w:val="0000FF"/>
          <w:lang w:val="ru-RU"/>
        </w:rPr>
        <w:t>，第56页，1642年版，载于</w:t>
      </w:r>
      <w:r w:rsidRPr="004C59BB">
        <w:rPr>
          <w:color w:val="0000FF"/>
        </w:rPr>
        <w:t>《Xp</w:t>
      </w:r>
      <w:r w:rsidRPr="004C59BB">
        <w:rPr>
          <w:color w:val="0000FF"/>
          <w:lang w:val="ru-RU"/>
        </w:rPr>
        <w:t>.》1846年第1期，第352–353页）。</w:t>
      </w:r>
    </w:p>
  </w:footnote>
  <w:footnote w:id="118">
    <w:p w14:paraId="4C5AA146" w14:textId="77777777" w:rsidR="005769CF" w:rsidRPr="0097554A" w:rsidRDefault="005769CF">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《反异端论》第五卷</w:t>
      </w:r>
      <w:r w:rsidRPr="0097554A">
        <w:rPr>
          <w:color w:val="0000FF"/>
          <w:lang w:val="ru-RU"/>
        </w:rPr>
        <w:t>，</w:t>
      </w:r>
      <w:r w:rsidRPr="004C59BB">
        <w:rPr>
          <w:color w:val="0000FF"/>
        </w:rPr>
        <w:t>第一章。</w:t>
      </w:r>
    </w:p>
  </w:footnote>
  <w:footnote w:id="119">
    <w:p w14:paraId="4BE9E953" w14:textId="77777777" w:rsidR="009C6138" w:rsidRPr="0097554A" w:rsidRDefault="009C6138">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w:t>
      </w:r>
      <w:r w:rsidRPr="004C59BB">
        <w:rPr>
          <w:color w:val="0000FF"/>
          <w:lang w:val="ru-RU"/>
        </w:rPr>
        <w:t>公开讲</w:t>
      </w:r>
      <w:r w:rsidRPr="004C59BB">
        <w:rPr>
          <w:color w:val="0000FF"/>
        </w:rPr>
        <w:t>道》</w:t>
      </w:r>
      <w:r w:rsidRPr="004C59BB">
        <w:rPr>
          <w:color w:val="0000FF"/>
          <w:lang w:val="ru-RU"/>
        </w:rPr>
        <w:t>第十二篇，第14节，第218页，据俄文译本。圣亚他那修也有同样的观点</w:t>
      </w:r>
      <w:r w:rsidR="005666A3" w:rsidRPr="004C59BB">
        <w:rPr>
          <w:color w:val="0000FF"/>
          <w:lang w:val="ru-RU"/>
        </w:rPr>
        <w:t>：</w:t>
      </w:r>
      <w:r w:rsidRPr="004C59BB">
        <w:rPr>
          <w:color w:val="0000FF"/>
          <w:lang w:val="ru-RU"/>
        </w:rPr>
        <w:t>“根据事态本身的需要，主为了帮助人类，亲自以人的形象显现，取了与我们相似且受苦的 即在肉身中所行的作为，以此使那些不愿从祂对宇宙的安排与治理中认识主的人，至少能通过祂在肉身中所行的作为，认识那道成肉身的上帝之道，并借此</w:t>
      </w:r>
      <w:r w:rsidR="005666A3" w:rsidRPr="004C59BB">
        <w:rPr>
          <w:color w:val="0000FF"/>
          <w:lang w:val="ru-RU"/>
        </w:rPr>
        <w:t>认识圣父”</w:t>
      </w:r>
      <w:r w:rsidRPr="004C59BB">
        <w:rPr>
          <w:color w:val="0000FF"/>
          <w:lang w:val="ru-RU"/>
        </w:rPr>
        <w:t xml:space="preserve"> （</w:t>
      </w:r>
      <w:r w:rsidRPr="004C59BB">
        <w:rPr>
          <w:color w:val="0000FF"/>
        </w:rPr>
        <w:t>《论上帝道成肉身</w:t>
      </w:r>
      <w:r w:rsidRPr="004C59BB">
        <w:rPr>
          <w:color w:val="0000FF"/>
          <w:lang w:val="ru-RU"/>
        </w:rPr>
        <w:t>》</w:t>
      </w:r>
      <w:r w:rsidRPr="004C59BB">
        <w:rPr>
          <w:color w:val="0000FF"/>
        </w:rPr>
        <w:t>第</w:t>
      </w:r>
      <w:r w:rsidRPr="0097554A">
        <w:rPr>
          <w:color w:val="0000FF"/>
          <w:lang w:val="ru-RU"/>
        </w:rPr>
        <w:t>15</w:t>
      </w:r>
      <w:r w:rsidRPr="004C59BB">
        <w:rPr>
          <w:color w:val="0000FF"/>
        </w:rPr>
        <w:t>节</w:t>
      </w:r>
      <w:r w:rsidRPr="004C59BB">
        <w:rPr>
          <w:color w:val="0000FF"/>
          <w:lang w:val="ru-RU"/>
        </w:rPr>
        <w:t>，载于</w:t>
      </w:r>
      <w:r w:rsidRPr="004C59BB">
        <w:rPr>
          <w:color w:val="0000FF"/>
        </w:rPr>
        <w:t>《Xp</w:t>
      </w:r>
      <w:r w:rsidRPr="004C59BB">
        <w:rPr>
          <w:color w:val="0000FF"/>
          <w:lang w:val="ru-RU"/>
        </w:rPr>
        <w:t>》</w:t>
      </w:r>
      <w:r w:rsidRPr="0097554A">
        <w:rPr>
          <w:color w:val="0000FF"/>
          <w:lang w:val="ru-RU"/>
        </w:rPr>
        <w:t>，1837</w:t>
      </w:r>
      <w:r w:rsidRPr="004C59BB">
        <w:rPr>
          <w:color w:val="0000FF"/>
        </w:rPr>
        <w:t>年第</w:t>
      </w:r>
      <w:r w:rsidRPr="0097554A">
        <w:rPr>
          <w:color w:val="0000FF"/>
          <w:lang w:val="ru-RU"/>
        </w:rPr>
        <w:t>4</w:t>
      </w:r>
      <w:r w:rsidRPr="004C59BB">
        <w:rPr>
          <w:color w:val="0000FF"/>
        </w:rPr>
        <w:t>卷</w:t>
      </w:r>
      <w:r w:rsidRPr="0097554A">
        <w:rPr>
          <w:color w:val="0000FF"/>
          <w:lang w:val="ru-RU"/>
        </w:rPr>
        <w:t>，</w:t>
      </w:r>
      <w:r w:rsidRPr="004C59BB">
        <w:rPr>
          <w:color w:val="0000FF"/>
        </w:rPr>
        <w:t>第</w:t>
      </w:r>
      <w:r w:rsidRPr="0097554A">
        <w:rPr>
          <w:color w:val="0000FF"/>
          <w:lang w:val="ru-RU"/>
        </w:rPr>
        <w:t>285</w:t>
      </w:r>
      <w:r w:rsidRPr="004C59BB">
        <w:rPr>
          <w:color w:val="0000FF"/>
        </w:rPr>
        <w:t>页</w:t>
      </w:r>
      <w:r w:rsidRPr="0097554A">
        <w:rPr>
          <w:color w:val="0000FF"/>
          <w:lang w:val="ru-RU"/>
        </w:rPr>
        <w:t>）</w:t>
      </w:r>
      <w:r w:rsidRPr="004C59BB">
        <w:rPr>
          <w:color w:val="0000FF"/>
        </w:rPr>
        <w:t>。</w:t>
      </w:r>
    </w:p>
  </w:footnote>
  <w:footnote w:id="120">
    <w:p w14:paraId="67A8E865" w14:textId="77777777" w:rsidR="009C6138" w:rsidRPr="0097554A" w:rsidRDefault="009C6138">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爱任纽</w:t>
      </w:r>
      <w:r w:rsidRPr="0097554A">
        <w:rPr>
          <w:color w:val="0000FF"/>
          <w:lang w:val="ru-RU"/>
        </w:rPr>
        <w:t>，</w:t>
      </w:r>
      <w:r w:rsidRPr="004C59BB">
        <w:rPr>
          <w:color w:val="0000FF"/>
        </w:rPr>
        <w:t>《反异端》第三卷</w:t>
      </w:r>
      <w:r w:rsidRPr="0097554A">
        <w:rPr>
          <w:color w:val="0000FF"/>
          <w:lang w:val="ru-RU"/>
        </w:rPr>
        <w:t>，</w:t>
      </w:r>
      <w:r w:rsidRPr="004C59BB">
        <w:rPr>
          <w:color w:val="0000FF"/>
        </w:rPr>
        <w:t>第</w:t>
      </w:r>
      <w:r w:rsidRPr="0097554A">
        <w:rPr>
          <w:color w:val="0000FF"/>
          <w:lang w:val="ru-RU"/>
        </w:rPr>
        <w:t>19</w:t>
      </w:r>
      <w:r w:rsidRPr="004C59BB">
        <w:rPr>
          <w:color w:val="0000FF"/>
        </w:rPr>
        <w:t>章。</w:t>
      </w:r>
    </w:p>
  </w:footnote>
  <w:footnote w:id="121">
    <w:p w14:paraId="55E86353" w14:textId="77777777" w:rsidR="00CD1B1D" w:rsidRPr="0097554A" w:rsidRDefault="00CD1B1D">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爱任纽</w:t>
      </w:r>
      <w:r w:rsidRPr="0097554A">
        <w:rPr>
          <w:color w:val="0000FF"/>
          <w:lang w:val="ru-RU"/>
        </w:rPr>
        <w:t>，</w:t>
      </w:r>
      <w:r w:rsidRPr="004C59BB">
        <w:rPr>
          <w:color w:val="0000FF"/>
        </w:rPr>
        <w:t>《反异端》</w:t>
      </w:r>
      <w:r w:rsidRPr="0097554A">
        <w:rPr>
          <w:color w:val="0000FF"/>
          <w:lang w:val="ru-RU"/>
        </w:rPr>
        <w:t>，</w:t>
      </w:r>
      <w:r w:rsidRPr="004C59BB">
        <w:rPr>
          <w:color w:val="0000FF"/>
        </w:rPr>
        <w:t>第五卷</w:t>
      </w:r>
      <w:r w:rsidRPr="0097554A">
        <w:rPr>
          <w:color w:val="0000FF"/>
          <w:lang w:val="ru-RU"/>
        </w:rPr>
        <w:t>，</w:t>
      </w:r>
      <w:r w:rsidRPr="004C59BB">
        <w:rPr>
          <w:color w:val="0000FF"/>
        </w:rPr>
        <w:t>第</w:t>
      </w:r>
      <w:r w:rsidRPr="0097554A">
        <w:rPr>
          <w:color w:val="0000FF"/>
          <w:lang w:val="ru-RU"/>
        </w:rPr>
        <w:t>21</w:t>
      </w:r>
      <w:r w:rsidRPr="004C59BB">
        <w:rPr>
          <w:color w:val="0000FF"/>
        </w:rPr>
        <w:t>章。</w:t>
      </w:r>
    </w:p>
  </w:footnote>
  <w:footnote w:id="122">
    <w:p w14:paraId="4F3751ED" w14:textId="77777777" w:rsidR="00CD1B1D" w:rsidRPr="0097554A" w:rsidRDefault="00CD1B1D">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亚他那修</w:t>
      </w:r>
      <w:r w:rsidRPr="0097554A">
        <w:rPr>
          <w:color w:val="0000FF"/>
          <w:lang w:val="ru-RU"/>
        </w:rPr>
        <w:t>，</w:t>
      </w:r>
      <w:r w:rsidRPr="004C59BB">
        <w:rPr>
          <w:color w:val="0000FF"/>
        </w:rPr>
        <w:t>《论道成肉身》第</w:t>
      </w:r>
      <w:r w:rsidRPr="0097554A">
        <w:rPr>
          <w:color w:val="0000FF"/>
          <w:lang w:val="ru-RU"/>
        </w:rPr>
        <w:t>13</w:t>
      </w:r>
      <w:r w:rsidRPr="004C59BB">
        <w:rPr>
          <w:color w:val="0000FF"/>
        </w:rPr>
        <w:t>节。</w:t>
      </w:r>
    </w:p>
  </w:footnote>
  <w:footnote w:id="123">
    <w:p w14:paraId="184EC4B8" w14:textId="77777777" w:rsidR="0079571C" w:rsidRPr="004C59BB" w:rsidRDefault="0079571C">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祂</w:t>
      </w:r>
      <w:r w:rsidRPr="0097554A">
        <w:rPr>
          <w:color w:val="0000FF"/>
          <w:lang w:val="ru-RU"/>
        </w:rPr>
        <w:t>（</w:t>
      </w:r>
      <w:r w:rsidRPr="004C59BB">
        <w:rPr>
          <w:color w:val="0000FF"/>
        </w:rPr>
        <w:t>基督</w:t>
      </w:r>
      <w:r w:rsidRPr="0097554A">
        <w:rPr>
          <w:color w:val="0000FF"/>
          <w:lang w:val="ru-RU"/>
        </w:rPr>
        <w:t>）</w:t>
      </w:r>
      <w:r w:rsidRPr="004C59BB">
        <w:rPr>
          <w:color w:val="0000FF"/>
        </w:rPr>
        <w:t>完全是真理</w:t>
      </w:r>
      <w:r w:rsidRPr="0097554A">
        <w:rPr>
          <w:color w:val="0000FF"/>
          <w:lang w:val="ru-RU"/>
        </w:rPr>
        <w:t>；</w:t>
      </w:r>
      <w:r w:rsidRPr="004C59BB">
        <w:rPr>
          <w:color w:val="0000FF"/>
        </w:rPr>
        <w:t>请相信</w:t>
      </w:r>
      <w:r w:rsidRPr="0097554A">
        <w:rPr>
          <w:color w:val="0000FF"/>
          <w:lang w:val="ru-RU"/>
        </w:rPr>
        <w:t>，</w:t>
      </w:r>
      <w:r w:rsidRPr="004C59BB">
        <w:rPr>
          <w:color w:val="0000FF"/>
        </w:rPr>
        <w:t>祂宁可不出生</w:t>
      </w:r>
      <w:r w:rsidRPr="0097554A">
        <w:rPr>
          <w:color w:val="0000FF"/>
          <w:lang w:val="ru-RU"/>
        </w:rPr>
        <w:t>，</w:t>
      </w:r>
      <w:r w:rsidRPr="004C59BB">
        <w:rPr>
          <w:color w:val="0000FF"/>
        </w:rPr>
        <w:t>也不愿在任何方面说谎</w:t>
      </w:r>
      <w:r w:rsidRPr="0097554A">
        <w:rPr>
          <w:color w:val="0000FF"/>
          <w:lang w:val="ru-RU"/>
        </w:rPr>
        <w:t>，</w:t>
      </w:r>
      <w:r w:rsidRPr="004C59BB">
        <w:rPr>
          <w:color w:val="0000FF"/>
        </w:rPr>
        <w:t>尤其是对自己说谎</w:t>
      </w:r>
      <w:r w:rsidRPr="0097554A">
        <w:rPr>
          <w:color w:val="0000FF"/>
          <w:lang w:val="ru-RU"/>
        </w:rPr>
        <w:t>”（</w:t>
      </w:r>
      <w:r w:rsidRPr="004C59BB">
        <w:rPr>
          <w:color w:val="0000FF"/>
        </w:rPr>
        <w:t>特土良</w:t>
      </w:r>
      <w:r w:rsidRPr="0097554A">
        <w:rPr>
          <w:color w:val="0000FF"/>
          <w:lang w:val="ru-RU"/>
        </w:rPr>
        <w:t>，</w:t>
      </w:r>
      <w:r w:rsidRPr="004C59BB">
        <w:rPr>
          <w:color w:val="0000FF"/>
        </w:rPr>
        <w:t>《论基督的肉身》第</w:t>
      </w:r>
      <w:r w:rsidRPr="0097554A">
        <w:rPr>
          <w:color w:val="0000FF"/>
          <w:lang w:val="ru-RU"/>
        </w:rPr>
        <w:t>5</w:t>
      </w:r>
      <w:r w:rsidRPr="004C59BB">
        <w:rPr>
          <w:color w:val="0000FF"/>
        </w:rPr>
        <w:t>章</w:t>
      </w:r>
      <w:r w:rsidRPr="0097554A">
        <w:rPr>
          <w:color w:val="0000FF"/>
          <w:lang w:val="ru-RU"/>
        </w:rPr>
        <w:t>）</w:t>
      </w:r>
      <w:r w:rsidRPr="004C59BB">
        <w:rPr>
          <w:color w:val="0000FF"/>
        </w:rPr>
        <w:t>。</w:t>
      </w:r>
      <w:r w:rsidRPr="0097554A">
        <w:rPr>
          <w:color w:val="0000FF"/>
          <w:lang w:val="ru-RU"/>
        </w:rPr>
        <w:t xml:space="preserve"> </w:t>
      </w:r>
      <w:r w:rsidRPr="004C59BB">
        <w:rPr>
          <w:color w:val="0000FF"/>
        </w:rPr>
        <w:t>若基督的身体是幻象</w:t>
      </w:r>
      <w:r w:rsidRPr="0097554A">
        <w:rPr>
          <w:color w:val="0000FF"/>
          <w:lang w:val="ru-RU"/>
        </w:rPr>
        <w:t>，</w:t>
      </w:r>
      <w:r w:rsidRPr="004C59BB">
        <w:rPr>
          <w:color w:val="0000FF"/>
        </w:rPr>
        <w:t>基督便欺骗了人</w:t>
      </w:r>
      <w:r w:rsidRPr="0097554A">
        <w:rPr>
          <w:color w:val="0000FF"/>
          <w:lang w:val="ru-RU"/>
        </w:rPr>
        <w:t>；</w:t>
      </w:r>
      <w:r w:rsidRPr="004C59BB">
        <w:rPr>
          <w:color w:val="0000FF"/>
        </w:rPr>
        <w:t>若他欺骗了人</w:t>
      </w:r>
      <w:r w:rsidRPr="0097554A">
        <w:rPr>
          <w:color w:val="0000FF"/>
          <w:lang w:val="ru-RU"/>
        </w:rPr>
        <w:t>，</w:t>
      </w:r>
      <w:r w:rsidRPr="004C59BB">
        <w:rPr>
          <w:color w:val="0000FF"/>
        </w:rPr>
        <w:t>真理便不复存在。而基督就是真理。因此，他的身体绝非幻象（奥古斯丁，《论问题》第八十三卷，第14问；参见《诗篇》第四十四篇注释，第19节）。</w:t>
      </w:r>
    </w:p>
  </w:footnote>
  <w:footnote w:id="124">
    <w:p w14:paraId="20DD9598" w14:textId="77777777" w:rsidR="0027114A" w:rsidRPr="0097554A" w:rsidRDefault="0027114A">
      <w:pPr>
        <w:pStyle w:val="FootnoteText"/>
        <w:rPr>
          <w:color w:val="0000FF"/>
        </w:rPr>
      </w:pPr>
      <w:r w:rsidRPr="004C59BB">
        <w:rPr>
          <w:rStyle w:val="FootnoteReference"/>
          <w:color w:val="0000FF"/>
        </w:rPr>
        <w:footnoteRef/>
      </w:r>
      <w:r w:rsidRPr="004C59BB">
        <w:rPr>
          <w:color w:val="0000FF"/>
        </w:rPr>
        <w:t xml:space="preserve"> 爱任纽《反异端》第五</w:t>
      </w:r>
      <w:r w:rsidRPr="004C59BB">
        <w:rPr>
          <w:color w:val="0000FF"/>
          <w:lang w:val="ru-RU"/>
        </w:rPr>
        <w:t>卷</w:t>
      </w:r>
      <w:r w:rsidRPr="0097554A">
        <w:rPr>
          <w:color w:val="0000FF"/>
        </w:rPr>
        <w:t>，</w:t>
      </w:r>
      <w:r w:rsidRPr="004C59BB">
        <w:rPr>
          <w:color w:val="0000FF"/>
          <w:lang w:val="ru-RU"/>
        </w:rPr>
        <w:t>第一章</w:t>
      </w:r>
      <w:r w:rsidRPr="0097554A">
        <w:rPr>
          <w:color w:val="0000FF"/>
        </w:rPr>
        <w:t>，</w:t>
      </w:r>
      <w:r w:rsidRPr="004C59BB">
        <w:rPr>
          <w:color w:val="0000FF"/>
          <w:lang w:val="ru-RU"/>
        </w:rPr>
        <w:t>第</w:t>
      </w:r>
      <w:r w:rsidRPr="0097554A">
        <w:rPr>
          <w:color w:val="0000FF"/>
        </w:rPr>
        <w:t>1</w:t>
      </w:r>
      <w:r w:rsidRPr="004C59BB">
        <w:rPr>
          <w:color w:val="0000FF"/>
          <w:lang w:val="ru-RU"/>
        </w:rPr>
        <w:t>节。</w:t>
      </w:r>
    </w:p>
  </w:footnote>
  <w:footnote w:id="125">
    <w:p w14:paraId="6FC0BE62" w14:textId="77777777" w:rsidR="0027114A" w:rsidRPr="004C59BB" w:rsidRDefault="0027114A">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如果祂只是在幻象中受苦</w:t>
      </w:r>
      <w:r w:rsidRPr="0097554A">
        <w:rPr>
          <w:color w:val="0000FF"/>
        </w:rPr>
        <w:t>——</w:t>
      </w:r>
      <w:r w:rsidRPr="004C59BB">
        <w:rPr>
          <w:color w:val="0000FF"/>
          <w:lang w:val="ru-RU"/>
        </w:rPr>
        <w:t>正如无神论者</w:t>
      </w:r>
      <w:r w:rsidRPr="0097554A">
        <w:rPr>
          <w:color w:val="0000FF"/>
        </w:rPr>
        <w:t>，</w:t>
      </w:r>
      <w:r w:rsidRPr="004C59BB">
        <w:rPr>
          <w:color w:val="0000FF"/>
          <w:lang w:val="ru-RU"/>
        </w:rPr>
        <w:t>即不信者所宣称的那样</w:t>
      </w:r>
      <w:r w:rsidRPr="0097554A">
        <w:rPr>
          <w:color w:val="0000FF"/>
        </w:rPr>
        <w:t>，</w:t>
      </w:r>
      <w:r w:rsidRPr="004C59BB">
        <w:rPr>
          <w:color w:val="0000FF"/>
          <w:lang w:val="ru-RU"/>
        </w:rPr>
        <w:t>而他们自己也不过是幻影</w:t>
      </w:r>
      <w:r w:rsidRPr="0097554A">
        <w:rPr>
          <w:color w:val="0000FF"/>
        </w:rPr>
        <w:t>——</w:t>
      </w:r>
      <w:r w:rsidRPr="004C59BB">
        <w:rPr>
          <w:color w:val="0000FF"/>
          <w:lang w:val="ru-RU"/>
        </w:rPr>
        <w:t>那么我为何要身陷枷锁</w:t>
      </w:r>
      <w:r w:rsidRPr="0097554A">
        <w:rPr>
          <w:color w:val="0000FF"/>
        </w:rPr>
        <w:t>？</w:t>
      </w:r>
      <w:r w:rsidRPr="004C59BB">
        <w:rPr>
          <w:color w:val="0000FF"/>
          <w:lang w:val="ru-RU"/>
        </w:rPr>
        <w:t>我为何要渴望与野兽搏斗</w:t>
      </w:r>
      <w:r w:rsidRPr="0097554A">
        <w:rPr>
          <w:color w:val="0000FF"/>
        </w:rPr>
        <w:t>？</w:t>
      </w:r>
      <w:r w:rsidRPr="004C59BB">
        <w:rPr>
          <w:color w:val="0000FF"/>
          <w:lang w:val="ru-RU"/>
        </w:rPr>
        <w:t>那么</w:t>
      </w:r>
      <w:r w:rsidRPr="0097554A">
        <w:rPr>
          <w:color w:val="0000FF"/>
        </w:rPr>
        <w:t>，</w:t>
      </w:r>
      <w:r w:rsidRPr="004C59BB">
        <w:rPr>
          <w:color w:val="0000FF"/>
          <w:lang w:val="ru-RU"/>
        </w:rPr>
        <w:t>难道我是在白白死去吗</w:t>
      </w:r>
      <w:r w:rsidRPr="0097554A">
        <w:rPr>
          <w:color w:val="0000FF"/>
        </w:rPr>
        <w:t>？”……</w:t>
      </w:r>
      <w:r w:rsidRPr="004C59BB">
        <w:rPr>
          <w:color w:val="0000FF"/>
        </w:rPr>
        <w:t>（伊格纳提乌斯《致特拉利亚人书》第 X，第196页，Hefel版。）而当我们真正开始受苦时，他便会显得在诱惑我们，怂恿我们受难，并要求我们再伸出另一边脸颊，如果他自己此前并未在真实中经历过这一切的话：正如他曾诱惑那些人，使他们以为他自己经历了那本不存在之事； 他同样也会引诱我们，敦促我们承受他自己从未承受过的苦难（伊雷奈乌斯《反异端》第三卷，18章，第6节）。</w:t>
      </w:r>
    </w:p>
  </w:footnote>
  <w:footnote w:id="126">
    <w:p w14:paraId="5054B17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爱任纽《反异端》第四卷，第33条；第5条；特土良《反马吉安》第三卷，第8章。</w:t>
      </w:r>
    </w:p>
  </w:footnote>
  <w:footnote w:id="127">
    <w:p w14:paraId="5C28B91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爱任纽《反异端》第五卷，第2章，注1。 另有一处写道：他确实并未真正具有血肉之躯——正是通过这些，他为我们作了见证——除非他将亚当那最初的造像归于自身（同上，第五卷，第1章，注2）。</w:t>
      </w:r>
    </w:p>
  </w:footnote>
  <w:footnote w:id="128">
    <w:p w14:paraId="215143D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特土良《反马吉安论》第三卷，第8章。还有：我们是以高价被赎回的。倘若基督只是一个幻影，毫无实体，也没有任何可为我们的身体牺牲的肉体，那么这高价便完全毫无意义（同上，第五卷，第7章）。</w:t>
      </w:r>
    </w:p>
  </w:footnote>
  <w:footnote w:id="129">
    <w:p w14:paraId="45A3F6C1" w14:textId="77777777" w:rsidR="00B547D6" w:rsidRPr="0097554A" w:rsidRDefault="00B547D6">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约翰</w:t>
      </w:r>
      <w:r w:rsidRPr="0097554A">
        <w:rPr>
          <w:color w:val="0000FF"/>
        </w:rPr>
        <w:t>·</w:t>
      </w:r>
      <w:r w:rsidRPr="004C59BB">
        <w:rPr>
          <w:color w:val="0000FF"/>
          <w:lang w:val="ru-RU"/>
        </w:rPr>
        <w:t>达马斯库斯。《正统信仰的精确阐述》</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28</w:t>
      </w:r>
      <w:r w:rsidRPr="004C59BB">
        <w:rPr>
          <w:color w:val="0000FF"/>
          <w:lang w:val="ru-RU"/>
        </w:rPr>
        <w:t>章</w:t>
      </w:r>
      <w:r w:rsidRPr="0097554A">
        <w:rPr>
          <w:color w:val="0000FF"/>
        </w:rPr>
        <w:t>，</w:t>
      </w:r>
      <w:r w:rsidRPr="004C59BB">
        <w:rPr>
          <w:color w:val="0000FF"/>
          <w:lang w:val="ru-RU"/>
        </w:rPr>
        <w:t>第</w:t>
      </w:r>
      <w:r w:rsidRPr="0097554A">
        <w:rPr>
          <w:color w:val="0000FF"/>
        </w:rPr>
        <w:t>219–220</w:t>
      </w:r>
      <w:r w:rsidRPr="004C59BB">
        <w:rPr>
          <w:color w:val="0000FF"/>
          <w:lang w:val="ru-RU"/>
        </w:rPr>
        <w:t>页</w:t>
      </w:r>
      <w:r w:rsidRPr="0097554A">
        <w:rPr>
          <w:color w:val="0000FF"/>
        </w:rPr>
        <w:t>，</w:t>
      </w:r>
      <w:r w:rsidRPr="004C59BB">
        <w:rPr>
          <w:color w:val="0000FF"/>
          <w:lang w:val="ru-RU"/>
        </w:rPr>
        <w:t>根据俄文译本。</w:t>
      </w:r>
    </w:p>
  </w:footnote>
  <w:footnote w:id="130">
    <w:p w14:paraId="3E3E22AE" w14:textId="77777777" w:rsidR="001B448F" w:rsidRPr="004C59BB" w:rsidRDefault="001B448F">
      <w:pPr>
        <w:pStyle w:val="FootnoteText"/>
        <w:rPr>
          <w:color w:val="0000FF"/>
          <w:lang w:val="ru-RU"/>
        </w:rPr>
      </w:pPr>
      <w:r w:rsidRPr="004C59BB">
        <w:rPr>
          <w:rStyle w:val="FootnoteReference"/>
          <w:color w:val="0000FF"/>
        </w:rPr>
        <w:footnoteRef/>
      </w:r>
      <w:r w:rsidRPr="004C59BB">
        <w:rPr>
          <w:color w:val="0000FF"/>
        </w:rPr>
        <w:t xml:space="preserve"> 格雷戈里·尼萨（Gregor. Nyss.）《反尤诺米乌斯论》（contr. Eunom.）第二篇讲道，收录于《文集》（Opp.）第二卷，第483页，莫雷尔（Morel）校注本</w:t>
      </w:r>
      <w:r w:rsidRPr="004C59BB">
        <w:rPr>
          <w:color w:val="0000FF"/>
          <w:lang w:val="ru-RU"/>
        </w:rPr>
        <w:t>。以下几位也表达了同样的观点：圣奥古斯丁（</w:t>
      </w:r>
      <w:r w:rsidRPr="004C59BB">
        <w:rPr>
          <w:color w:val="0000FF"/>
        </w:rPr>
        <w:t>《上帝之城</w:t>
      </w:r>
      <w:r w:rsidRPr="004C59BB">
        <w:rPr>
          <w:color w:val="0000FF"/>
          <w:lang w:val="ru-RU"/>
        </w:rPr>
        <w:t>》</w:t>
      </w:r>
      <w:r w:rsidRPr="004C59BB">
        <w:rPr>
          <w:color w:val="0000FF"/>
        </w:rPr>
        <w:t>第十卷</w:t>
      </w:r>
      <w:r w:rsidRPr="004C59BB">
        <w:rPr>
          <w:color w:val="0000FF"/>
          <w:lang w:val="ru-RU"/>
        </w:rPr>
        <w:t>，第27章； 《讲道集》</w:t>
      </w:r>
      <w:r w:rsidRPr="004C59BB">
        <w:rPr>
          <w:color w:val="0000FF"/>
        </w:rPr>
        <w:t>第XXVII卷</w:t>
      </w:r>
      <w:r w:rsidRPr="004C59BB">
        <w:rPr>
          <w:color w:val="0000FF"/>
          <w:lang w:val="ru-RU"/>
        </w:rPr>
        <w:t>，第4段）、福者狄奥多里特（</w:t>
      </w:r>
      <w:r w:rsidRPr="004C59BB">
        <w:rPr>
          <w:color w:val="0000FF"/>
        </w:rPr>
        <w:t>《致君士坦丁堡</w:t>
      </w:r>
      <w:r w:rsidRPr="004C59BB">
        <w:rPr>
          <w:color w:val="0000FF"/>
          <w:lang w:val="ru-RU"/>
        </w:rPr>
        <w:t>修道</w:t>
      </w:r>
      <w:r w:rsidRPr="004C59BB">
        <w:rPr>
          <w:color w:val="0000FF"/>
        </w:rPr>
        <w:t>士书》第CXLV封</w:t>
      </w:r>
      <w:r w:rsidRPr="004C59BB">
        <w:rPr>
          <w:color w:val="0000FF"/>
          <w:lang w:val="ru-RU"/>
        </w:rPr>
        <w:t>）以及圣约翰·达马斯库斯：“是的，整体接纳了整体的我，整体与整体结合，为要赐予整体以救赎。 因为若非祂亲自承担，那部分便无法得着医治。（《信仰要义》</w:t>
      </w:r>
      <w:r w:rsidRPr="004C59BB">
        <w:rPr>
          <w:color w:val="0000FF"/>
        </w:rPr>
        <w:t>第三</w:t>
      </w:r>
      <w:r w:rsidRPr="004C59BB">
        <w:rPr>
          <w:color w:val="0000FF"/>
          <w:lang w:val="ru-RU"/>
        </w:rPr>
        <w:t>卷，第六章，第152–133页）。</w:t>
      </w:r>
    </w:p>
  </w:footnote>
  <w:footnote w:id="131">
    <w:p w14:paraId="70C53B82" w14:textId="77777777" w:rsidR="00776A2C" w:rsidRPr="004C59BB" w:rsidRDefault="00776A2C">
      <w:pPr>
        <w:pStyle w:val="FootnoteText"/>
        <w:rPr>
          <w:color w:val="0000FF"/>
          <w:lang w:val="ru-RU"/>
        </w:rPr>
      </w:pPr>
      <w:r w:rsidRPr="004C59BB">
        <w:rPr>
          <w:rStyle w:val="FootnoteReference"/>
          <w:color w:val="0000FF"/>
        </w:rPr>
        <w:footnoteRef/>
      </w:r>
      <w:r w:rsidRPr="004C59BB">
        <w:rPr>
          <w:color w:val="0000FF"/>
          <w:lang w:val="ru-RU"/>
        </w:rPr>
        <w:t xml:space="preserve"> 《致克莱多尼乌斯的书信》，第1封，载于《圣教父著作集》</w:t>
      </w:r>
      <w:r w:rsidRPr="004C59BB">
        <w:rPr>
          <w:color w:val="0000FF"/>
        </w:rPr>
        <w:t>第IV卷</w:t>
      </w:r>
      <w:r w:rsidRPr="004C59BB">
        <w:rPr>
          <w:color w:val="0000FF"/>
          <w:lang w:val="ru-RU"/>
        </w:rPr>
        <w:t>，第203页。</w:t>
      </w:r>
    </w:p>
  </w:footnote>
  <w:footnote w:id="132">
    <w:p w14:paraId="5988E34F"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《论主道成肉身》第16章，载于《1847年基督教读本》</w:t>
      </w:r>
      <w:r w:rsidRPr="004C59BB">
        <w:rPr>
          <w:color w:val="0000FF"/>
        </w:rPr>
        <w:t>第III卷</w:t>
      </w:r>
      <w:r w:rsidRPr="004C59BB">
        <w:rPr>
          <w:color w:val="0000FF"/>
          <w:lang w:val="ru-RU"/>
        </w:rPr>
        <w:t>，第198–199页。</w:t>
      </w:r>
    </w:p>
  </w:footnote>
  <w:footnote w:id="133">
    <w:p w14:paraId="73853BEA"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格里高利·神学家《复活节讲道集》，载于《圣教父文集》</w:t>
      </w:r>
      <w:r w:rsidRPr="004C59BB">
        <w:rPr>
          <w:color w:val="0000FF"/>
        </w:rPr>
        <w:t>第四</w:t>
      </w:r>
      <w:r w:rsidRPr="004C59BB">
        <w:rPr>
          <w:color w:val="0000FF"/>
          <w:lang w:val="ru-RU"/>
        </w:rPr>
        <w:t>卷，第161页。</w:t>
      </w:r>
    </w:p>
  </w:footnote>
  <w:footnote w:id="134">
    <w:p w14:paraId="595887A0"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致克莱多尼乌斯的书信 I，同上 203。这一思想也见于其他教会导师的著作中，例如：福者奥古斯丁（《书信集》CXXXVII，第 </w:t>
      </w:r>
      <w:r w:rsidRPr="004C59BB">
        <w:rPr>
          <w:color w:val="0000FF"/>
        </w:rPr>
        <w:t>II</w:t>
      </w:r>
      <w:r w:rsidRPr="004C59BB">
        <w:rPr>
          <w:color w:val="0000FF"/>
          <w:lang w:val="ru-RU"/>
        </w:rPr>
        <w:t xml:space="preserve"> 节；</w:t>
      </w:r>
      <w:r w:rsidRPr="004C59BB">
        <w:rPr>
          <w:color w:val="0000FF"/>
        </w:rPr>
        <w:t>CXL</w:t>
      </w:r>
      <w:r w:rsidRPr="004C59BB">
        <w:rPr>
          <w:color w:val="0000FF"/>
          <w:lang w:val="ru-RU"/>
        </w:rPr>
        <w:t>，第</w:t>
      </w:r>
      <w:r w:rsidR="00F45CFB" w:rsidRPr="004C59BB">
        <w:rPr>
          <w:b/>
          <w:color w:val="0000FF"/>
          <w:lang w:val="ru-RU"/>
        </w:rPr>
        <w:t xml:space="preserve"> 12</w:t>
      </w:r>
      <w:r w:rsidRPr="004C59BB">
        <w:rPr>
          <w:color w:val="0000FF"/>
          <w:lang w:val="ru-RU"/>
        </w:rPr>
        <w:t xml:space="preserve"> 段</w:t>
      </w:r>
      <w:r w:rsidR="00F45CFB" w:rsidRPr="004C59BB">
        <w:rPr>
          <w:b/>
          <w:color w:val="0000FF"/>
          <w:lang w:val="ru-RU"/>
        </w:rPr>
        <w:t>）</w:t>
      </w:r>
      <w:r w:rsidRPr="004C59BB">
        <w:rPr>
          <w:color w:val="0000FF"/>
          <w:lang w:val="ru-RU"/>
        </w:rPr>
        <w:t>和圣约翰·达马斯库斯： “上帝之道借由理智与肉身结合，理智是神性纯洁与肉身粗重之间的媒介：因为理智统御灵魂与肉身，灵魂中最纯洁者即为理智，而理智中最纯洁者</w:t>
      </w:r>
      <w:r w:rsidR="005666A3" w:rsidRPr="004C59BB">
        <w:rPr>
          <w:color w:val="0000FF"/>
          <w:lang w:val="ru-RU"/>
        </w:rPr>
        <w:t>则是上帝”</w:t>
      </w:r>
      <w:r w:rsidRPr="004C59BB">
        <w:rPr>
          <w:color w:val="0000FF"/>
          <w:lang w:val="ru-RU"/>
        </w:rPr>
        <w:t xml:space="preserve"> （《信仰要义精确阐述》</w:t>
      </w:r>
      <w:r w:rsidRPr="004C59BB">
        <w:rPr>
          <w:color w:val="0000FF"/>
        </w:rPr>
        <w:t>第三</w:t>
      </w:r>
      <w:r w:rsidRPr="004C59BB">
        <w:rPr>
          <w:color w:val="0000FF"/>
          <w:lang w:val="ru-RU"/>
        </w:rPr>
        <w:t>卷，第六章，第153页）。</w:t>
      </w:r>
    </w:p>
  </w:footnote>
  <w:footnote w:id="135">
    <w:p w14:paraId="3457FCA3"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格里高利·神学家致克莱多尼乌斯的书信 1，载于《圣教父著作集》</w:t>
      </w:r>
      <w:r w:rsidRPr="004C59BB">
        <w:rPr>
          <w:color w:val="0000FF"/>
        </w:rPr>
        <w:t>第四卷</w:t>
      </w:r>
      <w:r w:rsidRPr="004C59BB">
        <w:rPr>
          <w:color w:val="0000FF"/>
          <w:lang w:val="ru-RU"/>
        </w:rPr>
        <w:t>，第200页。</w:t>
      </w:r>
    </w:p>
  </w:footnote>
  <w:footnote w:id="136">
    <w:p w14:paraId="2E83C831" w14:textId="77777777" w:rsidR="00E25B08" w:rsidRPr="0097554A" w:rsidRDefault="00E25B08">
      <w:pPr>
        <w:pStyle w:val="FootnoteText"/>
        <w:rPr>
          <w:color w:val="0000FF"/>
          <w:lang w:val="ru-RU"/>
        </w:rPr>
      </w:pPr>
      <w:r w:rsidRPr="004C59BB">
        <w:rPr>
          <w:rStyle w:val="FootnoteReference"/>
          <w:color w:val="0000FF"/>
        </w:rPr>
        <w:footnoteRef/>
      </w:r>
      <w:r w:rsidRPr="004C59BB">
        <w:rPr>
          <w:color w:val="0000FF"/>
          <w:lang w:val="ru-RU"/>
        </w:rPr>
        <w:t xml:space="preserve"> 约翰·达马斯库斯，《信仰真义的精确阐述》</w:t>
      </w:r>
      <w:r w:rsidRPr="004C59BB">
        <w:rPr>
          <w:color w:val="0000FF"/>
        </w:rPr>
        <w:t>第三</w:t>
      </w:r>
      <w:r w:rsidRPr="004C59BB">
        <w:rPr>
          <w:color w:val="0000FF"/>
          <w:lang w:val="ru-RU"/>
        </w:rPr>
        <w:t>卷，第六章，第152页。</w:t>
      </w:r>
      <w:r w:rsidRPr="004C59BB">
        <w:rPr>
          <w:color w:val="0000FF"/>
        </w:rPr>
        <w:t>同上</w:t>
      </w:r>
      <w:r w:rsidRPr="0097554A">
        <w:rPr>
          <w:color w:val="0000FF"/>
          <w:lang w:val="ru-RU"/>
        </w:rPr>
        <w:t>——</w:t>
      </w:r>
      <w:r w:rsidRPr="004C59BB">
        <w:rPr>
          <w:color w:val="0000FF"/>
        </w:rPr>
        <w:t>见福者</w:t>
      </w:r>
      <w:r w:rsidRPr="0097554A">
        <w:rPr>
          <w:color w:val="0000FF"/>
          <w:lang w:val="ru-RU"/>
        </w:rPr>
        <w:t xml:space="preserve"> </w:t>
      </w:r>
      <w:r w:rsidRPr="004C59BB">
        <w:rPr>
          <w:color w:val="0000FF"/>
        </w:rPr>
        <w:t>奥古斯丁的著作中也有类似观点</w:t>
      </w:r>
      <w:r w:rsidRPr="0097554A">
        <w:rPr>
          <w:color w:val="0000FF"/>
          <w:lang w:val="ru-RU"/>
        </w:rPr>
        <w:t>：“</w:t>
      </w:r>
      <w:r w:rsidRPr="004C59BB">
        <w:rPr>
          <w:color w:val="0000FF"/>
        </w:rPr>
        <w:t>若连肉身之魂或灵魂本身的人类理性都缺失</w:t>
      </w:r>
      <w:r w:rsidRPr="0097554A">
        <w:rPr>
          <w:color w:val="0000FF"/>
          <w:lang w:val="ru-RU"/>
        </w:rPr>
        <w:t>，</w:t>
      </w:r>
      <w:r w:rsidRPr="004C59BB">
        <w:rPr>
          <w:color w:val="0000FF"/>
        </w:rPr>
        <w:t>则人便不完美</w:t>
      </w:r>
      <w:r w:rsidRPr="0097554A">
        <w:rPr>
          <w:color w:val="0000FF"/>
          <w:lang w:val="ru-RU"/>
        </w:rPr>
        <w:t>”（</w:t>
      </w:r>
      <w:r w:rsidRPr="004C59BB">
        <w:rPr>
          <w:color w:val="0000FF"/>
        </w:rPr>
        <w:t>《致达尔丹书》CLXXXVII</w:t>
      </w:r>
      <w:r w:rsidRPr="0097554A">
        <w:rPr>
          <w:color w:val="0000FF"/>
          <w:lang w:val="ru-RU"/>
        </w:rPr>
        <w:t>，</w:t>
      </w:r>
      <w:r w:rsidRPr="004C59BB">
        <w:rPr>
          <w:color w:val="0000FF"/>
        </w:rPr>
        <w:t>注</w:t>
      </w:r>
      <w:r w:rsidRPr="0097554A">
        <w:rPr>
          <w:color w:val="0000FF"/>
          <w:lang w:val="ru-RU"/>
        </w:rPr>
        <w:t>4；</w:t>
      </w:r>
      <w:r w:rsidRPr="004C59BB">
        <w:rPr>
          <w:color w:val="0000FF"/>
        </w:rPr>
        <w:t>参见《论各种问题》LXXXIII</w:t>
      </w:r>
      <w:r w:rsidRPr="0097554A">
        <w:rPr>
          <w:color w:val="0000FF"/>
          <w:lang w:val="ru-RU"/>
        </w:rPr>
        <w:t>，</w:t>
      </w:r>
      <w:r w:rsidRPr="004C59BB">
        <w:rPr>
          <w:color w:val="0000FF"/>
        </w:rPr>
        <w:t>问题</w:t>
      </w:r>
      <w:r w:rsidRPr="0097554A">
        <w:rPr>
          <w:color w:val="0000FF"/>
          <w:lang w:val="ru-RU"/>
        </w:rPr>
        <w:t>80，</w:t>
      </w:r>
      <w:r w:rsidRPr="004C59BB">
        <w:rPr>
          <w:color w:val="0000FF"/>
        </w:rPr>
        <w:t>注</w:t>
      </w:r>
      <w:r w:rsidRPr="0097554A">
        <w:rPr>
          <w:color w:val="0000FF"/>
          <w:lang w:val="ru-RU"/>
        </w:rPr>
        <w:t>1）</w:t>
      </w:r>
      <w:r w:rsidRPr="004C59BB">
        <w:rPr>
          <w:color w:val="0000FF"/>
        </w:rPr>
        <w:t>。</w:t>
      </w:r>
    </w:p>
  </w:footnote>
  <w:footnote w:id="137">
    <w:p w14:paraId="10A3C483" w14:textId="77777777" w:rsidR="00E25B08" w:rsidRPr="004C59BB" w:rsidRDefault="00E25B08">
      <w:pPr>
        <w:pStyle w:val="FootnoteText"/>
        <w:rPr>
          <w:color w:val="0000FF"/>
          <w:lang w:val="ru-RU"/>
        </w:rPr>
      </w:pPr>
      <w:r w:rsidRPr="004C59BB">
        <w:rPr>
          <w:rStyle w:val="FootnoteReference"/>
          <w:color w:val="0000FF"/>
        </w:rPr>
        <w:footnoteRef/>
      </w:r>
      <w:r w:rsidRPr="004C59BB">
        <w:rPr>
          <w:color w:val="0000FF"/>
          <w:lang w:val="ru-RU"/>
        </w:rPr>
        <w:t xml:space="preserve"> 基里尔·亚历山大，</w:t>
      </w:r>
      <w:r w:rsidRPr="004C59BB">
        <w:rPr>
          <w:color w:val="0000FF"/>
        </w:rPr>
        <w:t>《</w:t>
      </w:r>
      <w:r w:rsidRPr="004C59BB">
        <w:rPr>
          <w:color w:val="0000FF"/>
          <w:lang w:val="ru-RU"/>
        </w:rPr>
        <w:t>论主道成肉身》第14章，载于《基督教读本》1847年版，</w:t>
      </w:r>
      <w:r w:rsidRPr="004C59BB">
        <w:rPr>
          <w:color w:val="0000FF"/>
        </w:rPr>
        <w:t>第III</w:t>
      </w:r>
      <w:r w:rsidRPr="004C59BB">
        <w:rPr>
          <w:color w:val="0000FF"/>
          <w:lang w:val="ru-RU"/>
        </w:rPr>
        <w:t>卷，第194–195页及后续。</w:t>
      </w:r>
    </w:p>
  </w:footnote>
  <w:footnote w:id="138">
    <w:p w14:paraId="75B69EB8" w14:textId="77777777" w:rsidR="002C514F" w:rsidRPr="004C59BB" w:rsidRDefault="002C514F">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《反异端》第三卷</w:t>
      </w:r>
      <w:r w:rsidRPr="0097554A">
        <w:rPr>
          <w:color w:val="0000FF"/>
          <w:lang w:val="ru-RU"/>
        </w:rPr>
        <w:t>，</w:t>
      </w:r>
      <w:r w:rsidRPr="004C59BB">
        <w:rPr>
          <w:color w:val="0000FF"/>
        </w:rPr>
        <w:t>第</w:t>
      </w:r>
      <w:r w:rsidRPr="0097554A">
        <w:rPr>
          <w:color w:val="0000FF"/>
          <w:lang w:val="ru-RU"/>
        </w:rPr>
        <w:t>21</w:t>
      </w:r>
      <w:r w:rsidRPr="004C59BB">
        <w:rPr>
          <w:color w:val="0000FF"/>
        </w:rPr>
        <w:t>章</w:t>
      </w:r>
      <w:r w:rsidRPr="0097554A">
        <w:rPr>
          <w:color w:val="0000FF"/>
          <w:lang w:val="ru-RU"/>
        </w:rPr>
        <w:t>，</w:t>
      </w:r>
      <w:r w:rsidRPr="004C59BB">
        <w:rPr>
          <w:color w:val="0000FF"/>
        </w:rPr>
        <w:t>第</w:t>
      </w:r>
      <w:r w:rsidRPr="0097554A">
        <w:rPr>
          <w:color w:val="0000FF"/>
          <w:lang w:val="ru-RU"/>
        </w:rPr>
        <w:t>10</w:t>
      </w:r>
      <w:r w:rsidRPr="004C59BB">
        <w:rPr>
          <w:color w:val="0000FF"/>
        </w:rPr>
        <w:t>节</w:t>
      </w:r>
      <w:r w:rsidRPr="0097554A">
        <w:rPr>
          <w:color w:val="0000FF"/>
          <w:lang w:val="ru-RU"/>
        </w:rPr>
        <w:t>；</w:t>
      </w:r>
      <w:r w:rsidRPr="004C59BB">
        <w:rPr>
          <w:color w:val="0000FF"/>
        </w:rPr>
        <w:t>参见特土良《论基督的肉身》</w:t>
      </w:r>
      <w:r w:rsidRPr="004C59BB">
        <w:rPr>
          <w:color w:val="0000FF"/>
          <w:lang w:val="ru-RU"/>
        </w:rPr>
        <w:t>第十五</w:t>
      </w:r>
      <w:r w:rsidRPr="004C59BB">
        <w:rPr>
          <w:color w:val="0000FF"/>
        </w:rPr>
        <w:t>章</w:t>
      </w:r>
      <w:r w:rsidRPr="004C59BB">
        <w:rPr>
          <w:color w:val="0000FF"/>
          <w:lang w:val="ru-RU"/>
        </w:rPr>
        <w:t>：</w:t>
      </w:r>
      <w:r w:rsidRPr="0097554A">
        <w:rPr>
          <w:color w:val="0000FF"/>
          <w:lang w:val="ru-RU"/>
        </w:rPr>
        <w:t>“</w:t>
      </w:r>
      <w:r w:rsidRPr="004C59BB">
        <w:rPr>
          <w:color w:val="0000FF"/>
        </w:rPr>
        <w:t>Neque</w:t>
      </w:r>
    </w:p>
  </w:footnote>
  <w:footnote w:id="139">
    <w:p w14:paraId="79F3DD7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lang w:val="ru-RU"/>
        </w:rPr>
        <w:t xml:space="preserve"> 《公开讲道》第四卷，第9章，第63页。圣以弗所·西里尔也阐述了同样的思想（《论异端》，载于《圣教父文集》</w:t>
      </w:r>
      <w:r w:rsidRPr="004C59BB">
        <w:rPr>
          <w:color w:val="0000FF"/>
        </w:rPr>
        <w:t>第十四</w:t>
      </w:r>
      <w:r w:rsidRPr="004C59BB">
        <w:rPr>
          <w:color w:val="0000FF"/>
          <w:lang w:val="ru-RU"/>
        </w:rPr>
        <w:t>卷，第64页）。</w:t>
      </w:r>
    </w:p>
  </w:footnote>
  <w:footnote w:id="140">
    <w:p w14:paraId="1B8442B3" w14:textId="77777777" w:rsidR="003306F8" w:rsidRPr="004C59BB" w:rsidRDefault="003306F8">
      <w:pPr>
        <w:pStyle w:val="FootnoteText"/>
        <w:rPr>
          <w:color w:val="0000FF"/>
          <w:lang w:val="ru-RU"/>
        </w:rPr>
      </w:pPr>
      <w:r w:rsidRPr="004C59BB">
        <w:rPr>
          <w:rStyle w:val="FootnoteReference"/>
          <w:color w:val="0000FF"/>
        </w:rPr>
        <w:footnoteRef/>
      </w:r>
      <w:r w:rsidRPr="004C59BB">
        <w:rPr>
          <w:color w:val="0000FF"/>
          <w:lang w:val="ru-RU"/>
        </w:rPr>
        <w:t xml:space="preserve"> 致克莱多尼乌斯的书信 1，载于《圣教父文集》</w:t>
      </w:r>
      <w:r w:rsidRPr="004C59BB">
        <w:rPr>
          <w:color w:val="0000FF"/>
        </w:rPr>
        <w:t>第四卷</w:t>
      </w:r>
      <w:r w:rsidRPr="004C59BB">
        <w:rPr>
          <w:color w:val="0000FF"/>
          <w:lang w:val="ru-RU"/>
        </w:rPr>
        <w:t>，第197、199页。</w:t>
      </w:r>
    </w:p>
  </w:footnote>
  <w:footnote w:id="141">
    <w:p w14:paraId="3BFF9B7A" w14:textId="77777777" w:rsidR="00885CFC" w:rsidRPr="004C59BB" w:rsidRDefault="00885CFC">
      <w:pPr>
        <w:pStyle w:val="FootnoteText"/>
        <w:rPr>
          <w:color w:val="0000FF"/>
          <w:lang w:val="ru-RU"/>
        </w:rPr>
      </w:pPr>
      <w:r w:rsidRPr="004C59BB">
        <w:rPr>
          <w:rStyle w:val="FootnoteReference"/>
          <w:color w:val="0000FF"/>
        </w:rPr>
        <w:footnoteRef/>
      </w:r>
      <w:r w:rsidRPr="004C59BB">
        <w:rPr>
          <w:color w:val="0000FF"/>
          <w:lang w:val="ru-RU"/>
        </w:rPr>
        <w:t xml:space="preserve"> 《马太福音讲道集》</w:t>
      </w:r>
      <w:r w:rsidRPr="004C59BB">
        <w:rPr>
          <w:color w:val="0000FF"/>
        </w:rPr>
        <w:t>第四</w:t>
      </w:r>
      <w:r w:rsidRPr="004C59BB">
        <w:rPr>
          <w:color w:val="0000FF"/>
          <w:lang w:val="ru-RU"/>
        </w:rPr>
        <w:t>卷，第3节，第1卷，第62–63页。莫斯科，1843年出版。</w:t>
      </w:r>
    </w:p>
  </w:footnote>
  <w:footnote w:id="142">
    <w:p w14:paraId="57FC77FA" w14:textId="77777777" w:rsidR="00152DEF" w:rsidRPr="004C59BB" w:rsidRDefault="00152DEF">
      <w:pPr>
        <w:pStyle w:val="FootnoteText"/>
        <w:rPr>
          <w:color w:val="0000FF"/>
          <w:lang w:val="ru-RU"/>
        </w:rPr>
      </w:pPr>
      <w:r w:rsidRPr="004C59BB">
        <w:rPr>
          <w:rStyle w:val="FootnoteReference"/>
          <w:color w:val="0000FF"/>
        </w:rPr>
        <w:footnoteRef/>
      </w:r>
      <w:r w:rsidRPr="004C59BB">
        <w:rPr>
          <w:color w:val="0000FF"/>
          <w:lang w:val="ru-RU"/>
        </w:rPr>
        <w:t xml:space="preserve"> </w:t>
      </w:r>
      <w:r w:rsidR="00CF6421" w:rsidRPr="004C59BB">
        <w:rPr>
          <w:color w:val="0000FF"/>
          <w:lang w:val="ru-RU"/>
        </w:rPr>
        <w:t>关于该预言的阐述，参见</w:t>
      </w:r>
      <w:r w:rsidR="00CF6421" w:rsidRPr="004C59BB">
        <w:rPr>
          <w:color w:val="0000FF"/>
        </w:rPr>
        <w:t>A</w:t>
      </w:r>
      <w:r w:rsidR="00CF6421" w:rsidRPr="004C59BB">
        <w:rPr>
          <w:color w:val="0000FF"/>
          <w:lang w:val="ru-RU"/>
        </w:rPr>
        <w:t>. M.</w:t>
      </w:r>
      <w:r w:rsidR="00CF6421" w:rsidRPr="004C59BB">
        <w:rPr>
          <w:color w:val="0000FF"/>
        </w:rPr>
        <w:t>所著</w:t>
      </w:r>
      <w:r w:rsidR="005666A3" w:rsidRPr="004C59BB">
        <w:rPr>
          <w:color w:val="0000FF"/>
          <w:lang w:val="ru-RU"/>
        </w:rPr>
        <w:t>《</w:t>
      </w:r>
      <w:r w:rsidR="00CF6421" w:rsidRPr="004C59BB">
        <w:rPr>
          <w:color w:val="0000FF"/>
          <w:lang w:val="ru-RU"/>
        </w:rPr>
        <w:t>东正教神学导论</w:t>
      </w:r>
      <w:r w:rsidR="005666A3" w:rsidRPr="004C59BB">
        <w:rPr>
          <w:color w:val="0000FF"/>
          <w:lang w:val="ru-RU"/>
        </w:rPr>
        <w:t>》</w:t>
      </w:r>
      <w:r w:rsidR="00CF6421" w:rsidRPr="004C59BB">
        <w:rPr>
          <w:color w:val="0000FF"/>
          <w:lang w:val="ru-RU"/>
        </w:rPr>
        <w:t>第82节。</w:t>
      </w:r>
    </w:p>
  </w:footnote>
  <w:footnote w:id="143">
    <w:p w14:paraId="0B9397CD" w14:textId="77777777" w:rsidR="00CF6421" w:rsidRPr="0097554A" w:rsidRDefault="00CF6421">
      <w:pPr>
        <w:pStyle w:val="FootnoteText"/>
        <w:rPr>
          <w:color w:val="0000FF"/>
          <w:lang w:val="ru-RU"/>
        </w:rPr>
      </w:pPr>
      <w:r w:rsidRPr="004C59BB">
        <w:rPr>
          <w:rStyle w:val="FootnoteReference"/>
          <w:color w:val="0000FF"/>
        </w:rPr>
        <w:footnoteRef/>
      </w:r>
      <w:r w:rsidRPr="004C59BB">
        <w:rPr>
          <w:color w:val="0000FF"/>
          <w:lang w:val="ru-RU"/>
        </w:rPr>
        <w:t xml:space="preserve"> 因此——a) 在被称为“使徒信经”的信经中写道：</w:t>
      </w:r>
      <w:r w:rsidRPr="004C59BB">
        <w:rPr>
          <w:color w:val="0000FF"/>
        </w:rPr>
        <w:t>τον</w:t>
      </w:r>
      <w:r w:rsidRPr="0097554A">
        <w:rPr>
          <w:color w:val="0000FF"/>
          <w:lang w:val="ru-RU"/>
        </w:rPr>
        <w:t xml:space="preserve"> </w:t>
      </w:r>
      <w:r w:rsidRPr="004C59BB">
        <w:rPr>
          <w:color w:val="0000FF"/>
        </w:rPr>
        <w:t>Κύριον</w:t>
      </w:r>
      <w:r w:rsidRPr="0097554A">
        <w:rPr>
          <w:color w:val="0000FF"/>
          <w:lang w:val="ru-RU"/>
        </w:rPr>
        <w:t xml:space="preserve"> </w:t>
      </w:r>
      <w:r w:rsidRPr="004C59BB">
        <w:rPr>
          <w:color w:val="0000FF"/>
        </w:rPr>
        <w:t>ήμών</w:t>
      </w:r>
      <w:r w:rsidRPr="004C59BB">
        <w:rPr>
          <w:color w:val="0000FF"/>
          <w:lang w:val="ru-RU"/>
        </w:rPr>
        <w:t xml:space="preserve">, </w:t>
      </w:r>
      <w:r w:rsidRPr="004C59BB">
        <w:rPr>
          <w:color w:val="0000FF"/>
        </w:rPr>
        <w:t>τόν</w:t>
      </w:r>
      <w:r w:rsidRPr="0097554A">
        <w:rPr>
          <w:color w:val="0000FF"/>
          <w:lang w:val="ru-RU"/>
        </w:rPr>
        <w:t xml:space="preserve"> </w:t>
      </w:r>
      <w:r w:rsidRPr="004C59BB">
        <w:rPr>
          <w:color w:val="0000FF"/>
        </w:rPr>
        <w:t>γεννηθέντα</w:t>
      </w:r>
      <w:r w:rsidRPr="0097554A">
        <w:rPr>
          <w:color w:val="0000FF"/>
          <w:lang w:val="ru-RU"/>
        </w:rPr>
        <w:t xml:space="preserve"> </w:t>
      </w:r>
      <w:r w:rsidRPr="004C59BB">
        <w:rPr>
          <w:color w:val="0000FF"/>
        </w:rPr>
        <w:t>εκ</w:t>
      </w:r>
      <w:r w:rsidRPr="0097554A">
        <w:rPr>
          <w:color w:val="0000FF"/>
          <w:lang w:val="ru-RU"/>
        </w:rPr>
        <w:t xml:space="preserve"> </w:t>
      </w:r>
      <w:r w:rsidRPr="004C59BB">
        <w:rPr>
          <w:color w:val="0000FF"/>
        </w:rPr>
        <w:t>πνεύματος</w:t>
      </w:r>
      <w:r w:rsidRPr="0097554A">
        <w:rPr>
          <w:color w:val="0000FF"/>
          <w:lang w:val="ru-RU"/>
        </w:rPr>
        <w:t xml:space="preserve"> </w:t>
      </w:r>
      <w:r w:rsidRPr="004C59BB">
        <w:rPr>
          <w:color w:val="0000FF"/>
        </w:rPr>
        <w:t>άγιου</w:t>
      </w:r>
      <w:r w:rsidRPr="0097554A">
        <w:rPr>
          <w:color w:val="0000FF"/>
          <w:lang w:val="ru-RU"/>
        </w:rPr>
        <w:t xml:space="preserve"> </w:t>
      </w:r>
      <w:r w:rsidRPr="004C59BB">
        <w:rPr>
          <w:color w:val="0000FF"/>
        </w:rPr>
        <w:t>και</w:t>
      </w:r>
      <w:r w:rsidRPr="0097554A">
        <w:rPr>
          <w:color w:val="0000FF"/>
          <w:lang w:val="ru-RU"/>
        </w:rPr>
        <w:t xml:space="preserve"> </w:t>
      </w:r>
      <w:r w:rsidRPr="004C59BB">
        <w:rPr>
          <w:color w:val="0000FF"/>
        </w:rPr>
        <w:t>Μαρίας</w:t>
      </w:r>
      <w:r w:rsidRPr="0097554A">
        <w:rPr>
          <w:color w:val="0000FF"/>
          <w:lang w:val="ru-RU"/>
        </w:rPr>
        <w:t xml:space="preserve"> </w:t>
      </w:r>
      <w:r w:rsidRPr="004C59BB">
        <w:rPr>
          <w:color w:val="0000FF"/>
        </w:rPr>
        <w:t>τής</w:t>
      </w:r>
      <w:r w:rsidRPr="0097554A">
        <w:rPr>
          <w:color w:val="0000FF"/>
          <w:lang w:val="ru-RU"/>
        </w:rPr>
        <w:t xml:space="preserve"> </w:t>
      </w:r>
      <w:r w:rsidRPr="004C59BB">
        <w:rPr>
          <w:color w:val="0000FF"/>
        </w:rPr>
        <w:t>παρθένου</w:t>
      </w:r>
      <w:r w:rsidRPr="004C59BB">
        <w:rPr>
          <w:color w:val="0000FF"/>
          <w:lang w:val="ru-RU"/>
        </w:rPr>
        <w:t>；b) 在《使徒宪章》中收录的信经中写道：</w:t>
      </w:r>
      <w:r w:rsidRPr="004C59BB">
        <w:rPr>
          <w:color w:val="0000FF"/>
        </w:rPr>
        <w:t>και</w:t>
      </w:r>
      <w:r w:rsidRPr="0097554A">
        <w:rPr>
          <w:color w:val="0000FF"/>
          <w:lang w:val="ru-RU"/>
        </w:rPr>
        <w:t xml:space="preserve"> </w:t>
      </w:r>
      <w:r w:rsidRPr="004C59BB">
        <w:rPr>
          <w:color w:val="0000FF"/>
        </w:rPr>
        <w:t>έκ</w:t>
      </w:r>
      <w:r w:rsidRPr="0097554A">
        <w:rPr>
          <w:color w:val="0000FF"/>
          <w:lang w:val="ru-RU"/>
        </w:rPr>
        <w:t xml:space="preserve"> </w:t>
      </w:r>
      <w:r w:rsidRPr="004C59BB">
        <w:rPr>
          <w:color w:val="0000FF"/>
        </w:rPr>
        <w:t>τής</w:t>
      </w:r>
      <w:r w:rsidRPr="0097554A">
        <w:rPr>
          <w:color w:val="0000FF"/>
          <w:lang w:val="ru-RU"/>
        </w:rPr>
        <w:t xml:space="preserve"> </w:t>
      </w:r>
      <w:r w:rsidRPr="004C59BB">
        <w:rPr>
          <w:color w:val="0000FF"/>
        </w:rPr>
        <w:t>άγίας</w:t>
      </w:r>
      <w:r w:rsidRPr="0097554A">
        <w:rPr>
          <w:color w:val="0000FF"/>
          <w:lang w:val="ru-RU"/>
        </w:rPr>
        <w:t xml:space="preserve"> </w:t>
      </w:r>
      <w:r w:rsidRPr="004C59BB">
        <w:rPr>
          <w:color w:val="0000FF"/>
        </w:rPr>
        <w:t>παρθένου</w:t>
      </w:r>
      <w:r w:rsidRPr="0097554A">
        <w:rPr>
          <w:color w:val="0000FF"/>
          <w:lang w:val="ru-RU"/>
        </w:rPr>
        <w:t xml:space="preserve"> </w:t>
      </w:r>
      <w:r w:rsidRPr="004C59BB">
        <w:rPr>
          <w:color w:val="0000FF"/>
        </w:rPr>
        <w:t>Μαρίας</w:t>
      </w:r>
      <w:r w:rsidRPr="0097554A">
        <w:rPr>
          <w:color w:val="0000FF"/>
          <w:lang w:val="ru-RU"/>
        </w:rPr>
        <w:t xml:space="preserve"> </w:t>
      </w:r>
      <w:r w:rsidRPr="004C59BB">
        <w:rPr>
          <w:color w:val="0000FF"/>
          <w:lang w:val="ru-RU"/>
        </w:rPr>
        <w:t>γεννηθέντα……； c) 安提阿教会的信经，根据卡西安引用的文本：</w:t>
      </w:r>
      <w:r w:rsidRPr="004C59BB">
        <w:rPr>
          <w:color w:val="0000FF"/>
        </w:rPr>
        <w:t>qui</w:t>
      </w:r>
      <w:r w:rsidRPr="004C59BB">
        <w:rPr>
          <w:color w:val="0000FF"/>
          <w:lang w:val="ru-RU"/>
        </w:rPr>
        <w:t xml:space="preserve"> </w:t>
      </w:r>
      <w:r w:rsidRPr="004C59BB">
        <w:rPr>
          <w:color w:val="0000FF"/>
        </w:rPr>
        <w:t>propter</w:t>
      </w:r>
      <w:r w:rsidRPr="0097554A">
        <w:rPr>
          <w:color w:val="0000FF"/>
          <w:lang w:val="ru-RU"/>
        </w:rPr>
        <w:t xml:space="preserve"> </w:t>
      </w:r>
      <w:r w:rsidRPr="004C59BB">
        <w:rPr>
          <w:color w:val="0000FF"/>
        </w:rPr>
        <w:t>nos</w:t>
      </w:r>
      <w:r w:rsidRPr="0097554A">
        <w:rPr>
          <w:color w:val="0000FF"/>
          <w:lang w:val="ru-RU"/>
        </w:rPr>
        <w:t xml:space="preserve"> </w:t>
      </w:r>
      <w:r w:rsidRPr="004C59BB">
        <w:rPr>
          <w:color w:val="0000FF"/>
        </w:rPr>
        <w:t>venit</w:t>
      </w:r>
      <w:r w:rsidRPr="0097554A">
        <w:rPr>
          <w:color w:val="0000FF"/>
          <w:lang w:val="ru-RU"/>
        </w:rPr>
        <w:t xml:space="preserve"> </w:t>
      </w:r>
      <w:r w:rsidRPr="004C59BB">
        <w:rPr>
          <w:color w:val="0000FF"/>
        </w:rPr>
        <w:t>et</w:t>
      </w:r>
      <w:r w:rsidRPr="0097554A">
        <w:rPr>
          <w:color w:val="0000FF"/>
          <w:lang w:val="ru-RU"/>
        </w:rPr>
        <w:t xml:space="preserve"> </w:t>
      </w:r>
      <w:r w:rsidRPr="004C59BB">
        <w:rPr>
          <w:color w:val="0000FF"/>
        </w:rPr>
        <w:t>natus</w:t>
      </w:r>
      <w:r w:rsidRPr="0097554A">
        <w:rPr>
          <w:color w:val="0000FF"/>
          <w:lang w:val="ru-RU"/>
        </w:rPr>
        <w:t xml:space="preserve"> </w:t>
      </w:r>
      <w:r w:rsidRPr="004C59BB">
        <w:rPr>
          <w:color w:val="0000FF"/>
        </w:rPr>
        <w:t>est</w:t>
      </w:r>
      <w:r w:rsidRPr="0097554A">
        <w:rPr>
          <w:color w:val="0000FF"/>
          <w:lang w:val="ru-RU"/>
        </w:rPr>
        <w:t xml:space="preserve"> </w:t>
      </w:r>
      <w:r w:rsidRPr="004C59BB">
        <w:rPr>
          <w:color w:val="0000FF"/>
        </w:rPr>
        <w:t>ex</w:t>
      </w:r>
      <w:r w:rsidRPr="0097554A">
        <w:rPr>
          <w:color w:val="0000FF"/>
          <w:lang w:val="ru-RU"/>
        </w:rPr>
        <w:t xml:space="preserve"> </w:t>
      </w:r>
      <w:r w:rsidRPr="004C59BB">
        <w:rPr>
          <w:color w:val="0000FF"/>
        </w:rPr>
        <w:t>Maria</w:t>
      </w:r>
      <w:r w:rsidRPr="0097554A">
        <w:rPr>
          <w:color w:val="0000FF"/>
          <w:lang w:val="ru-RU"/>
        </w:rPr>
        <w:t xml:space="preserve"> </w:t>
      </w:r>
      <w:r w:rsidRPr="004C59BB">
        <w:rPr>
          <w:color w:val="0000FF"/>
          <w:lang w:val="ru-RU"/>
        </w:rPr>
        <w:t>Virgine…</w:t>
      </w:r>
      <w:r w:rsidRPr="0097554A">
        <w:rPr>
          <w:color w:val="0000FF"/>
          <w:lang w:val="ru-RU"/>
        </w:rPr>
        <w:t>（</w:t>
      </w:r>
      <w:r w:rsidRPr="004C59BB">
        <w:rPr>
          <w:color w:val="0000FF"/>
        </w:rPr>
        <w:t>参见宾厄姆《教会古物》第X卷</w:t>
      </w:r>
      <w:r w:rsidRPr="0097554A">
        <w:rPr>
          <w:color w:val="0000FF"/>
          <w:lang w:val="ru-RU"/>
        </w:rPr>
        <w:t>，</w:t>
      </w:r>
      <w:r w:rsidRPr="004C59BB">
        <w:rPr>
          <w:color w:val="0000FF"/>
        </w:rPr>
        <w:t>第</w:t>
      </w:r>
      <w:r w:rsidRPr="0097554A">
        <w:rPr>
          <w:color w:val="0000FF"/>
          <w:lang w:val="ru-RU"/>
        </w:rPr>
        <w:t>4</w:t>
      </w:r>
      <w:r w:rsidRPr="004C59BB">
        <w:rPr>
          <w:color w:val="0000FF"/>
        </w:rPr>
        <w:t>章</w:t>
      </w:r>
      <w:r w:rsidRPr="0097554A">
        <w:rPr>
          <w:color w:val="0000FF"/>
          <w:lang w:val="ru-RU"/>
        </w:rPr>
        <w:t>，</w:t>
      </w:r>
      <w:r w:rsidRPr="004C59BB">
        <w:rPr>
          <w:color w:val="0000FF"/>
        </w:rPr>
        <w:t>第</w:t>
      </w:r>
      <w:r w:rsidRPr="0097554A">
        <w:rPr>
          <w:color w:val="0000FF"/>
          <w:lang w:val="ru-RU"/>
        </w:rPr>
        <w:t>7</w:t>
      </w:r>
      <w:r w:rsidRPr="004C59BB">
        <w:rPr>
          <w:color w:val="0000FF"/>
        </w:rPr>
        <w:t>、</w:t>
      </w:r>
      <w:r w:rsidRPr="0097554A">
        <w:rPr>
          <w:color w:val="0000FF"/>
          <w:lang w:val="ru-RU"/>
        </w:rPr>
        <w:t>11</w:t>
      </w:r>
      <w:r w:rsidRPr="004C59BB">
        <w:rPr>
          <w:color w:val="0000FF"/>
        </w:rPr>
        <w:t>、</w:t>
      </w:r>
      <w:r w:rsidRPr="0097554A">
        <w:rPr>
          <w:color w:val="0000FF"/>
          <w:lang w:val="ru-RU"/>
        </w:rPr>
        <w:t>12</w:t>
      </w:r>
      <w:r w:rsidRPr="004C59BB">
        <w:rPr>
          <w:color w:val="0000FF"/>
        </w:rPr>
        <w:t>节</w:t>
      </w:r>
      <w:r w:rsidRPr="0097554A">
        <w:rPr>
          <w:color w:val="0000FF"/>
          <w:lang w:val="ru-RU"/>
        </w:rPr>
        <w:t>）</w:t>
      </w:r>
      <w:r w:rsidRPr="004C59BB">
        <w:rPr>
          <w:color w:val="0000FF"/>
        </w:rPr>
        <w:t>。</w:t>
      </w:r>
    </w:p>
  </w:footnote>
  <w:footnote w:id="144">
    <w:p w14:paraId="38334F1E" w14:textId="77777777" w:rsidR="00CF6421" w:rsidRPr="0097554A" w:rsidRDefault="00CF6421">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《以弗所大公会议》第</w:t>
      </w:r>
      <w:r w:rsidRPr="0097554A">
        <w:rPr>
          <w:color w:val="0000FF"/>
          <w:lang w:val="ru-RU"/>
        </w:rPr>
        <w:t>11</w:t>
      </w:r>
      <w:r w:rsidRPr="004C59BB">
        <w:rPr>
          <w:color w:val="0000FF"/>
        </w:rPr>
        <w:t>部分</w:t>
      </w:r>
      <w:r w:rsidRPr="0097554A">
        <w:rPr>
          <w:color w:val="0000FF"/>
          <w:lang w:val="ru-RU"/>
        </w:rPr>
        <w:t>，</w:t>
      </w:r>
      <w:r w:rsidRPr="004C59BB">
        <w:rPr>
          <w:color w:val="0000FF"/>
        </w:rPr>
        <w:t>第</w:t>
      </w:r>
      <w:r w:rsidRPr="0097554A">
        <w:rPr>
          <w:color w:val="0000FF"/>
          <w:lang w:val="ru-RU"/>
        </w:rPr>
        <w:t>1</w:t>
      </w:r>
      <w:r w:rsidRPr="004C59BB">
        <w:rPr>
          <w:color w:val="0000FF"/>
        </w:rPr>
        <w:t>号议事录</w:t>
      </w:r>
      <w:r w:rsidRPr="0097554A">
        <w:rPr>
          <w:color w:val="0000FF"/>
          <w:lang w:val="ru-RU"/>
        </w:rPr>
        <w:t>，</w:t>
      </w:r>
      <w:r w:rsidRPr="004C59BB">
        <w:rPr>
          <w:color w:val="0000FF"/>
        </w:rPr>
        <w:t>见比尼乌斯</w:t>
      </w:r>
      <w:r w:rsidRPr="0097554A">
        <w:rPr>
          <w:color w:val="0000FF"/>
          <w:lang w:val="ru-RU"/>
        </w:rPr>
        <w:t>（</w:t>
      </w:r>
      <w:r w:rsidRPr="004C59BB">
        <w:rPr>
          <w:color w:val="0000FF"/>
        </w:rPr>
        <w:t>Binium</w:t>
      </w:r>
      <w:r w:rsidRPr="0097554A">
        <w:rPr>
          <w:color w:val="0000FF"/>
          <w:lang w:val="ru-RU"/>
        </w:rPr>
        <w:t>）</w:t>
      </w:r>
      <w:r w:rsidRPr="004C59BB">
        <w:rPr>
          <w:color w:val="0000FF"/>
        </w:rPr>
        <w:t>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11</w:t>
      </w:r>
      <w:r w:rsidRPr="004C59BB">
        <w:rPr>
          <w:color w:val="0000FF"/>
        </w:rPr>
        <w:t>部分</w:t>
      </w:r>
      <w:r w:rsidRPr="0097554A">
        <w:rPr>
          <w:color w:val="0000FF"/>
          <w:lang w:val="ru-RU"/>
        </w:rPr>
        <w:t>，</w:t>
      </w:r>
      <w:r w:rsidRPr="004C59BB">
        <w:rPr>
          <w:color w:val="0000FF"/>
        </w:rPr>
        <w:t>第</w:t>
      </w:r>
      <w:r w:rsidRPr="0097554A">
        <w:rPr>
          <w:color w:val="0000FF"/>
          <w:lang w:val="ru-RU"/>
        </w:rPr>
        <w:t>221</w:t>
      </w:r>
      <w:r w:rsidRPr="004C59BB">
        <w:rPr>
          <w:color w:val="0000FF"/>
        </w:rPr>
        <w:t>页。</w:t>
      </w:r>
    </w:p>
  </w:footnote>
  <w:footnote w:id="145">
    <w:p w14:paraId="236EFBDB" w14:textId="77777777" w:rsidR="00CF6421" w:rsidRPr="0097554A" w:rsidRDefault="00CF6421">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《致以弗所人书》第</w:t>
      </w:r>
      <w:r w:rsidRPr="0097554A">
        <w:rPr>
          <w:color w:val="0000FF"/>
          <w:lang w:val="ru-RU"/>
        </w:rPr>
        <w:t>19</w:t>
      </w:r>
      <w:r w:rsidRPr="004C59BB">
        <w:rPr>
          <w:color w:val="0000FF"/>
        </w:rPr>
        <w:t>章</w:t>
      </w:r>
      <w:r w:rsidRPr="0097554A">
        <w:rPr>
          <w:color w:val="0000FF"/>
          <w:lang w:val="ru-RU"/>
        </w:rPr>
        <w:t>，</w:t>
      </w:r>
      <w:r w:rsidRPr="004C59BB">
        <w:rPr>
          <w:color w:val="0000FF"/>
        </w:rPr>
        <w:t>载于《Xp</w:t>
      </w:r>
      <w:r w:rsidRPr="0097554A">
        <w:rPr>
          <w:color w:val="0000FF"/>
          <w:lang w:val="ru-RU"/>
        </w:rPr>
        <w:t xml:space="preserve">. </w:t>
      </w:r>
      <w:r w:rsidRPr="004C59BB">
        <w:rPr>
          <w:color w:val="0000FF"/>
        </w:rPr>
        <w:t>周刊》</w:t>
      </w:r>
      <w:r w:rsidRPr="0097554A">
        <w:rPr>
          <w:color w:val="0000FF"/>
          <w:lang w:val="ru-RU"/>
        </w:rPr>
        <w:t>1821</w:t>
      </w:r>
      <w:r w:rsidRPr="004C59BB">
        <w:rPr>
          <w:color w:val="0000FF"/>
        </w:rPr>
        <w:t>年</w:t>
      </w:r>
      <w:r w:rsidRPr="0097554A">
        <w:rPr>
          <w:color w:val="0000FF"/>
          <w:lang w:val="ru-RU"/>
        </w:rPr>
        <w:t>，</w:t>
      </w:r>
      <w:r w:rsidRPr="004C59BB">
        <w:rPr>
          <w:color w:val="0000FF"/>
        </w:rPr>
        <w:t>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40</w:t>
      </w:r>
      <w:r w:rsidRPr="004C59BB">
        <w:rPr>
          <w:color w:val="0000FF"/>
        </w:rPr>
        <w:t>页。</w:t>
      </w:r>
    </w:p>
  </w:footnote>
  <w:footnote w:id="146">
    <w:p w14:paraId="73C0BEBF"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辩护书</w:t>
      </w:r>
      <w:r w:rsidRPr="004C59BB">
        <w:rPr>
          <w:color w:val="0000FF"/>
          <w:lang w:val="ru-RU"/>
        </w:rPr>
        <w:t>》第1卷，第33章，载于</w:t>
      </w:r>
      <w:r w:rsidRPr="004C59BB">
        <w:rPr>
          <w:color w:val="0000FF"/>
        </w:rPr>
        <w:t>《基督教</w:t>
      </w:r>
      <w:r w:rsidRPr="004C59BB">
        <w:rPr>
          <w:color w:val="0000FF"/>
          <w:lang w:val="ru-RU"/>
        </w:rPr>
        <w:t>读本》1825年版，</w:t>
      </w:r>
      <w:r w:rsidRPr="004C59BB">
        <w:rPr>
          <w:color w:val="0000FF"/>
        </w:rPr>
        <w:t>第XVII卷</w:t>
      </w:r>
      <w:r w:rsidRPr="004C59BB">
        <w:rPr>
          <w:color w:val="0000FF"/>
          <w:lang w:val="ru-RU"/>
        </w:rPr>
        <w:t>，第56页。</w:t>
      </w:r>
    </w:p>
  </w:footnote>
  <w:footnote w:id="147">
    <w:p w14:paraId="44629C73"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反异端</w:t>
      </w:r>
      <w:r w:rsidRPr="004C59BB">
        <w:rPr>
          <w:color w:val="0000FF"/>
          <w:lang w:val="ru-RU"/>
        </w:rPr>
        <w:t>》</w:t>
      </w:r>
      <w:r w:rsidRPr="004C59BB">
        <w:rPr>
          <w:color w:val="0000FF"/>
        </w:rPr>
        <w:t>第三</w:t>
      </w:r>
      <w:r w:rsidRPr="004C59BB">
        <w:rPr>
          <w:color w:val="0000FF"/>
          <w:lang w:val="ru-RU"/>
        </w:rPr>
        <w:t>卷，第21章，</w:t>
      </w:r>
      <w:r w:rsidRPr="004C59BB">
        <w:rPr>
          <w:color w:val="0000FF"/>
        </w:rPr>
        <w:t>注</w:t>
      </w:r>
      <w:r w:rsidRPr="004C59BB">
        <w:rPr>
          <w:color w:val="0000FF"/>
          <w:lang w:val="ru-RU"/>
        </w:rPr>
        <w:t>5。并接着写道： “正如夏娃，虽然已有丈夫，但在仍为处女时却表现出悖逆，从而导致了自己及全人类的死亡；同样，玛利亚虽已与丈夫订婚，却仍保持童贞，展现了顺服（路加福音1:38），并借此促成了她自身及全人类</w:t>
      </w:r>
      <w:r w:rsidR="005666A3" w:rsidRPr="004C59BB">
        <w:rPr>
          <w:color w:val="0000FF"/>
          <w:lang w:val="ru-RU"/>
        </w:rPr>
        <w:t>的</w:t>
      </w:r>
      <w:r w:rsidRPr="004C59BB">
        <w:rPr>
          <w:color w:val="0000FF"/>
          <w:lang w:val="ru-RU"/>
        </w:rPr>
        <w:t>救</w:t>
      </w:r>
      <w:r w:rsidR="005666A3" w:rsidRPr="004C59BB">
        <w:rPr>
          <w:color w:val="0000FF"/>
          <w:lang w:val="ru-RU"/>
        </w:rPr>
        <w:t>赎”</w:t>
      </w:r>
      <w:r w:rsidRPr="004C59BB">
        <w:rPr>
          <w:color w:val="0000FF"/>
          <w:lang w:val="ru-RU"/>
        </w:rPr>
        <w:t xml:space="preserve"> （</w:t>
      </w:r>
      <w:r w:rsidRPr="0097554A">
        <w:rPr>
          <w:color w:val="0000FF"/>
          <w:lang w:val="ru-RU"/>
        </w:rPr>
        <w:t>-</w:t>
      </w:r>
      <w:r w:rsidRPr="004C59BB">
        <w:rPr>
          <w:color w:val="0000FF"/>
        </w:rPr>
        <w:t>III</w:t>
      </w:r>
      <w:r w:rsidRPr="004C59BB">
        <w:rPr>
          <w:color w:val="0000FF"/>
          <w:lang w:val="ru-RU"/>
        </w:rPr>
        <w:t>, 22）。</w:t>
      </w:r>
    </w:p>
  </w:footnote>
  <w:footnote w:id="148">
    <w:p w14:paraId="1618B362" w14:textId="77777777" w:rsidR="00CF6421" w:rsidRPr="004C59BB" w:rsidRDefault="00CF6421">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《反异端论》V</w:t>
      </w:r>
      <w:r w:rsidRPr="0097554A">
        <w:rPr>
          <w:color w:val="0000FF"/>
          <w:lang w:val="ru-RU"/>
        </w:rPr>
        <w:t>，19，</w:t>
      </w:r>
      <w:r w:rsidRPr="004C59BB">
        <w:rPr>
          <w:color w:val="0000FF"/>
        </w:rPr>
        <w:t>注</w:t>
      </w:r>
      <w:r w:rsidRPr="0097554A">
        <w:rPr>
          <w:color w:val="0000FF"/>
          <w:lang w:val="ru-RU"/>
        </w:rPr>
        <w:t>1；</w:t>
      </w:r>
      <w:r w:rsidRPr="004C59BB">
        <w:rPr>
          <w:color w:val="0000FF"/>
        </w:rPr>
        <w:t>参见III</w:t>
      </w:r>
      <w:r w:rsidRPr="0097554A">
        <w:rPr>
          <w:color w:val="0000FF"/>
          <w:lang w:val="ru-RU"/>
        </w:rPr>
        <w:t>，19，</w:t>
      </w:r>
      <w:r w:rsidRPr="004C59BB">
        <w:rPr>
          <w:color w:val="0000FF"/>
        </w:rPr>
        <w:t>注</w:t>
      </w:r>
      <w:r w:rsidRPr="0097554A">
        <w:rPr>
          <w:color w:val="0000FF"/>
          <w:lang w:val="ru-RU"/>
        </w:rPr>
        <w:t>1</w:t>
      </w:r>
      <w:r w:rsidRPr="004C59BB">
        <w:rPr>
          <w:color w:val="0000FF"/>
        </w:rPr>
        <w:t>及以下</w:t>
      </w:r>
      <w:r w:rsidRPr="0097554A">
        <w:rPr>
          <w:color w:val="0000FF"/>
          <w:lang w:val="ru-RU"/>
        </w:rPr>
        <w:t>；</w:t>
      </w:r>
      <w:r w:rsidRPr="004C59BB">
        <w:rPr>
          <w:color w:val="0000FF"/>
        </w:rPr>
        <w:t>V</w:t>
      </w:r>
      <w:r w:rsidRPr="0097554A">
        <w:rPr>
          <w:color w:val="0000FF"/>
          <w:lang w:val="ru-RU"/>
        </w:rPr>
        <w:t>，21，</w:t>
      </w:r>
      <w:r w:rsidRPr="004C59BB">
        <w:rPr>
          <w:color w:val="0000FF"/>
        </w:rPr>
        <w:t>注</w:t>
      </w:r>
      <w:r w:rsidRPr="0097554A">
        <w:rPr>
          <w:color w:val="0000FF"/>
          <w:lang w:val="ru-RU"/>
        </w:rPr>
        <w:t>1</w:t>
      </w:r>
      <w:r w:rsidRPr="004C59BB">
        <w:rPr>
          <w:color w:val="0000FF"/>
        </w:rPr>
        <w:t>。2.</w:t>
      </w:r>
    </w:p>
  </w:footnote>
  <w:footnote w:id="149">
    <w:p w14:paraId="4CA674A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《基督诞辰讲道》，《文集》第III卷，第344页，莫雷尔版，载于《基督读本》1837年版，第IV卷，第258页；参见《反尤诺米乌斯论》，《讲道集》第III卷，第536页。</w:t>
      </w:r>
    </w:p>
  </w:footnote>
  <w:footnote w:id="150">
    <w:p w14:paraId="28D5A0B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《致西里基乌斯的书信》，第II卷，第1类，第XLII封书信，第967页。</w:t>
      </w:r>
    </w:p>
  </w:footnote>
  <w:footnote w:id="151">
    <w:p w14:paraId="2682ED2A"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他在</w:t>
      </w:r>
      <w:r w:rsidRPr="004C59BB">
        <w:rPr>
          <w:color w:val="0000FF"/>
          <w:lang w:val="ru-RU"/>
        </w:rPr>
        <w:t>论及玛利亚时使用了以下表述</w:t>
      </w:r>
      <w:r w:rsidRPr="004C59BB">
        <w:rPr>
          <w:color w:val="0000FF"/>
        </w:rPr>
        <w:t>：παρθενομήτωρ（《论西缅与安娜》第II节）、μήτερ παρθένε（同上，第V节）、ω μήτερ παρθένε και παρθένε μήτερ（同上，第IX节）。</w:t>
      </w:r>
    </w:p>
  </w:footnote>
  <w:footnote w:id="152">
    <w:p w14:paraId="07D11A96"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《福音论证》第三卷，第2章。</w:t>
      </w:r>
    </w:p>
  </w:footnote>
  <w:footnote w:id="153">
    <w:p w14:paraId="7BF5940D"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Τοκετός παρθενικός（《论基督诞生》第IV节）；ούδ’ ολως αι παρθενικαι πύλαι ανεώχθησαν（《论主显现》讲道第III节）。</w:t>
      </w:r>
    </w:p>
  </w:footnote>
  <w:footnote w:id="154">
    <w:p w14:paraId="173DB355" w14:textId="77777777" w:rsidR="00332AD3" w:rsidRPr="0097554A" w:rsidRDefault="00332AD3">
      <w:pPr>
        <w:pStyle w:val="FootnoteText"/>
        <w:rPr>
          <w:color w:val="0000FF"/>
        </w:rPr>
      </w:pPr>
      <w:r w:rsidRPr="004C59BB">
        <w:rPr>
          <w:rStyle w:val="FootnoteReference"/>
          <w:color w:val="0000FF"/>
        </w:rPr>
        <w:footnoteRef/>
      </w:r>
      <w:r w:rsidRPr="004C59BB">
        <w:rPr>
          <w:color w:val="0000FF"/>
        </w:rPr>
        <w:t xml:space="preserve"> 格雷戈里·纳齐安兹，《诗集》II，196及以下；金口若望，《创世记讲道集》第XLIX篇，第2节；《马太福音讲道集》</w:t>
      </w:r>
      <w:r w:rsidRPr="004C59BB">
        <w:rPr>
          <w:color w:val="0000FF"/>
          <w:lang w:val="ru-RU"/>
        </w:rPr>
        <w:t>第</w:t>
      </w:r>
      <w:r w:rsidRPr="0097554A">
        <w:rPr>
          <w:color w:val="0000FF"/>
        </w:rPr>
        <w:t>IV</w:t>
      </w:r>
      <w:r w:rsidRPr="004C59BB">
        <w:rPr>
          <w:color w:val="0000FF"/>
          <w:lang w:val="ru-RU"/>
        </w:rPr>
        <w:t>篇</w:t>
      </w:r>
      <w:r w:rsidRPr="0097554A">
        <w:rPr>
          <w:color w:val="0000FF"/>
        </w:rPr>
        <w:t>，</w:t>
      </w:r>
      <w:r w:rsidRPr="004C59BB">
        <w:rPr>
          <w:color w:val="0000FF"/>
          <w:lang w:val="ru-RU"/>
        </w:rPr>
        <w:t>第</w:t>
      </w:r>
      <w:r w:rsidRPr="0097554A">
        <w:rPr>
          <w:color w:val="0000FF"/>
        </w:rPr>
        <w:t>3</w:t>
      </w:r>
      <w:r w:rsidRPr="004C59BB">
        <w:rPr>
          <w:color w:val="0000FF"/>
          <w:lang w:val="ru-RU"/>
        </w:rPr>
        <w:t>节</w:t>
      </w:r>
      <w:r w:rsidRPr="0097554A">
        <w:rPr>
          <w:color w:val="0000FF"/>
        </w:rPr>
        <w:t>：“</w:t>
      </w:r>
      <w:r w:rsidRPr="004C59BB">
        <w:rPr>
          <w:color w:val="0000FF"/>
          <w:lang w:val="ru-RU"/>
        </w:rPr>
        <w:t>你不要问</w:t>
      </w:r>
      <w:r w:rsidRPr="0097554A">
        <w:rPr>
          <w:color w:val="0000FF"/>
        </w:rPr>
        <w:t>：</w:t>
      </w:r>
      <w:r w:rsidRPr="004C59BB">
        <w:rPr>
          <w:color w:val="0000FF"/>
          <w:lang w:val="ru-RU"/>
        </w:rPr>
        <w:t>圣灵是如何在童贞女腹中孕育婴儿的</w:t>
      </w:r>
      <w:r w:rsidRPr="0097554A">
        <w:rPr>
          <w:color w:val="0000FF"/>
        </w:rPr>
        <w:t xml:space="preserve">？ </w:t>
      </w:r>
      <w:r w:rsidRPr="004C59BB">
        <w:rPr>
          <w:color w:val="0000FF"/>
          <w:lang w:val="ru-RU"/>
        </w:rPr>
        <w:t>因为如果连在自然作用下都无法解释这种孕育的方式</w:t>
      </w:r>
      <w:r w:rsidRPr="0097554A">
        <w:rPr>
          <w:color w:val="0000FF"/>
        </w:rPr>
        <w:t>，</w:t>
      </w:r>
      <w:r w:rsidRPr="004C59BB">
        <w:rPr>
          <w:color w:val="0000FF"/>
          <w:lang w:val="ru-RU"/>
        </w:rPr>
        <w:t>那么当圣灵行神迹时</w:t>
      </w:r>
      <w:r w:rsidRPr="0097554A">
        <w:rPr>
          <w:color w:val="0000FF"/>
        </w:rPr>
        <w:t>，</w:t>
      </w:r>
      <w:r w:rsidRPr="004C59BB">
        <w:rPr>
          <w:color w:val="0000FF"/>
          <w:lang w:val="ru-RU"/>
        </w:rPr>
        <w:t>又如何能解释呢</w:t>
      </w:r>
      <w:r w:rsidRPr="0097554A">
        <w:rPr>
          <w:color w:val="0000FF"/>
        </w:rPr>
        <w:t>？……</w:t>
      </w:r>
      <w:r w:rsidRPr="004C59BB">
        <w:rPr>
          <w:color w:val="0000FF"/>
          <w:lang w:val="ru-RU"/>
        </w:rPr>
        <w:t>也不要以为</w:t>
      </w:r>
      <w:r w:rsidRPr="0097554A">
        <w:rPr>
          <w:color w:val="0000FF"/>
        </w:rPr>
        <w:t>，</w:t>
      </w:r>
      <w:r w:rsidRPr="004C59BB">
        <w:rPr>
          <w:color w:val="0000FF"/>
          <w:lang w:val="ru-RU"/>
        </w:rPr>
        <w:t>当你听到基督是由圣灵所生时</w:t>
      </w:r>
      <w:r w:rsidRPr="0097554A">
        <w:rPr>
          <w:color w:val="0000FF"/>
        </w:rPr>
        <w:t>，</w:t>
      </w:r>
      <w:r w:rsidRPr="004C59BB">
        <w:rPr>
          <w:color w:val="0000FF"/>
          <w:lang w:val="ru-RU"/>
        </w:rPr>
        <w:t>你就已经知道了一切。</w:t>
      </w:r>
      <w:r w:rsidRPr="0097554A">
        <w:rPr>
          <w:color w:val="0000FF"/>
        </w:rPr>
        <w:t xml:space="preserve"> </w:t>
      </w:r>
      <w:r w:rsidRPr="004C59BB">
        <w:rPr>
          <w:color w:val="0000FF"/>
          <w:lang w:val="ru-RU"/>
        </w:rPr>
        <w:t>得知这一消息后</w:t>
      </w:r>
      <w:r w:rsidRPr="0097554A">
        <w:rPr>
          <w:color w:val="0000FF"/>
        </w:rPr>
        <w:t>，</w:t>
      </w:r>
      <w:r w:rsidRPr="004C59BB">
        <w:rPr>
          <w:color w:val="0000FF"/>
          <w:lang w:val="ru-RU"/>
        </w:rPr>
        <w:t>我们仍有许多未知之处</w:t>
      </w:r>
      <w:r w:rsidRPr="0097554A">
        <w:rPr>
          <w:color w:val="0000FF"/>
        </w:rPr>
        <w:t>，</w:t>
      </w:r>
      <w:r w:rsidRPr="004C59BB">
        <w:rPr>
          <w:color w:val="0000FF"/>
          <w:lang w:val="ru-RU"/>
        </w:rPr>
        <w:t>例如</w:t>
      </w:r>
      <w:r w:rsidRPr="0097554A">
        <w:rPr>
          <w:color w:val="0000FF"/>
        </w:rPr>
        <w:t>：</w:t>
      </w:r>
      <w:r w:rsidRPr="004C59BB">
        <w:rPr>
          <w:color w:val="0000FF"/>
          <w:lang w:val="ru-RU"/>
        </w:rPr>
        <w:t>不可容纳者如何容纳于子宫之中</w:t>
      </w:r>
      <w:r w:rsidRPr="0097554A">
        <w:rPr>
          <w:color w:val="0000FF"/>
        </w:rPr>
        <w:t>？</w:t>
      </w:r>
      <w:r w:rsidRPr="004C59BB">
        <w:rPr>
          <w:color w:val="0000FF"/>
          <w:lang w:val="ru-RU"/>
        </w:rPr>
        <w:t>拥有一切者如何被孕育在妻子的腹中</w:t>
      </w:r>
      <w:r w:rsidRPr="0097554A">
        <w:rPr>
          <w:color w:val="0000FF"/>
        </w:rPr>
        <w:t>？</w:t>
      </w:r>
      <w:r w:rsidRPr="004C59BB">
        <w:rPr>
          <w:color w:val="0000FF"/>
          <w:lang w:val="ru-RU"/>
        </w:rPr>
        <w:t>童贞女如何分娩却仍保持童贞</w:t>
      </w:r>
      <w:r w:rsidRPr="0097554A">
        <w:rPr>
          <w:color w:val="0000FF"/>
        </w:rPr>
        <w:t>？</w:t>
      </w:r>
      <w:r w:rsidR="005666A3" w:rsidRPr="0097554A">
        <w:rPr>
          <w:color w:val="0000FF"/>
        </w:rPr>
        <w:t>”</w:t>
      </w:r>
      <w:r w:rsidRPr="0097554A">
        <w:rPr>
          <w:color w:val="0000FF"/>
        </w:rPr>
        <w:t>（</w:t>
      </w:r>
      <w:r w:rsidRPr="004C59BB">
        <w:rPr>
          <w:color w:val="0000FF"/>
          <w:lang w:val="ru-RU"/>
        </w:rPr>
        <w:t>据俄文译本《马太福音讲道集》第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61</w:t>
      </w:r>
      <w:r w:rsidRPr="004C59BB">
        <w:rPr>
          <w:color w:val="0000FF"/>
          <w:lang w:val="ru-RU"/>
        </w:rPr>
        <w:t>、</w:t>
      </w:r>
      <w:r w:rsidRPr="0097554A">
        <w:rPr>
          <w:color w:val="0000FF"/>
        </w:rPr>
        <w:t>62</w:t>
      </w:r>
      <w:r w:rsidRPr="004C59BB">
        <w:rPr>
          <w:color w:val="0000FF"/>
          <w:lang w:val="ru-RU"/>
        </w:rPr>
        <w:t>页</w:t>
      </w:r>
      <w:r w:rsidRPr="0097554A">
        <w:rPr>
          <w:color w:val="0000FF"/>
        </w:rPr>
        <w:t>）</w:t>
      </w:r>
      <w:r w:rsidRPr="004C59BB">
        <w:rPr>
          <w:color w:val="0000FF"/>
          <w:lang w:val="ru-RU"/>
        </w:rPr>
        <w:t>。</w:t>
      </w:r>
    </w:p>
  </w:footnote>
  <w:footnote w:id="155">
    <w:p w14:paraId="35157A0E" w14:textId="77777777" w:rsidR="00332AD3" w:rsidRPr="0097554A" w:rsidRDefault="00332AD3">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他</w:t>
      </w:r>
      <w:r w:rsidRPr="0097554A">
        <w:rPr>
          <w:color w:val="0000FF"/>
        </w:rPr>
        <w:t>（</w:t>
      </w:r>
      <w:r w:rsidRPr="004C59BB">
        <w:rPr>
          <w:color w:val="0000FF"/>
          <w:lang w:val="ru-RU"/>
        </w:rPr>
        <w:t>基督</w:t>
      </w:r>
      <w:r w:rsidRPr="0097554A">
        <w:rPr>
          <w:color w:val="0000FF"/>
        </w:rPr>
        <w:t>）</w:t>
      </w:r>
      <w:r w:rsidRPr="004C59BB">
        <w:rPr>
          <w:color w:val="0000FF"/>
          <w:lang w:val="ru-RU"/>
        </w:rPr>
        <w:t>的诞生毫无痛苦</w:t>
      </w:r>
      <w:r w:rsidRPr="0097554A">
        <w:rPr>
          <w:color w:val="0000FF"/>
        </w:rPr>
        <w:t>，</w:t>
      </w:r>
      <w:r w:rsidRPr="004C59BB">
        <w:rPr>
          <w:color w:val="0000FF"/>
          <w:lang w:val="ru-RU"/>
        </w:rPr>
        <w:t>因为他是无玷受孕的。他在圣母体内取了肉身，但并非源于血肉，而是源于圣灵；因此由圣母所生：因为圣灵开启了子宫，使那位创造万物并赐予圣母孕育他的力量的人得以降生， 圣灵在分娩时扶助了未曾与男子同寝的童贞女；因此，所生的孩子并未破坏童贞的印记，童贞女也始终未受</w:t>
      </w:r>
      <w:r w:rsidR="005666A3" w:rsidRPr="004C59BB">
        <w:rPr>
          <w:color w:val="0000FF"/>
          <w:lang w:val="ru-RU"/>
        </w:rPr>
        <w:t>病痛侵扰”</w:t>
      </w:r>
      <w:r w:rsidRPr="004C59BB">
        <w:rPr>
          <w:color w:val="0000FF"/>
          <w:lang w:val="ru-RU"/>
        </w:rPr>
        <w:t>（《论异端讲道集》，载于《圣教父著作集</w:t>
      </w:r>
      <w:r w:rsidRPr="004C59BB">
        <w:rPr>
          <w:color w:val="0000FF"/>
        </w:rPr>
        <w:t>》第十四卷</w:t>
      </w:r>
      <w:r w:rsidRPr="0097554A">
        <w:rPr>
          <w:color w:val="0000FF"/>
          <w:lang w:val="ru-RU"/>
        </w:rPr>
        <w:t>，</w:t>
      </w:r>
      <w:r w:rsidRPr="004C59BB">
        <w:rPr>
          <w:color w:val="0000FF"/>
        </w:rPr>
        <w:t>第</w:t>
      </w:r>
      <w:r w:rsidRPr="0097554A">
        <w:rPr>
          <w:color w:val="0000FF"/>
          <w:lang w:val="ru-RU"/>
        </w:rPr>
        <w:t>66</w:t>
      </w:r>
      <w:r w:rsidRPr="004C59BB">
        <w:rPr>
          <w:color w:val="0000FF"/>
        </w:rPr>
        <w:t>页</w:t>
      </w:r>
      <w:r w:rsidRPr="0097554A">
        <w:rPr>
          <w:color w:val="0000FF"/>
          <w:lang w:val="ru-RU"/>
        </w:rPr>
        <w:t>）</w:t>
      </w:r>
      <w:r w:rsidRPr="004C59BB">
        <w:rPr>
          <w:color w:val="0000FF"/>
        </w:rPr>
        <w:t>。</w:t>
      </w:r>
    </w:p>
  </w:footnote>
  <w:footnote w:id="156">
    <w:p w14:paraId="13F82B14" w14:textId="77777777" w:rsidR="00332AD3" w:rsidRPr="0097554A" w:rsidRDefault="00332AD3">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她的贞洁在分娩时未被玷污</w:t>
      </w:r>
      <w:r w:rsidRPr="0097554A">
        <w:rPr>
          <w:color w:val="0000FF"/>
          <w:lang w:val="ru-RU"/>
        </w:rPr>
        <w:t>，</w:t>
      </w:r>
      <w:r w:rsidRPr="004C59BB">
        <w:rPr>
          <w:color w:val="0000FF"/>
        </w:rPr>
        <w:t>正如在受孕时未曾被玷污一样</w:t>
      </w:r>
      <w:r w:rsidRPr="0097554A">
        <w:rPr>
          <w:color w:val="0000FF"/>
          <w:lang w:val="ru-RU"/>
        </w:rPr>
        <w:t>（</w:t>
      </w:r>
      <w:r w:rsidRPr="004C59BB">
        <w:rPr>
          <w:color w:val="0000FF"/>
        </w:rPr>
        <w:t>《讲道集》第XII卷</w:t>
      </w:r>
      <w:r w:rsidRPr="0097554A">
        <w:rPr>
          <w:color w:val="0000FF"/>
          <w:lang w:val="ru-RU"/>
        </w:rPr>
        <w:t>，</w:t>
      </w:r>
      <w:r w:rsidRPr="004C59BB">
        <w:rPr>
          <w:color w:val="0000FF"/>
        </w:rPr>
        <w:t>第</w:t>
      </w:r>
      <w:r w:rsidRPr="0097554A">
        <w:rPr>
          <w:color w:val="0000FF"/>
          <w:lang w:val="ru-RU"/>
        </w:rPr>
        <w:t>1</w:t>
      </w:r>
      <w:r w:rsidRPr="004C59BB">
        <w:rPr>
          <w:color w:val="0000FF"/>
        </w:rPr>
        <w:t>章</w:t>
      </w:r>
      <w:r w:rsidRPr="0097554A">
        <w:rPr>
          <w:color w:val="0000FF"/>
          <w:lang w:val="ru-RU"/>
        </w:rPr>
        <w:t>）</w:t>
      </w:r>
      <w:r w:rsidRPr="004C59BB">
        <w:rPr>
          <w:color w:val="0000FF"/>
        </w:rPr>
        <w:t>。</w:t>
      </w:r>
    </w:p>
  </w:footnote>
  <w:footnote w:id="157">
    <w:p w14:paraId="32995663" w14:textId="77777777" w:rsidR="00332AD3" w:rsidRPr="004C59BB" w:rsidRDefault="00332AD3">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圣母受孕时是童贞</w:t>
      </w:r>
      <w:r w:rsidRPr="0097554A">
        <w:rPr>
          <w:color w:val="0000FF"/>
          <w:lang w:val="ru-RU"/>
        </w:rPr>
        <w:t>，</w:t>
      </w:r>
      <w:r w:rsidRPr="004C59BB">
        <w:rPr>
          <w:color w:val="0000FF"/>
        </w:rPr>
        <w:t>分娩时是童贞</w:t>
      </w:r>
      <w:r w:rsidRPr="0097554A">
        <w:rPr>
          <w:color w:val="0000FF"/>
          <w:lang w:val="ru-RU"/>
        </w:rPr>
        <w:t>，</w:t>
      </w:r>
      <w:r w:rsidRPr="004C59BB">
        <w:rPr>
          <w:color w:val="0000FF"/>
        </w:rPr>
        <w:t>产后依然是童贞</w:t>
      </w:r>
      <w:r w:rsidRPr="0097554A">
        <w:rPr>
          <w:color w:val="0000FF"/>
          <w:lang w:val="ru-RU"/>
        </w:rPr>
        <w:t>（</w:t>
      </w:r>
      <w:r w:rsidRPr="004C59BB">
        <w:rPr>
          <w:color w:val="0000FF"/>
        </w:rPr>
        <w:t>《论信经》第</w:t>
      </w:r>
      <w:r w:rsidRPr="0097554A">
        <w:rPr>
          <w:color w:val="0000FF"/>
          <w:lang w:val="ru-RU"/>
        </w:rPr>
        <w:t>5</w:t>
      </w:r>
      <w:r w:rsidRPr="004C59BB">
        <w:rPr>
          <w:color w:val="0000FF"/>
        </w:rPr>
        <w:t>条</w:t>
      </w:r>
      <w:r w:rsidRPr="0097554A">
        <w:rPr>
          <w:color w:val="0000FF"/>
          <w:lang w:val="ru-RU"/>
        </w:rPr>
        <w:t>；</w:t>
      </w:r>
      <w:r w:rsidRPr="004C59BB">
        <w:rPr>
          <w:color w:val="0000FF"/>
        </w:rPr>
        <w:t>参见《反福斯图斯论</w:t>
      </w:r>
      <w:r w:rsidRPr="004C59BB">
        <w:rPr>
          <w:color w:val="0000FF"/>
          <w:lang w:val="ru-RU"/>
        </w:rPr>
        <w:t>》</w:t>
      </w:r>
      <w:r w:rsidRPr="004C59BB">
        <w:rPr>
          <w:color w:val="0000FF"/>
        </w:rPr>
        <w:t>第XXVIII卷</w:t>
      </w:r>
      <w:r w:rsidRPr="004C59BB">
        <w:rPr>
          <w:color w:val="0000FF"/>
          <w:lang w:val="ru-RU"/>
        </w:rPr>
        <w:t>，第4章）。</w:t>
      </w:r>
    </w:p>
  </w:footnote>
  <w:footnote w:id="158">
    <w:p w14:paraId="3F93EFAD" w14:textId="77777777" w:rsidR="00332AD3" w:rsidRPr="0097554A" w:rsidRDefault="00332AD3">
      <w:pPr>
        <w:pStyle w:val="FootnoteText"/>
        <w:rPr>
          <w:color w:val="0000FF"/>
          <w:lang w:val="ru-RU"/>
        </w:rPr>
      </w:pPr>
      <w:r w:rsidRPr="004C59BB">
        <w:rPr>
          <w:rStyle w:val="FootnoteReference"/>
          <w:color w:val="0000FF"/>
        </w:rPr>
        <w:footnoteRef/>
      </w:r>
      <w:r w:rsidRPr="004C59BB">
        <w:rPr>
          <w:color w:val="0000FF"/>
          <w:lang w:val="ru-RU"/>
        </w:rPr>
        <w:t xml:space="preserve"> “独生圣言，从同一位童贞女那里接受了肉身的开端， 以此方式建造了这未曾被玷污的圣殿，并将之与自己结合，祂源自圣母，其受孕并未松开童贞之带，分娩亦未将其撕裂，而是使其完整无缺、不受侵犯，从而成就了这伟大而不可言喻的</w:t>
      </w:r>
      <w:r w:rsidR="005666A3" w:rsidRPr="004C59BB">
        <w:rPr>
          <w:color w:val="0000FF"/>
          <w:lang w:val="ru-RU"/>
        </w:rPr>
        <w:t>奇迹”</w:t>
      </w:r>
      <w:r w:rsidRPr="004C59BB">
        <w:rPr>
          <w:color w:val="0000FF"/>
          <w:lang w:val="ru-RU"/>
        </w:rPr>
        <w:t xml:space="preserve"> （论主道成肉身</w:t>
      </w:r>
      <w:r w:rsidRPr="0097554A">
        <w:rPr>
          <w:color w:val="0000FF"/>
          <w:lang w:val="ru-RU"/>
        </w:rPr>
        <w:t>，</w:t>
      </w:r>
      <w:r w:rsidRPr="004C59BB">
        <w:rPr>
          <w:color w:val="0000FF"/>
        </w:rPr>
        <w:t>第</w:t>
      </w:r>
      <w:r w:rsidRPr="0097554A">
        <w:rPr>
          <w:color w:val="0000FF"/>
          <w:lang w:val="ru-RU"/>
        </w:rPr>
        <w:t>22</w:t>
      </w:r>
      <w:r w:rsidRPr="004C59BB">
        <w:rPr>
          <w:color w:val="0000FF"/>
        </w:rPr>
        <w:t>章</w:t>
      </w:r>
      <w:r w:rsidRPr="004C59BB">
        <w:rPr>
          <w:color w:val="0000FF"/>
          <w:lang w:val="ru-RU"/>
        </w:rPr>
        <w:t>，载于《基督教读本</w:t>
      </w:r>
      <w:r w:rsidRPr="004C59BB">
        <w:rPr>
          <w:color w:val="0000FF"/>
        </w:rPr>
        <w:t>》</w:t>
      </w:r>
      <w:r w:rsidRPr="0097554A">
        <w:rPr>
          <w:color w:val="0000FF"/>
          <w:lang w:val="ru-RU"/>
        </w:rPr>
        <w:t>1847</w:t>
      </w:r>
      <w:r w:rsidRPr="004C59BB">
        <w:rPr>
          <w:color w:val="0000FF"/>
        </w:rPr>
        <w:t>年版</w:t>
      </w:r>
      <w:r w:rsidRPr="0097554A">
        <w:rPr>
          <w:color w:val="0000FF"/>
          <w:lang w:val="ru-RU"/>
        </w:rPr>
        <w:t>，</w:t>
      </w:r>
      <w:r w:rsidRPr="004C59BB">
        <w:rPr>
          <w:color w:val="0000FF"/>
        </w:rPr>
        <w:t>第</w:t>
      </w:r>
      <w:r w:rsidRPr="0097554A">
        <w:rPr>
          <w:color w:val="0000FF"/>
          <w:lang w:val="ru-RU"/>
        </w:rPr>
        <w:t>111</w:t>
      </w:r>
      <w:r w:rsidRPr="004C59BB">
        <w:rPr>
          <w:color w:val="0000FF"/>
        </w:rPr>
        <w:t>、</w:t>
      </w:r>
      <w:r w:rsidRPr="0097554A">
        <w:rPr>
          <w:color w:val="0000FF"/>
          <w:lang w:val="ru-RU"/>
        </w:rPr>
        <w:t>217</w:t>
      </w:r>
      <w:r w:rsidRPr="004C59BB">
        <w:rPr>
          <w:color w:val="0000FF"/>
        </w:rPr>
        <w:t>页</w:t>
      </w:r>
      <w:r w:rsidRPr="0097554A">
        <w:rPr>
          <w:color w:val="0000FF"/>
          <w:lang w:val="ru-RU"/>
        </w:rPr>
        <w:t>）</w:t>
      </w:r>
      <w:r w:rsidRPr="004C59BB">
        <w:rPr>
          <w:color w:val="0000FF"/>
        </w:rPr>
        <w:t>。</w:t>
      </w:r>
    </w:p>
  </w:footnote>
  <w:footnote w:id="159">
    <w:p w14:paraId="295EA647" w14:textId="77777777" w:rsidR="00332AD3" w:rsidRPr="0097554A" w:rsidRDefault="00332AD3">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彼得</w:t>
      </w:r>
      <w:r w:rsidRPr="0097554A">
        <w:rPr>
          <w:color w:val="0000FF"/>
          <w:lang w:val="ru-RU"/>
        </w:rPr>
        <w:t>·</w:t>
      </w:r>
      <w:r w:rsidRPr="004C59BB">
        <w:rPr>
          <w:color w:val="0000FF"/>
        </w:rPr>
        <w:t>克里索洛格</w:t>
      </w:r>
      <w:r w:rsidRPr="0097554A">
        <w:rPr>
          <w:color w:val="0000FF"/>
          <w:lang w:val="ru-RU"/>
        </w:rPr>
        <w:t>，</w:t>
      </w:r>
      <w:r w:rsidRPr="004C59BB">
        <w:rPr>
          <w:color w:val="0000FF"/>
        </w:rPr>
        <w:t>《讲道集》第LXII、LXXV篇</w:t>
      </w:r>
      <w:r w:rsidRPr="0097554A">
        <w:rPr>
          <w:color w:val="0000FF"/>
          <w:lang w:val="ru-RU"/>
        </w:rPr>
        <w:t>；</w:t>
      </w:r>
      <w:r w:rsidRPr="004C59BB">
        <w:rPr>
          <w:color w:val="0000FF"/>
        </w:rPr>
        <w:t>普罗克洛</w:t>
      </w:r>
      <w:r w:rsidRPr="0097554A">
        <w:rPr>
          <w:color w:val="0000FF"/>
          <w:lang w:val="ru-RU"/>
        </w:rPr>
        <w:t>，</w:t>
      </w:r>
      <w:r w:rsidRPr="004C59BB">
        <w:rPr>
          <w:color w:val="0000FF"/>
        </w:rPr>
        <w:t>《基督诞辰祈祷文》第四篇</w:t>
      </w:r>
      <w:r w:rsidRPr="0097554A">
        <w:rPr>
          <w:color w:val="0000FF"/>
          <w:lang w:val="ru-RU"/>
        </w:rPr>
        <w:t>，</w:t>
      </w:r>
      <w:r w:rsidRPr="004C59BB">
        <w:rPr>
          <w:color w:val="0000FF"/>
        </w:rPr>
        <w:t>见《作者文集》</w:t>
      </w:r>
      <w:r w:rsidRPr="0097554A">
        <w:rPr>
          <w:color w:val="0000FF"/>
          <w:lang w:val="ru-RU"/>
        </w:rPr>
        <w:t>，</w:t>
      </w:r>
      <w:r w:rsidRPr="004C59BB">
        <w:rPr>
          <w:color w:val="0000FF"/>
        </w:rPr>
        <w:t>第</w:t>
      </w:r>
      <w:r w:rsidRPr="0097554A">
        <w:rPr>
          <w:color w:val="0000FF"/>
          <w:lang w:val="ru-RU"/>
        </w:rPr>
        <w:t>334</w:t>
      </w:r>
      <w:r w:rsidRPr="004C59BB">
        <w:rPr>
          <w:color w:val="0000FF"/>
        </w:rPr>
        <w:t>页</w:t>
      </w:r>
      <w:r w:rsidRPr="0097554A">
        <w:rPr>
          <w:color w:val="0000FF"/>
          <w:lang w:val="ru-RU"/>
        </w:rPr>
        <w:t>；</w:t>
      </w:r>
      <w:r w:rsidRPr="004C59BB">
        <w:rPr>
          <w:color w:val="0000FF"/>
        </w:rPr>
        <w:t>泽诺</w:t>
      </w:r>
      <w:r w:rsidRPr="0097554A">
        <w:rPr>
          <w:color w:val="0000FF"/>
          <w:lang w:val="ru-RU"/>
        </w:rPr>
        <w:t>·</w:t>
      </w:r>
      <w:r w:rsidRPr="004C59BB">
        <w:rPr>
          <w:color w:val="0000FF"/>
        </w:rPr>
        <w:t>乌罗尼乌斯</w:t>
      </w:r>
      <w:r w:rsidRPr="0097554A">
        <w:rPr>
          <w:color w:val="0000FF"/>
          <w:lang w:val="ru-RU"/>
        </w:rPr>
        <w:t>，</w:t>
      </w:r>
      <w:r w:rsidRPr="004C59BB">
        <w:rPr>
          <w:color w:val="0000FF"/>
        </w:rPr>
        <w:t>《论宪法讲道集》第三篇</w:t>
      </w:r>
      <w:r w:rsidRPr="0097554A">
        <w:rPr>
          <w:color w:val="0000FF"/>
          <w:lang w:val="ru-RU"/>
        </w:rPr>
        <w:t>，</w:t>
      </w:r>
      <w:r w:rsidRPr="004C59BB">
        <w:rPr>
          <w:color w:val="0000FF"/>
        </w:rPr>
        <w:t>见《教父文集全集》第十一卷</w:t>
      </w:r>
      <w:r w:rsidRPr="0097554A">
        <w:rPr>
          <w:color w:val="0000FF"/>
          <w:lang w:val="ru-RU"/>
        </w:rPr>
        <w:t>，</w:t>
      </w:r>
      <w:r w:rsidRPr="004C59BB">
        <w:rPr>
          <w:color w:val="0000FF"/>
        </w:rPr>
        <w:t>第</w:t>
      </w:r>
      <w:r w:rsidRPr="0097554A">
        <w:rPr>
          <w:color w:val="0000FF"/>
          <w:lang w:val="ru-RU"/>
        </w:rPr>
        <w:t>303</w:t>
      </w:r>
      <w:r w:rsidRPr="004C59BB">
        <w:rPr>
          <w:color w:val="0000FF"/>
        </w:rPr>
        <w:t>页。</w:t>
      </w:r>
    </w:p>
  </w:footnote>
  <w:footnote w:id="160">
    <w:p w14:paraId="2F1DB0E2" w14:textId="77777777" w:rsidR="006E3696" w:rsidRPr="004C59BB" w:rsidRDefault="006E3696">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普罗克洛斯</w:t>
      </w:r>
      <w:r w:rsidRPr="0097554A">
        <w:rPr>
          <w:color w:val="0000FF"/>
          <w:lang w:val="ru-RU"/>
        </w:rPr>
        <w:t>，</w:t>
      </w:r>
      <w:r w:rsidRPr="004C59BB">
        <w:rPr>
          <w:color w:val="0000FF"/>
        </w:rPr>
        <w:t>《赞美圣母玛利亚的讲道》第</w:t>
      </w:r>
      <w:r w:rsidRPr="0097554A">
        <w:rPr>
          <w:color w:val="0000FF"/>
          <w:lang w:val="ru-RU"/>
        </w:rPr>
        <w:t>1</w:t>
      </w:r>
      <w:r w:rsidRPr="004C59BB">
        <w:rPr>
          <w:color w:val="0000FF"/>
        </w:rPr>
        <w:t>篇</w:t>
      </w:r>
      <w:r w:rsidRPr="0097554A">
        <w:rPr>
          <w:color w:val="0000FF"/>
          <w:lang w:val="ru-RU"/>
        </w:rPr>
        <w:t>；</w:t>
      </w:r>
      <w:r w:rsidRPr="004C59BB">
        <w:rPr>
          <w:color w:val="0000FF"/>
          <w:lang w:val="ru-RU"/>
        </w:rPr>
        <w:t>约翰·达马斯库斯，《</w:t>
      </w:r>
      <w:r w:rsidRPr="004C59BB">
        <w:rPr>
          <w:color w:val="0000FF"/>
        </w:rPr>
        <w:t>信仰要义》</w:t>
      </w:r>
      <w:r w:rsidRPr="004C59BB">
        <w:rPr>
          <w:color w:val="0000FF"/>
          <w:lang w:val="ru-RU"/>
        </w:rPr>
        <w:t>第IV卷，第14章，第260页：“对他（耶稣基督）而言，没有什么是不可能的——无论是穿过门，还是不破坏门上的封印”。</w:t>
      </w:r>
    </w:p>
  </w:footnote>
  <w:footnote w:id="161">
    <w:p w14:paraId="2117A5B2" w14:textId="77777777" w:rsidR="006E3696" w:rsidRPr="0097554A" w:rsidRDefault="006E3696">
      <w:pPr>
        <w:pStyle w:val="FootnoteText"/>
        <w:rPr>
          <w:color w:val="0000FF"/>
          <w:lang w:val="ru-RU"/>
        </w:rPr>
      </w:pPr>
      <w:r w:rsidRPr="004C59BB">
        <w:rPr>
          <w:rStyle w:val="FootnoteReference"/>
          <w:color w:val="0000FF"/>
        </w:rPr>
        <w:footnoteRef/>
      </w:r>
      <w:r w:rsidRPr="004C59BB">
        <w:rPr>
          <w:color w:val="0000FF"/>
          <w:lang w:val="ru-RU"/>
        </w:rPr>
        <w:t xml:space="preserve"> 尼西亚的格里高利：“正如那荆棘燃烧却未被烧毁；同样，圣母在此孕育光明，却依然</w:t>
      </w:r>
      <w:r w:rsidR="005666A3" w:rsidRPr="004C59BB">
        <w:rPr>
          <w:color w:val="0000FF"/>
          <w:lang w:val="ru-RU"/>
        </w:rPr>
        <w:t>不朽”</w:t>
      </w:r>
      <w:r w:rsidRPr="004C59BB">
        <w:rPr>
          <w:color w:val="0000FF"/>
          <w:lang w:val="ru-RU"/>
        </w:rPr>
        <w:t>（</w:t>
      </w:r>
      <w:r w:rsidRPr="004C59BB">
        <w:rPr>
          <w:color w:val="0000FF"/>
        </w:rPr>
        <w:t>《基督读经》</w:t>
      </w:r>
      <w:r w:rsidRPr="0097554A">
        <w:rPr>
          <w:color w:val="0000FF"/>
          <w:lang w:val="ru-RU"/>
        </w:rPr>
        <w:t>1837</w:t>
      </w:r>
      <w:r w:rsidRPr="004C59BB">
        <w:rPr>
          <w:color w:val="0000FF"/>
        </w:rPr>
        <w:t>年版</w:t>
      </w:r>
      <w:r w:rsidRPr="0097554A">
        <w:rPr>
          <w:color w:val="0000FF"/>
          <w:lang w:val="ru-RU"/>
        </w:rPr>
        <w:t>，</w:t>
      </w:r>
      <w:r w:rsidRPr="004C59BB">
        <w:rPr>
          <w:color w:val="0000FF"/>
        </w:rPr>
        <w:t>第四卷</w:t>
      </w:r>
      <w:r w:rsidRPr="0097554A">
        <w:rPr>
          <w:color w:val="0000FF"/>
          <w:lang w:val="ru-RU"/>
        </w:rPr>
        <w:t>，</w:t>
      </w:r>
      <w:r w:rsidRPr="004C59BB">
        <w:rPr>
          <w:color w:val="0000FF"/>
        </w:rPr>
        <w:t>第</w:t>
      </w:r>
      <w:r w:rsidRPr="0097554A">
        <w:rPr>
          <w:color w:val="0000FF"/>
          <w:lang w:val="ru-RU"/>
        </w:rPr>
        <w:t>259</w:t>
      </w:r>
      <w:r w:rsidRPr="004C59BB">
        <w:rPr>
          <w:color w:val="0000FF"/>
        </w:rPr>
        <w:t>页</w:t>
      </w:r>
      <w:r w:rsidRPr="0097554A">
        <w:rPr>
          <w:color w:val="0000FF"/>
          <w:lang w:val="ru-RU"/>
        </w:rPr>
        <w:t>，</w:t>
      </w:r>
      <w:r w:rsidRPr="004C59BB">
        <w:rPr>
          <w:color w:val="0000FF"/>
        </w:rPr>
        <w:t>主诞节</w:t>
      </w:r>
      <w:r w:rsidRPr="004C59BB">
        <w:rPr>
          <w:color w:val="0000FF"/>
          <w:lang w:val="ru-RU"/>
        </w:rPr>
        <w:t>讲道词</w:t>
      </w:r>
      <w:r w:rsidRPr="0097554A">
        <w:rPr>
          <w:color w:val="0000FF"/>
          <w:lang w:val="ru-RU"/>
        </w:rPr>
        <w:t xml:space="preserve">）； </w:t>
      </w:r>
      <w:r w:rsidRPr="004C59BB">
        <w:rPr>
          <w:color w:val="0000FF"/>
        </w:rPr>
        <w:t>安布罗斯《论贞女的教导》第六、七章</w:t>
      </w:r>
      <w:r w:rsidRPr="0097554A">
        <w:rPr>
          <w:color w:val="0000FF"/>
          <w:lang w:val="ru-RU"/>
        </w:rPr>
        <w:t>；</w:t>
      </w:r>
      <w:r w:rsidRPr="004C59BB">
        <w:rPr>
          <w:color w:val="0000FF"/>
        </w:rPr>
        <w:t>埃皮法尼乌斯《论异端》第七十八篇</w:t>
      </w:r>
      <w:r w:rsidRPr="0097554A">
        <w:rPr>
          <w:color w:val="0000FF"/>
          <w:lang w:val="ru-RU"/>
        </w:rPr>
        <w:t>，</w:t>
      </w:r>
      <w:r w:rsidRPr="004C59BB">
        <w:rPr>
          <w:color w:val="0000FF"/>
        </w:rPr>
        <w:t>第</w:t>
      </w:r>
      <w:r w:rsidRPr="0097554A">
        <w:rPr>
          <w:color w:val="0000FF"/>
          <w:lang w:val="ru-RU"/>
        </w:rPr>
        <w:t>9</w:t>
      </w:r>
      <w:r w:rsidRPr="004C59BB">
        <w:rPr>
          <w:color w:val="0000FF"/>
        </w:rPr>
        <w:t>、</w:t>
      </w:r>
      <w:r w:rsidRPr="0097554A">
        <w:rPr>
          <w:color w:val="0000FF"/>
          <w:lang w:val="ru-RU"/>
        </w:rPr>
        <w:t>10</w:t>
      </w:r>
      <w:r w:rsidRPr="004C59BB">
        <w:rPr>
          <w:color w:val="0000FF"/>
        </w:rPr>
        <w:t>节</w:t>
      </w:r>
      <w:r w:rsidRPr="0097554A">
        <w:rPr>
          <w:color w:val="0000FF"/>
          <w:lang w:val="ru-RU"/>
        </w:rPr>
        <w:t>；</w:t>
      </w:r>
      <w:r w:rsidRPr="004C59BB">
        <w:rPr>
          <w:color w:val="0000FF"/>
        </w:rPr>
        <w:t>亚历山大的西里尔《反人类论》第</w:t>
      </w:r>
      <w:r w:rsidRPr="0097554A">
        <w:rPr>
          <w:color w:val="0000FF"/>
          <w:lang w:val="ru-RU"/>
        </w:rPr>
        <w:t>26</w:t>
      </w:r>
      <w:r w:rsidRPr="004C59BB">
        <w:rPr>
          <w:color w:val="0000FF"/>
        </w:rPr>
        <w:t>章。</w:t>
      </w:r>
    </w:p>
  </w:footnote>
  <w:footnote w:id="162">
    <w:p w14:paraId="233C5E1B" w14:textId="77777777" w:rsidR="006E3696" w:rsidRPr="0097554A" w:rsidRDefault="006E3696">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奥古斯丁《上帝之城》第XXII卷</w:t>
      </w:r>
      <w:r w:rsidRPr="0097554A">
        <w:rPr>
          <w:color w:val="0000FF"/>
          <w:lang w:val="ru-RU"/>
        </w:rPr>
        <w:t>，</w:t>
      </w:r>
      <w:r w:rsidRPr="004C59BB">
        <w:rPr>
          <w:color w:val="0000FF"/>
        </w:rPr>
        <w:t>第</w:t>
      </w:r>
      <w:r w:rsidRPr="0097554A">
        <w:rPr>
          <w:color w:val="0000FF"/>
          <w:lang w:val="ru-RU"/>
        </w:rPr>
        <w:t>8</w:t>
      </w:r>
      <w:r w:rsidRPr="004C59BB">
        <w:rPr>
          <w:color w:val="0000FF"/>
        </w:rPr>
        <w:t>章</w:t>
      </w:r>
      <w:r w:rsidRPr="0097554A">
        <w:rPr>
          <w:color w:val="0000FF"/>
          <w:lang w:val="ru-RU"/>
        </w:rPr>
        <w:t>；</w:t>
      </w:r>
      <w:r w:rsidRPr="004C59BB">
        <w:rPr>
          <w:color w:val="0000FF"/>
        </w:rPr>
        <w:t>格雷戈里</w:t>
      </w:r>
      <w:r w:rsidRPr="0097554A">
        <w:rPr>
          <w:color w:val="0000FF"/>
          <w:lang w:val="ru-RU"/>
        </w:rPr>
        <w:t>·</w:t>
      </w:r>
      <w:r w:rsidRPr="004C59BB">
        <w:rPr>
          <w:color w:val="0000FF"/>
        </w:rPr>
        <w:t>马格努斯《福音讲道集》第XXVI篇。</w:t>
      </w:r>
    </w:p>
  </w:footnote>
  <w:footnote w:id="163">
    <w:p w14:paraId="5DF2ED60" w14:textId="77777777" w:rsidR="006E3696" w:rsidRPr="004C59BB" w:rsidRDefault="006E3696">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爱任纽《反异端》第三卷</w:t>
      </w:r>
      <w:r w:rsidRPr="0097554A">
        <w:rPr>
          <w:color w:val="0000FF"/>
          <w:lang w:val="ru-RU"/>
        </w:rPr>
        <w:t>，21，</w:t>
      </w:r>
      <w:r w:rsidRPr="004C59BB">
        <w:rPr>
          <w:color w:val="0000FF"/>
        </w:rPr>
        <w:t>注</w:t>
      </w:r>
      <w:r w:rsidRPr="0097554A">
        <w:rPr>
          <w:color w:val="0000FF"/>
          <w:lang w:val="ru-RU"/>
        </w:rPr>
        <w:t>10</w:t>
      </w:r>
      <w:r w:rsidRPr="004C59BB">
        <w:rPr>
          <w:color w:val="0000FF"/>
        </w:rPr>
        <w:t>。类似观点见于圣希波吕托斯：“由童贞女所生的长子，为要显明那位在太初就存在的被造者”（《但以理书注释》第七章，引自马伊1）。</w:t>
      </w:r>
    </w:p>
  </w:footnote>
  <w:footnote w:id="164">
    <w:p w14:paraId="4B896539"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耶路撒冷的西里尔</w:t>
      </w:r>
      <w:r w:rsidRPr="004C59BB">
        <w:rPr>
          <w:color w:val="0000FF"/>
        </w:rPr>
        <w:t>。《</w:t>
      </w:r>
      <w:r w:rsidRPr="004C59BB">
        <w:rPr>
          <w:color w:val="0000FF"/>
          <w:lang w:val="ru-RU"/>
        </w:rPr>
        <w:t>教义概要</w:t>
      </w:r>
      <w:r w:rsidRPr="004C59BB">
        <w:rPr>
          <w:color w:val="0000FF"/>
        </w:rPr>
        <w:t>》第十二卷，第15节，第218–219页。特土良亦有同义之说：“那带来死亡的毁灭之言，曾潜入尚未成为处女的夏娃体内； 同样，赐予生命的道也必须进入这位处女，以便那曾通过此类性别走向毁灭的，也能通过同一性别恢复</w:t>
      </w:r>
      <w:r w:rsidR="005666A3" w:rsidRPr="004C59BB">
        <w:rPr>
          <w:color w:val="0000FF"/>
        </w:rPr>
        <w:t>秩序”</w:t>
      </w:r>
      <w:r w:rsidRPr="004C59BB">
        <w:rPr>
          <w:color w:val="0000FF"/>
        </w:rPr>
        <w:t>（《论基督的肉身》第17章），——以及圣奥古斯丁：（《论基督徒的争战》第XXII章，第24节）。</w:t>
      </w:r>
    </w:p>
  </w:footnote>
  <w:footnote w:id="165">
    <w:p w14:paraId="70FD2461"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格雷戈里·尼西阿斯，《基督诞辰讲道集》，全集第III卷，第344页；参见《论童贞》第二章及奥古斯丁《反斐斯图斯》第二十八卷，第4节。</w:t>
      </w:r>
    </w:p>
  </w:footnote>
  <w:footnote w:id="166">
    <w:p w14:paraId="3A6993ED" w14:textId="77777777" w:rsidR="006658FF" w:rsidRPr="0097554A" w:rsidRDefault="006658FF">
      <w:pPr>
        <w:pStyle w:val="FootnoteText"/>
        <w:rPr>
          <w:color w:val="0000FF"/>
        </w:rPr>
      </w:pPr>
      <w:r w:rsidRPr="004C59BB">
        <w:rPr>
          <w:rStyle w:val="FootnoteReference"/>
          <w:color w:val="0000FF"/>
        </w:rPr>
        <w:footnoteRef/>
      </w:r>
      <w:r w:rsidRPr="004C59BB">
        <w:rPr>
          <w:color w:val="0000FF"/>
        </w:rPr>
        <w:t xml:space="preserve"> “这门是什么”（《以西结书》44:1），若非玛利亚，还能是什么？正因她是童贞女，这门才紧闭着。因此，玛利亚就是那扇门，基督正是通过这扇门降临世间——当祂以童贞之身诞生时，并未打破童贞的屏障。 贞洁的屏障始终完好无损，童贞的印记也始终未被玷污（安布罗斯《论贞女的教导》第八章，第52节；参见《致西里尔书》，</w:t>
      </w:r>
      <w:r w:rsidRPr="004C59BB">
        <w:rPr>
          <w:color w:val="0000FF"/>
          <w:lang w:val="ru-RU"/>
        </w:rPr>
        <w:t>第一</w:t>
      </w:r>
      <w:r w:rsidRPr="004C59BB">
        <w:rPr>
          <w:color w:val="0000FF"/>
        </w:rPr>
        <w:t>类</w:t>
      </w:r>
      <w:r w:rsidRPr="004C59BB">
        <w:rPr>
          <w:color w:val="0000FF"/>
          <w:lang w:val="ru-RU"/>
        </w:rPr>
        <w:t>书信</w:t>
      </w:r>
      <w:r w:rsidRPr="004C59BB">
        <w:rPr>
          <w:color w:val="0000FF"/>
        </w:rPr>
        <w:t>第LXXII封</w:t>
      </w:r>
      <w:r w:rsidRPr="0097554A">
        <w:rPr>
          <w:color w:val="0000FF"/>
        </w:rPr>
        <w:t>），</w:t>
      </w:r>
      <w:r w:rsidRPr="004C59BB">
        <w:rPr>
          <w:color w:val="0000FF"/>
          <w:lang w:val="ru-RU"/>
        </w:rPr>
        <w:t>《正统信仰精要》</w:t>
      </w:r>
      <w:r w:rsidRPr="004C59BB">
        <w:rPr>
          <w:color w:val="0000FF"/>
        </w:rPr>
        <w:t>第四</w:t>
      </w:r>
      <w:r w:rsidRPr="004C59BB">
        <w:rPr>
          <w:color w:val="0000FF"/>
          <w:lang w:val="ru-RU"/>
        </w:rPr>
        <w:t>卷</w:t>
      </w:r>
      <w:r w:rsidRPr="0097554A">
        <w:rPr>
          <w:color w:val="0000FF"/>
        </w:rPr>
        <w:t>，</w:t>
      </w:r>
      <w:r w:rsidRPr="004C59BB">
        <w:rPr>
          <w:color w:val="0000FF"/>
          <w:lang w:val="ru-RU"/>
        </w:rPr>
        <w:t>第</w:t>
      </w:r>
      <w:r w:rsidRPr="0097554A">
        <w:rPr>
          <w:color w:val="0000FF"/>
        </w:rPr>
        <w:t>14</w:t>
      </w:r>
      <w:r w:rsidRPr="004C59BB">
        <w:rPr>
          <w:color w:val="0000FF"/>
          <w:lang w:val="ru-RU"/>
        </w:rPr>
        <w:t>章</w:t>
      </w:r>
      <w:r w:rsidRPr="0097554A">
        <w:rPr>
          <w:color w:val="0000FF"/>
        </w:rPr>
        <w:t>，</w:t>
      </w:r>
      <w:r w:rsidRPr="004C59BB">
        <w:rPr>
          <w:color w:val="0000FF"/>
          <w:lang w:val="ru-RU"/>
        </w:rPr>
        <w:t>第</w:t>
      </w:r>
      <w:r w:rsidRPr="0097554A">
        <w:rPr>
          <w:color w:val="0000FF"/>
        </w:rPr>
        <w:t>260</w:t>
      </w:r>
      <w:r w:rsidRPr="004C59BB">
        <w:rPr>
          <w:color w:val="0000FF"/>
          <w:lang w:val="ru-RU"/>
        </w:rPr>
        <w:t>页。</w:t>
      </w:r>
    </w:p>
  </w:footnote>
  <w:footnote w:id="167">
    <w:p w14:paraId="7F5CBA25" w14:textId="77777777" w:rsidR="00AC3C39" w:rsidRPr="004C59BB" w:rsidRDefault="00AC3C39">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玛利亚的童贞之所以更为珍贵和可喜</w:t>
      </w:r>
      <w:r w:rsidRPr="0097554A">
        <w:rPr>
          <w:color w:val="0000FF"/>
        </w:rPr>
        <w:t>，</w:t>
      </w:r>
      <w:r w:rsidRPr="004C59BB">
        <w:rPr>
          <w:color w:val="0000FF"/>
          <w:lang w:val="ru-RU"/>
        </w:rPr>
        <w:t>是因为她在基督由她受孕之前</w:t>
      </w:r>
      <w:r w:rsidRPr="0097554A">
        <w:rPr>
          <w:color w:val="0000FF"/>
        </w:rPr>
        <w:t>，</w:t>
      </w:r>
      <w:r w:rsidRPr="004C59BB">
        <w:rPr>
          <w:color w:val="0000FF"/>
          <w:lang w:val="ru-RU"/>
        </w:rPr>
        <w:t>就已经将自己的童贞奉献给了上帝。</w:t>
      </w:r>
      <w:r w:rsidRPr="004C59BB">
        <w:rPr>
          <w:color w:val="0000FF"/>
        </w:rPr>
        <w:t>她</w:t>
      </w:r>
      <w:r w:rsidRPr="004C59BB">
        <w:rPr>
          <w:color w:val="0000FF"/>
          <w:lang w:val="ru-RU"/>
        </w:rPr>
        <w:t>对报喜的天使所说的话——‘我尚未出嫁，这事怎能成就？’——便证明了这一点。诚然，如果她此前没有向上帝许下保持童贞的誓言，她就不会说出这话。 但鉴于这有悖于以色列人的习俗，她便与一位义人订了婚，此人不仅自己不会违背她已奉献给上帝的誓言，还会保护她免受</w:t>
      </w:r>
      <w:r w:rsidR="005666A3" w:rsidRPr="004C59BB">
        <w:rPr>
          <w:color w:val="0000FF"/>
          <w:lang w:val="ru-RU"/>
        </w:rPr>
        <w:t>他人的侵害”</w:t>
      </w:r>
      <w:r w:rsidRPr="004C59BB">
        <w:rPr>
          <w:color w:val="0000FF"/>
          <w:lang w:val="ru-RU"/>
        </w:rPr>
        <w:t>（</w:t>
      </w:r>
      <w:r w:rsidRPr="004C59BB">
        <w:rPr>
          <w:color w:val="0000FF"/>
        </w:rPr>
        <w:t>奥古斯丁《论童贞</w:t>
      </w:r>
      <w:r w:rsidRPr="004C59BB">
        <w:rPr>
          <w:color w:val="0000FF"/>
          <w:lang w:val="ru-RU"/>
        </w:rPr>
        <w:t>》，</w:t>
      </w:r>
      <w:r w:rsidRPr="004C59BB">
        <w:rPr>
          <w:color w:val="0000FF"/>
        </w:rPr>
        <w:t>第四章</w:t>
      </w:r>
      <w:r w:rsidRPr="004C59BB">
        <w:rPr>
          <w:color w:val="0000FF"/>
          <w:lang w:val="ru-RU"/>
        </w:rPr>
        <w:t>）。</w:t>
      </w:r>
    </w:p>
  </w:footnote>
  <w:footnote w:id="168">
    <w:p w14:paraId="235E0F7C" w14:textId="77777777" w:rsidR="00AC3C39" w:rsidRPr="0097554A" w:rsidRDefault="00AC3C39">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埃皮法尼乌斯</w:t>
      </w:r>
      <w:r w:rsidRPr="0097554A">
        <w:rPr>
          <w:color w:val="0000FF"/>
          <w:lang w:val="ru-RU"/>
        </w:rPr>
        <w:t>，</w:t>
      </w:r>
      <w:r w:rsidRPr="004C59BB">
        <w:rPr>
          <w:color w:val="0000FF"/>
          <w:lang w:val="el-GR"/>
        </w:rPr>
        <w:t>《</w:t>
      </w:r>
      <w:r w:rsidRPr="004C59BB">
        <w:rPr>
          <w:color w:val="0000FF"/>
        </w:rPr>
        <w:t>异端驳论</w:t>
      </w:r>
      <w:r w:rsidRPr="004C59BB">
        <w:rPr>
          <w:color w:val="0000FF"/>
          <w:lang w:val="el-GR"/>
        </w:rPr>
        <w:t>》</w:t>
      </w:r>
      <w:r w:rsidRPr="004C59BB">
        <w:rPr>
          <w:color w:val="0000FF"/>
        </w:rPr>
        <w:t>第LXXVIII篇</w:t>
      </w:r>
      <w:r w:rsidRPr="0097554A">
        <w:rPr>
          <w:color w:val="0000FF"/>
          <w:lang w:val="ru-RU"/>
        </w:rPr>
        <w:t>，</w:t>
      </w:r>
      <w:r w:rsidRPr="004C59BB">
        <w:rPr>
          <w:color w:val="0000FF"/>
          <w:lang w:val="el-GR"/>
        </w:rPr>
        <w:t>第</w:t>
      </w:r>
      <w:r w:rsidRPr="0097554A">
        <w:rPr>
          <w:color w:val="0000FF"/>
          <w:lang w:val="ru-RU"/>
        </w:rPr>
        <w:t>5</w:t>
      </w:r>
      <w:r w:rsidRPr="004C59BB">
        <w:rPr>
          <w:color w:val="0000FF"/>
          <w:lang w:val="el-GR"/>
        </w:rPr>
        <w:t>、</w:t>
      </w:r>
      <w:r w:rsidRPr="0097554A">
        <w:rPr>
          <w:color w:val="0000FF"/>
          <w:lang w:val="ru-RU"/>
        </w:rPr>
        <w:t>8</w:t>
      </w:r>
      <w:r w:rsidRPr="004C59BB">
        <w:rPr>
          <w:color w:val="0000FF"/>
          <w:lang w:val="el-GR"/>
        </w:rPr>
        <w:t>、</w:t>
      </w:r>
      <w:r w:rsidRPr="0097554A">
        <w:rPr>
          <w:color w:val="0000FF"/>
          <w:lang w:val="ru-RU"/>
        </w:rPr>
        <w:t>19</w:t>
      </w:r>
      <w:r w:rsidRPr="004C59BB">
        <w:rPr>
          <w:color w:val="0000FF"/>
          <w:lang w:val="el-GR"/>
        </w:rPr>
        <w:t>节。</w:t>
      </w:r>
    </w:p>
  </w:footnote>
  <w:footnote w:id="169">
    <w:p w14:paraId="6A84CD34" w14:textId="77777777" w:rsidR="00AC3C39" w:rsidRPr="0097554A" w:rsidRDefault="00AC3C39">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万物的创造者</w:t>
      </w:r>
      <w:r w:rsidRPr="0097554A">
        <w:rPr>
          <w:color w:val="0000FF"/>
          <w:lang w:val="ru-RU"/>
        </w:rPr>
        <w:t>，</w:t>
      </w:r>
      <w:r w:rsidRPr="004C59BB">
        <w:rPr>
          <w:color w:val="0000FF"/>
          <w:lang w:val="el-GR"/>
        </w:rPr>
        <w:t>从至圣永贞童女玛利亚</w:t>
      </w:r>
      <w:r w:rsidRPr="0097554A">
        <w:rPr>
          <w:color w:val="0000FF"/>
          <w:lang w:val="ru-RU"/>
        </w:rPr>
        <w:t>……</w:t>
      </w:r>
      <w:r w:rsidRPr="004C59BB">
        <w:rPr>
          <w:color w:val="0000FF"/>
        </w:rPr>
        <w:t>成了人</w:t>
      </w:r>
      <w:r w:rsidRPr="0097554A">
        <w:rPr>
          <w:color w:val="0000FF"/>
          <w:lang w:val="ru-RU"/>
        </w:rPr>
        <w:t>（</w:t>
      </w:r>
      <w:r w:rsidRPr="004C59BB">
        <w:rPr>
          <w:color w:val="0000FF"/>
        </w:rPr>
        <w:t>《论神学与道成肉身》第VIII节</w:t>
      </w:r>
      <w:r w:rsidRPr="0097554A">
        <w:rPr>
          <w:color w:val="0000FF"/>
          <w:lang w:val="ru-RU"/>
        </w:rPr>
        <w:t>；</w:t>
      </w:r>
      <w:r w:rsidRPr="004C59BB">
        <w:rPr>
          <w:color w:val="0000FF"/>
        </w:rPr>
        <w:t>参见《反贝罗尼乌斯与赫利西乌斯论》第三篇讲道</w:t>
      </w:r>
      <w:r w:rsidRPr="0097554A">
        <w:rPr>
          <w:color w:val="0000FF"/>
          <w:lang w:val="ru-RU"/>
        </w:rPr>
        <w:t>）</w:t>
      </w:r>
      <w:r w:rsidRPr="004C59BB">
        <w:rPr>
          <w:color w:val="0000FF"/>
        </w:rPr>
        <w:t>。</w:t>
      </w:r>
    </w:p>
  </w:footnote>
  <w:footnote w:id="170">
    <w:p w14:paraId="03C136D6" w14:textId="77777777" w:rsidR="00AC3C39" w:rsidRPr="0097554A" w:rsidRDefault="00AC3C39">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阿塔纳西乌斯</w:t>
      </w:r>
      <w:r w:rsidRPr="0097554A">
        <w:rPr>
          <w:color w:val="0000FF"/>
          <w:lang w:val="ru-RU"/>
        </w:rPr>
        <w:t>，</w:t>
      </w:r>
      <w:r w:rsidRPr="004C59BB">
        <w:rPr>
          <w:color w:val="0000FF"/>
        </w:rPr>
        <w:t>《路加福音注释》</w:t>
      </w:r>
      <w:r w:rsidRPr="0097554A">
        <w:rPr>
          <w:color w:val="0000FF"/>
          <w:lang w:val="ru-RU"/>
        </w:rPr>
        <w:t>1，58；</w:t>
      </w:r>
      <w:r w:rsidRPr="004C59BB">
        <w:rPr>
          <w:color w:val="0000FF"/>
        </w:rPr>
        <w:t>埃皮法尼乌斯</w:t>
      </w:r>
      <w:r w:rsidRPr="0097554A">
        <w:rPr>
          <w:color w:val="0000FF"/>
          <w:lang w:val="ru-RU"/>
        </w:rPr>
        <w:t>，</w:t>
      </w:r>
      <w:r w:rsidRPr="004C59BB">
        <w:rPr>
          <w:color w:val="0000FF"/>
        </w:rPr>
        <w:t>《天主教教义阐释》第XV章</w:t>
      </w:r>
      <w:r w:rsidRPr="0097554A">
        <w:rPr>
          <w:color w:val="0000FF"/>
          <w:lang w:val="ru-RU"/>
        </w:rPr>
        <w:t>；</w:t>
      </w:r>
      <w:r w:rsidRPr="004C59BB">
        <w:rPr>
          <w:color w:val="0000FF"/>
        </w:rPr>
        <w:t>《安科拉特》第CXXI章</w:t>
      </w:r>
      <w:r w:rsidRPr="0097554A">
        <w:rPr>
          <w:color w:val="0000FF"/>
          <w:lang w:val="ru-RU"/>
        </w:rPr>
        <w:t>；</w:t>
      </w:r>
      <w:r w:rsidRPr="004C59BB">
        <w:rPr>
          <w:color w:val="0000FF"/>
        </w:rPr>
        <w:t>凯撒</w:t>
      </w:r>
      <w:r w:rsidRPr="0097554A">
        <w:rPr>
          <w:color w:val="0000FF"/>
          <w:lang w:val="ru-RU"/>
        </w:rPr>
        <w:t>，</w:t>
      </w:r>
      <w:r w:rsidRPr="004C59BB">
        <w:rPr>
          <w:color w:val="0000FF"/>
        </w:rPr>
        <w:t>《对话录》</w:t>
      </w:r>
      <w:r w:rsidRPr="0097554A">
        <w:rPr>
          <w:color w:val="0000FF"/>
          <w:lang w:val="ru-RU"/>
        </w:rPr>
        <w:t>1，</w:t>
      </w:r>
      <w:r w:rsidRPr="004C59BB">
        <w:rPr>
          <w:color w:val="0000FF"/>
        </w:rPr>
        <w:t>第</w:t>
      </w:r>
      <w:r w:rsidRPr="0097554A">
        <w:rPr>
          <w:color w:val="0000FF"/>
          <w:lang w:val="ru-RU"/>
        </w:rPr>
        <w:t>20</w:t>
      </w:r>
      <w:r w:rsidRPr="004C59BB">
        <w:rPr>
          <w:color w:val="0000FF"/>
        </w:rPr>
        <w:t>节</w:t>
      </w:r>
      <w:r w:rsidRPr="0097554A">
        <w:rPr>
          <w:color w:val="0000FF"/>
          <w:lang w:val="ru-RU"/>
        </w:rPr>
        <w:t>；</w:t>
      </w:r>
      <w:r w:rsidRPr="004C59BB">
        <w:rPr>
          <w:color w:val="0000FF"/>
        </w:rPr>
        <w:t>III</w:t>
      </w:r>
      <w:r w:rsidRPr="0097554A">
        <w:rPr>
          <w:color w:val="0000FF"/>
          <w:lang w:val="ru-RU"/>
        </w:rPr>
        <w:t>，</w:t>
      </w:r>
      <w:r w:rsidRPr="004C59BB">
        <w:rPr>
          <w:color w:val="0000FF"/>
        </w:rPr>
        <w:t>第</w:t>
      </w:r>
      <w:r w:rsidRPr="0097554A">
        <w:rPr>
          <w:color w:val="0000FF"/>
          <w:lang w:val="ru-RU"/>
        </w:rPr>
        <w:t>122</w:t>
      </w:r>
      <w:r w:rsidRPr="004C59BB">
        <w:rPr>
          <w:color w:val="0000FF"/>
        </w:rPr>
        <w:t>节</w:t>
      </w:r>
      <w:r w:rsidRPr="0097554A">
        <w:rPr>
          <w:color w:val="0000FF"/>
          <w:lang w:val="ru-RU"/>
        </w:rPr>
        <w:t>；</w:t>
      </w:r>
      <w:r w:rsidRPr="004C59BB">
        <w:rPr>
          <w:color w:val="0000FF"/>
        </w:rPr>
        <w:t>卡西安</w:t>
      </w:r>
      <w:r w:rsidRPr="0097554A">
        <w:rPr>
          <w:color w:val="0000FF"/>
          <w:lang w:val="ru-RU"/>
        </w:rPr>
        <w:t>，</w:t>
      </w:r>
      <w:r w:rsidRPr="004C59BB">
        <w:rPr>
          <w:color w:val="0000FF"/>
        </w:rPr>
        <w:t>《论道成肉身》</w:t>
      </w:r>
      <w:r w:rsidRPr="0097554A">
        <w:rPr>
          <w:color w:val="0000FF"/>
          <w:lang w:val="ru-RU"/>
        </w:rPr>
        <w:t xml:space="preserve">1，4； </w:t>
      </w:r>
      <w:r w:rsidRPr="004C59BB">
        <w:rPr>
          <w:color w:val="0000FF"/>
        </w:rPr>
        <w:t>利奥</w:t>
      </w:r>
      <w:r w:rsidRPr="0097554A">
        <w:rPr>
          <w:color w:val="0000FF"/>
          <w:lang w:val="ru-RU"/>
        </w:rPr>
        <w:t>·</w:t>
      </w:r>
      <w:r w:rsidRPr="004C59BB">
        <w:rPr>
          <w:color w:val="0000FF"/>
        </w:rPr>
        <w:t>马格努斯</w:t>
      </w:r>
      <w:r w:rsidRPr="0097554A">
        <w:rPr>
          <w:color w:val="0000FF"/>
          <w:lang w:val="ru-RU"/>
        </w:rPr>
        <w:t>，</w:t>
      </w:r>
      <w:r w:rsidRPr="004C59BB">
        <w:rPr>
          <w:color w:val="0000FF"/>
        </w:rPr>
        <w:t>《致弗拉维乌斯的书信》残篇</w:t>
      </w:r>
      <w:r w:rsidRPr="0097554A">
        <w:rPr>
          <w:color w:val="0000FF"/>
          <w:lang w:val="ru-RU"/>
        </w:rPr>
        <w:t>1（</w:t>
      </w:r>
      <w:r w:rsidRPr="004C59BB">
        <w:rPr>
          <w:color w:val="0000FF"/>
        </w:rPr>
        <w:t>见曼西《教父文集》第六卷</w:t>
      </w:r>
      <w:r w:rsidRPr="0097554A">
        <w:rPr>
          <w:color w:val="0000FF"/>
          <w:lang w:val="ru-RU"/>
        </w:rPr>
        <w:t>，</w:t>
      </w:r>
      <w:r w:rsidRPr="004C59BB">
        <w:rPr>
          <w:color w:val="0000FF"/>
        </w:rPr>
        <w:t>第</w:t>
      </w:r>
      <w:r w:rsidRPr="0097554A">
        <w:rPr>
          <w:color w:val="0000FF"/>
          <w:lang w:val="ru-RU"/>
        </w:rPr>
        <w:t>424</w:t>
      </w:r>
      <w:r w:rsidRPr="004C59BB">
        <w:rPr>
          <w:color w:val="0000FF"/>
        </w:rPr>
        <w:t>页</w:t>
      </w:r>
      <w:r w:rsidRPr="0097554A">
        <w:rPr>
          <w:color w:val="0000FF"/>
          <w:lang w:val="ru-RU"/>
        </w:rPr>
        <w:t>）；</w:t>
      </w:r>
      <w:r w:rsidRPr="004C59BB">
        <w:rPr>
          <w:color w:val="0000FF"/>
        </w:rPr>
        <w:t>亚历山大的西里尔</w:t>
      </w:r>
      <w:r w:rsidRPr="0097554A">
        <w:rPr>
          <w:color w:val="0000FF"/>
          <w:lang w:val="ru-RU"/>
        </w:rPr>
        <w:t>，</w:t>
      </w:r>
      <w:r w:rsidRPr="004C59BB">
        <w:rPr>
          <w:color w:val="0000FF"/>
        </w:rPr>
        <w:t>《以弗所讲道集》</w:t>
      </w:r>
      <w:r w:rsidRPr="0097554A">
        <w:rPr>
          <w:color w:val="0000FF"/>
          <w:lang w:val="ru-RU"/>
        </w:rPr>
        <w:t>（</w:t>
      </w:r>
      <w:r w:rsidRPr="004C59BB">
        <w:rPr>
          <w:color w:val="0000FF"/>
        </w:rPr>
        <w:t>针对涅斯托里乌斯派</w:t>
      </w:r>
      <w:r w:rsidRPr="0097554A">
        <w:rPr>
          <w:color w:val="0000FF"/>
          <w:lang w:val="ru-RU"/>
        </w:rPr>
        <w:t>），</w:t>
      </w:r>
      <w:r w:rsidRPr="004C59BB">
        <w:rPr>
          <w:color w:val="0000FF"/>
        </w:rPr>
        <w:t>第</w:t>
      </w:r>
      <w:r w:rsidRPr="0097554A">
        <w:rPr>
          <w:color w:val="0000FF"/>
          <w:lang w:val="ru-RU"/>
        </w:rPr>
        <w:t>355</w:t>
      </w:r>
      <w:r w:rsidRPr="004C59BB">
        <w:rPr>
          <w:color w:val="0000FF"/>
        </w:rPr>
        <w:t>页</w:t>
      </w:r>
      <w:r w:rsidRPr="0097554A">
        <w:rPr>
          <w:color w:val="0000FF"/>
          <w:lang w:val="ru-RU"/>
        </w:rPr>
        <w:t>，</w:t>
      </w:r>
      <w:r w:rsidRPr="004C59BB">
        <w:rPr>
          <w:color w:val="0000FF"/>
        </w:rPr>
        <w:t>第六卷</w:t>
      </w:r>
      <w:r w:rsidRPr="0097554A">
        <w:rPr>
          <w:color w:val="0000FF"/>
          <w:lang w:val="ru-RU"/>
        </w:rPr>
        <w:t>，</w:t>
      </w:r>
      <w:r w:rsidRPr="004C59BB">
        <w:rPr>
          <w:color w:val="0000FF"/>
        </w:rPr>
        <w:t>奥布版。</w:t>
      </w:r>
    </w:p>
  </w:footnote>
  <w:footnote w:id="171">
    <w:p w14:paraId="26615548" w14:textId="77777777" w:rsidR="00AC3C39" w:rsidRPr="004C59BB" w:rsidRDefault="00AC3C39">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第五次大公会议文集</w:t>
      </w:r>
      <w:r w:rsidRPr="0097554A">
        <w:rPr>
          <w:color w:val="0000FF"/>
          <w:lang w:val="ru-RU"/>
        </w:rPr>
        <w:t>，</w:t>
      </w:r>
      <w:r w:rsidRPr="004C59BB">
        <w:rPr>
          <w:color w:val="0000FF"/>
        </w:rPr>
        <w:t>第八卷</w:t>
      </w:r>
      <w:r w:rsidRPr="0097554A">
        <w:rPr>
          <w:color w:val="0000FF"/>
          <w:lang w:val="ru-RU"/>
        </w:rPr>
        <w:t>，</w:t>
      </w:r>
      <w:r w:rsidRPr="004C59BB">
        <w:rPr>
          <w:color w:val="0000FF"/>
        </w:rPr>
        <w:t>引自</w:t>
      </w:r>
      <w:r w:rsidRPr="0097554A">
        <w:rPr>
          <w:color w:val="0000FF"/>
          <w:lang w:val="ru-RU"/>
        </w:rPr>
        <w:t xml:space="preserve"> </w:t>
      </w:r>
      <w:r w:rsidRPr="004C59BB">
        <w:rPr>
          <w:color w:val="0000FF"/>
        </w:rPr>
        <w:t>宾卷</w:t>
      </w:r>
      <w:r w:rsidRPr="0097554A">
        <w:rPr>
          <w:color w:val="0000FF"/>
          <w:lang w:val="ru-RU"/>
        </w:rPr>
        <w:t>，</w:t>
      </w:r>
      <w:r w:rsidRPr="004C59BB">
        <w:rPr>
          <w:color w:val="0000FF"/>
        </w:rPr>
        <w:t>第II卷</w:t>
      </w:r>
      <w:r w:rsidRPr="0097554A">
        <w:rPr>
          <w:color w:val="0000FF"/>
          <w:lang w:val="ru-RU"/>
        </w:rPr>
        <w:t>，</w:t>
      </w:r>
      <w:r w:rsidRPr="004C59BB">
        <w:rPr>
          <w:color w:val="0000FF"/>
          <w:lang w:val="ru-RU"/>
        </w:rPr>
        <w:t>第II部分，第115、116页，同处在第六项大公决议中规定：“若有人以诡诈之心，且非本意地接受圣哈尔基顿大公会议所使用的‘圣洁、正统、永贞童贞玛利亚——天主之母’这一称谓，则当受绝罚”。</w:t>
      </w:r>
    </w:p>
  </w:footnote>
  <w:footnote w:id="172">
    <w:p w14:paraId="7F118511"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《圣使徒、大公会议及圣教父教义大全》，第62页。</w:t>
      </w:r>
    </w:p>
  </w:footnote>
  <w:footnote w:id="173">
    <w:p w14:paraId="5E2ADC2D" w14:textId="77777777" w:rsidR="00091CD5" w:rsidRPr="0097554A" w:rsidRDefault="00091CD5">
      <w:pPr>
        <w:pStyle w:val="FootnoteText"/>
        <w:rPr>
          <w:color w:val="0000FF"/>
        </w:rPr>
      </w:pPr>
      <w:r w:rsidRPr="004C59BB">
        <w:rPr>
          <w:rStyle w:val="FootnoteReference"/>
          <w:color w:val="0000FF"/>
        </w:rPr>
        <w:footnoteRef/>
      </w:r>
      <w:r w:rsidRPr="004C59BB">
        <w:rPr>
          <w:color w:val="0000FF"/>
          <w:lang w:val="ru-RU"/>
        </w:rPr>
        <w:t xml:space="preserve"> 在古代，持这种谬见的有：埃夫诺米乌斯（</w:t>
      </w:r>
      <w:r w:rsidRPr="004C59BB">
        <w:rPr>
          <w:color w:val="0000FF"/>
        </w:rPr>
        <w:t>Philostorg</w:t>
      </w:r>
      <w:r w:rsidRPr="004C59BB">
        <w:rPr>
          <w:color w:val="0000FF"/>
          <w:lang w:val="ru-RU"/>
        </w:rPr>
        <w:t xml:space="preserve">. </w:t>
      </w:r>
      <w:r w:rsidRPr="004C59BB">
        <w:rPr>
          <w:color w:val="0000FF"/>
        </w:rPr>
        <w:t>Η</w:t>
      </w:r>
      <w:r w:rsidRPr="004C59BB">
        <w:rPr>
          <w:color w:val="0000FF"/>
          <w:lang w:val="ru-RU"/>
        </w:rPr>
        <w:t xml:space="preserve">. Ε. </w:t>
      </w:r>
      <w:r w:rsidRPr="004C59BB">
        <w:rPr>
          <w:color w:val="0000FF"/>
        </w:rPr>
        <w:t>VI</w:t>
      </w:r>
      <w:r w:rsidRPr="004C59BB">
        <w:rPr>
          <w:color w:val="0000FF"/>
          <w:lang w:val="ru-RU"/>
        </w:rPr>
        <w:t>,</w:t>
      </w:r>
      <w:r w:rsidR="00F45CFB" w:rsidRPr="004C59BB">
        <w:rPr>
          <w:bCs/>
          <w:color w:val="0000FF"/>
          <w:lang w:val="ru-RU"/>
        </w:rPr>
        <w:t xml:space="preserve"> 2）</w:t>
      </w:r>
      <w:r w:rsidRPr="004C59BB">
        <w:rPr>
          <w:color w:val="0000FF"/>
          <w:lang w:val="ru-RU"/>
        </w:rPr>
        <w:t>和阿波利纳里乌斯的部分追随者（</w:t>
      </w:r>
      <w:r w:rsidRPr="004C59BB">
        <w:rPr>
          <w:color w:val="0000FF"/>
        </w:rPr>
        <w:t>Epiphan</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LXXVII</w:t>
      </w:r>
      <w:r w:rsidRPr="0097554A">
        <w:rPr>
          <w:color w:val="0000FF"/>
        </w:rPr>
        <w:t xml:space="preserve">, </w:t>
      </w:r>
      <w:r w:rsidRPr="004C59BB">
        <w:rPr>
          <w:color w:val="0000FF"/>
        </w:rPr>
        <w:t>n</w:t>
      </w:r>
      <w:r w:rsidRPr="0097554A">
        <w:rPr>
          <w:color w:val="0000FF"/>
        </w:rPr>
        <w:t>. 26），</w:t>
      </w:r>
      <w:r w:rsidRPr="004C59BB">
        <w:rPr>
          <w:color w:val="0000FF"/>
          <w:lang w:val="ru-RU"/>
        </w:rPr>
        <w:t>以及赫尔维迪乌斯及其追随者</w:t>
      </w:r>
      <w:r w:rsidRPr="0097554A">
        <w:rPr>
          <w:color w:val="0000FF"/>
        </w:rPr>
        <w:t>（</w:t>
      </w:r>
      <w:r w:rsidRPr="004C59BB">
        <w:rPr>
          <w:color w:val="0000FF"/>
        </w:rPr>
        <w:t>Hieronym</w:t>
      </w:r>
      <w:r w:rsidRPr="0097554A">
        <w:rPr>
          <w:color w:val="0000FF"/>
        </w:rPr>
        <w:t xml:space="preserve">. </w:t>
      </w:r>
      <w:r w:rsidRPr="004C59BB">
        <w:rPr>
          <w:color w:val="0000FF"/>
        </w:rPr>
        <w:t>adv</w:t>
      </w:r>
      <w:r w:rsidRPr="0097554A">
        <w:rPr>
          <w:color w:val="0000FF"/>
        </w:rPr>
        <w:t xml:space="preserve">. </w:t>
      </w:r>
      <w:r w:rsidRPr="004C59BB">
        <w:rPr>
          <w:color w:val="0000FF"/>
        </w:rPr>
        <w:t>Helvid</w:t>
      </w:r>
      <w:r w:rsidRPr="0097554A">
        <w:rPr>
          <w:color w:val="0000FF"/>
        </w:rPr>
        <w:t xml:space="preserve">.; </w:t>
      </w:r>
      <w:r w:rsidRPr="004C59BB">
        <w:rPr>
          <w:color w:val="0000FF"/>
        </w:rPr>
        <w:t>Gennad</w:t>
      </w:r>
      <w:r w:rsidRPr="0097554A">
        <w:rPr>
          <w:color w:val="0000FF"/>
        </w:rPr>
        <w:t xml:space="preserve">. </w:t>
      </w:r>
      <w:r w:rsidRPr="004C59BB">
        <w:rPr>
          <w:color w:val="0000FF"/>
        </w:rPr>
        <w:t>de dogm</w:t>
      </w:r>
      <w:r w:rsidRPr="0097554A">
        <w:rPr>
          <w:color w:val="0000FF"/>
        </w:rPr>
        <w:t xml:space="preserve">. </w:t>
      </w:r>
      <w:r w:rsidRPr="004C59BB">
        <w:rPr>
          <w:color w:val="0000FF"/>
        </w:rPr>
        <w:t>eccles</w:t>
      </w:r>
      <w:r w:rsidRPr="0097554A">
        <w:rPr>
          <w:color w:val="0000FF"/>
        </w:rPr>
        <w:t xml:space="preserve">. </w:t>
      </w:r>
      <w:r w:rsidRPr="004C59BB">
        <w:rPr>
          <w:color w:val="0000FF"/>
        </w:rPr>
        <w:t>cap</w:t>
      </w:r>
      <w:r w:rsidRPr="0097554A">
        <w:rPr>
          <w:color w:val="0000FF"/>
        </w:rPr>
        <w:t xml:space="preserve">. </w:t>
      </w:r>
      <w:r w:rsidRPr="004C59BB">
        <w:rPr>
          <w:color w:val="0000FF"/>
        </w:rPr>
        <w:t>LIX</w:t>
      </w:r>
      <w:r w:rsidRPr="0097554A">
        <w:rPr>
          <w:color w:val="0000FF"/>
        </w:rPr>
        <w:t>）</w:t>
      </w:r>
      <w:r w:rsidRPr="004C59BB">
        <w:rPr>
          <w:color w:val="0000FF"/>
          <w:lang w:val="ru-RU"/>
        </w:rPr>
        <w:t>以及反迪科马里安派</w:t>
      </w:r>
      <w:r w:rsidRPr="0097554A">
        <w:rPr>
          <w:color w:val="0000FF"/>
        </w:rPr>
        <w:t>（</w:t>
      </w:r>
      <w:r w:rsidRPr="004C59BB">
        <w:rPr>
          <w:color w:val="0000FF"/>
        </w:rPr>
        <w:t>Epiphan</w:t>
      </w:r>
      <w:r w:rsidRPr="0097554A">
        <w:rPr>
          <w:color w:val="0000FF"/>
        </w:rPr>
        <w:t xml:space="preserve">. </w:t>
      </w:r>
      <w:r w:rsidRPr="004C59BB">
        <w:rPr>
          <w:color w:val="0000FF"/>
        </w:rPr>
        <w:t>haeres</w:t>
      </w:r>
      <w:r w:rsidRPr="0097554A">
        <w:rPr>
          <w:color w:val="0000FF"/>
        </w:rPr>
        <w:t xml:space="preserve">. </w:t>
      </w:r>
      <w:r w:rsidRPr="004C59BB">
        <w:rPr>
          <w:color w:val="0000FF"/>
        </w:rPr>
        <w:t>LXXVII</w:t>
      </w:r>
      <w:r w:rsidRPr="0097554A">
        <w:rPr>
          <w:color w:val="0000FF"/>
        </w:rPr>
        <w:t xml:space="preserve">, </w:t>
      </w:r>
      <w:r w:rsidRPr="004C59BB">
        <w:rPr>
          <w:color w:val="0000FF"/>
        </w:rPr>
        <w:t>LXXVIII</w:t>
      </w:r>
      <w:r w:rsidRPr="0097554A">
        <w:rPr>
          <w:color w:val="0000FF"/>
        </w:rPr>
        <w:t xml:space="preserve">; </w:t>
      </w:r>
      <w:r w:rsidRPr="004C59BB">
        <w:rPr>
          <w:color w:val="0000FF"/>
        </w:rPr>
        <w:t>Augustin</w:t>
      </w:r>
      <w:r w:rsidRPr="0097554A">
        <w:rPr>
          <w:color w:val="0000FF"/>
        </w:rPr>
        <w:t xml:space="preserve">. </w:t>
      </w:r>
      <w:r w:rsidRPr="004C59BB">
        <w:rPr>
          <w:color w:val="0000FF"/>
        </w:rPr>
        <w:t>haeres</w:t>
      </w:r>
      <w:r w:rsidRPr="0097554A">
        <w:rPr>
          <w:color w:val="0000FF"/>
        </w:rPr>
        <w:t xml:space="preserve">. </w:t>
      </w:r>
      <w:r w:rsidRPr="004C59BB">
        <w:rPr>
          <w:color w:val="0000FF"/>
        </w:rPr>
        <w:t>LVI</w:t>
      </w:r>
      <w:r w:rsidRPr="0097554A">
        <w:rPr>
          <w:color w:val="0000FF"/>
        </w:rPr>
        <w:t>）</w:t>
      </w:r>
      <w:r w:rsidRPr="004C59BB">
        <w:rPr>
          <w:color w:val="0000FF"/>
          <w:lang w:val="ru-RU"/>
        </w:rPr>
        <w:t>。近代以来</w:t>
      </w:r>
      <w:r w:rsidRPr="0097554A">
        <w:rPr>
          <w:color w:val="0000FF"/>
        </w:rPr>
        <w:t>，</w:t>
      </w:r>
      <w:r w:rsidRPr="004C59BB">
        <w:rPr>
          <w:color w:val="0000FF"/>
          <w:lang w:val="ru-RU"/>
        </w:rPr>
        <w:t>所谓的理性主义者将这一异端与其他异端一同宣扬。</w:t>
      </w:r>
    </w:p>
  </w:footnote>
  <w:footnote w:id="174">
    <w:p w14:paraId="2D4DA60E"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奥利金，《讲道集》第七篇，论《路加福音》。</w:t>
      </w:r>
    </w:p>
  </w:footnote>
  <w:footnote w:id="175">
    <w:p w14:paraId="16E83CA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安布罗斯《论贞女的教义》第5章。</w:t>
      </w:r>
    </w:p>
  </w:footnote>
  <w:footnote w:id="176">
    <w:p w14:paraId="666BBD24"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格纳迪乌斯，《神学教义》，第LXIX章。</w:t>
      </w:r>
    </w:p>
  </w:footnote>
  <w:footnote w:id="177">
    <w:p w14:paraId="4E43EC30" w14:textId="77777777" w:rsidR="00091CD5" w:rsidRPr="0097554A" w:rsidRDefault="00091CD5">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埃皮法尼乌斯</w:t>
      </w:r>
      <w:r w:rsidRPr="004C59BB">
        <w:rPr>
          <w:color w:val="0000FF"/>
          <w:lang w:val="ru-RU"/>
        </w:rPr>
        <w:t>《</w:t>
      </w:r>
      <w:r w:rsidRPr="004C59BB">
        <w:rPr>
          <w:color w:val="0000FF"/>
        </w:rPr>
        <w:t>异端论</w:t>
      </w:r>
      <w:r w:rsidRPr="004C59BB">
        <w:rPr>
          <w:color w:val="0000FF"/>
          <w:lang w:val="ru-RU"/>
        </w:rPr>
        <w:t>》</w:t>
      </w:r>
      <w:r w:rsidRPr="004C59BB">
        <w:rPr>
          <w:color w:val="0000FF"/>
        </w:rPr>
        <w:t>LXXIII</w:t>
      </w:r>
      <w:r w:rsidRPr="004C59BB">
        <w:rPr>
          <w:color w:val="0000FF"/>
          <w:lang w:val="ru-RU"/>
        </w:rPr>
        <w:t>。</w:t>
      </w:r>
    </w:p>
  </w:footnote>
  <w:footnote w:id="178">
    <w:p w14:paraId="1EC8CCAC" w14:textId="77777777" w:rsidR="00091CD5" w:rsidRPr="004C59BB" w:rsidRDefault="00091CD5">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即</w:t>
      </w:r>
      <w:r w:rsidRPr="0097554A">
        <w:rPr>
          <w:color w:val="0000FF"/>
        </w:rPr>
        <w:t>：</w:t>
      </w:r>
      <w:r w:rsidRPr="004C59BB">
        <w:rPr>
          <w:color w:val="0000FF"/>
          <w:lang w:val="ru-RU"/>
        </w:rPr>
        <w:t>公元</w:t>
      </w:r>
      <w:r w:rsidRPr="0097554A">
        <w:rPr>
          <w:color w:val="0000FF"/>
        </w:rPr>
        <w:t>320</w:t>
      </w:r>
      <w:r w:rsidRPr="004C59BB">
        <w:rPr>
          <w:color w:val="0000FF"/>
          <w:lang w:val="ru-RU"/>
        </w:rPr>
        <w:t>年在罗马召开的会议</w:t>
      </w:r>
      <w:r w:rsidRPr="0097554A">
        <w:rPr>
          <w:color w:val="0000FF"/>
        </w:rPr>
        <w:t>，</w:t>
      </w:r>
      <w:r w:rsidRPr="004C59BB">
        <w:rPr>
          <w:color w:val="0000FF"/>
          <w:lang w:val="ru-RU"/>
        </w:rPr>
        <w:t>由教宗西里西乌斯主持</w:t>
      </w:r>
      <w:r w:rsidRPr="0097554A">
        <w:rPr>
          <w:color w:val="0000FF"/>
        </w:rPr>
        <w:t>；</w:t>
      </w:r>
      <w:r w:rsidRPr="004C59BB">
        <w:rPr>
          <w:color w:val="0000FF"/>
          <w:lang w:val="ru-RU"/>
        </w:rPr>
        <w:t>以及同年在米兰召开的会议</w:t>
      </w:r>
      <w:r w:rsidRPr="0097554A">
        <w:rPr>
          <w:color w:val="0000FF"/>
        </w:rPr>
        <w:t>，</w:t>
      </w:r>
      <w:r w:rsidRPr="004C59BB">
        <w:rPr>
          <w:color w:val="0000FF"/>
          <w:lang w:val="ru-RU"/>
        </w:rPr>
        <w:t>由</w:t>
      </w:r>
      <w:r w:rsidRPr="004C59BB">
        <w:rPr>
          <w:color w:val="0000FF"/>
        </w:rPr>
        <w:t>圣安布罗斯</w:t>
      </w:r>
      <w:r w:rsidRPr="004C59BB">
        <w:rPr>
          <w:color w:val="0000FF"/>
          <w:lang w:val="ru-RU"/>
        </w:rPr>
        <w:t>主持</w:t>
      </w:r>
      <w:r w:rsidRPr="004C59BB">
        <w:rPr>
          <w:color w:val="0000FF"/>
        </w:rPr>
        <w:t>。</w:t>
      </w:r>
    </w:p>
  </w:footnote>
  <w:footnote w:id="179">
    <w:p w14:paraId="1860B72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“难道主耶稣会选择一位能以男性精液玷污天界圣殿的女子作为自己的母亲，就像那位根本无法守护童贞贞洁的女子一样吗？……”（安布罗斯《论童贞的教义》第6章）。</w:t>
      </w:r>
    </w:p>
  </w:footnote>
  <w:footnote w:id="180">
    <w:p w14:paraId="515F36BF" w14:textId="77777777" w:rsidR="00091CD5" w:rsidRPr="0097554A" w:rsidRDefault="00091CD5">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约翰</w:t>
      </w:r>
      <w:r w:rsidRPr="0097554A">
        <w:rPr>
          <w:color w:val="0000FF"/>
        </w:rPr>
        <w:t>·</w:t>
      </w:r>
      <w:r w:rsidRPr="004C59BB">
        <w:rPr>
          <w:color w:val="0000FF"/>
          <w:lang w:val="ru-RU"/>
        </w:rPr>
        <w:t>达马斯库斯</w:t>
      </w:r>
      <w:r w:rsidRPr="004C59BB">
        <w:rPr>
          <w:color w:val="0000FF"/>
        </w:rPr>
        <w:t>。</w:t>
      </w:r>
      <w:r w:rsidRPr="004C59BB">
        <w:rPr>
          <w:color w:val="0000FF"/>
          <w:lang w:val="ru-RU"/>
        </w:rPr>
        <w:t>《信仰要义</w:t>
      </w:r>
      <w:r w:rsidRPr="004C59BB">
        <w:rPr>
          <w:color w:val="0000FF"/>
        </w:rPr>
        <w:t>》第四卷</w:t>
      </w:r>
      <w:r w:rsidRPr="0097554A">
        <w:rPr>
          <w:color w:val="0000FF"/>
        </w:rPr>
        <w:t>，</w:t>
      </w:r>
      <w:r w:rsidRPr="004C59BB">
        <w:rPr>
          <w:color w:val="0000FF"/>
          <w:lang w:val="ru-RU"/>
        </w:rPr>
        <w:t>第</w:t>
      </w:r>
      <w:r w:rsidRPr="0097554A">
        <w:rPr>
          <w:color w:val="0000FF"/>
        </w:rPr>
        <w:t>14</w:t>
      </w:r>
      <w:r w:rsidRPr="004C59BB">
        <w:rPr>
          <w:color w:val="0000FF"/>
          <w:lang w:val="ru-RU"/>
        </w:rPr>
        <w:t>章</w:t>
      </w:r>
      <w:r w:rsidRPr="0097554A">
        <w:rPr>
          <w:color w:val="0000FF"/>
        </w:rPr>
        <w:t>，</w:t>
      </w:r>
      <w:r w:rsidRPr="004C59BB">
        <w:rPr>
          <w:color w:val="0000FF"/>
          <w:lang w:val="ru-RU"/>
        </w:rPr>
        <w:t>第</w:t>
      </w:r>
      <w:r w:rsidRPr="0097554A">
        <w:rPr>
          <w:color w:val="0000FF"/>
        </w:rPr>
        <w:t>261</w:t>
      </w:r>
      <w:r w:rsidRPr="004C59BB">
        <w:rPr>
          <w:color w:val="0000FF"/>
          <w:lang w:val="ru-RU"/>
        </w:rPr>
        <w:t>页。</w:t>
      </w:r>
    </w:p>
  </w:footnote>
  <w:footnote w:id="181">
    <w:p w14:paraId="4CC42696" w14:textId="77777777" w:rsidR="00091CD5" w:rsidRPr="0097554A" w:rsidRDefault="00091CD5">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约翰</w:t>
      </w:r>
      <w:r w:rsidRPr="0097554A">
        <w:rPr>
          <w:color w:val="0000FF"/>
        </w:rPr>
        <w:t>·</w:t>
      </w:r>
      <w:r w:rsidRPr="004C59BB">
        <w:rPr>
          <w:color w:val="0000FF"/>
          <w:lang w:val="ru-RU"/>
        </w:rPr>
        <w:t>金口</w:t>
      </w:r>
      <w:r w:rsidRPr="0097554A">
        <w:rPr>
          <w:color w:val="0000FF"/>
        </w:rPr>
        <w:t>，</w:t>
      </w:r>
      <w:r w:rsidRPr="004C59BB">
        <w:rPr>
          <w:color w:val="0000FF"/>
          <w:lang w:val="ru-RU"/>
        </w:rPr>
        <w:t>《马太福音讲道集》第五篇</w:t>
      </w:r>
      <w:r w:rsidRPr="0097554A">
        <w:rPr>
          <w:color w:val="0000FF"/>
        </w:rPr>
        <w:t>，</w:t>
      </w:r>
      <w:r w:rsidRPr="004C59BB">
        <w:rPr>
          <w:color w:val="0000FF"/>
          <w:lang w:val="ru-RU"/>
        </w:rPr>
        <w:t>第</w:t>
      </w:r>
      <w:r w:rsidRPr="0097554A">
        <w:rPr>
          <w:color w:val="0000FF"/>
        </w:rPr>
        <w:t>3</w:t>
      </w:r>
      <w:r w:rsidRPr="004C59BB">
        <w:rPr>
          <w:color w:val="0000FF"/>
          <w:lang w:val="ru-RU"/>
        </w:rPr>
        <w:t>段</w:t>
      </w:r>
      <w:r w:rsidRPr="0097554A">
        <w:rPr>
          <w:color w:val="0000FF"/>
        </w:rPr>
        <w:t>，</w:t>
      </w:r>
      <w:r w:rsidRPr="004C59BB">
        <w:rPr>
          <w:color w:val="0000FF"/>
          <w:lang w:val="ru-RU"/>
        </w:rPr>
        <w:t>第</w:t>
      </w:r>
      <w:r w:rsidRPr="0097554A">
        <w:rPr>
          <w:color w:val="0000FF"/>
        </w:rPr>
        <w:t>83</w:t>
      </w:r>
      <w:r w:rsidRPr="004C59BB">
        <w:rPr>
          <w:color w:val="0000FF"/>
          <w:lang w:val="ru-RU"/>
        </w:rPr>
        <w:t>页</w:t>
      </w:r>
      <w:r w:rsidRPr="0097554A">
        <w:rPr>
          <w:color w:val="0000FF"/>
        </w:rPr>
        <w:t>，</w:t>
      </w:r>
      <w:r w:rsidRPr="004C59BB">
        <w:rPr>
          <w:color w:val="0000FF"/>
          <w:lang w:val="ru-RU"/>
        </w:rPr>
        <w:t>据俄文译本</w:t>
      </w:r>
      <w:r w:rsidRPr="0097554A">
        <w:rPr>
          <w:color w:val="0000FF"/>
        </w:rPr>
        <w:t>；</w:t>
      </w:r>
      <w:r w:rsidRPr="004C59BB">
        <w:rPr>
          <w:color w:val="0000FF"/>
          <w:lang w:val="ru-RU"/>
        </w:rPr>
        <w:t>希罗普图斯《</w:t>
      </w:r>
      <w:r w:rsidRPr="004C59BB">
        <w:rPr>
          <w:color w:val="0000FF"/>
        </w:rPr>
        <w:t>反赫尔维迪乌斯</w:t>
      </w:r>
      <w:r w:rsidRPr="004C59BB">
        <w:rPr>
          <w:color w:val="0000FF"/>
          <w:lang w:val="ru-RU"/>
        </w:rPr>
        <w:t>》</w:t>
      </w:r>
      <w:r w:rsidRPr="0097554A">
        <w:rPr>
          <w:color w:val="0000FF"/>
        </w:rPr>
        <w:t>，</w:t>
      </w:r>
      <w:r w:rsidRPr="004C59BB">
        <w:rPr>
          <w:color w:val="0000FF"/>
          <w:lang w:val="ru-RU"/>
        </w:rPr>
        <w:t>《论战集》</w:t>
      </w:r>
      <w:r w:rsidRPr="004C59BB">
        <w:rPr>
          <w:color w:val="0000FF"/>
        </w:rPr>
        <w:t>第四</w:t>
      </w:r>
      <w:r w:rsidRPr="004C59BB">
        <w:rPr>
          <w:color w:val="0000FF"/>
          <w:lang w:val="ru-RU"/>
        </w:rPr>
        <w:t>卷</w:t>
      </w:r>
      <w:r w:rsidRPr="0097554A">
        <w:rPr>
          <w:color w:val="0000FF"/>
        </w:rPr>
        <w:t>，</w:t>
      </w:r>
      <w:r w:rsidRPr="004C59BB">
        <w:rPr>
          <w:color w:val="0000FF"/>
        </w:rPr>
        <w:t>第二篇</w:t>
      </w:r>
      <w:r w:rsidRPr="0097554A">
        <w:rPr>
          <w:color w:val="0000FF"/>
        </w:rPr>
        <w:t>，</w:t>
      </w:r>
      <w:r w:rsidRPr="004C59BB">
        <w:rPr>
          <w:color w:val="0000FF"/>
          <w:lang w:val="ru-RU"/>
        </w:rPr>
        <w:t>第</w:t>
      </w:r>
      <w:r w:rsidRPr="0097554A">
        <w:rPr>
          <w:color w:val="0000FF"/>
        </w:rPr>
        <w:t>134</w:t>
      </w:r>
      <w:r w:rsidRPr="004C59BB">
        <w:rPr>
          <w:color w:val="0000FF"/>
          <w:lang w:val="ru-RU"/>
        </w:rPr>
        <w:t>页。</w:t>
      </w:r>
    </w:p>
  </w:footnote>
  <w:footnote w:id="182">
    <w:p w14:paraId="1C09233C" w14:textId="77777777" w:rsidR="007B5BB6" w:rsidRPr="004C59BB" w:rsidRDefault="007B5BB6">
      <w:pPr>
        <w:pStyle w:val="FootnoteText"/>
        <w:rPr>
          <w:color w:val="0000FF"/>
        </w:rPr>
      </w:pPr>
      <w:r w:rsidRPr="004C59BB">
        <w:rPr>
          <w:rStyle w:val="FootnoteReference"/>
          <w:color w:val="0000FF"/>
        </w:rPr>
        <w:footnoteRef/>
      </w:r>
      <w:r w:rsidRPr="0097554A">
        <w:rPr>
          <w:color w:val="0000FF"/>
        </w:rPr>
        <w:t xml:space="preserve"> </w:t>
      </w:r>
      <w:r w:rsidR="005666A3" w:rsidRPr="0097554A">
        <w:rPr>
          <w:color w:val="0000FF"/>
        </w:rPr>
        <w:t>“</w:t>
      </w:r>
      <w:r w:rsidRPr="004C59BB">
        <w:rPr>
          <w:color w:val="0000FF"/>
          <w:lang w:val="ru-RU"/>
        </w:rPr>
        <w:t>倘若他</w:t>
      </w:r>
      <w:r w:rsidRPr="0097554A">
        <w:rPr>
          <w:color w:val="0000FF"/>
        </w:rPr>
        <w:t>（</w:t>
      </w:r>
      <w:r w:rsidRPr="004C59BB">
        <w:rPr>
          <w:color w:val="0000FF"/>
          <w:lang w:val="ru-RU"/>
        </w:rPr>
        <w:t>约瑟</w:t>
      </w:r>
      <w:r w:rsidRPr="0097554A">
        <w:rPr>
          <w:color w:val="0000FF"/>
        </w:rPr>
        <w:t>）</w:t>
      </w:r>
      <w:r w:rsidRPr="004C59BB">
        <w:rPr>
          <w:color w:val="0000FF"/>
          <w:lang w:val="ru-RU"/>
        </w:rPr>
        <w:t>与她同房</w:t>
      </w:r>
      <w:r w:rsidRPr="0097554A">
        <w:rPr>
          <w:color w:val="0000FF"/>
        </w:rPr>
        <w:t>，</w:t>
      </w:r>
      <w:r w:rsidRPr="004C59BB">
        <w:rPr>
          <w:color w:val="0000FF"/>
          <w:lang w:val="ru-RU"/>
        </w:rPr>
        <w:t>并确实娶她为妻</w:t>
      </w:r>
      <w:r w:rsidRPr="0097554A">
        <w:rPr>
          <w:color w:val="0000FF"/>
        </w:rPr>
        <w:t>；</w:t>
      </w:r>
      <w:r w:rsidRPr="004C59BB">
        <w:rPr>
          <w:color w:val="0000FF"/>
          <w:lang w:val="ru-RU"/>
        </w:rPr>
        <w:t>那么</w:t>
      </w:r>
      <w:r w:rsidRPr="0097554A">
        <w:rPr>
          <w:color w:val="0000FF"/>
        </w:rPr>
        <w:t>，</w:t>
      </w:r>
      <w:r w:rsidRPr="004C59BB">
        <w:rPr>
          <w:color w:val="0000FF"/>
          <w:lang w:val="ru-RU"/>
        </w:rPr>
        <w:t>耶稣基督为何要将她托付给门徒</w:t>
      </w:r>
      <w:r w:rsidRPr="0097554A">
        <w:rPr>
          <w:color w:val="0000FF"/>
        </w:rPr>
        <w:t>，</w:t>
      </w:r>
      <w:r w:rsidRPr="004C59BB">
        <w:rPr>
          <w:color w:val="0000FF"/>
          <w:lang w:val="ru-RU"/>
        </w:rPr>
        <w:t>视她为未婚女子、无人相伴</w:t>
      </w:r>
      <w:r w:rsidRPr="0097554A">
        <w:rPr>
          <w:color w:val="0000FF"/>
        </w:rPr>
        <w:t>，</w:t>
      </w:r>
      <w:r w:rsidRPr="004C59BB">
        <w:rPr>
          <w:color w:val="0000FF"/>
          <w:lang w:val="ru-RU"/>
        </w:rPr>
        <w:t>并吩咐他接她到自己身边呢</w:t>
      </w:r>
      <w:r w:rsidRPr="0097554A">
        <w:rPr>
          <w:color w:val="0000FF"/>
        </w:rPr>
        <w:t>？</w:t>
      </w:r>
      <w:r w:rsidR="005666A3" w:rsidRPr="0097554A">
        <w:rPr>
          <w:color w:val="0000FF"/>
        </w:rPr>
        <w:t>”</w:t>
      </w:r>
      <w:r w:rsidRPr="004C59BB">
        <w:rPr>
          <w:color w:val="0000FF"/>
        </w:rPr>
        <w:t>（金口若望《马太福音讲道集》第五卷，第3节，第93页）。他又对门徒说：“看哪，你的母亲。”这位门徒正是被托付了这位母亲的人。倘若玛利亚曾有过婚姻关系，或曾体验过夫妻之床，耶稣又怎会将她从丈夫身边带走呢？（安布罗斯《论贞女的教导》第六章）。</w:t>
      </w:r>
    </w:p>
  </w:footnote>
  <w:footnote w:id="183">
    <w:p w14:paraId="25996700" w14:textId="77777777" w:rsidR="007B5BB6" w:rsidRPr="004C59BB" w:rsidRDefault="007B5BB6">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约翰</w:t>
      </w:r>
      <w:r w:rsidRPr="0097554A">
        <w:rPr>
          <w:color w:val="0000FF"/>
        </w:rPr>
        <w:t>·</w:t>
      </w:r>
      <w:r w:rsidRPr="004C59BB">
        <w:rPr>
          <w:color w:val="0000FF"/>
          <w:lang w:val="ru-RU"/>
        </w:rPr>
        <w:t>金口</w:t>
      </w:r>
      <w:r w:rsidRPr="0097554A">
        <w:rPr>
          <w:color w:val="0000FF"/>
        </w:rPr>
        <w:t>，</w:t>
      </w:r>
      <w:r w:rsidRPr="004C59BB">
        <w:rPr>
          <w:color w:val="0000FF"/>
        </w:rPr>
        <w:t>《马太福音</w:t>
      </w:r>
      <w:r w:rsidRPr="004C59BB">
        <w:rPr>
          <w:color w:val="0000FF"/>
          <w:lang w:val="ru-RU"/>
        </w:rPr>
        <w:t>讲道</w:t>
      </w:r>
      <w:r w:rsidRPr="004C59BB">
        <w:rPr>
          <w:color w:val="0000FF"/>
        </w:rPr>
        <w:t>集》第五篇，第3节，第92–93页；安布罗斯，《论贞女的教导》第五章；伊西多尔·佩卢斯，《书信集》第一卷，第十八封书信。</w:t>
      </w:r>
    </w:p>
  </w:footnote>
  <w:footnote w:id="184">
    <w:p w14:paraId="0911394E" w14:textId="77777777" w:rsidR="007B5BB6" w:rsidRPr="0097554A" w:rsidRDefault="007B5BB6">
      <w:pPr>
        <w:pStyle w:val="FootnoteText"/>
        <w:rPr>
          <w:color w:val="0000FF"/>
        </w:rPr>
      </w:pPr>
      <w:r w:rsidRPr="004C59BB">
        <w:rPr>
          <w:rStyle w:val="FootnoteReference"/>
          <w:color w:val="0000FF"/>
        </w:rPr>
        <w:footnoteRef/>
      </w:r>
      <w:r w:rsidRPr="004C59BB">
        <w:rPr>
          <w:color w:val="0000FF"/>
        </w:rPr>
        <w:t xml:space="preserve"> 耶罗尼姆《反赫尔维迪乌斯》，《文集》第VI卷，第二部分</w:t>
      </w:r>
      <w:r w:rsidRPr="0097554A">
        <w:rPr>
          <w:color w:val="0000FF"/>
        </w:rPr>
        <w:t>，</w:t>
      </w:r>
      <w:r w:rsidRPr="004C59BB">
        <w:rPr>
          <w:color w:val="0000FF"/>
          <w:lang w:val="ru-RU"/>
        </w:rPr>
        <w:t>第</w:t>
      </w:r>
      <w:r w:rsidRPr="0097554A">
        <w:rPr>
          <w:color w:val="0000FF"/>
        </w:rPr>
        <w:t>135</w:t>
      </w:r>
      <w:r w:rsidRPr="004C59BB">
        <w:rPr>
          <w:color w:val="0000FF"/>
          <w:lang w:val="ru-RU"/>
        </w:rPr>
        <w:t>、</w:t>
      </w:r>
      <w:r w:rsidRPr="0097554A">
        <w:rPr>
          <w:color w:val="0000FF"/>
        </w:rPr>
        <w:t>136</w:t>
      </w:r>
      <w:r w:rsidRPr="004C59BB">
        <w:rPr>
          <w:color w:val="0000FF"/>
          <w:lang w:val="ru-RU"/>
        </w:rPr>
        <w:t>页。</w:t>
      </w:r>
    </w:p>
  </w:footnote>
  <w:footnote w:id="185">
    <w:p w14:paraId="74D011B1" w14:textId="77777777" w:rsidR="007B5BB6" w:rsidRPr="004C59BB" w:rsidRDefault="007B5BB6">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正如圣埃皮法尼乌斯</w:t>
      </w:r>
      <w:r w:rsidRPr="0097554A">
        <w:rPr>
          <w:color w:val="0000FF"/>
        </w:rPr>
        <w:t>（</w:t>
      </w:r>
      <w:r w:rsidRPr="004C59BB">
        <w:rPr>
          <w:color w:val="0000FF"/>
          <w:lang w:val="ru-RU"/>
        </w:rPr>
        <w:t>《</w:t>
      </w:r>
      <w:r w:rsidRPr="004C59BB">
        <w:rPr>
          <w:color w:val="0000FF"/>
        </w:rPr>
        <w:t>异端</w:t>
      </w:r>
      <w:r w:rsidRPr="004C59BB">
        <w:rPr>
          <w:color w:val="0000FF"/>
          <w:lang w:val="ru-RU"/>
        </w:rPr>
        <w:t>论》</w:t>
      </w:r>
      <w:r w:rsidRPr="004C59BB">
        <w:rPr>
          <w:color w:val="0000FF"/>
        </w:rPr>
        <w:t>第XXVIII和LXXVIII章</w:t>
      </w:r>
      <w:r w:rsidRPr="0097554A">
        <w:rPr>
          <w:color w:val="0000FF"/>
        </w:rPr>
        <w:t>）</w:t>
      </w:r>
      <w:r w:rsidRPr="004C59BB">
        <w:rPr>
          <w:color w:val="0000FF"/>
          <w:lang w:val="ru-RU"/>
        </w:rPr>
        <w:t>、</w:t>
      </w:r>
      <w:r w:rsidRPr="004C59BB">
        <w:rPr>
          <w:color w:val="0000FF"/>
        </w:rPr>
        <w:t>圣安布罗斯（《论贞女的教导》第VI章）等人所</w:t>
      </w:r>
      <w:r w:rsidRPr="004C59BB">
        <w:rPr>
          <w:color w:val="0000FF"/>
          <w:lang w:val="ru-RU"/>
        </w:rPr>
        <w:t>认为</w:t>
      </w:r>
      <w:r w:rsidRPr="004C59BB">
        <w:rPr>
          <w:color w:val="0000FF"/>
        </w:rPr>
        <w:t>的那样。</w:t>
      </w:r>
    </w:p>
  </w:footnote>
  <w:footnote w:id="186">
    <w:p w14:paraId="6D43A185" w14:textId="77777777" w:rsidR="005F7536" w:rsidRPr="0097554A" w:rsidRDefault="005F7536">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愿诸天欢欣</w:t>
      </w:r>
      <w:r w:rsidRPr="0097554A">
        <w:rPr>
          <w:color w:val="0000FF"/>
        </w:rPr>
        <w:t>，</w:t>
      </w:r>
      <w:r w:rsidRPr="004C59BB">
        <w:rPr>
          <w:color w:val="0000FF"/>
          <w:lang w:val="ru-RU"/>
        </w:rPr>
        <w:t>大地喜乐</w:t>
      </w:r>
      <w:r w:rsidRPr="0097554A">
        <w:rPr>
          <w:color w:val="0000FF"/>
        </w:rPr>
        <w:t>：</w:t>
      </w:r>
      <w:r w:rsidRPr="004C59BB">
        <w:rPr>
          <w:color w:val="0000FF"/>
          <w:lang w:val="ru-RU"/>
        </w:rPr>
        <w:t>因为与圣父同质、同源、同座者</w:t>
      </w:r>
      <w:r w:rsidRPr="0097554A">
        <w:rPr>
          <w:color w:val="0000FF"/>
        </w:rPr>
        <w:t>，</w:t>
      </w:r>
      <w:r w:rsidRPr="004C59BB">
        <w:rPr>
          <w:color w:val="0000FF"/>
          <w:lang w:val="ru-RU"/>
        </w:rPr>
        <w:t>凭着圣父的恩准与旨意</w:t>
      </w:r>
      <w:r w:rsidRPr="0097554A">
        <w:rPr>
          <w:color w:val="0000FF"/>
        </w:rPr>
        <w:t>，</w:t>
      </w:r>
      <w:r w:rsidRPr="004C59BB">
        <w:rPr>
          <w:color w:val="0000FF"/>
          <w:lang w:val="ru-RU"/>
        </w:rPr>
        <w:t>将慷慨与爱人的仁慈化为自身的牺牲</w:t>
      </w:r>
      <w:r w:rsidRPr="0097554A">
        <w:rPr>
          <w:color w:val="0000FF"/>
        </w:rPr>
        <w:t>；</w:t>
      </w:r>
      <w:r w:rsidRPr="004C59BB">
        <w:rPr>
          <w:color w:val="0000FF"/>
          <w:lang w:val="ru-RU"/>
        </w:rPr>
        <w:t>并降临于被圣灵预先洁净的童贞女腹中</w:t>
      </w:r>
      <w:r w:rsidR="005666A3" w:rsidRPr="0097554A">
        <w:rPr>
          <w:color w:val="0000FF"/>
        </w:rPr>
        <w:t>”</w:t>
      </w:r>
      <w:r w:rsidRPr="0097554A">
        <w:rPr>
          <w:color w:val="0000FF"/>
        </w:rPr>
        <w:t xml:space="preserve"> （3</w:t>
      </w:r>
      <w:r w:rsidRPr="004C59BB">
        <w:rPr>
          <w:color w:val="0000FF"/>
          <w:lang w:val="ru-RU"/>
        </w:rPr>
        <w:t>月</w:t>
      </w:r>
      <w:r w:rsidRPr="0097554A">
        <w:rPr>
          <w:color w:val="0000FF"/>
        </w:rPr>
        <w:t>25</w:t>
      </w:r>
      <w:r w:rsidRPr="004C59BB">
        <w:rPr>
          <w:color w:val="0000FF"/>
          <w:lang w:val="ru-RU"/>
        </w:rPr>
        <w:t>日礼仪</w:t>
      </w:r>
      <w:r w:rsidRPr="0097554A">
        <w:rPr>
          <w:color w:val="0000FF"/>
        </w:rPr>
        <w:t>，</w:t>
      </w:r>
      <w:r w:rsidRPr="004C59BB">
        <w:rPr>
          <w:color w:val="0000FF"/>
          <w:lang w:val="ru-RU"/>
        </w:rPr>
        <w:t>游行诗第</w:t>
      </w:r>
      <w:r w:rsidRPr="0097554A">
        <w:rPr>
          <w:color w:val="0000FF"/>
        </w:rPr>
        <w:t>4</w:t>
      </w:r>
      <w:r w:rsidRPr="004C59BB">
        <w:rPr>
          <w:color w:val="0000FF"/>
          <w:lang w:val="ru-RU"/>
        </w:rPr>
        <w:t>首</w:t>
      </w:r>
      <w:r w:rsidRPr="0097554A">
        <w:rPr>
          <w:color w:val="0000FF"/>
        </w:rPr>
        <w:t>）</w:t>
      </w:r>
      <w:r w:rsidRPr="004C59BB">
        <w:rPr>
          <w:color w:val="0000FF"/>
          <w:lang w:val="ru-RU"/>
        </w:rPr>
        <w:t>。</w:t>
      </w:r>
    </w:p>
  </w:footnote>
  <w:footnote w:id="187">
    <w:p w14:paraId="56984CA6" w14:textId="77777777" w:rsidR="005F7536" w:rsidRPr="0097554A" w:rsidRDefault="005F7536">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《讲道集》</w:t>
      </w:r>
      <w:r w:rsidRPr="004C59BB">
        <w:rPr>
          <w:color w:val="0000FF"/>
        </w:rPr>
        <w:t>第十七</w:t>
      </w:r>
      <w:r w:rsidRPr="004C59BB">
        <w:rPr>
          <w:color w:val="0000FF"/>
          <w:lang w:val="ru-RU"/>
        </w:rPr>
        <w:t>卷</w:t>
      </w:r>
      <w:r w:rsidRPr="0097554A">
        <w:rPr>
          <w:color w:val="0000FF"/>
        </w:rPr>
        <w:t>，</w:t>
      </w:r>
      <w:r w:rsidRPr="004C59BB">
        <w:rPr>
          <w:color w:val="0000FF"/>
          <w:lang w:val="ru-RU"/>
        </w:rPr>
        <w:t>第六部分</w:t>
      </w:r>
      <w:r w:rsidRPr="0097554A">
        <w:rPr>
          <w:color w:val="0000FF"/>
        </w:rPr>
        <w:t>，</w:t>
      </w:r>
      <w:r w:rsidRPr="004C59BB">
        <w:rPr>
          <w:color w:val="0000FF"/>
          <w:lang w:val="ru-RU"/>
        </w:rPr>
        <w:t>第</w:t>
      </w:r>
      <w:r w:rsidRPr="0097554A">
        <w:rPr>
          <w:color w:val="0000FF"/>
        </w:rPr>
        <w:t>376</w:t>
      </w:r>
      <w:r w:rsidRPr="004C59BB">
        <w:rPr>
          <w:color w:val="0000FF"/>
          <w:lang w:val="ru-RU"/>
        </w:rPr>
        <w:t>段。</w:t>
      </w:r>
    </w:p>
  </w:footnote>
  <w:footnote w:id="188">
    <w:p w14:paraId="2BC15459" w14:textId="77777777" w:rsidR="00877064" w:rsidRPr="0097554A" w:rsidRDefault="00877064">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《主显节讲道集》</w:t>
      </w:r>
      <w:r w:rsidRPr="0097554A">
        <w:rPr>
          <w:color w:val="0000FF"/>
        </w:rPr>
        <w:t>，</w:t>
      </w:r>
      <w:r w:rsidRPr="004C59BB">
        <w:rPr>
          <w:color w:val="0000FF"/>
          <w:lang w:val="ru-RU"/>
        </w:rPr>
        <w:t>载于《圣教父文集》</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245</w:t>
      </w:r>
      <w:r w:rsidRPr="004C59BB">
        <w:rPr>
          <w:color w:val="0000FF"/>
          <w:lang w:val="ru-RU"/>
        </w:rPr>
        <w:t>页</w:t>
      </w:r>
      <w:r w:rsidRPr="0097554A">
        <w:rPr>
          <w:color w:val="0000FF"/>
        </w:rPr>
        <w:t>；</w:t>
      </w:r>
      <w:r w:rsidRPr="004C59BB">
        <w:rPr>
          <w:color w:val="0000FF"/>
          <w:lang w:val="ru-RU"/>
        </w:rPr>
        <w:t>关于基督的圣约与降临</w:t>
      </w:r>
      <w:r w:rsidRPr="0097554A">
        <w:rPr>
          <w:color w:val="0000FF"/>
        </w:rPr>
        <w:t>，</w:t>
      </w:r>
      <w:r w:rsidRPr="004C59BB">
        <w:rPr>
          <w:color w:val="0000FF"/>
          <w:lang w:val="ru-RU"/>
        </w:rPr>
        <w:t>同上</w:t>
      </w:r>
      <w:r w:rsidRPr="004C59BB">
        <w:rPr>
          <w:color w:val="0000FF"/>
        </w:rPr>
        <w:t>第四</w:t>
      </w:r>
      <w:r w:rsidRPr="004C59BB">
        <w:rPr>
          <w:color w:val="0000FF"/>
          <w:lang w:val="ru-RU"/>
        </w:rPr>
        <w:t>卷</w:t>
      </w:r>
      <w:r w:rsidRPr="0097554A">
        <w:rPr>
          <w:color w:val="0000FF"/>
        </w:rPr>
        <w:t>，</w:t>
      </w:r>
      <w:r w:rsidRPr="004C59BB">
        <w:rPr>
          <w:color w:val="0000FF"/>
          <w:lang w:val="ru-RU"/>
        </w:rPr>
        <w:t>第</w:t>
      </w:r>
      <w:r w:rsidRPr="0097554A">
        <w:rPr>
          <w:color w:val="0000FF"/>
        </w:rPr>
        <w:t>248–249</w:t>
      </w:r>
      <w:r w:rsidRPr="004C59BB">
        <w:rPr>
          <w:color w:val="0000FF"/>
          <w:lang w:val="ru-RU"/>
        </w:rPr>
        <w:t>页。</w:t>
      </w:r>
    </w:p>
  </w:footnote>
  <w:footnote w:id="189">
    <w:p w14:paraId="32CD9E38" w14:textId="77777777" w:rsidR="00877064" w:rsidRPr="0097554A" w:rsidRDefault="00877064">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关于异端的讲道</w:t>
      </w:r>
      <w:r w:rsidRPr="0097554A">
        <w:rPr>
          <w:color w:val="0000FF"/>
        </w:rPr>
        <w:t>，</w:t>
      </w:r>
      <w:r w:rsidRPr="004C59BB">
        <w:rPr>
          <w:color w:val="0000FF"/>
          <w:lang w:val="ru-RU"/>
        </w:rPr>
        <w:t>见《圣教父文集》</w:t>
      </w:r>
      <w:r w:rsidRPr="004C59BB">
        <w:rPr>
          <w:color w:val="0000FF"/>
        </w:rPr>
        <w:t>第十四卷</w:t>
      </w:r>
      <w:r w:rsidRPr="0097554A">
        <w:rPr>
          <w:color w:val="0000FF"/>
        </w:rPr>
        <w:t>，</w:t>
      </w:r>
      <w:r w:rsidRPr="004C59BB">
        <w:rPr>
          <w:color w:val="0000FF"/>
          <w:lang w:val="ru-RU"/>
        </w:rPr>
        <w:t>第</w:t>
      </w:r>
      <w:r w:rsidRPr="0097554A">
        <w:rPr>
          <w:color w:val="0000FF"/>
        </w:rPr>
        <w:t>71</w:t>
      </w:r>
      <w:r w:rsidRPr="004C59BB">
        <w:rPr>
          <w:color w:val="0000FF"/>
          <w:lang w:val="ru-RU"/>
        </w:rPr>
        <w:t>页。</w:t>
      </w:r>
    </w:p>
  </w:footnote>
  <w:footnote w:id="190">
    <w:p w14:paraId="153B938D" w14:textId="77777777" w:rsidR="00877064" w:rsidRPr="0097554A" w:rsidRDefault="00877064">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《信仰要义精确阐述》</w:t>
      </w:r>
      <w:r w:rsidRPr="004C59BB">
        <w:rPr>
          <w:color w:val="0000FF"/>
        </w:rPr>
        <w:t>第三卷</w:t>
      </w:r>
      <w:r w:rsidRPr="0097554A">
        <w:rPr>
          <w:color w:val="0000FF"/>
        </w:rPr>
        <w:t>，</w:t>
      </w:r>
      <w:r w:rsidRPr="004C59BB">
        <w:rPr>
          <w:color w:val="0000FF"/>
          <w:lang w:val="ru-RU"/>
        </w:rPr>
        <w:t>第</w:t>
      </w:r>
      <w:r w:rsidRPr="0097554A">
        <w:rPr>
          <w:color w:val="0000FF"/>
        </w:rPr>
        <w:t>2</w:t>
      </w:r>
      <w:r w:rsidRPr="004C59BB">
        <w:rPr>
          <w:color w:val="0000FF"/>
          <w:lang w:val="ru-RU"/>
        </w:rPr>
        <w:t>章</w:t>
      </w:r>
      <w:r w:rsidRPr="0097554A">
        <w:rPr>
          <w:color w:val="0000FF"/>
        </w:rPr>
        <w:t>，</w:t>
      </w:r>
      <w:r w:rsidRPr="004C59BB">
        <w:rPr>
          <w:color w:val="0000FF"/>
          <w:lang w:val="ru-RU"/>
        </w:rPr>
        <w:t>第</w:t>
      </w:r>
      <w:r w:rsidRPr="0097554A">
        <w:rPr>
          <w:color w:val="0000FF"/>
        </w:rPr>
        <w:t>138–139</w:t>
      </w:r>
      <w:r w:rsidRPr="004C59BB">
        <w:rPr>
          <w:color w:val="0000FF"/>
          <w:lang w:val="ru-RU"/>
        </w:rPr>
        <w:t>页。</w:t>
      </w:r>
    </w:p>
  </w:footnote>
  <w:footnote w:id="191">
    <w:p w14:paraId="29984D75" w14:textId="77777777" w:rsidR="00877064" w:rsidRPr="0097554A" w:rsidRDefault="00877064">
      <w:pPr>
        <w:pStyle w:val="FootnoteText"/>
        <w:rPr>
          <w:color w:val="0000FF"/>
        </w:rPr>
      </w:pPr>
      <w:r w:rsidRPr="004C59BB">
        <w:rPr>
          <w:rStyle w:val="FootnoteReference"/>
          <w:color w:val="0000FF"/>
        </w:rPr>
        <w:footnoteRef/>
      </w:r>
      <w:r w:rsidRPr="004C59BB">
        <w:rPr>
          <w:color w:val="0000FF"/>
        </w:rPr>
        <w:t xml:space="preserve"> 参见上文注115。他说，基督是“罪之肉”的相似。并非指他接受了肉体的相似，仿佛是身体的形象而非真实； 而是要让人理解为罪恶之肉的相似性；基督的肉身本身并非有罪的，而是与那有罪的亚当之肉在种类上相等，而非在罪性上；因此，我们进一步推论，基督的肉身在人类中具有有罪的本质（特土良《论基督的肉身》第十六章</w:t>
      </w:r>
      <w:r w:rsidRPr="0097554A">
        <w:rPr>
          <w:color w:val="0000FF"/>
        </w:rPr>
        <w:t>；</w:t>
      </w:r>
      <w:r w:rsidRPr="004C59BB">
        <w:rPr>
          <w:color w:val="0000FF"/>
          <w:lang w:val="el-GR"/>
        </w:rPr>
        <w:t>参见</w:t>
      </w:r>
      <w:r w:rsidRPr="004C59BB">
        <w:rPr>
          <w:color w:val="0000FF"/>
        </w:rPr>
        <w:t>第四十一章</w:t>
      </w:r>
      <w:r w:rsidRPr="0097554A">
        <w:rPr>
          <w:color w:val="0000FF"/>
        </w:rPr>
        <w:t>）</w:t>
      </w:r>
      <w:r w:rsidRPr="004C59BB">
        <w:rPr>
          <w:color w:val="0000FF"/>
          <w:lang w:val="el-GR"/>
        </w:rPr>
        <w:t>。</w:t>
      </w:r>
    </w:p>
  </w:footnote>
  <w:footnote w:id="192">
    <w:p w14:paraId="52E0550C" w14:textId="77777777" w:rsidR="008131AC" w:rsidRPr="004C59BB" w:rsidRDefault="008131AC">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与</w:t>
      </w:r>
      <w:r w:rsidRPr="0097554A">
        <w:rPr>
          <w:color w:val="0000FF"/>
        </w:rPr>
        <w:t>……</w:t>
      </w:r>
      <w:r w:rsidRPr="004C59BB">
        <w:rPr>
          <w:color w:val="0000FF"/>
          <w:lang w:val="el-GR"/>
        </w:rPr>
        <w:t>唯独无瑕且无罪的基督同在。</w:t>
      </w:r>
      <w:r w:rsidRPr="004C59BB">
        <w:rPr>
          <w:color w:val="0000FF"/>
        </w:rPr>
        <w:t>《与特里丰的对话》，第110章。</w:t>
      </w:r>
    </w:p>
  </w:footnote>
  <w:footnote w:id="193">
    <w:p w14:paraId="032B9B82" w14:textId="77777777" w:rsidR="008131AC" w:rsidRPr="0097554A" w:rsidRDefault="008131AC">
      <w:pPr>
        <w:pStyle w:val="FootnoteText"/>
        <w:rPr>
          <w:color w:val="0000FF"/>
        </w:rPr>
      </w:pPr>
      <w:r w:rsidRPr="004C59BB">
        <w:rPr>
          <w:rStyle w:val="FootnoteReference"/>
          <w:color w:val="0000FF"/>
        </w:rPr>
        <w:footnoteRef/>
      </w:r>
      <w:r w:rsidRPr="004C59BB">
        <w:rPr>
          <w:color w:val="0000FF"/>
        </w:rPr>
        <w:t xml:space="preserve"> 《反异端》第四</w:t>
      </w:r>
      <w:r w:rsidRPr="004C59BB">
        <w:rPr>
          <w:color w:val="0000FF"/>
          <w:lang w:val="el-GR"/>
        </w:rPr>
        <w:t>卷</w:t>
      </w:r>
      <w:r w:rsidRPr="0097554A">
        <w:rPr>
          <w:color w:val="0000FF"/>
        </w:rPr>
        <w:t>，</w:t>
      </w:r>
      <w:r w:rsidRPr="004C59BB">
        <w:rPr>
          <w:color w:val="0000FF"/>
          <w:lang w:val="el-GR"/>
        </w:rPr>
        <w:t>第</w:t>
      </w:r>
      <w:r w:rsidRPr="0097554A">
        <w:rPr>
          <w:color w:val="0000FF"/>
        </w:rPr>
        <w:t>20</w:t>
      </w:r>
      <w:r w:rsidRPr="004C59BB">
        <w:rPr>
          <w:color w:val="0000FF"/>
          <w:lang w:val="el-GR"/>
        </w:rPr>
        <w:t>章</w:t>
      </w:r>
      <w:r w:rsidRPr="0097554A">
        <w:rPr>
          <w:color w:val="0000FF"/>
        </w:rPr>
        <w:t>，</w:t>
      </w:r>
      <w:r w:rsidRPr="004C59BB">
        <w:rPr>
          <w:color w:val="0000FF"/>
          <w:lang w:val="el-GR"/>
        </w:rPr>
        <w:t>第</w:t>
      </w:r>
      <w:r w:rsidRPr="0097554A">
        <w:rPr>
          <w:color w:val="0000FF"/>
        </w:rPr>
        <w:t>2</w:t>
      </w:r>
      <w:r w:rsidRPr="004C59BB">
        <w:rPr>
          <w:color w:val="0000FF"/>
          <w:lang w:val="el-GR"/>
        </w:rPr>
        <w:t>节。</w:t>
      </w:r>
    </w:p>
  </w:footnote>
  <w:footnote w:id="194">
    <w:p w14:paraId="3AF97E27" w14:textId="77777777" w:rsidR="008131AC" w:rsidRPr="0097554A" w:rsidRDefault="008131AC">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因此</w:t>
      </w:r>
      <w:r w:rsidRPr="0097554A">
        <w:rPr>
          <w:color w:val="0000FF"/>
        </w:rPr>
        <w:t>，</w:t>
      </w:r>
      <w:r w:rsidRPr="004C59BB">
        <w:rPr>
          <w:color w:val="0000FF"/>
          <w:lang w:val="el-GR"/>
        </w:rPr>
        <w:t>唯有我们的主</w:t>
      </w:r>
      <w:r w:rsidRPr="0097554A">
        <w:rPr>
          <w:color w:val="0000FF"/>
        </w:rPr>
        <w:t>，</w:t>
      </w:r>
      <w:r w:rsidRPr="004C59BB">
        <w:rPr>
          <w:color w:val="0000FF"/>
          <w:lang w:val="el-GR"/>
        </w:rPr>
        <w:t>自起初便是无瑕的。</w:t>
      </w:r>
      <w:r w:rsidRPr="0097554A">
        <w:rPr>
          <w:color w:val="0000FF"/>
        </w:rPr>
        <w:t xml:space="preserve"> </w:t>
      </w:r>
      <w:r w:rsidRPr="004C59BB">
        <w:rPr>
          <w:color w:val="0000FF"/>
          <w:lang w:val="el-GR"/>
        </w:rPr>
        <w:t>《</w:t>
      </w:r>
      <w:r w:rsidRPr="004C59BB">
        <w:rPr>
          <w:color w:val="0000FF"/>
        </w:rPr>
        <w:t>杂论</w:t>
      </w:r>
      <w:r w:rsidRPr="004C59BB">
        <w:rPr>
          <w:color w:val="0000FF"/>
          <w:lang w:val="el-GR"/>
        </w:rPr>
        <w:t>》</w:t>
      </w:r>
      <w:r w:rsidRPr="004C59BB">
        <w:rPr>
          <w:color w:val="0000FF"/>
        </w:rPr>
        <w:t>第七卷</w:t>
      </w:r>
      <w:r w:rsidRPr="0097554A">
        <w:rPr>
          <w:color w:val="0000FF"/>
        </w:rPr>
        <w:t>，</w:t>
      </w:r>
      <w:r w:rsidRPr="004C59BB">
        <w:rPr>
          <w:color w:val="0000FF"/>
          <w:lang w:val="el-GR"/>
        </w:rPr>
        <w:t>第</w:t>
      </w:r>
      <w:r w:rsidRPr="0097554A">
        <w:rPr>
          <w:color w:val="0000FF"/>
        </w:rPr>
        <w:t>12</w:t>
      </w:r>
      <w:r w:rsidRPr="004C59BB">
        <w:rPr>
          <w:color w:val="0000FF"/>
          <w:lang w:val="el-GR"/>
        </w:rPr>
        <w:t>章。</w:t>
      </w:r>
    </w:p>
  </w:footnote>
  <w:footnote w:id="195">
    <w:p w14:paraId="1069734B" w14:textId="77777777" w:rsidR="008131AC" w:rsidRPr="004C59BB" w:rsidRDefault="008131AC">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无罪之人</w:t>
      </w:r>
      <w:r w:rsidRPr="0097554A">
        <w:rPr>
          <w:color w:val="0000FF"/>
        </w:rPr>
        <w:t>（</w:t>
      </w:r>
      <w:r w:rsidRPr="004C59BB">
        <w:rPr>
          <w:color w:val="0000FF"/>
        </w:rPr>
        <w:t>《</w:t>
      </w:r>
      <w:r w:rsidRPr="004C59BB">
        <w:rPr>
          <w:color w:val="0000FF"/>
          <w:lang w:val="el-GR"/>
        </w:rPr>
        <w:t>论恩赐》第</w:t>
      </w:r>
      <w:r w:rsidRPr="0097554A">
        <w:rPr>
          <w:color w:val="0000FF"/>
        </w:rPr>
        <w:t>1</w:t>
      </w:r>
      <w:r w:rsidRPr="004C59BB">
        <w:rPr>
          <w:color w:val="0000FF"/>
          <w:lang w:val="el-GR"/>
        </w:rPr>
        <w:t>条</w:t>
      </w:r>
      <w:r w:rsidRPr="0097554A">
        <w:rPr>
          <w:color w:val="0000FF"/>
        </w:rPr>
        <w:t>）；</w:t>
      </w:r>
      <w:r w:rsidRPr="004C59BB">
        <w:rPr>
          <w:color w:val="0000FF"/>
          <w:lang w:val="el-GR"/>
        </w:rPr>
        <w:t>无罪之人</w:t>
      </w:r>
      <w:r w:rsidRPr="0097554A">
        <w:rPr>
          <w:color w:val="0000FF"/>
        </w:rPr>
        <w:t>（</w:t>
      </w:r>
      <w:r w:rsidRPr="004C59BB">
        <w:rPr>
          <w:color w:val="0000FF"/>
        </w:rPr>
        <w:t>《</w:t>
      </w:r>
      <w:r w:rsidRPr="004C59BB">
        <w:rPr>
          <w:color w:val="0000FF"/>
          <w:lang w:val="el-GR"/>
        </w:rPr>
        <w:t>神学</w:t>
      </w:r>
      <w:r w:rsidRPr="004C59BB">
        <w:rPr>
          <w:color w:val="0000FF"/>
        </w:rPr>
        <w:t>与道成</w:t>
      </w:r>
      <w:r w:rsidRPr="004C59BB">
        <w:rPr>
          <w:color w:val="0000FF"/>
          <w:lang w:val="el-GR"/>
        </w:rPr>
        <w:t>肉身论</w:t>
      </w:r>
      <w:r w:rsidRPr="0097554A">
        <w:rPr>
          <w:color w:val="0000FF"/>
        </w:rPr>
        <w:t>：</w:t>
      </w:r>
      <w:r w:rsidRPr="004C59BB">
        <w:rPr>
          <w:color w:val="0000FF"/>
        </w:rPr>
        <w:t>反贝罗尼乌斯与赫利乌斯》，第2、4条）。</w:t>
      </w:r>
    </w:p>
  </w:footnote>
  <w:footnote w:id="196">
    <w:p w14:paraId="3878B58D"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狄奥尼修斯·亚历山大，《致保罗·萨莫萨塔书》；优西比乌，《论福音的证明》第三卷，第2章；亚他那修，《论上帝道成肉身》第17、18节； 雅各·尼西比《论忏悔》第七篇，第1节；金口若望《以弗所书讲道集》第三篇，第3节；《希伯来书讲道集》第十三篇，第3节；格雷戈里·尼西比《教理讲道集》第十六章。</w:t>
      </w:r>
    </w:p>
  </w:footnote>
  <w:footnote w:id="197">
    <w:p w14:paraId="09D9A9A2"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祂完全没有罪，无论是原罪，还是本罪（致欧沃德书第CLIV封，第19节）。</w:t>
      </w:r>
    </w:p>
  </w:footnote>
  <w:footnote w:id="198">
    <w:p w14:paraId="7E4D634C"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亚历山大的迪迪莫，《论三位一体》第1卷，第30章；第3卷，第10章；提奥多雷特，《辩驳异端对话录》第3卷；《希伯来书注释》第2章，第8节。</w:t>
      </w:r>
    </w:p>
  </w:footnote>
  <w:footnote w:id="199">
    <w:p w14:paraId="79E74454"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希波吕托斯，《论神学与道成肉身》第11节；金口若望，《罗马书讲道集》第十三篇，第5节；亚历山大的西里尔，《反人形论》第二十三章；奥古斯丁，《圣灵讲道集》第十五篇，第30节；《论罪、功德与救赎》第11、20章，第34节。</w:t>
      </w:r>
    </w:p>
  </w:footnote>
  <w:footnote w:id="200">
    <w:p w14:paraId="3835561C"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亚历山大的克莱门特，《杂论》第七卷，第12章；《教导》第一卷，第2章； 安布罗斯《致希耶罗的书信》（载于《五月文集》第七卷，第160页）；马克西姆《神学小论》第二卷，第14页，康贝版；约翰·达马斯库斯《信仰要义》第三卷，第20章，第207页。</w:t>
      </w:r>
    </w:p>
  </w:footnote>
  <w:footnote w:id="201">
    <w:p w14:paraId="713532E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《论道成肉身讲道集》残篇 XXV、XXIX（见《五月文集》第五卷）。</w:t>
      </w:r>
    </w:p>
  </w:footnote>
  <w:footnote w:id="202">
    <w:p w14:paraId="20EFCE99"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《君士坦丁堡大公会议》第11条，第XII章。</w:t>
      </w:r>
    </w:p>
  </w:footnote>
  <w:footnote w:id="203">
    <w:p w14:paraId="2AD57A0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特土良，《论灵魂》第XIII章。</w:t>
      </w:r>
    </w:p>
  </w:footnote>
  <w:footnote w:id="204">
    <w:p w14:paraId="5AB846F2" w14:textId="77777777" w:rsidR="00810894" w:rsidRPr="0097554A" w:rsidRDefault="00810894">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《信仰真义》</w:t>
      </w:r>
      <w:r w:rsidRPr="0097554A">
        <w:rPr>
          <w:color w:val="0000FF"/>
        </w:rPr>
        <w:t>，</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7</w:t>
      </w:r>
      <w:r w:rsidRPr="004C59BB">
        <w:rPr>
          <w:color w:val="0000FF"/>
          <w:lang w:val="ru-RU"/>
        </w:rPr>
        <w:t>和第</w:t>
      </w:r>
      <w:r w:rsidRPr="0097554A">
        <w:rPr>
          <w:color w:val="0000FF"/>
        </w:rPr>
        <w:t>8</w:t>
      </w:r>
      <w:r w:rsidRPr="004C59BB">
        <w:rPr>
          <w:color w:val="0000FF"/>
          <w:lang w:val="ru-RU"/>
        </w:rPr>
        <w:t>章</w:t>
      </w:r>
      <w:r w:rsidRPr="0097554A">
        <w:rPr>
          <w:color w:val="0000FF"/>
        </w:rPr>
        <w:t>，</w:t>
      </w:r>
      <w:r w:rsidRPr="004C59BB">
        <w:rPr>
          <w:color w:val="0000FF"/>
          <w:lang w:val="ru-RU"/>
        </w:rPr>
        <w:t>第</w:t>
      </w:r>
      <w:r w:rsidRPr="0097554A">
        <w:rPr>
          <w:color w:val="0000FF"/>
        </w:rPr>
        <w:t>155</w:t>
      </w:r>
      <w:r w:rsidRPr="004C59BB">
        <w:rPr>
          <w:color w:val="0000FF"/>
          <w:lang w:val="ru-RU"/>
        </w:rPr>
        <w:t>、</w:t>
      </w:r>
      <w:r w:rsidRPr="0097554A">
        <w:rPr>
          <w:color w:val="0000FF"/>
        </w:rPr>
        <w:t>160</w:t>
      </w:r>
      <w:r w:rsidRPr="004C59BB">
        <w:rPr>
          <w:color w:val="0000FF"/>
          <w:lang w:val="ru-RU"/>
        </w:rPr>
        <w:t>页。</w:t>
      </w:r>
    </w:p>
  </w:footnote>
  <w:footnote w:id="205">
    <w:p w14:paraId="6A86A647" w14:textId="77777777" w:rsidR="00810894" w:rsidRPr="0097554A" w:rsidRDefault="00810894">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关于位格的统一</w:t>
      </w:r>
      <w:r w:rsidRPr="0097554A">
        <w:rPr>
          <w:color w:val="0000FF"/>
        </w:rPr>
        <w:t>——</w:t>
      </w:r>
      <w:r w:rsidRPr="004C59BB">
        <w:rPr>
          <w:color w:val="0000FF"/>
          <w:lang w:val="ru-RU"/>
        </w:rPr>
        <w:t>即两种本性彼此合一</w:t>
      </w:r>
      <w:r w:rsidRPr="0097554A">
        <w:rPr>
          <w:color w:val="0000FF"/>
        </w:rPr>
        <w:t>——</w:t>
      </w:r>
      <w:r w:rsidRPr="004C59BB">
        <w:rPr>
          <w:color w:val="0000FF"/>
          <w:lang w:val="ru-RU"/>
        </w:rPr>
        <w:t>经上说</w:t>
      </w:r>
      <w:r w:rsidRPr="0097554A">
        <w:rPr>
          <w:color w:val="0000FF"/>
        </w:rPr>
        <w:t>，</w:t>
      </w:r>
      <w:r w:rsidRPr="004C59BB">
        <w:rPr>
          <w:color w:val="0000FF"/>
          <w:lang w:val="ru-RU"/>
        </w:rPr>
        <w:t>人子从天而降</w:t>
      </w:r>
      <w:r w:rsidRPr="0097554A">
        <w:rPr>
          <w:color w:val="0000FF"/>
        </w:rPr>
        <w:t>，</w:t>
      </w:r>
      <w:r w:rsidRPr="004C59BB">
        <w:rPr>
          <w:color w:val="0000FF"/>
          <w:lang w:val="ru-RU"/>
        </w:rPr>
        <w:t>神的儿子由童贞女取了肉身</w:t>
      </w:r>
      <w:r w:rsidRPr="0097554A">
        <w:rPr>
          <w:color w:val="0000FF"/>
        </w:rPr>
        <w:t>，</w:t>
      </w:r>
      <w:r w:rsidRPr="004C59BB">
        <w:rPr>
          <w:color w:val="0000FF"/>
          <w:lang w:val="ru-RU"/>
        </w:rPr>
        <w:t>并由她而生</w:t>
      </w:r>
      <w:r w:rsidRPr="0097554A">
        <w:rPr>
          <w:color w:val="0000FF"/>
        </w:rPr>
        <w:t xml:space="preserve">； </w:t>
      </w:r>
      <w:r w:rsidRPr="004C59BB">
        <w:rPr>
          <w:color w:val="0000FF"/>
          <w:lang w:val="ru-RU"/>
        </w:rPr>
        <w:t>并再次申明</w:t>
      </w:r>
      <w:r w:rsidRPr="0097554A">
        <w:rPr>
          <w:color w:val="0000FF"/>
        </w:rPr>
        <w:t>，</w:t>
      </w:r>
      <w:r w:rsidRPr="004C59BB">
        <w:rPr>
          <w:color w:val="0000FF"/>
          <w:lang w:val="ru-RU"/>
        </w:rPr>
        <w:t>神的儿子被钉十字架并安葬</w:t>
      </w:r>
      <w:r w:rsidRPr="0097554A">
        <w:rPr>
          <w:color w:val="0000FF"/>
        </w:rPr>
        <w:t>，</w:t>
      </w:r>
      <w:r w:rsidRPr="004C59BB">
        <w:rPr>
          <w:color w:val="0000FF"/>
          <w:lang w:val="ru-RU"/>
        </w:rPr>
        <w:t>而祂所经历这一切</w:t>
      </w:r>
      <w:r w:rsidRPr="0097554A">
        <w:rPr>
          <w:color w:val="0000FF"/>
        </w:rPr>
        <w:t>，</w:t>
      </w:r>
      <w:r w:rsidRPr="004C59BB">
        <w:rPr>
          <w:color w:val="0000FF"/>
          <w:lang w:val="ru-RU"/>
        </w:rPr>
        <w:t>并非出于祂的神性</w:t>
      </w:r>
      <w:r w:rsidRPr="0097554A">
        <w:rPr>
          <w:color w:val="0000FF"/>
        </w:rPr>
        <w:t>——</w:t>
      </w:r>
      <w:r w:rsidRPr="004C59BB">
        <w:rPr>
          <w:color w:val="0000FF"/>
          <w:lang w:val="ru-RU"/>
        </w:rPr>
        <w:t>按此神性</w:t>
      </w:r>
      <w:r w:rsidRPr="0097554A">
        <w:rPr>
          <w:color w:val="0000FF"/>
        </w:rPr>
        <w:t>，</w:t>
      </w:r>
      <w:r w:rsidRPr="004C59BB">
        <w:rPr>
          <w:color w:val="0000FF"/>
          <w:lang w:val="ru-RU"/>
        </w:rPr>
        <w:t>祂与父同质、同生、同永恒</w:t>
      </w:r>
      <w:r w:rsidRPr="0097554A">
        <w:rPr>
          <w:color w:val="0000FF"/>
        </w:rPr>
        <w:t>——</w:t>
      </w:r>
      <w:r w:rsidRPr="004C59BB">
        <w:rPr>
          <w:color w:val="0000FF"/>
          <w:lang w:val="ru-RU"/>
        </w:rPr>
        <w:t>而是出于软弱的人性。</w:t>
      </w:r>
      <w:r w:rsidRPr="0097554A">
        <w:rPr>
          <w:color w:val="0000FF"/>
        </w:rPr>
        <w:t xml:space="preserve"> </w:t>
      </w:r>
      <w:r w:rsidRPr="004C59BB">
        <w:rPr>
          <w:color w:val="0000FF"/>
          <w:lang w:val="ru-RU"/>
        </w:rPr>
        <w:t>正因如此</w:t>
      </w:r>
      <w:r w:rsidRPr="0097554A">
        <w:rPr>
          <w:color w:val="0000FF"/>
        </w:rPr>
        <w:t>，</w:t>
      </w:r>
      <w:r w:rsidRPr="004C59BB">
        <w:rPr>
          <w:color w:val="0000FF"/>
          <w:lang w:val="ru-RU"/>
        </w:rPr>
        <w:t>我们所有人在《信经》中都承认</w:t>
      </w:r>
      <w:r w:rsidRPr="0097554A">
        <w:rPr>
          <w:color w:val="0000FF"/>
        </w:rPr>
        <w:t>，</w:t>
      </w:r>
      <w:r w:rsidRPr="004C59BB">
        <w:rPr>
          <w:color w:val="0000FF"/>
          <w:lang w:val="ru-RU"/>
        </w:rPr>
        <w:t>独生子被钉在十字架上并</w:t>
      </w:r>
      <w:r w:rsidR="005666A3" w:rsidRPr="004C59BB">
        <w:rPr>
          <w:color w:val="0000FF"/>
          <w:lang w:val="ru-RU"/>
        </w:rPr>
        <w:t>被埋葬了</w:t>
      </w:r>
      <w:r w:rsidR="005666A3" w:rsidRPr="0097554A">
        <w:rPr>
          <w:color w:val="0000FF"/>
        </w:rPr>
        <w:t>”</w:t>
      </w:r>
      <w:r w:rsidRPr="0097554A">
        <w:rPr>
          <w:color w:val="0000FF"/>
        </w:rPr>
        <w:t>（</w:t>
      </w:r>
      <w:r w:rsidRPr="004C59BB">
        <w:rPr>
          <w:color w:val="0000FF"/>
          <w:lang w:val="ru-RU"/>
        </w:rPr>
        <w:t>圣利奥致弗拉维安的书信</w:t>
      </w:r>
      <w:r w:rsidRPr="0097554A">
        <w:rPr>
          <w:color w:val="0000FF"/>
        </w:rPr>
        <w:t>，</w:t>
      </w:r>
      <w:r w:rsidRPr="004C59BB">
        <w:rPr>
          <w:color w:val="0000FF"/>
          <w:lang w:val="ru-RU"/>
        </w:rPr>
        <w:t>载于《基督教读本》</w:t>
      </w:r>
      <w:r w:rsidRPr="0097554A">
        <w:rPr>
          <w:color w:val="0000FF"/>
        </w:rPr>
        <w:t>1841</w:t>
      </w:r>
      <w:r w:rsidRPr="004C59BB">
        <w:rPr>
          <w:color w:val="0000FF"/>
          <w:lang w:val="ru-RU"/>
        </w:rPr>
        <w:t>年版</w:t>
      </w:r>
      <w:r w:rsidRPr="0097554A">
        <w:rPr>
          <w:color w:val="0000FF"/>
        </w:rPr>
        <w:t>，</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157</w:t>
      </w:r>
      <w:r w:rsidRPr="004C59BB">
        <w:rPr>
          <w:color w:val="0000FF"/>
          <w:lang w:val="ru-RU"/>
        </w:rPr>
        <w:t>页</w:t>
      </w:r>
      <w:r w:rsidRPr="0097554A">
        <w:rPr>
          <w:color w:val="0000FF"/>
        </w:rPr>
        <w:t>）</w:t>
      </w:r>
      <w:r w:rsidRPr="004C59BB">
        <w:rPr>
          <w:color w:val="0000FF"/>
          <w:lang w:val="ru-RU"/>
        </w:rPr>
        <w:t>。</w:t>
      </w:r>
    </w:p>
  </w:footnote>
  <w:footnote w:id="206">
    <w:p w14:paraId="4AA5CF01" w14:textId="77777777" w:rsidR="00810894" w:rsidRPr="0097554A" w:rsidRDefault="00810894">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116</w:t>
      </w:r>
      <w:r w:rsidRPr="004C59BB">
        <w:rPr>
          <w:color w:val="0000FF"/>
          <w:lang w:val="ru-RU"/>
        </w:rPr>
        <w:t>。</w:t>
      </w:r>
    </w:p>
  </w:footnote>
  <w:footnote w:id="207">
    <w:p w14:paraId="560331B4" w14:textId="77777777" w:rsidR="008D5E88" w:rsidRPr="004C59BB" w:rsidRDefault="008D5E88">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《信仰要义》精编</w:t>
      </w:r>
      <w:r w:rsidRPr="0097554A">
        <w:rPr>
          <w:color w:val="0000FF"/>
        </w:rPr>
        <w:t>，</w:t>
      </w:r>
      <w:r w:rsidRPr="004C59BB">
        <w:rPr>
          <w:color w:val="0000FF"/>
        </w:rPr>
        <w:t>第三</w:t>
      </w:r>
      <w:r w:rsidRPr="004C59BB">
        <w:rPr>
          <w:color w:val="0000FF"/>
          <w:lang w:val="ru-RU"/>
        </w:rPr>
        <w:t>卷</w:t>
      </w:r>
      <w:r w:rsidRPr="0097554A">
        <w:rPr>
          <w:color w:val="0000FF"/>
        </w:rPr>
        <w:t>，</w:t>
      </w:r>
      <w:r w:rsidRPr="004C59BB">
        <w:rPr>
          <w:color w:val="0000FF"/>
        </w:rPr>
        <w:t>第二</w:t>
      </w:r>
      <w:r w:rsidRPr="004C59BB">
        <w:rPr>
          <w:color w:val="0000FF"/>
          <w:lang w:val="ru-RU"/>
        </w:rPr>
        <w:t>章</w:t>
      </w:r>
      <w:r w:rsidRPr="0097554A">
        <w:rPr>
          <w:color w:val="0000FF"/>
        </w:rPr>
        <w:t>，</w:t>
      </w:r>
      <w:r w:rsidRPr="004C59BB">
        <w:rPr>
          <w:color w:val="0000FF"/>
          <w:lang w:val="ru-RU"/>
        </w:rPr>
        <w:t>第</w:t>
      </w:r>
      <w:r w:rsidRPr="0097554A">
        <w:rPr>
          <w:color w:val="0000FF"/>
        </w:rPr>
        <w:t>166</w:t>
      </w:r>
      <w:r w:rsidRPr="004C59BB">
        <w:rPr>
          <w:color w:val="0000FF"/>
          <w:lang w:val="ru-RU"/>
        </w:rPr>
        <w:t>页。或者正如圣普罗克尔所指出的：“福音书作者通过‘成为肉身’这一表述，表明了这种至臻完美的结合是不可分割的。 因为正如一个单位不能被分成两个单位——若能如此分割，它就不再是‘一’，而是‘二’——同样，那因至完美的结合而成为‘一’的，也不能被分成</w:t>
      </w:r>
      <w:r w:rsidR="005666A3" w:rsidRPr="004C59BB">
        <w:rPr>
          <w:color w:val="0000FF"/>
          <w:lang w:val="ru-RU"/>
        </w:rPr>
        <w:t>‘二’”</w:t>
      </w:r>
      <w:r w:rsidRPr="004C59BB">
        <w:rPr>
          <w:color w:val="0000FF"/>
          <w:lang w:val="ru-RU"/>
        </w:rPr>
        <w:t>（《致亚美尼亚人书：论信仰》，载于《基督教读本》1841年版，</w:t>
      </w:r>
      <w:r w:rsidRPr="004C59BB">
        <w:rPr>
          <w:color w:val="0000FF"/>
        </w:rPr>
        <w:t>第I</w:t>
      </w:r>
      <w:r w:rsidRPr="004C59BB">
        <w:rPr>
          <w:color w:val="0000FF"/>
          <w:lang w:val="ru-RU"/>
        </w:rPr>
        <w:t>卷，第359页）。关于如何理解“道成了肉身”这一表述，其他古代教父的见解，圣费奥多里特还在《埃拉尼派与东正教之间的对话》第一篇中进行了汇总（参见《基督教读本》1846年版，</w:t>
      </w:r>
      <w:r w:rsidRPr="004C59BB">
        <w:rPr>
          <w:color w:val="0000FF"/>
        </w:rPr>
        <w:t>第一卷</w:t>
      </w:r>
      <w:r w:rsidRPr="004C59BB">
        <w:rPr>
          <w:color w:val="0000FF"/>
          <w:lang w:val="ru-RU"/>
        </w:rPr>
        <w:t>，第69–76页）。</w:t>
      </w:r>
    </w:p>
  </w:footnote>
  <w:footnote w:id="208">
    <w:p w14:paraId="5396A626"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参见亚历山大的圣西里尔论主的道成肉身，第9章，载于《基督教读本》1847年版</w:t>
      </w:r>
      <w:r w:rsidRPr="0097554A">
        <w:rPr>
          <w:color w:val="0000FF"/>
          <w:lang w:val="ru-RU"/>
        </w:rPr>
        <w:t>，</w:t>
      </w:r>
      <w:r w:rsidRPr="004C59BB">
        <w:rPr>
          <w:color w:val="0000FF"/>
        </w:rPr>
        <w:t>第III</w:t>
      </w:r>
      <w:r w:rsidRPr="004C59BB">
        <w:rPr>
          <w:color w:val="0000FF"/>
          <w:lang w:val="ru-RU"/>
        </w:rPr>
        <w:t>卷，第176–183页。</w:t>
      </w:r>
    </w:p>
  </w:footnote>
  <w:footnote w:id="209">
    <w:p w14:paraId="5570DEE3"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大马士革，《信仰真义》</w:t>
      </w:r>
      <w:r w:rsidRPr="004C59BB">
        <w:rPr>
          <w:color w:val="0000FF"/>
        </w:rPr>
        <w:t>第三卷</w:t>
      </w:r>
      <w:r w:rsidRPr="004C59BB">
        <w:rPr>
          <w:color w:val="0000FF"/>
          <w:lang w:val="ru-RU"/>
        </w:rPr>
        <w:t>，第12章，第168节。关于同一处使徒书信的经文（加拉太书4:</w:t>
      </w:r>
      <w:r w:rsidR="00F45CFB" w:rsidRPr="004C59BB">
        <w:rPr>
          <w:b/>
          <w:color w:val="0000FF"/>
          <w:lang w:val="ru-RU"/>
        </w:rPr>
        <w:t>4）</w:t>
      </w:r>
      <w:r w:rsidRPr="004C59BB">
        <w:rPr>
          <w:color w:val="0000FF"/>
          <w:lang w:val="ru-RU"/>
        </w:rPr>
        <w:t>，圣安布罗斯指出如下：“他说：‘自己的儿子’，而非‘许多人中的一位’，不是被收养的，而是‘自己的’。 他说‘自己的’，是指圣子的永恒降生；而随后补充说‘由妻子所生’，则表明他的降生也归于祂，但这并非出于神性，而是出于</w:t>
      </w:r>
      <w:r w:rsidRPr="004C59BB">
        <w:rPr>
          <w:color w:val="0000FF"/>
        </w:rPr>
        <w:t>祂</w:t>
      </w:r>
      <w:r w:rsidRPr="004C59BB">
        <w:rPr>
          <w:color w:val="0000FF"/>
          <w:lang w:val="ru-RU"/>
        </w:rPr>
        <w:t>所取</w:t>
      </w:r>
      <w:r w:rsidR="005666A3" w:rsidRPr="004C59BB">
        <w:rPr>
          <w:color w:val="0000FF"/>
        </w:rPr>
        <w:t>的人性</w:t>
      </w:r>
      <w:r w:rsidR="005666A3" w:rsidRPr="0097554A">
        <w:rPr>
          <w:color w:val="0000FF"/>
          <w:lang w:val="ru-RU"/>
        </w:rPr>
        <w:t>”</w:t>
      </w:r>
      <w:r w:rsidRPr="0097554A">
        <w:rPr>
          <w:color w:val="0000FF"/>
          <w:lang w:val="ru-RU"/>
        </w:rPr>
        <w:t>（</w:t>
      </w:r>
      <w:r w:rsidRPr="004C59BB">
        <w:rPr>
          <w:color w:val="0000FF"/>
        </w:rPr>
        <w:t>引自比尼乌斯</w:t>
      </w:r>
      <w:r w:rsidRPr="0097554A">
        <w:rPr>
          <w:color w:val="0000FF"/>
          <w:lang w:val="ru-RU"/>
        </w:rPr>
        <w:t>，</w:t>
      </w:r>
      <w:r w:rsidRPr="004C59BB">
        <w:rPr>
          <w:color w:val="0000FF"/>
        </w:rPr>
        <w:t>《大公会议集》</w:t>
      </w:r>
      <w:r w:rsidRPr="0097554A">
        <w:rPr>
          <w:color w:val="0000FF"/>
          <w:lang w:val="ru-RU"/>
        </w:rPr>
        <w:t xml:space="preserve"> </w:t>
      </w:r>
      <w:r w:rsidRPr="004C59BB">
        <w:rPr>
          <w:color w:val="0000FF"/>
        </w:rPr>
        <w:t>Ephes</w:t>
      </w:r>
      <w:r w:rsidRPr="0097554A">
        <w:rPr>
          <w:color w:val="0000FF"/>
          <w:lang w:val="ru-RU"/>
        </w:rPr>
        <w:t xml:space="preserve">. </w:t>
      </w:r>
      <w:r w:rsidRPr="004C59BB">
        <w:rPr>
          <w:color w:val="0000FF"/>
        </w:rPr>
        <w:t>第I卷</w:t>
      </w:r>
      <w:r w:rsidRPr="0097554A">
        <w:rPr>
          <w:color w:val="0000FF"/>
          <w:lang w:val="ru-RU"/>
        </w:rPr>
        <w:t>，</w:t>
      </w:r>
      <w:r w:rsidRPr="004C59BB">
        <w:rPr>
          <w:color w:val="0000FF"/>
        </w:rPr>
        <w:t>第II部分</w:t>
      </w:r>
      <w:r w:rsidRPr="0097554A">
        <w:rPr>
          <w:color w:val="0000FF"/>
          <w:lang w:val="ru-RU"/>
        </w:rPr>
        <w:t>，</w:t>
      </w:r>
      <w:r w:rsidRPr="004C59BB">
        <w:rPr>
          <w:color w:val="0000FF"/>
        </w:rPr>
        <w:t>第I号文件</w:t>
      </w:r>
      <w:r w:rsidRPr="004C59BB">
        <w:rPr>
          <w:color w:val="0000FF"/>
          <w:lang w:val="ru-RU"/>
        </w:rPr>
        <w:t>，第195</w:t>
      </w:r>
      <w:r w:rsidRPr="004C59BB">
        <w:rPr>
          <w:color w:val="0000FF"/>
        </w:rPr>
        <w:t>页</w:t>
      </w:r>
      <w:r w:rsidRPr="004C59BB">
        <w:rPr>
          <w:color w:val="0000FF"/>
          <w:lang w:val="ru-RU"/>
        </w:rPr>
        <w:t>）。</w:t>
      </w:r>
    </w:p>
  </w:footnote>
  <w:footnote w:id="210">
    <w:p w14:paraId="6623978F"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“称祂为基督，是为了表明祂已成为真正的人；称祂按肉体出自犹太人，是为了证明祂的存在并非始于道成肉身之时；称祂为‘那一位’，是为了宣告祂是无始的； 说‘祂在万有之上’，是为了宣告祂是受造之物的主；称祂为‘神’，是为了让我们不要因祂的外貌和受难而受迷惑，从而拒绝祂不朽的本性；称祂为‘蒙福的’，是为了让我们像敬拜全能者那样敬拜祂，而不是像对待与我们相似的奴仆那样谴责祂； 称祂为“永恒的”，以表明那位以道创造万有的，始终存于其中，并作为神被</w:t>
      </w:r>
      <w:r w:rsidR="005666A3" w:rsidRPr="004C59BB">
        <w:rPr>
          <w:color w:val="0000FF"/>
          <w:lang w:val="ru-RU"/>
        </w:rPr>
        <w:t>宣扬”</w:t>
      </w:r>
      <w:r w:rsidRPr="004C59BB">
        <w:rPr>
          <w:color w:val="0000FF"/>
          <w:lang w:val="ru-RU"/>
        </w:rPr>
        <w:t>（圣普罗克勒《致亚美尼亚人书：论信仰》，载于《基督教读本》1841年版，第1卷，第373–374页）。</w:t>
      </w:r>
    </w:p>
  </w:footnote>
  <w:footnote w:id="211">
    <w:p w14:paraId="7E7A34C4" w14:textId="77777777" w:rsidR="008D5E88" w:rsidRPr="0097554A" w:rsidRDefault="008D5E88">
      <w:pPr>
        <w:pStyle w:val="FootnoteText"/>
        <w:rPr>
          <w:color w:val="0000FF"/>
          <w:lang w:val="ru-RU"/>
        </w:rPr>
      </w:pPr>
      <w:r w:rsidRPr="004C59BB">
        <w:rPr>
          <w:rStyle w:val="FootnoteReference"/>
          <w:color w:val="0000FF"/>
        </w:rPr>
        <w:footnoteRef/>
      </w:r>
      <w:r w:rsidRPr="004C59BB">
        <w:rPr>
          <w:color w:val="0000FF"/>
          <w:lang w:val="ru-RU"/>
        </w:rPr>
        <w:t xml:space="preserve"> </w:t>
      </w:r>
      <w:r w:rsidR="005928C9" w:rsidRPr="004C59BB">
        <w:rPr>
          <w:color w:val="0000FF"/>
        </w:rPr>
        <w:t>引自宾厄姆</w:t>
      </w:r>
      <w:r w:rsidR="005928C9" w:rsidRPr="004C59BB">
        <w:rPr>
          <w:color w:val="0000FF"/>
          <w:lang w:val="ru-RU"/>
        </w:rPr>
        <w:t>《</w:t>
      </w:r>
      <w:r w:rsidR="005928C9" w:rsidRPr="004C59BB">
        <w:rPr>
          <w:color w:val="0000FF"/>
        </w:rPr>
        <w:t>教会起源》第X卷</w:t>
      </w:r>
      <w:r w:rsidR="005928C9" w:rsidRPr="0097554A">
        <w:rPr>
          <w:color w:val="0000FF"/>
          <w:lang w:val="ru-RU"/>
        </w:rPr>
        <w:t>，</w:t>
      </w:r>
      <w:r w:rsidR="005928C9" w:rsidRPr="004C59BB">
        <w:rPr>
          <w:color w:val="0000FF"/>
        </w:rPr>
        <w:t>第</w:t>
      </w:r>
      <w:r w:rsidR="005928C9" w:rsidRPr="0097554A">
        <w:rPr>
          <w:color w:val="0000FF"/>
          <w:lang w:val="ru-RU"/>
        </w:rPr>
        <w:t>4</w:t>
      </w:r>
      <w:r w:rsidR="005928C9" w:rsidRPr="004C59BB">
        <w:rPr>
          <w:color w:val="0000FF"/>
        </w:rPr>
        <w:t>章。</w:t>
      </w:r>
    </w:p>
  </w:footnote>
  <w:footnote w:id="212">
    <w:p w14:paraId="31475205" w14:textId="77777777" w:rsidR="005928C9" w:rsidRPr="0097554A" w:rsidRDefault="005928C9">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《以弗所大公会议》第</w:t>
      </w:r>
      <w:r w:rsidRPr="0097554A">
        <w:rPr>
          <w:color w:val="0000FF"/>
          <w:lang w:val="ru-RU"/>
        </w:rPr>
        <w:t>1</w:t>
      </w:r>
      <w:r w:rsidRPr="004C59BB">
        <w:rPr>
          <w:color w:val="0000FF"/>
        </w:rPr>
        <w:t>卷</w:t>
      </w:r>
      <w:r w:rsidRPr="0097554A">
        <w:rPr>
          <w:color w:val="0000FF"/>
          <w:lang w:val="ru-RU"/>
        </w:rPr>
        <w:t>，</w:t>
      </w:r>
      <w:r w:rsidRPr="004C59BB">
        <w:rPr>
          <w:color w:val="0000FF"/>
        </w:rPr>
        <w:t>教父卷II</w:t>
      </w:r>
      <w:r w:rsidRPr="0097554A">
        <w:rPr>
          <w:color w:val="0000FF"/>
          <w:lang w:val="ru-RU"/>
        </w:rPr>
        <w:t>，</w:t>
      </w:r>
      <w:r w:rsidRPr="004C59BB">
        <w:rPr>
          <w:color w:val="0000FF"/>
        </w:rPr>
        <w:t>会议记录第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121</w:t>
      </w:r>
      <w:r w:rsidRPr="004C59BB">
        <w:rPr>
          <w:color w:val="0000FF"/>
        </w:rPr>
        <w:t>页</w:t>
      </w:r>
      <w:r w:rsidRPr="0097554A">
        <w:rPr>
          <w:color w:val="0000FF"/>
          <w:lang w:val="ru-RU"/>
        </w:rPr>
        <w:t>，</w:t>
      </w:r>
      <w:r w:rsidRPr="004C59BB">
        <w:rPr>
          <w:color w:val="0000FF"/>
        </w:rPr>
        <w:t>引自宾厄姆。</w:t>
      </w:r>
    </w:p>
  </w:footnote>
  <w:footnote w:id="213">
    <w:p w14:paraId="1822456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见《基督教读本》1841年版，第1卷，第57–58页。</w:t>
      </w:r>
    </w:p>
  </w:footnote>
  <w:footnote w:id="214">
    <w:p w14:paraId="75CCA9F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《以弗所书》第7章，载于《基督教读本》1821年卷1，第34页；第20章，第41页。</w:t>
      </w:r>
    </w:p>
  </w:footnote>
  <w:footnote w:id="215">
    <w:p w14:paraId="47A0B7F4" w14:textId="77777777" w:rsidR="005928C9" w:rsidRPr="0097554A" w:rsidRDefault="005928C9">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《反拉加德》</w:t>
      </w:r>
      <w:r w:rsidRPr="0097554A">
        <w:rPr>
          <w:color w:val="0000FF"/>
          <w:lang w:val="ru-RU"/>
        </w:rPr>
        <w:t>，</w:t>
      </w:r>
      <w:r w:rsidRPr="004C59BB">
        <w:rPr>
          <w:color w:val="0000FF"/>
        </w:rPr>
        <w:t>第</w:t>
      </w:r>
      <w:r w:rsidRPr="0097554A">
        <w:rPr>
          <w:color w:val="0000FF"/>
          <w:lang w:val="ru-RU"/>
        </w:rPr>
        <w:t>27</w:t>
      </w:r>
      <w:r w:rsidRPr="004C59BB">
        <w:rPr>
          <w:color w:val="0000FF"/>
        </w:rPr>
        <w:t>章。</w:t>
      </w:r>
    </w:p>
  </w:footnote>
  <w:footnote w:id="216">
    <w:p w14:paraId="7BBDDC09" w14:textId="77777777" w:rsidR="005928C9" w:rsidRPr="004C59BB" w:rsidRDefault="005928C9">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《为上帝的启示作准备》第II号</w:t>
      </w:r>
      <w:r w:rsidRPr="0097554A">
        <w:rPr>
          <w:color w:val="0000FF"/>
          <w:lang w:val="ru-RU"/>
        </w:rPr>
        <w:t>，</w:t>
      </w:r>
      <w:r w:rsidRPr="004C59BB">
        <w:rPr>
          <w:color w:val="0000FF"/>
        </w:rPr>
        <w:t>全集第II卷</w:t>
      </w:r>
      <w:r w:rsidRPr="0097554A">
        <w:rPr>
          <w:color w:val="0000FF"/>
          <w:lang w:val="ru-RU"/>
        </w:rPr>
        <w:t>，</w:t>
      </w:r>
      <w:r w:rsidRPr="004C59BB">
        <w:rPr>
          <w:color w:val="0000FF"/>
        </w:rPr>
        <w:t>第</w:t>
      </w:r>
      <w:r w:rsidRPr="0097554A">
        <w:rPr>
          <w:color w:val="0000FF"/>
          <w:lang w:val="ru-RU"/>
        </w:rPr>
        <w:t>399</w:t>
      </w:r>
      <w:r w:rsidRPr="004C59BB">
        <w:rPr>
          <w:color w:val="0000FF"/>
        </w:rPr>
        <w:t>页</w:t>
      </w:r>
      <w:r w:rsidRPr="0097554A">
        <w:rPr>
          <w:color w:val="0000FF"/>
          <w:lang w:val="ru-RU"/>
        </w:rPr>
        <w:t>；</w:t>
      </w:r>
      <w:r w:rsidRPr="004C59BB">
        <w:rPr>
          <w:color w:val="0000FF"/>
        </w:rPr>
        <w:t>参见</w:t>
      </w:r>
      <w:r w:rsidRPr="004C59BB">
        <w:rPr>
          <w:color w:val="0000FF"/>
          <w:lang w:val="ru-RU"/>
        </w:rPr>
        <w:t>《</w:t>
      </w:r>
      <w:r w:rsidRPr="004C59BB">
        <w:rPr>
          <w:color w:val="0000FF"/>
        </w:rPr>
        <w:t>反阿里乌斯论</w:t>
      </w:r>
      <w:r w:rsidRPr="004C59BB">
        <w:rPr>
          <w:color w:val="0000FF"/>
          <w:lang w:val="ru-RU"/>
        </w:rPr>
        <w:t>》，</w:t>
      </w:r>
      <w:r w:rsidRPr="004C59BB">
        <w:rPr>
          <w:color w:val="0000FF"/>
        </w:rPr>
        <w:t>第三篇</w:t>
      </w:r>
      <w:r w:rsidRPr="004C59BB">
        <w:rPr>
          <w:color w:val="0000FF"/>
          <w:lang w:val="ru-RU"/>
        </w:rPr>
        <w:t>演讲，第31、32号。</w:t>
      </w:r>
    </w:p>
  </w:footnote>
  <w:footnote w:id="217">
    <w:p w14:paraId="3DAF41A7"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《论主显节的讲道》，载于《圣父著作集》</w:t>
      </w:r>
      <w:r w:rsidRPr="004C59BB">
        <w:rPr>
          <w:color w:val="0000FF"/>
        </w:rPr>
        <w:t>第十三卷</w:t>
      </w:r>
      <w:r w:rsidRPr="004C59BB">
        <w:rPr>
          <w:color w:val="0000FF"/>
          <w:lang w:val="ru-RU"/>
        </w:rPr>
        <w:t>，第158–159页。</w:t>
      </w:r>
    </w:p>
  </w:footnote>
  <w:footnote w:id="218">
    <w:p w14:paraId="07766B3A"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致克莱顿书信 1，载于《圣教父著作集》</w:t>
      </w:r>
      <w:r w:rsidRPr="004C59BB">
        <w:rPr>
          <w:color w:val="0000FF"/>
        </w:rPr>
        <w:t>第四</w:t>
      </w:r>
      <w:r w:rsidRPr="004C59BB">
        <w:rPr>
          <w:color w:val="0000FF"/>
          <w:lang w:val="ru-RU"/>
        </w:rPr>
        <w:t>卷，第197页。圣格里高利·尼西也表达了同样的观点</w:t>
      </w:r>
      <w:r w:rsidRPr="0097554A">
        <w:rPr>
          <w:color w:val="0000FF"/>
          <w:lang w:val="ru-RU"/>
        </w:rPr>
        <w:t>：“</w:t>
      </w:r>
      <w:r w:rsidRPr="004C59BB">
        <w:rPr>
          <w:color w:val="0000FF"/>
          <w:lang w:val="el-GR"/>
        </w:rPr>
        <w:t>因为圣经所记载的关于某位人物的两件事</w:t>
      </w:r>
      <w:r w:rsidRPr="0097554A">
        <w:rPr>
          <w:color w:val="0000FF"/>
          <w:lang w:val="ru-RU"/>
        </w:rPr>
        <w:t>，</w:t>
      </w:r>
      <w:r w:rsidRPr="004C59BB">
        <w:rPr>
          <w:color w:val="0000FF"/>
          <w:lang w:val="el-GR"/>
        </w:rPr>
        <w:t>据说是</w:t>
      </w:r>
      <w:r w:rsidRPr="0097554A">
        <w:rPr>
          <w:color w:val="0000FF"/>
          <w:lang w:val="ru-RU"/>
        </w:rPr>
        <w:t>：</w:t>
      </w:r>
      <w:r w:rsidRPr="004C59BB">
        <w:rPr>
          <w:color w:val="0000FF"/>
          <w:lang w:val="el-GR"/>
        </w:rPr>
        <w:t>一方面是犹太人所遭受的苦难</w:t>
      </w:r>
      <w:r w:rsidRPr="0097554A">
        <w:rPr>
          <w:color w:val="0000FF"/>
          <w:lang w:val="ru-RU"/>
        </w:rPr>
        <w:t>，</w:t>
      </w:r>
      <w:r w:rsidRPr="004C59BB">
        <w:rPr>
          <w:color w:val="0000FF"/>
          <w:lang w:val="el-GR"/>
        </w:rPr>
        <w:t>另一方面是上帝所赐的荣耀</w:t>
      </w:r>
      <w:r w:rsidRPr="0097554A">
        <w:rPr>
          <w:color w:val="0000FF"/>
          <w:lang w:val="ru-RU"/>
        </w:rPr>
        <w:t xml:space="preserve"> （</w:t>
      </w:r>
      <w:r w:rsidRPr="004C59BB">
        <w:rPr>
          <w:color w:val="0000FF"/>
          <w:lang w:val="ru-RU"/>
        </w:rPr>
        <w:t>见</w:t>
      </w:r>
      <w:r w:rsidRPr="004C59BB">
        <w:rPr>
          <w:color w:val="0000FF"/>
          <w:lang w:val="el-GR"/>
        </w:rPr>
        <w:t>《</w:t>
      </w:r>
      <w:r w:rsidRPr="004C59BB">
        <w:rPr>
          <w:color w:val="0000FF"/>
        </w:rPr>
        <w:t>反优诺米乌斯演说集</w:t>
      </w:r>
      <w:r w:rsidRPr="004C59BB">
        <w:rPr>
          <w:color w:val="0000FF"/>
          <w:lang w:val="el-GR"/>
        </w:rPr>
        <w:t>》</w:t>
      </w:r>
      <w:r w:rsidRPr="004C59BB">
        <w:rPr>
          <w:color w:val="0000FF"/>
        </w:rPr>
        <w:t>第四</w:t>
      </w:r>
      <w:r w:rsidRPr="004C59BB">
        <w:rPr>
          <w:color w:val="0000FF"/>
          <w:lang w:val="el-GR"/>
        </w:rPr>
        <w:t>卷</w:t>
      </w:r>
      <w:r w:rsidRPr="0097554A">
        <w:rPr>
          <w:color w:val="0000FF"/>
          <w:lang w:val="ru-RU"/>
        </w:rPr>
        <w:t>，</w:t>
      </w:r>
      <w:r w:rsidRPr="004C59BB">
        <w:rPr>
          <w:color w:val="0000FF"/>
          <w:lang w:val="el-GR"/>
        </w:rPr>
        <w:t>第</w:t>
      </w:r>
      <w:r w:rsidRPr="0097554A">
        <w:rPr>
          <w:color w:val="0000FF"/>
          <w:lang w:val="ru-RU"/>
        </w:rPr>
        <w:t>583</w:t>
      </w:r>
      <w:r w:rsidRPr="004C59BB">
        <w:rPr>
          <w:color w:val="0000FF"/>
          <w:lang w:val="el-GR"/>
        </w:rPr>
        <w:t>页</w:t>
      </w:r>
      <w:r w:rsidRPr="0097554A">
        <w:rPr>
          <w:color w:val="0000FF"/>
          <w:lang w:val="ru-RU"/>
        </w:rPr>
        <w:t>，</w:t>
      </w:r>
      <w:r w:rsidRPr="004C59BB">
        <w:rPr>
          <w:color w:val="0000FF"/>
          <w:lang w:val="el-GR"/>
        </w:rPr>
        <w:t>莫雷尔版</w:t>
      </w:r>
      <w:r w:rsidRPr="0097554A">
        <w:rPr>
          <w:color w:val="0000FF"/>
          <w:lang w:val="ru-RU"/>
        </w:rPr>
        <w:t>）；</w:t>
      </w:r>
      <w:r w:rsidRPr="004C59BB">
        <w:rPr>
          <w:color w:val="0000FF"/>
          <w:lang w:val="ru-RU"/>
        </w:rPr>
        <w:t>亚历山大的迪迪莫斯</w:t>
      </w:r>
      <w:r w:rsidRPr="0097554A">
        <w:rPr>
          <w:color w:val="0000FF"/>
          <w:lang w:val="ru-RU"/>
        </w:rPr>
        <w:t>（</w:t>
      </w:r>
      <w:r w:rsidRPr="004C59BB">
        <w:rPr>
          <w:color w:val="0000FF"/>
        </w:rPr>
        <w:t>《论三位一体</w:t>
      </w:r>
      <w:r w:rsidRPr="004C59BB">
        <w:rPr>
          <w:color w:val="0000FF"/>
          <w:lang w:val="el-GR"/>
        </w:rPr>
        <w:t>》</w:t>
      </w:r>
      <w:r w:rsidRPr="004C59BB">
        <w:rPr>
          <w:color w:val="0000FF"/>
        </w:rPr>
        <w:t>第三</w:t>
      </w:r>
      <w:r w:rsidRPr="004C59BB">
        <w:rPr>
          <w:color w:val="0000FF"/>
          <w:lang w:val="el-GR"/>
        </w:rPr>
        <w:t>卷</w:t>
      </w:r>
      <w:r w:rsidRPr="0097554A">
        <w:rPr>
          <w:color w:val="0000FF"/>
          <w:lang w:val="ru-RU"/>
        </w:rPr>
        <w:t>，</w:t>
      </w:r>
      <w:r w:rsidRPr="004C59BB">
        <w:rPr>
          <w:color w:val="0000FF"/>
          <w:lang w:val="el-GR"/>
        </w:rPr>
        <w:t>第</w:t>
      </w:r>
      <w:r w:rsidRPr="0097554A">
        <w:rPr>
          <w:color w:val="0000FF"/>
          <w:lang w:val="ru-RU"/>
        </w:rPr>
        <w:t>6</w:t>
      </w:r>
      <w:r w:rsidRPr="004C59BB">
        <w:rPr>
          <w:color w:val="0000FF"/>
          <w:lang w:val="el-GR"/>
        </w:rPr>
        <w:t>章</w:t>
      </w:r>
      <w:r w:rsidRPr="0097554A">
        <w:rPr>
          <w:color w:val="0000FF"/>
          <w:lang w:val="ru-RU"/>
        </w:rPr>
        <w:t>）</w:t>
      </w:r>
      <w:r w:rsidRPr="004C59BB">
        <w:rPr>
          <w:color w:val="0000FF"/>
          <w:lang w:val="ru-RU"/>
        </w:rPr>
        <w:t>和伊拉里乌斯</w:t>
      </w:r>
      <w:r w:rsidRPr="0097554A">
        <w:rPr>
          <w:color w:val="0000FF"/>
          <w:lang w:val="ru-RU"/>
        </w:rPr>
        <w:t>（</w:t>
      </w:r>
      <w:r w:rsidRPr="004C59BB">
        <w:rPr>
          <w:color w:val="0000FF"/>
        </w:rPr>
        <w:t>《论三位一体</w:t>
      </w:r>
      <w:r w:rsidRPr="004C59BB">
        <w:rPr>
          <w:color w:val="0000FF"/>
          <w:lang w:val="el-GR"/>
        </w:rPr>
        <w:t>》</w:t>
      </w:r>
      <w:r w:rsidRPr="004C59BB">
        <w:rPr>
          <w:color w:val="0000FF"/>
        </w:rPr>
        <w:t>第十卷</w:t>
      </w:r>
      <w:r w:rsidRPr="004C59BB">
        <w:rPr>
          <w:color w:val="0000FF"/>
          <w:lang w:val="ru-RU"/>
        </w:rPr>
        <w:t>，第52章）亦持此说。</w:t>
      </w:r>
    </w:p>
  </w:footnote>
  <w:footnote w:id="219">
    <w:p w14:paraId="64FC5574"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我们引用的圣奥古斯丁的话出自他在聂斯托里乌斯异端出现之前所写的著作，即《</w:t>
      </w:r>
      <w:r w:rsidRPr="004C59BB">
        <w:rPr>
          <w:color w:val="0000FF"/>
        </w:rPr>
        <w:t>致劳伦斯的</w:t>
      </w:r>
      <w:r w:rsidRPr="004C59BB">
        <w:rPr>
          <w:color w:val="0000FF"/>
          <w:lang w:val="ru-RU"/>
        </w:rPr>
        <w:t>指南》（</w:t>
      </w:r>
      <w:r w:rsidRPr="004C59BB">
        <w:rPr>
          <w:color w:val="0000FF"/>
        </w:rPr>
        <w:t>Enchirid</w:t>
      </w:r>
      <w:r w:rsidRPr="004C59BB">
        <w:rPr>
          <w:color w:val="0000FF"/>
          <w:lang w:val="ru-RU"/>
        </w:rPr>
        <w:t xml:space="preserve">. </w:t>
      </w:r>
      <w:r w:rsidRPr="004C59BB">
        <w:rPr>
          <w:color w:val="0000FF"/>
        </w:rPr>
        <w:t>ad</w:t>
      </w:r>
      <w:r w:rsidRPr="0097554A">
        <w:rPr>
          <w:color w:val="0000FF"/>
          <w:lang w:val="ru-RU"/>
        </w:rPr>
        <w:t xml:space="preserve"> </w:t>
      </w:r>
      <w:r w:rsidRPr="004C59BB">
        <w:rPr>
          <w:color w:val="0000FF"/>
        </w:rPr>
        <w:t>Laurent</w:t>
      </w:r>
      <w:r w:rsidRPr="004C59BB">
        <w:rPr>
          <w:color w:val="0000FF"/>
          <w:lang w:val="ru-RU"/>
        </w:rPr>
        <w:t>.）第35节。</w:t>
      </w:r>
    </w:p>
  </w:footnote>
  <w:footnote w:id="220">
    <w:p w14:paraId="3F67249F"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“由四种元素构成的身体，既不能被称为与火同质，也不能被称为火、水或土，更与这四种元素中的任何一种都不同质。 因此，如果基督——正如异端分子所认为的那样——在两种本性结合后成为了一种复合本性：那么祂就从单纯本性转变为复合本性，既不与本性单纯的圣父同质，也不与那种并非由神性与人性本性所构成的物质同质。 在这种情况下，耶稣基督既不属于神性，也不属于人性（马克西姆，</w:t>
      </w:r>
      <w:r w:rsidRPr="004C59BB">
        <w:rPr>
          <w:color w:val="0000FF"/>
        </w:rPr>
        <w:t>《信条》</w:t>
      </w:r>
      <w:r w:rsidRPr="0097554A">
        <w:rPr>
          <w:color w:val="0000FF"/>
          <w:lang w:val="ru-RU"/>
        </w:rPr>
        <w:t>，</w:t>
      </w:r>
      <w:r w:rsidRPr="004C59BB">
        <w:rPr>
          <w:color w:val="0000FF"/>
        </w:rPr>
        <w:t>致约翰</w:t>
      </w:r>
      <w:r w:rsidRPr="0097554A">
        <w:rPr>
          <w:color w:val="0000FF"/>
          <w:lang w:val="ru-RU"/>
        </w:rPr>
        <w:t>·</w:t>
      </w:r>
      <w:r w:rsidRPr="004C59BB">
        <w:rPr>
          <w:color w:val="0000FF"/>
        </w:rPr>
        <w:t>库比克书信</w:t>
      </w:r>
      <w:r w:rsidRPr="0097554A">
        <w:rPr>
          <w:color w:val="0000FF"/>
          <w:lang w:val="ru-RU"/>
        </w:rPr>
        <w:t>，</w:t>
      </w:r>
      <w:r w:rsidRPr="004C59BB">
        <w:rPr>
          <w:color w:val="0000FF"/>
        </w:rPr>
        <w:t>全集第II卷</w:t>
      </w:r>
      <w:r w:rsidRPr="0097554A">
        <w:rPr>
          <w:color w:val="0000FF"/>
          <w:lang w:val="ru-RU"/>
        </w:rPr>
        <w:t>，</w:t>
      </w:r>
      <w:r w:rsidRPr="004C59BB">
        <w:rPr>
          <w:color w:val="0000FF"/>
        </w:rPr>
        <w:t>第</w:t>
      </w:r>
      <w:r w:rsidRPr="0097554A">
        <w:rPr>
          <w:color w:val="0000FF"/>
          <w:lang w:val="ru-RU"/>
        </w:rPr>
        <w:t>279</w:t>
      </w:r>
      <w:r w:rsidRPr="004C59BB">
        <w:rPr>
          <w:color w:val="0000FF"/>
        </w:rPr>
        <w:t>页</w:t>
      </w:r>
      <w:r w:rsidRPr="0097554A">
        <w:rPr>
          <w:color w:val="0000FF"/>
          <w:lang w:val="ru-RU"/>
        </w:rPr>
        <w:t>，</w:t>
      </w:r>
      <w:r w:rsidRPr="004C59BB">
        <w:rPr>
          <w:color w:val="0000FF"/>
        </w:rPr>
        <w:t>Gombefis</w:t>
      </w:r>
      <w:r w:rsidRPr="004C59BB">
        <w:rPr>
          <w:color w:val="0000FF"/>
          <w:lang w:val="ru-RU"/>
        </w:rPr>
        <w:t xml:space="preserve"> 1675年</w:t>
      </w:r>
      <w:r w:rsidRPr="004C59BB">
        <w:rPr>
          <w:color w:val="0000FF"/>
        </w:rPr>
        <w:t>版</w:t>
      </w:r>
      <w:r w:rsidRPr="004C59BB">
        <w:rPr>
          <w:color w:val="0000FF"/>
          <w:lang w:val="ru-RU"/>
        </w:rPr>
        <w:t>； 约翰·达马斯库斯，《信仰要义》</w:t>
      </w:r>
      <w:r w:rsidRPr="004C59BB">
        <w:rPr>
          <w:color w:val="0000FF"/>
        </w:rPr>
        <w:t>第三卷</w:t>
      </w:r>
      <w:r w:rsidRPr="004C59BB">
        <w:rPr>
          <w:color w:val="0000FF"/>
          <w:lang w:val="ru-RU"/>
        </w:rPr>
        <w:t>，第3章，第140–141页）。</w:t>
      </w:r>
    </w:p>
  </w:footnote>
  <w:footnote w:id="221">
    <w:p w14:paraId="72F4CDA9"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参见上文注释103–113及其所涉及的原文。</w:t>
      </w:r>
    </w:p>
  </w:footnote>
  <w:footnote w:id="222">
    <w:p w14:paraId="3482CDCC"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参见注释117–141。</w:t>
      </w:r>
    </w:p>
  </w:footnote>
  <w:footnote w:id="223">
    <w:p w14:paraId="191DD943"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例如：圣利奥（罗马教皇）、亚历山大的圣西里尔、福者狄奥多里特和奥古斯丁、殉道者圣马克西姆、约翰·达马斯库斯等人。</w:t>
      </w:r>
    </w:p>
  </w:footnote>
  <w:footnote w:id="224">
    <w:p w14:paraId="2924A420" w14:textId="77777777" w:rsidR="005D7717" w:rsidRPr="0097554A" w:rsidRDefault="005D7717">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《论</w:t>
      </w:r>
      <w:r w:rsidRPr="004C59BB">
        <w:rPr>
          <w:color w:val="0000FF"/>
          <w:lang w:val="ru-RU"/>
        </w:rPr>
        <w:t>神学</w:t>
      </w:r>
      <w:r w:rsidRPr="004C59BB">
        <w:rPr>
          <w:color w:val="0000FF"/>
        </w:rPr>
        <w:t>与道成</w:t>
      </w:r>
      <w:r w:rsidRPr="004C59BB">
        <w:rPr>
          <w:color w:val="0000FF"/>
          <w:lang w:val="ru-RU"/>
        </w:rPr>
        <w:t>肉身：</w:t>
      </w:r>
      <w:r w:rsidRPr="004C59BB">
        <w:rPr>
          <w:color w:val="0000FF"/>
        </w:rPr>
        <w:t>反</w:t>
      </w:r>
      <w:r w:rsidRPr="004C59BB">
        <w:rPr>
          <w:color w:val="0000FF"/>
          <w:lang w:val="ru-RU"/>
        </w:rPr>
        <w:t>驳</w:t>
      </w:r>
      <w:r w:rsidRPr="004C59BB">
        <w:rPr>
          <w:color w:val="0000FF"/>
        </w:rPr>
        <w:t>贝罗尼乌斯与赫利乌斯》</w:t>
      </w:r>
      <w:r w:rsidRPr="0097554A">
        <w:rPr>
          <w:color w:val="0000FF"/>
          <w:lang w:val="ru-RU"/>
        </w:rPr>
        <w:t>，</w:t>
      </w:r>
      <w:r w:rsidRPr="004C59BB">
        <w:rPr>
          <w:color w:val="0000FF"/>
        </w:rPr>
        <w:t>第II、IV章</w:t>
      </w:r>
      <w:r w:rsidRPr="0097554A">
        <w:rPr>
          <w:color w:val="0000FF"/>
          <w:lang w:val="ru-RU"/>
        </w:rPr>
        <w:t>；</w:t>
      </w:r>
      <w:r w:rsidRPr="004C59BB">
        <w:rPr>
          <w:color w:val="0000FF"/>
          <w:lang w:val="el-GR"/>
        </w:rPr>
        <w:t>参见第VII</w:t>
      </w:r>
      <w:r w:rsidRPr="0097554A">
        <w:rPr>
          <w:color w:val="0000FF"/>
          <w:lang w:val="ru-RU"/>
        </w:rPr>
        <w:t>Ï</w:t>
      </w:r>
      <w:r w:rsidRPr="004C59BB">
        <w:rPr>
          <w:color w:val="0000FF"/>
          <w:lang w:val="el-GR"/>
        </w:rPr>
        <w:t>章</w:t>
      </w:r>
      <w:r w:rsidRPr="0097554A">
        <w:rPr>
          <w:color w:val="0000FF"/>
          <w:lang w:val="ru-RU"/>
        </w:rPr>
        <w:t>：“</w:t>
      </w:r>
      <w:r w:rsidRPr="004C59BB">
        <w:rPr>
          <w:color w:val="0000FF"/>
          <w:lang w:val="el-GR"/>
        </w:rPr>
        <w:t>他既是完全的神</w:t>
      </w:r>
      <w:r w:rsidRPr="0097554A">
        <w:rPr>
          <w:color w:val="0000FF"/>
          <w:lang w:val="ru-RU"/>
        </w:rPr>
        <w:t>，</w:t>
      </w:r>
      <w:r w:rsidRPr="004C59BB">
        <w:rPr>
          <w:color w:val="0000FF"/>
          <w:lang w:val="el-GR"/>
        </w:rPr>
        <w:t>也是完全的人</w:t>
      </w:r>
      <w:r w:rsidRPr="0097554A">
        <w:rPr>
          <w:color w:val="0000FF"/>
          <w:lang w:val="ru-RU"/>
        </w:rPr>
        <w:t>”</w:t>
      </w:r>
      <w:r w:rsidRPr="004C59BB">
        <w:rPr>
          <w:color w:val="0000FF"/>
          <w:lang w:val="el-GR"/>
        </w:rPr>
        <w:t>。</w:t>
      </w:r>
    </w:p>
  </w:footnote>
  <w:footnote w:id="225">
    <w:p w14:paraId="7DB92FB8" w14:textId="77777777" w:rsidR="005D7717" w:rsidRPr="004C59BB" w:rsidRDefault="005D7717">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《反阿波利纳里乌斯论》第一卷</w:t>
      </w:r>
      <w:r w:rsidRPr="0097554A">
        <w:rPr>
          <w:color w:val="0000FF"/>
          <w:lang w:val="ru-RU"/>
        </w:rPr>
        <w:t>，</w:t>
      </w:r>
      <w:r w:rsidRPr="004C59BB">
        <w:rPr>
          <w:color w:val="0000FF"/>
        </w:rPr>
        <w:t>第</w:t>
      </w:r>
      <w:r w:rsidRPr="0097554A">
        <w:rPr>
          <w:color w:val="0000FF"/>
          <w:lang w:val="ru-RU"/>
        </w:rPr>
        <w:t>16</w:t>
      </w:r>
      <w:r w:rsidRPr="004C59BB">
        <w:rPr>
          <w:color w:val="0000FF"/>
        </w:rPr>
        <w:t>节</w:t>
      </w:r>
      <w:r w:rsidRPr="0097554A">
        <w:rPr>
          <w:color w:val="0000FF"/>
          <w:lang w:val="ru-RU"/>
        </w:rPr>
        <w:t>；</w:t>
      </w:r>
      <w:r w:rsidRPr="004C59BB">
        <w:rPr>
          <w:color w:val="0000FF"/>
        </w:rPr>
        <w:t>参见《诗篇》</w:t>
      </w:r>
      <w:r w:rsidRPr="004C59BB">
        <w:rPr>
          <w:color w:val="0000FF"/>
          <w:lang w:val="el-GR"/>
        </w:rPr>
        <w:t>第二十一篇第</w:t>
      </w:r>
      <w:r w:rsidRPr="0097554A">
        <w:rPr>
          <w:color w:val="0000FF"/>
          <w:lang w:val="ru-RU"/>
        </w:rPr>
        <w:t>21</w:t>
      </w:r>
      <w:r w:rsidRPr="004C59BB">
        <w:rPr>
          <w:color w:val="0000FF"/>
          <w:lang w:val="el-GR"/>
        </w:rPr>
        <w:t>节</w:t>
      </w:r>
      <w:r w:rsidRPr="0097554A">
        <w:rPr>
          <w:color w:val="0000FF"/>
          <w:lang w:val="ru-RU"/>
        </w:rPr>
        <w:t>：“</w:t>
      </w:r>
      <w:r w:rsidRPr="004C59BB">
        <w:rPr>
          <w:color w:val="0000FF"/>
          <w:lang w:val="el-GR"/>
        </w:rPr>
        <w:t>因为基督是由两个对立面所构成</w:t>
      </w:r>
      <w:r w:rsidRPr="0097554A">
        <w:rPr>
          <w:color w:val="0000FF"/>
          <w:lang w:val="ru-RU"/>
        </w:rPr>
        <w:t>，</w:t>
      </w:r>
      <w:r w:rsidRPr="004C59BB">
        <w:rPr>
          <w:color w:val="0000FF"/>
          <w:lang w:val="el-GR"/>
        </w:rPr>
        <w:t>既是完全的神</w:t>
      </w:r>
      <w:r w:rsidRPr="0097554A">
        <w:rPr>
          <w:color w:val="0000FF"/>
          <w:lang w:val="ru-RU"/>
        </w:rPr>
        <w:t>，</w:t>
      </w:r>
      <w:r w:rsidRPr="004C59BB">
        <w:rPr>
          <w:color w:val="0000FF"/>
          <w:lang w:val="el-GR"/>
        </w:rPr>
        <w:t>又是完全的人</w:t>
      </w:r>
      <w:r w:rsidRPr="0097554A">
        <w:rPr>
          <w:color w:val="0000FF"/>
          <w:lang w:val="ru-RU"/>
        </w:rPr>
        <w:t>”（</w:t>
      </w:r>
      <w:r w:rsidRPr="004C59BB">
        <w:rPr>
          <w:color w:val="0000FF"/>
        </w:rPr>
        <w:t>见加兰德版第五卷</w:t>
      </w:r>
      <w:r w:rsidRPr="004C59BB">
        <w:rPr>
          <w:color w:val="0000FF"/>
          <w:lang w:val="ru-RU"/>
        </w:rPr>
        <w:t>，第203页）。</w:t>
      </w:r>
    </w:p>
  </w:footnote>
  <w:footnote w:id="226">
    <w:p w14:paraId="4468ACB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《论主变容》一文，载于《圣教父文集》</w:t>
      </w:r>
      <w:r w:rsidRPr="004C59BB">
        <w:rPr>
          <w:color w:val="0000FF"/>
        </w:rPr>
        <w:t>第十三</w:t>
      </w:r>
      <w:r w:rsidRPr="004C59BB">
        <w:rPr>
          <w:color w:val="0000FF"/>
          <w:lang w:val="ru-RU"/>
        </w:rPr>
        <w:t>卷，第154页；注释见第158–159页。</w:t>
      </w:r>
    </w:p>
  </w:footnote>
  <w:footnote w:id="227">
    <w:p w14:paraId="7EB6C085" w14:textId="77777777" w:rsidR="005D7717" w:rsidRPr="0097554A" w:rsidRDefault="005D7717">
      <w:pPr>
        <w:pStyle w:val="FootnoteText"/>
        <w:rPr>
          <w:color w:val="0000FF"/>
          <w:lang w:val="ru-RU"/>
        </w:rPr>
      </w:pPr>
      <w:r w:rsidRPr="004C59BB">
        <w:rPr>
          <w:rStyle w:val="FootnoteReference"/>
          <w:color w:val="0000FF"/>
        </w:rPr>
        <w:footnoteRef/>
      </w:r>
      <w:r w:rsidRPr="004C59BB">
        <w:rPr>
          <w:color w:val="0000FF"/>
          <w:lang w:val="ru-RU"/>
        </w:rPr>
        <w:t xml:space="preserve"> 致乌尔维基乌斯修士书，载于《圣</w:t>
      </w:r>
      <w:r w:rsidRPr="004C59BB">
        <w:rPr>
          <w:color w:val="0000FF"/>
        </w:rPr>
        <w:t>教父文集》第十一卷</w:t>
      </w:r>
      <w:r w:rsidRPr="0097554A">
        <w:rPr>
          <w:color w:val="0000FF"/>
          <w:lang w:val="ru-RU"/>
        </w:rPr>
        <w:t>，</w:t>
      </w:r>
      <w:r w:rsidRPr="004C59BB">
        <w:rPr>
          <w:color w:val="0000FF"/>
        </w:rPr>
        <w:t>第</w:t>
      </w:r>
      <w:r w:rsidRPr="0097554A">
        <w:rPr>
          <w:color w:val="0000FF"/>
          <w:lang w:val="ru-RU"/>
        </w:rPr>
        <w:t>244–246</w:t>
      </w:r>
      <w:r w:rsidRPr="004C59BB">
        <w:rPr>
          <w:color w:val="0000FF"/>
        </w:rPr>
        <w:t>页。</w:t>
      </w:r>
    </w:p>
  </w:footnote>
  <w:footnote w:id="228">
    <w:p w14:paraId="44049891" w14:textId="77777777" w:rsidR="005D7717" w:rsidRPr="004C59BB" w:rsidRDefault="005D7717">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《书信集》第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419</w:t>
      </w:r>
      <w:r w:rsidRPr="004C59BB">
        <w:rPr>
          <w:color w:val="0000FF"/>
        </w:rPr>
        <w:t>封书信。</w:t>
      </w:r>
      <w:r w:rsidRPr="004C59BB">
        <w:rPr>
          <w:color w:val="0000FF"/>
          <w:lang w:val="ru-RU"/>
        </w:rPr>
        <w:t>以下人士也曾阐述过同样的教义</w:t>
      </w:r>
      <w:r w:rsidRPr="0097554A">
        <w:rPr>
          <w:color w:val="0000FF"/>
        </w:rPr>
        <w:t>：</w:t>
      </w:r>
      <w:r w:rsidRPr="004C59BB">
        <w:rPr>
          <w:color w:val="0000FF"/>
          <w:lang w:val="ru-RU"/>
        </w:rPr>
        <w:t>爱任纽</w:t>
      </w:r>
      <w:r w:rsidRPr="0097554A">
        <w:rPr>
          <w:color w:val="0000FF"/>
        </w:rPr>
        <w:t>（</w:t>
      </w:r>
      <w:r w:rsidRPr="004C59BB">
        <w:rPr>
          <w:color w:val="0000FF"/>
          <w:lang w:val="ru-RU"/>
        </w:rPr>
        <w:t>《</w:t>
      </w:r>
      <w:r w:rsidRPr="004C59BB">
        <w:rPr>
          <w:color w:val="0000FF"/>
        </w:rPr>
        <w:t>反</w:t>
      </w:r>
      <w:r w:rsidRPr="004C59BB">
        <w:rPr>
          <w:color w:val="0000FF"/>
          <w:lang w:val="ru-RU"/>
        </w:rPr>
        <w:t>异端》</w:t>
      </w:r>
      <w:r w:rsidRPr="004C59BB">
        <w:rPr>
          <w:color w:val="0000FF"/>
        </w:rPr>
        <w:t>第5卷，第17章，注3）、特土良（《论基督的肉身》第5、11、13章）、伊拉里乌斯（《论三位一体》第9卷，第3章）、尼西亚的格里高利（《反尤诺米乌斯讲道集》 IV）、约翰·金口（《约翰福音讲道集》</w:t>
      </w:r>
      <w:r w:rsidR="00F45CFB" w:rsidRPr="004C59BB">
        <w:rPr>
          <w:b/>
          <w:color w:val="0000FF"/>
          <w:lang w:val="ru-RU"/>
        </w:rPr>
        <w:t>第十一讲</w:t>
      </w:r>
      <w:r w:rsidR="00F45CFB" w:rsidRPr="0097554A">
        <w:rPr>
          <w:b/>
          <w:color w:val="0000FF"/>
        </w:rPr>
        <w:t>，</w:t>
      </w:r>
      <w:r w:rsidR="00F45CFB" w:rsidRPr="004C59BB">
        <w:rPr>
          <w:b/>
          <w:color w:val="0000FF"/>
          <w:lang w:val="ru-RU"/>
        </w:rPr>
        <w:t>注</w:t>
      </w:r>
      <w:r w:rsidR="00F45CFB" w:rsidRPr="0097554A">
        <w:rPr>
          <w:b/>
          <w:color w:val="0000FF"/>
        </w:rPr>
        <w:t>2）</w:t>
      </w:r>
      <w:r w:rsidRPr="004C59BB">
        <w:rPr>
          <w:color w:val="0000FF"/>
          <w:lang w:val="ru-RU"/>
        </w:rPr>
        <w:t>等人。这些见证还被福者狄奥多里特收录于</w:t>
      </w:r>
      <w:r w:rsidR="005666A3" w:rsidRPr="004C59BB">
        <w:rPr>
          <w:color w:val="0000FF"/>
          <w:lang w:val="ru-RU"/>
        </w:rPr>
        <w:t>《</w:t>
      </w:r>
      <w:r w:rsidRPr="004C59BB">
        <w:rPr>
          <w:color w:val="0000FF"/>
          <w:lang w:val="ru-RU"/>
        </w:rPr>
        <w:t>异端论者与正统派之间的第11次辩论</w:t>
      </w:r>
      <w:r w:rsidR="005666A3" w:rsidRPr="004C59BB">
        <w:rPr>
          <w:color w:val="0000FF"/>
          <w:lang w:val="ru-RU"/>
        </w:rPr>
        <w:t>》</w:t>
      </w:r>
      <w:r w:rsidRPr="004C59BB">
        <w:rPr>
          <w:color w:val="0000FF"/>
          <w:lang w:val="ru-RU"/>
        </w:rPr>
        <w:t>中（参见《基督教读物》1846年第1期，第388–397页）。</w:t>
      </w:r>
    </w:p>
  </w:footnote>
  <w:footnote w:id="229">
    <w:p w14:paraId="7F5DBC0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“性质相近者结合后发生融合并相互吞噬，这并没有什么荒谬之处；但在神性与人性之间存在着无穷的差异，我认为二者的融合实属</w:t>
      </w:r>
      <w:r w:rsidR="005666A3" w:rsidRPr="004C59BB">
        <w:rPr>
          <w:color w:val="0000FF"/>
          <w:lang w:val="ru-RU"/>
        </w:rPr>
        <w:t>不可能”</w:t>
      </w:r>
      <w:r w:rsidRPr="004C59BB">
        <w:rPr>
          <w:color w:val="0000FF"/>
          <w:lang w:val="ru-RU"/>
        </w:rPr>
        <w:t xml:space="preserve">（费奥多里特，《 </w:t>
      </w:r>
      <w:r w:rsidRPr="004C59BB">
        <w:rPr>
          <w:color w:val="0000FF"/>
        </w:rPr>
        <w:t>II</w:t>
      </w:r>
      <w:r w:rsidRPr="004C59BB">
        <w:rPr>
          <w:color w:val="0000FF"/>
          <w:lang w:val="ru-RU"/>
        </w:rPr>
        <w:t>，关于耶拉尼派与东正教之争，载于《基督教读物》1846年第1期，第376页）。</w:t>
      </w:r>
    </w:p>
  </w:footnote>
  <w:footnote w:id="230">
    <w:p w14:paraId="4A035214"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参见上文注释227中引用的圣大巴西尔的言论。 亚历山大的圣西里尔也指出：“说肉体变成了神性，或者道变成了肉体的本性，同样是</w:t>
      </w:r>
      <w:r w:rsidR="005666A3" w:rsidRPr="004C59BB">
        <w:rPr>
          <w:color w:val="0000FF"/>
          <w:lang w:val="ru-RU"/>
        </w:rPr>
        <w:t>荒谬的”</w:t>
      </w:r>
      <w:r w:rsidRPr="004C59BB">
        <w:rPr>
          <w:color w:val="0000FF"/>
          <w:lang w:val="ru-RU"/>
        </w:rPr>
        <w:t>（《</w:t>
      </w:r>
      <w:r w:rsidRPr="004C59BB">
        <w:rPr>
          <w:color w:val="0000FF"/>
        </w:rPr>
        <w:t>致塞克斯苏斯书</w:t>
      </w:r>
      <w:r w:rsidRPr="004C59BB">
        <w:rPr>
          <w:color w:val="0000FF"/>
          <w:lang w:val="ru-RU"/>
        </w:rPr>
        <w:t>》，《文集》</w:t>
      </w:r>
      <w:r w:rsidRPr="004C59BB">
        <w:rPr>
          <w:color w:val="0000FF"/>
        </w:rPr>
        <w:t>第V</w:t>
      </w:r>
      <w:r w:rsidRPr="004C59BB">
        <w:rPr>
          <w:color w:val="0000FF"/>
          <w:lang w:val="ru-RU"/>
        </w:rPr>
        <w:t>卷，</w:t>
      </w:r>
      <w:r w:rsidRPr="004C59BB">
        <w:rPr>
          <w:color w:val="0000FF"/>
        </w:rPr>
        <w:t>第II</w:t>
      </w:r>
      <w:r w:rsidRPr="004C59BB">
        <w:rPr>
          <w:color w:val="0000FF"/>
          <w:lang w:val="ru-RU"/>
        </w:rPr>
        <w:t>部分，第140页）。</w:t>
      </w:r>
    </w:p>
  </w:footnote>
  <w:footnote w:id="231">
    <w:p w14:paraId="7C7094B7"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正如圣利奥关于尤提基乌斯所指出的：“他对基督肉身的本质视而不见，因此必然也会对他所受的苦难视而不见。 因为如果他不把主的十字架视为幻影，反而确信祂为拯救世界所承受的苦难是真实的苦难，那么，既然承认祂的死亡，就必须承认祂的肉身。 切莫说，他所承认的那个受苦之人并非具有我们的本性；因为否认真实的肉身，就是否认肉身的受难。 因此，如果他接受基督教信仰，且不将耳朵从福音的宣讲中转开，那么就让他思考：被钉在十字架上的，究竟是何种本性？ 让他深思：当士兵用长矛刺开被钉者肋旁时，那流出的血与水是从何处涌出的，以洗涤并滋养上帝的教会，成为她的洗礼池与圣杯？</w:t>
      </w:r>
      <w:r w:rsidR="005666A3" w:rsidRPr="004C59BB">
        <w:rPr>
          <w:color w:val="0000FF"/>
          <w:lang w:val="ru-RU"/>
        </w:rPr>
        <w:t>”</w:t>
      </w:r>
      <w:r w:rsidRPr="004C59BB">
        <w:rPr>
          <w:color w:val="0000FF"/>
          <w:lang w:val="ru-RU"/>
        </w:rPr>
        <w:t>（致弗拉维乌斯的书信，载于《基督教读本》1841年版，</w:t>
      </w:r>
      <w:r w:rsidRPr="004C59BB">
        <w:rPr>
          <w:color w:val="0000FF"/>
        </w:rPr>
        <w:t>第一卷</w:t>
      </w:r>
      <w:r w:rsidRPr="004C59BB">
        <w:rPr>
          <w:color w:val="0000FF"/>
          <w:lang w:val="ru-RU"/>
        </w:rPr>
        <w:t>，160–161页）。</w:t>
      </w:r>
    </w:p>
  </w:footnote>
  <w:footnote w:id="232">
    <w:p w14:paraId="06062D51" w14:textId="77777777" w:rsidR="0099729A" w:rsidRPr="0097554A" w:rsidRDefault="0099729A">
      <w:pPr>
        <w:pStyle w:val="FootnoteText"/>
        <w:rPr>
          <w:color w:val="0000FF"/>
          <w:lang w:val="ru-RU"/>
        </w:rPr>
      </w:pPr>
      <w:r w:rsidRPr="004C59BB">
        <w:rPr>
          <w:rStyle w:val="FootnoteReference"/>
          <w:color w:val="0000FF"/>
        </w:rPr>
        <w:footnoteRef/>
      </w:r>
      <w:r w:rsidRPr="004C59BB">
        <w:rPr>
          <w:color w:val="0000FF"/>
          <w:lang w:val="ru-RU"/>
        </w:rPr>
        <w:t xml:space="preserve"> 《致克莱多尼乌斯书》</w:t>
      </w:r>
      <w:r w:rsidRPr="004C59BB">
        <w:rPr>
          <w:color w:val="0000FF"/>
        </w:rPr>
        <w:t>第一</w:t>
      </w:r>
      <w:r w:rsidRPr="004C59BB">
        <w:rPr>
          <w:color w:val="0000FF"/>
          <w:lang w:val="ru-RU"/>
        </w:rPr>
        <w:t>卷，载于《圣教父著作集》</w:t>
      </w:r>
      <w:r w:rsidRPr="004C59BB">
        <w:rPr>
          <w:color w:val="0000FF"/>
        </w:rPr>
        <w:t>第四</w:t>
      </w:r>
      <w:r w:rsidRPr="004C59BB">
        <w:rPr>
          <w:color w:val="0000FF"/>
          <w:lang w:val="ru-RU"/>
        </w:rPr>
        <w:t>卷，197页。圣亚他那修也如此说道：</w:t>
      </w:r>
      <w:r w:rsidRPr="004C59BB">
        <w:rPr>
          <w:color w:val="0000FF"/>
        </w:rPr>
        <w:t>ή</w:t>
      </w:r>
      <w:r w:rsidRPr="0097554A">
        <w:rPr>
          <w:color w:val="0000FF"/>
          <w:lang w:val="ru-RU"/>
        </w:rPr>
        <w:t xml:space="preserve"> </w:t>
      </w:r>
      <w:r w:rsidRPr="004C59BB">
        <w:rPr>
          <w:color w:val="0000FF"/>
        </w:rPr>
        <w:t>γάρ</w:t>
      </w:r>
      <w:r w:rsidRPr="0097554A">
        <w:rPr>
          <w:color w:val="0000FF"/>
          <w:lang w:val="ru-RU"/>
        </w:rPr>
        <w:t xml:space="preserve"> </w:t>
      </w:r>
      <w:r w:rsidRPr="004C59BB">
        <w:rPr>
          <w:color w:val="0000FF"/>
        </w:rPr>
        <w:t>της</w:t>
      </w:r>
      <w:r w:rsidRPr="0097554A">
        <w:rPr>
          <w:color w:val="0000FF"/>
          <w:lang w:val="ru-RU"/>
        </w:rPr>
        <w:t xml:space="preserve"> </w:t>
      </w:r>
      <w:r w:rsidRPr="004C59BB">
        <w:rPr>
          <w:color w:val="0000FF"/>
        </w:rPr>
        <w:t>σαρκός</w:t>
      </w:r>
      <w:r w:rsidRPr="0097554A">
        <w:rPr>
          <w:color w:val="0000FF"/>
          <w:lang w:val="ru-RU"/>
        </w:rPr>
        <w:t xml:space="preserve"> </w:t>
      </w:r>
      <w:r w:rsidRPr="004C59BB">
        <w:rPr>
          <w:color w:val="0000FF"/>
        </w:rPr>
        <w:t>ενωσίς</w:t>
      </w:r>
      <w:r w:rsidRPr="0097554A">
        <w:rPr>
          <w:color w:val="0000FF"/>
          <w:lang w:val="ru-RU"/>
        </w:rPr>
        <w:t xml:space="preserve"> </w:t>
      </w:r>
      <w:r w:rsidRPr="004C59BB">
        <w:rPr>
          <w:color w:val="0000FF"/>
        </w:rPr>
        <w:t>προς</w:t>
      </w:r>
      <w:r w:rsidRPr="0097554A">
        <w:rPr>
          <w:color w:val="0000FF"/>
          <w:lang w:val="ru-RU"/>
        </w:rPr>
        <w:t xml:space="preserve"> </w:t>
      </w:r>
      <w:r w:rsidRPr="004C59BB">
        <w:rPr>
          <w:color w:val="0000FF"/>
        </w:rPr>
        <w:t>τήυ</w:t>
      </w:r>
      <w:r w:rsidRPr="0097554A">
        <w:rPr>
          <w:color w:val="0000FF"/>
          <w:lang w:val="ru-RU"/>
        </w:rPr>
        <w:t xml:space="preserve"> </w:t>
      </w:r>
      <w:r w:rsidRPr="004C59BB">
        <w:rPr>
          <w:color w:val="0000FF"/>
        </w:rPr>
        <w:t>του</w:t>
      </w:r>
      <w:r w:rsidRPr="0097554A">
        <w:rPr>
          <w:color w:val="0000FF"/>
          <w:lang w:val="ru-RU"/>
        </w:rPr>
        <w:t xml:space="preserve"> </w:t>
      </w:r>
      <w:r w:rsidRPr="004C59BB">
        <w:rPr>
          <w:color w:val="0000FF"/>
        </w:rPr>
        <w:t>λόγου</w:t>
      </w:r>
      <w:r w:rsidRPr="0097554A">
        <w:rPr>
          <w:color w:val="0000FF"/>
          <w:lang w:val="ru-RU"/>
        </w:rPr>
        <w:t xml:space="preserve"> </w:t>
      </w:r>
      <w:r w:rsidRPr="004C59BB">
        <w:rPr>
          <w:color w:val="0000FF"/>
        </w:rPr>
        <w:t>θεότητα</w:t>
      </w:r>
      <w:r w:rsidRPr="0097554A">
        <w:rPr>
          <w:color w:val="0000FF"/>
          <w:lang w:val="ru-RU"/>
        </w:rPr>
        <w:t xml:space="preserve"> </w:t>
      </w:r>
      <w:r w:rsidRPr="004C59BB">
        <w:rPr>
          <w:color w:val="0000FF"/>
        </w:rPr>
        <w:t>έκ</w:t>
      </w:r>
      <w:r w:rsidRPr="0097554A">
        <w:rPr>
          <w:color w:val="0000FF"/>
          <w:lang w:val="ru-RU"/>
        </w:rPr>
        <w:t xml:space="preserve"> </w:t>
      </w:r>
      <w:r w:rsidRPr="004C59BB">
        <w:rPr>
          <w:color w:val="0000FF"/>
        </w:rPr>
        <w:t>μήτρας</w:t>
      </w:r>
      <w:r w:rsidRPr="0097554A">
        <w:rPr>
          <w:color w:val="0000FF"/>
          <w:lang w:val="ru-RU"/>
        </w:rPr>
        <w:t xml:space="preserve"> </w:t>
      </w:r>
      <w:r w:rsidRPr="004C59BB">
        <w:rPr>
          <w:color w:val="0000FF"/>
        </w:rPr>
        <w:t>γέγονεν</w:t>
      </w:r>
      <w:r w:rsidRPr="004C59BB">
        <w:rPr>
          <w:color w:val="0000FF"/>
          <w:lang w:val="ru-RU"/>
        </w:rPr>
        <w:t>（《</w:t>
      </w:r>
      <w:r w:rsidRPr="004C59BB">
        <w:rPr>
          <w:color w:val="0000FF"/>
        </w:rPr>
        <w:t>反阿波利纳里乌斯论》第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w:t>
      </w:r>
      <w:r w:rsidRPr="004C59BB">
        <w:rPr>
          <w:color w:val="0000FF"/>
        </w:rPr>
        <w:t>节</w:t>
      </w:r>
      <w:r w:rsidRPr="0097554A">
        <w:rPr>
          <w:color w:val="0000FF"/>
          <w:lang w:val="ru-RU"/>
        </w:rPr>
        <w:t>）</w:t>
      </w:r>
      <w:r w:rsidRPr="004C59BB">
        <w:rPr>
          <w:color w:val="0000FF"/>
        </w:rPr>
        <w:t>。</w:t>
      </w:r>
    </w:p>
  </w:footnote>
  <w:footnote w:id="233">
    <w:p w14:paraId="36052137" w14:textId="77777777" w:rsidR="0099729A" w:rsidRPr="004C59BB" w:rsidRDefault="0099729A">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《致涅斯托里乌斯书》第</w:t>
      </w:r>
      <w:r w:rsidRPr="0097554A">
        <w:rPr>
          <w:color w:val="0000FF"/>
          <w:lang w:val="ru-RU"/>
        </w:rPr>
        <w:t>1</w:t>
      </w:r>
      <w:r w:rsidRPr="004C59BB">
        <w:rPr>
          <w:color w:val="0000FF"/>
        </w:rPr>
        <w:t>封</w:t>
      </w:r>
      <w:r w:rsidRPr="0097554A">
        <w:rPr>
          <w:color w:val="0000FF"/>
          <w:lang w:val="ru-RU"/>
        </w:rPr>
        <w:t>，</w:t>
      </w:r>
      <w:r w:rsidRPr="004C59BB">
        <w:rPr>
          <w:color w:val="0000FF"/>
        </w:rPr>
        <w:t>见于宾尼《以弗所大公会议》第II卷</w:t>
      </w:r>
      <w:r w:rsidRPr="0097554A">
        <w:rPr>
          <w:color w:val="0000FF"/>
          <w:lang w:val="ru-RU"/>
        </w:rPr>
        <w:t>，</w:t>
      </w:r>
      <w:r w:rsidRPr="004C59BB">
        <w:rPr>
          <w:color w:val="0000FF"/>
        </w:rPr>
        <w:t>议事录第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121</w:t>
      </w:r>
      <w:r w:rsidRPr="004C59BB">
        <w:rPr>
          <w:color w:val="0000FF"/>
        </w:rPr>
        <w:t>页</w:t>
      </w:r>
      <w:r w:rsidRPr="0097554A">
        <w:rPr>
          <w:color w:val="0000FF"/>
          <w:lang w:val="ru-RU"/>
        </w:rPr>
        <w:t>；</w:t>
      </w:r>
      <w:r w:rsidRPr="004C59BB">
        <w:rPr>
          <w:color w:val="0000FF"/>
        </w:rPr>
        <w:t>参见《圣西里尔文集》第V</w:t>
      </w:r>
      <w:r w:rsidRPr="004C59BB">
        <w:rPr>
          <w:color w:val="0000FF"/>
          <w:lang w:val="ru-RU"/>
        </w:rPr>
        <w:t>卷，</w:t>
      </w:r>
      <w:r w:rsidRPr="004C59BB">
        <w:rPr>
          <w:color w:val="0000FF"/>
        </w:rPr>
        <w:t>第II</w:t>
      </w:r>
      <w:r w:rsidRPr="004C59BB">
        <w:rPr>
          <w:color w:val="0000FF"/>
          <w:lang w:val="ru-RU"/>
        </w:rPr>
        <w:t>部分，第23页，卢泰尔1639年版。</w:t>
      </w:r>
    </w:p>
  </w:footnote>
  <w:footnote w:id="234">
    <w:p w14:paraId="7DD81BEF"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《埃兰派与正统派之间的</w:t>
      </w:r>
      <w:r w:rsidRPr="004C59BB">
        <w:rPr>
          <w:color w:val="0000FF"/>
        </w:rPr>
        <w:t>第二次</w:t>
      </w:r>
      <w:r w:rsidRPr="004C59BB">
        <w:rPr>
          <w:color w:val="0000FF"/>
          <w:lang w:val="ru-RU"/>
        </w:rPr>
        <w:t>对话》，载于《基督教读物》1846年，第1卷，第371和378页。</w:t>
      </w:r>
    </w:p>
  </w:footnote>
  <w:footnote w:id="235">
    <w:p w14:paraId="66B4A1AC"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致亚美尼亚人的信：论信仰，载于《基督教读物》1841年，第1卷，第358–359页。</w:t>
      </w:r>
    </w:p>
  </w:footnote>
  <w:footnote w:id="236">
    <w:p w14:paraId="3AAB3B72" w14:textId="77777777" w:rsidR="0099729A" w:rsidRPr="0097554A" w:rsidRDefault="0099729A">
      <w:pPr>
        <w:pStyle w:val="FootnoteText"/>
        <w:rPr>
          <w:color w:val="0000FF"/>
          <w:lang w:val="ru-RU"/>
        </w:rPr>
      </w:pPr>
      <w:r w:rsidRPr="004C59BB">
        <w:rPr>
          <w:rStyle w:val="FootnoteReference"/>
          <w:color w:val="0000FF"/>
        </w:rPr>
        <w:footnoteRef/>
      </w:r>
      <w:r w:rsidRPr="004C59BB">
        <w:rPr>
          <w:color w:val="0000FF"/>
          <w:lang w:val="ru-RU"/>
        </w:rPr>
        <w:t xml:space="preserve"> 《信仰论》</w:t>
      </w:r>
      <w:r w:rsidRPr="004C59BB">
        <w:rPr>
          <w:color w:val="0000FF"/>
        </w:rPr>
        <w:t>精编第三</w:t>
      </w:r>
      <w:r w:rsidRPr="004C59BB">
        <w:rPr>
          <w:color w:val="0000FF"/>
          <w:lang w:val="ru-RU"/>
        </w:rPr>
        <w:t>卷，第2章，第139页。</w:t>
      </w:r>
      <w:r w:rsidRPr="004C59BB">
        <w:rPr>
          <w:color w:val="0000FF"/>
        </w:rPr>
        <w:t>另见保罗</w:t>
      </w:r>
      <w:r w:rsidRPr="0097554A">
        <w:rPr>
          <w:color w:val="0000FF"/>
          <w:lang w:val="ru-RU"/>
        </w:rPr>
        <w:t>·</w:t>
      </w:r>
      <w:r w:rsidRPr="004C59BB">
        <w:rPr>
          <w:color w:val="0000FF"/>
        </w:rPr>
        <w:t>埃米斯</w:t>
      </w:r>
      <w:r w:rsidRPr="0097554A">
        <w:rPr>
          <w:color w:val="0000FF"/>
          <w:lang w:val="ru-RU"/>
        </w:rPr>
        <w:t>，</w:t>
      </w:r>
      <w:r w:rsidRPr="004C59BB">
        <w:rPr>
          <w:color w:val="0000FF"/>
        </w:rPr>
        <w:t>《论主诞生的讲道》</w:t>
      </w:r>
      <w:r w:rsidRPr="0097554A">
        <w:rPr>
          <w:color w:val="0000FF"/>
          <w:lang w:val="ru-RU"/>
        </w:rPr>
        <w:t>（</w:t>
      </w:r>
      <w:r w:rsidRPr="004C59BB">
        <w:rPr>
          <w:color w:val="0000FF"/>
        </w:rPr>
        <w:t>载于《五月集》第七卷</w:t>
      </w:r>
      <w:r w:rsidRPr="0097554A">
        <w:rPr>
          <w:color w:val="0000FF"/>
          <w:lang w:val="ru-RU"/>
        </w:rPr>
        <w:t>，</w:t>
      </w:r>
      <w:r w:rsidRPr="004C59BB">
        <w:rPr>
          <w:color w:val="0000FF"/>
        </w:rPr>
        <w:t>第</w:t>
      </w:r>
      <w:r w:rsidRPr="0097554A">
        <w:rPr>
          <w:color w:val="0000FF"/>
          <w:lang w:val="ru-RU"/>
        </w:rPr>
        <w:t>1</w:t>
      </w:r>
      <w:r w:rsidRPr="004C59BB">
        <w:rPr>
          <w:color w:val="0000FF"/>
        </w:rPr>
        <w:t>册</w:t>
      </w:r>
      <w:r w:rsidRPr="0097554A">
        <w:rPr>
          <w:color w:val="0000FF"/>
          <w:lang w:val="ru-RU"/>
        </w:rPr>
        <w:t>，</w:t>
      </w:r>
      <w:r w:rsidRPr="004C59BB">
        <w:rPr>
          <w:color w:val="0000FF"/>
        </w:rPr>
        <w:t>第</w:t>
      </w:r>
      <w:r w:rsidRPr="0097554A">
        <w:rPr>
          <w:color w:val="0000FF"/>
          <w:lang w:val="ru-RU"/>
        </w:rPr>
        <w:t>209</w:t>
      </w:r>
      <w:r w:rsidRPr="004C59BB">
        <w:rPr>
          <w:color w:val="0000FF"/>
        </w:rPr>
        <w:t>页</w:t>
      </w:r>
      <w:r w:rsidRPr="0097554A">
        <w:rPr>
          <w:color w:val="0000FF"/>
          <w:lang w:val="ru-RU"/>
        </w:rPr>
        <w:t>）；</w:t>
      </w:r>
      <w:r w:rsidRPr="004C59BB">
        <w:rPr>
          <w:color w:val="0000FF"/>
        </w:rPr>
        <w:t>奥古斯丁</w:t>
      </w:r>
      <w:r w:rsidRPr="0097554A">
        <w:rPr>
          <w:color w:val="0000FF"/>
          <w:lang w:val="ru-RU"/>
        </w:rPr>
        <w:t>，</w:t>
      </w:r>
      <w:r w:rsidRPr="004C59BB">
        <w:rPr>
          <w:color w:val="0000FF"/>
        </w:rPr>
        <w:t>《反阿里乌派讲道集》第</w:t>
      </w:r>
      <w:r w:rsidRPr="0097554A">
        <w:rPr>
          <w:color w:val="0000FF"/>
          <w:lang w:val="ru-RU"/>
        </w:rPr>
        <w:t>6</w:t>
      </w:r>
      <w:r w:rsidRPr="004C59BB">
        <w:rPr>
          <w:color w:val="0000FF"/>
        </w:rPr>
        <w:t>篇。</w:t>
      </w:r>
    </w:p>
  </w:footnote>
  <w:footnote w:id="237">
    <w:p w14:paraId="561456D6" w14:textId="77777777" w:rsidR="00011518" w:rsidRPr="0097554A" w:rsidRDefault="00011518">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《反阿波利纳里乌斯论》第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18</w:t>
      </w:r>
      <w:r w:rsidRPr="004C59BB">
        <w:rPr>
          <w:color w:val="0000FF"/>
        </w:rPr>
        <w:t>节</w:t>
      </w:r>
      <w:r w:rsidRPr="0097554A">
        <w:rPr>
          <w:color w:val="0000FF"/>
          <w:lang w:val="ru-RU"/>
        </w:rPr>
        <w:t>；</w:t>
      </w:r>
      <w:r w:rsidRPr="004C59BB">
        <w:rPr>
          <w:color w:val="0000FF"/>
        </w:rPr>
        <w:t>第</w:t>
      </w:r>
      <w:r w:rsidRPr="0097554A">
        <w:rPr>
          <w:color w:val="0000FF"/>
          <w:lang w:val="ru-RU"/>
        </w:rPr>
        <w:t>11</w:t>
      </w:r>
      <w:r w:rsidRPr="004C59BB">
        <w:rPr>
          <w:color w:val="0000FF"/>
        </w:rPr>
        <w:t>卷</w:t>
      </w:r>
      <w:r w:rsidRPr="0097554A">
        <w:rPr>
          <w:color w:val="0000FF"/>
          <w:lang w:val="ru-RU"/>
        </w:rPr>
        <w:t>，</w:t>
      </w:r>
      <w:r w:rsidRPr="004C59BB">
        <w:rPr>
          <w:color w:val="0000FF"/>
        </w:rPr>
        <w:t>第</w:t>
      </w:r>
      <w:r w:rsidRPr="0097554A">
        <w:rPr>
          <w:color w:val="0000FF"/>
          <w:lang w:val="ru-RU"/>
        </w:rPr>
        <w:t>14</w:t>
      </w:r>
      <w:r w:rsidRPr="004C59BB">
        <w:rPr>
          <w:color w:val="0000FF"/>
        </w:rPr>
        <w:t>、</w:t>
      </w:r>
      <w:r w:rsidRPr="0097554A">
        <w:rPr>
          <w:color w:val="0000FF"/>
          <w:lang w:val="ru-RU"/>
        </w:rPr>
        <w:t>15</w:t>
      </w:r>
      <w:r w:rsidRPr="004C59BB">
        <w:rPr>
          <w:color w:val="0000FF"/>
        </w:rPr>
        <w:t>节</w:t>
      </w:r>
      <w:r w:rsidRPr="0097554A">
        <w:rPr>
          <w:color w:val="0000FF"/>
          <w:lang w:val="ru-RU"/>
        </w:rPr>
        <w:t>；</w:t>
      </w:r>
      <w:r w:rsidRPr="004C59BB">
        <w:rPr>
          <w:color w:val="0000FF"/>
        </w:rPr>
        <w:t>《致科林斯人书》第</w:t>
      </w:r>
      <w:r w:rsidRPr="0097554A">
        <w:rPr>
          <w:color w:val="0000FF"/>
          <w:lang w:val="ru-RU"/>
        </w:rPr>
        <w:t>5</w:t>
      </w:r>
      <w:r w:rsidRPr="004C59BB">
        <w:rPr>
          <w:color w:val="0000FF"/>
        </w:rPr>
        <w:t>、</w:t>
      </w:r>
      <w:r w:rsidRPr="0097554A">
        <w:rPr>
          <w:color w:val="0000FF"/>
          <w:lang w:val="ru-RU"/>
        </w:rPr>
        <w:t>10</w:t>
      </w:r>
      <w:r w:rsidRPr="004C59BB">
        <w:rPr>
          <w:color w:val="0000FF"/>
        </w:rPr>
        <w:t>节。</w:t>
      </w:r>
    </w:p>
  </w:footnote>
  <w:footnote w:id="238">
    <w:p w14:paraId="65542216" w14:textId="77777777" w:rsidR="00011518" w:rsidRPr="004C59BB" w:rsidRDefault="00011518">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格雷戈里</w:t>
      </w:r>
      <w:r w:rsidRPr="0097554A">
        <w:rPr>
          <w:color w:val="0000FF"/>
          <w:lang w:val="ru-RU"/>
        </w:rPr>
        <w:t>·</w:t>
      </w:r>
      <w:r w:rsidRPr="004C59BB">
        <w:rPr>
          <w:color w:val="0000FF"/>
        </w:rPr>
        <w:t>尼西阿斯</w:t>
      </w:r>
      <w:r w:rsidRPr="0097554A">
        <w:rPr>
          <w:color w:val="0000FF"/>
          <w:lang w:val="ru-RU"/>
        </w:rPr>
        <w:t>，</w:t>
      </w:r>
      <w:r w:rsidRPr="004C59BB">
        <w:rPr>
          <w:color w:val="0000FF"/>
        </w:rPr>
        <w:t>《论基督复活的讲道》第</w:t>
      </w:r>
      <w:r w:rsidRPr="0097554A">
        <w:rPr>
          <w:color w:val="0000FF"/>
          <w:lang w:val="ru-RU"/>
        </w:rPr>
        <w:t>1</w:t>
      </w:r>
      <w:r w:rsidRPr="004C59BB">
        <w:rPr>
          <w:color w:val="0000FF"/>
        </w:rPr>
        <w:t>篇</w:t>
      </w:r>
      <w:r w:rsidRPr="0097554A">
        <w:rPr>
          <w:color w:val="0000FF"/>
          <w:lang w:val="ru-RU"/>
        </w:rPr>
        <w:t>，</w:t>
      </w:r>
      <w:r w:rsidRPr="004C59BB">
        <w:rPr>
          <w:color w:val="0000FF"/>
        </w:rPr>
        <w:t>第</w:t>
      </w:r>
      <w:r w:rsidRPr="0097554A">
        <w:rPr>
          <w:color w:val="0000FF"/>
          <w:lang w:val="ru-RU"/>
        </w:rPr>
        <w:t>392</w:t>
      </w:r>
      <w:r w:rsidRPr="004C59BB">
        <w:rPr>
          <w:color w:val="0000FF"/>
        </w:rPr>
        <w:t>页</w:t>
      </w:r>
      <w:r w:rsidRPr="0097554A">
        <w:rPr>
          <w:color w:val="0000FF"/>
          <w:lang w:val="ru-RU"/>
        </w:rPr>
        <w:t>，</w:t>
      </w:r>
      <w:r w:rsidRPr="004C59BB">
        <w:rPr>
          <w:color w:val="0000FF"/>
        </w:rPr>
        <w:t>第III卷</w:t>
      </w:r>
      <w:r w:rsidRPr="0097554A">
        <w:rPr>
          <w:color w:val="0000FF"/>
          <w:lang w:val="ru-RU"/>
        </w:rPr>
        <w:t>，</w:t>
      </w:r>
      <w:r w:rsidRPr="004C59BB">
        <w:rPr>
          <w:color w:val="0000FF"/>
        </w:rPr>
        <w:t>莫雷尔校注本</w:t>
      </w:r>
      <w:r w:rsidRPr="004C59BB">
        <w:rPr>
          <w:color w:val="0000FF"/>
          <w:lang w:val="ru-RU"/>
        </w:rPr>
        <w:t>，载于</w:t>
      </w:r>
      <w:r w:rsidRPr="004C59BB">
        <w:rPr>
          <w:color w:val="0000FF"/>
        </w:rPr>
        <w:t>《Xp》</w:t>
      </w:r>
      <w:r w:rsidRPr="004C59BB">
        <w:rPr>
          <w:color w:val="0000FF"/>
          <w:lang w:val="ru-RU"/>
        </w:rPr>
        <w:t>期刊，1841年第11期，第25页及后续； 狄奥多里特，《神学教义简明论》，第15章：“神性无论在十字架上，还是在坟墓中，都未曾与人性分离</w:t>
      </w:r>
      <w:r w:rsidR="005666A3" w:rsidRPr="004C59BB">
        <w:rPr>
          <w:color w:val="0000FF"/>
          <w:lang w:val="ru-RU"/>
        </w:rPr>
        <w:t>”</w:t>
      </w:r>
      <w:r w:rsidRPr="004C59BB">
        <w:rPr>
          <w:color w:val="0000FF"/>
          <w:lang w:val="ru-RU"/>
        </w:rPr>
        <w:t>（《基督教读物》1844年，</w:t>
      </w:r>
      <w:r w:rsidRPr="004C59BB">
        <w:rPr>
          <w:color w:val="0000FF"/>
        </w:rPr>
        <w:t>第IV</w:t>
      </w:r>
      <w:r w:rsidRPr="004C59BB">
        <w:rPr>
          <w:color w:val="0000FF"/>
          <w:lang w:val="ru-RU"/>
        </w:rPr>
        <w:t>卷，第330页）。</w:t>
      </w:r>
    </w:p>
  </w:footnote>
  <w:footnote w:id="239">
    <w:p w14:paraId="67AC97B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《信仰论精要》</w:t>
      </w:r>
      <w:r w:rsidRPr="004C59BB">
        <w:rPr>
          <w:color w:val="0000FF"/>
        </w:rPr>
        <w:t>第三</w:t>
      </w:r>
      <w:r w:rsidRPr="004C59BB">
        <w:rPr>
          <w:color w:val="0000FF"/>
          <w:lang w:val="ru-RU"/>
        </w:rPr>
        <w:t>卷，第27章，第218页。</w:t>
      </w:r>
    </w:p>
  </w:footnote>
  <w:footnote w:id="240">
    <w:p w14:paraId="6345D6C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致克莱多尼乌斯的书信第1封，载于《圣教父著作集》</w:t>
      </w:r>
      <w:r w:rsidRPr="004C59BB">
        <w:rPr>
          <w:color w:val="0000FF"/>
        </w:rPr>
        <w:t>第IV卷</w:t>
      </w:r>
      <w:r w:rsidRPr="004C59BB">
        <w:rPr>
          <w:color w:val="0000FF"/>
          <w:lang w:val="ru-RU"/>
        </w:rPr>
        <w:t>，第198–199页。</w:t>
      </w:r>
    </w:p>
  </w:footnote>
  <w:footnote w:id="241">
    <w:p w14:paraId="094E1F3D" w14:textId="77777777" w:rsidR="00230C5F" w:rsidRPr="0097554A" w:rsidRDefault="00230C5F">
      <w:pPr>
        <w:pStyle w:val="FootnoteText"/>
        <w:rPr>
          <w:color w:val="0000FF"/>
          <w:lang w:val="ru-RU"/>
        </w:rPr>
      </w:pPr>
      <w:r w:rsidRPr="004C59BB">
        <w:rPr>
          <w:rStyle w:val="FootnoteReference"/>
          <w:color w:val="0000FF"/>
        </w:rPr>
        <w:footnoteRef/>
      </w:r>
      <w:r w:rsidRPr="004C59BB">
        <w:rPr>
          <w:color w:val="0000FF"/>
          <w:lang w:val="ru-RU"/>
        </w:rPr>
        <w:t xml:space="preserve"> 希腊语：</w:t>
      </w:r>
      <w:r w:rsidRPr="004C59BB">
        <w:rPr>
          <w:color w:val="0000FF"/>
        </w:rPr>
        <w:t>ίδιοποίησις</w:t>
      </w:r>
      <w:r w:rsidRPr="004C59BB">
        <w:rPr>
          <w:color w:val="0000FF"/>
          <w:lang w:val="ru-RU"/>
        </w:rPr>
        <w:t>（</w:t>
      </w:r>
      <w:r w:rsidRPr="004C59BB">
        <w:rPr>
          <w:color w:val="0000FF"/>
        </w:rPr>
        <w:t>亚历山大</w:t>
      </w:r>
      <w:r w:rsidRPr="0097554A">
        <w:rPr>
          <w:color w:val="0000FF"/>
          <w:lang w:val="ru-RU"/>
        </w:rPr>
        <w:t>·</w:t>
      </w:r>
      <w:r w:rsidRPr="004C59BB">
        <w:rPr>
          <w:color w:val="0000FF"/>
        </w:rPr>
        <w:t>西里尔</w:t>
      </w:r>
      <w:r w:rsidRPr="004C59BB">
        <w:rPr>
          <w:color w:val="0000FF"/>
          <w:lang w:val="ru-RU"/>
        </w:rPr>
        <w:t>，《</w:t>
      </w:r>
      <w:r w:rsidRPr="004C59BB">
        <w:rPr>
          <w:color w:val="0000FF"/>
        </w:rPr>
        <w:t>书信</w:t>
      </w:r>
      <w:r w:rsidRPr="004C59BB">
        <w:rPr>
          <w:color w:val="0000FF"/>
          <w:lang w:val="ru-RU"/>
        </w:rPr>
        <w:t>集》</w:t>
      </w:r>
      <w:r w:rsidRPr="004C59BB">
        <w:rPr>
          <w:color w:val="0000FF"/>
        </w:rPr>
        <w:t>第XXIX封</w:t>
      </w:r>
      <w:r w:rsidRPr="004C59BB">
        <w:rPr>
          <w:color w:val="0000FF"/>
          <w:lang w:val="ru-RU"/>
        </w:rPr>
        <w:t>），</w:t>
      </w:r>
      <w:r w:rsidRPr="004C59BB">
        <w:rPr>
          <w:color w:val="0000FF"/>
        </w:rPr>
        <w:t>κοινοποίησις</w:t>
      </w:r>
      <w:r w:rsidRPr="004C59BB">
        <w:rPr>
          <w:color w:val="0000FF"/>
          <w:lang w:val="ru-RU"/>
        </w:rPr>
        <w:t>（</w:t>
      </w:r>
      <w:r w:rsidRPr="004C59BB">
        <w:rPr>
          <w:color w:val="0000FF"/>
        </w:rPr>
        <w:t>同</w:t>
      </w:r>
      <w:r w:rsidRPr="004C59BB">
        <w:rPr>
          <w:color w:val="0000FF"/>
          <w:lang w:val="ru-RU"/>
        </w:rPr>
        <w:t>上</w:t>
      </w:r>
      <w:r w:rsidRPr="0097554A">
        <w:rPr>
          <w:color w:val="0000FF"/>
          <w:lang w:val="ru-RU"/>
        </w:rPr>
        <w:t>，</w:t>
      </w:r>
      <w:r w:rsidRPr="004C59BB">
        <w:rPr>
          <w:color w:val="0000FF"/>
        </w:rPr>
        <w:t>第X封</w:t>
      </w:r>
      <w:r w:rsidRPr="004C59BB">
        <w:rPr>
          <w:color w:val="0000FF"/>
          <w:lang w:val="ru-RU"/>
        </w:rPr>
        <w:t>），</w:t>
      </w:r>
      <w:r w:rsidRPr="004C59BB">
        <w:rPr>
          <w:color w:val="0000FF"/>
        </w:rPr>
        <w:t>άντίδοσις</w:t>
      </w:r>
      <w:r w:rsidRPr="004C59BB">
        <w:rPr>
          <w:color w:val="0000FF"/>
          <w:lang w:val="ru-RU"/>
        </w:rPr>
        <w:t>（</w:t>
      </w:r>
      <w:r w:rsidRPr="004C59BB">
        <w:rPr>
          <w:color w:val="0000FF"/>
        </w:rPr>
        <w:t>约翰</w:t>
      </w:r>
      <w:r w:rsidRPr="0097554A">
        <w:rPr>
          <w:color w:val="0000FF"/>
          <w:lang w:val="ru-RU"/>
        </w:rPr>
        <w:t>·</w:t>
      </w:r>
      <w:r w:rsidRPr="004C59BB">
        <w:rPr>
          <w:color w:val="0000FF"/>
        </w:rPr>
        <w:t>大马士革</w:t>
      </w:r>
      <w:r w:rsidRPr="0097554A">
        <w:rPr>
          <w:color w:val="0000FF"/>
          <w:lang w:val="ru-RU"/>
        </w:rPr>
        <w:t>，</w:t>
      </w:r>
      <w:r w:rsidRPr="004C59BB">
        <w:rPr>
          <w:color w:val="0000FF"/>
        </w:rPr>
        <w:t>《论正统信仰》第三卷</w:t>
      </w:r>
      <w:r w:rsidRPr="0097554A">
        <w:rPr>
          <w:color w:val="0000FF"/>
          <w:lang w:val="ru-RU"/>
        </w:rPr>
        <w:t>，</w:t>
      </w:r>
      <w:r w:rsidRPr="004C59BB">
        <w:rPr>
          <w:color w:val="0000FF"/>
        </w:rPr>
        <w:t>第</w:t>
      </w:r>
      <w:r w:rsidRPr="0097554A">
        <w:rPr>
          <w:color w:val="0000FF"/>
          <w:lang w:val="ru-RU"/>
        </w:rPr>
        <w:t>4</w:t>
      </w:r>
      <w:r w:rsidRPr="004C59BB">
        <w:rPr>
          <w:color w:val="0000FF"/>
        </w:rPr>
        <w:t>章</w:t>
      </w:r>
      <w:r w:rsidRPr="0097554A">
        <w:rPr>
          <w:color w:val="0000FF"/>
          <w:lang w:val="ru-RU"/>
        </w:rPr>
        <w:t>）；</w:t>
      </w:r>
      <w:r w:rsidRPr="004C59BB">
        <w:rPr>
          <w:color w:val="0000FF"/>
        </w:rPr>
        <w:t>拉丁语</w:t>
      </w:r>
      <w:r w:rsidRPr="0097554A">
        <w:rPr>
          <w:color w:val="0000FF"/>
          <w:lang w:val="ru-RU"/>
        </w:rPr>
        <w:t>：</w:t>
      </w:r>
      <w:r w:rsidRPr="004C59BB">
        <w:rPr>
          <w:color w:val="0000FF"/>
        </w:rPr>
        <w:t>communicatio</w:t>
      </w:r>
      <w:r w:rsidRPr="0097554A">
        <w:rPr>
          <w:color w:val="0000FF"/>
          <w:lang w:val="ru-RU"/>
        </w:rPr>
        <w:t xml:space="preserve"> </w:t>
      </w:r>
      <w:r w:rsidRPr="004C59BB">
        <w:rPr>
          <w:color w:val="0000FF"/>
        </w:rPr>
        <w:t>idiomatum。</w:t>
      </w:r>
    </w:p>
  </w:footnote>
  <w:footnote w:id="242">
    <w:p w14:paraId="15111372" w14:textId="77777777" w:rsidR="00230C5F" w:rsidRPr="0097554A" w:rsidRDefault="00230C5F">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克莱门特</w:t>
      </w:r>
      <w:r w:rsidRPr="0097554A">
        <w:rPr>
          <w:color w:val="0000FF"/>
          <w:lang w:val="ru-RU"/>
        </w:rPr>
        <w:t>·</w:t>
      </w:r>
      <w:r w:rsidRPr="004C59BB">
        <w:rPr>
          <w:color w:val="0000FF"/>
        </w:rPr>
        <w:t>罗马人</w:t>
      </w:r>
      <w:r w:rsidRPr="0097554A">
        <w:rPr>
          <w:color w:val="0000FF"/>
          <w:lang w:val="ru-RU"/>
        </w:rPr>
        <w:t>，</w:t>
      </w:r>
      <w:r w:rsidRPr="004C59BB">
        <w:rPr>
          <w:color w:val="0000FF"/>
        </w:rPr>
        <w:t>《致哥林多前书》第</w:t>
      </w:r>
      <w:r w:rsidRPr="0097554A">
        <w:rPr>
          <w:color w:val="0000FF"/>
          <w:lang w:val="ru-RU"/>
        </w:rPr>
        <w:t>1</w:t>
      </w:r>
      <w:r w:rsidRPr="004C59BB">
        <w:rPr>
          <w:color w:val="0000FF"/>
        </w:rPr>
        <w:t>封</w:t>
      </w:r>
      <w:r w:rsidRPr="0097554A">
        <w:rPr>
          <w:color w:val="0000FF"/>
          <w:lang w:val="ru-RU"/>
        </w:rPr>
        <w:t>，</w:t>
      </w:r>
      <w:r w:rsidRPr="004C59BB">
        <w:rPr>
          <w:color w:val="0000FF"/>
        </w:rPr>
        <w:t>第</w:t>
      </w:r>
      <w:r w:rsidRPr="0097554A">
        <w:rPr>
          <w:color w:val="0000FF"/>
          <w:lang w:val="ru-RU"/>
        </w:rPr>
        <w:t>2</w:t>
      </w:r>
      <w:r w:rsidRPr="004C59BB">
        <w:rPr>
          <w:color w:val="0000FF"/>
        </w:rPr>
        <w:t>节</w:t>
      </w:r>
      <w:r w:rsidRPr="0097554A">
        <w:rPr>
          <w:color w:val="0000FF"/>
          <w:lang w:val="ru-RU"/>
        </w:rPr>
        <w:t>；</w:t>
      </w:r>
      <w:r w:rsidRPr="004C59BB">
        <w:rPr>
          <w:color w:val="0000FF"/>
        </w:rPr>
        <w:t>伊雷内乌斯</w:t>
      </w:r>
      <w:r w:rsidRPr="0097554A">
        <w:rPr>
          <w:color w:val="0000FF"/>
          <w:lang w:val="ru-RU"/>
        </w:rPr>
        <w:t>，</w:t>
      </w:r>
      <w:r w:rsidRPr="004C59BB">
        <w:rPr>
          <w:color w:val="0000FF"/>
        </w:rPr>
        <w:t>《反异端》第III卷</w:t>
      </w:r>
      <w:r w:rsidRPr="0097554A">
        <w:rPr>
          <w:color w:val="0000FF"/>
          <w:lang w:val="ru-RU"/>
        </w:rPr>
        <w:t>，</w:t>
      </w:r>
      <w:r w:rsidRPr="004C59BB">
        <w:rPr>
          <w:color w:val="0000FF"/>
        </w:rPr>
        <w:t>第</w:t>
      </w:r>
      <w:r w:rsidRPr="0097554A">
        <w:rPr>
          <w:color w:val="0000FF"/>
          <w:lang w:val="ru-RU"/>
        </w:rPr>
        <w:t>19</w:t>
      </w:r>
      <w:r w:rsidRPr="004C59BB">
        <w:rPr>
          <w:color w:val="0000FF"/>
        </w:rPr>
        <w:t>章</w:t>
      </w:r>
      <w:r w:rsidRPr="0097554A">
        <w:rPr>
          <w:color w:val="0000FF"/>
          <w:lang w:val="ru-RU"/>
        </w:rPr>
        <w:t>；</w:t>
      </w:r>
      <w:r w:rsidRPr="004C59BB">
        <w:rPr>
          <w:color w:val="0000FF"/>
        </w:rPr>
        <w:t>第V卷</w:t>
      </w:r>
      <w:r w:rsidRPr="0097554A">
        <w:rPr>
          <w:color w:val="0000FF"/>
          <w:lang w:val="ru-RU"/>
        </w:rPr>
        <w:t>，</w:t>
      </w:r>
      <w:r w:rsidRPr="004C59BB">
        <w:rPr>
          <w:color w:val="0000FF"/>
        </w:rPr>
        <w:t>第</w:t>
      </w:r>
      <w:r w:rsidRPr="0097554A">
        <w:rPr>
          <w:color w:val="0000FF"/>
          <w:lang w:val="ru-RU"/>
        </w:rPr>
        <w:t>1</w:t>
      </w:r>
      <w:r w:rsidRPr="004C59BB">
        <w:rPr>
          <w:color w:val="0000FF"/>
        </w:rPr>
        <w:t>章</w:t>
      </w:r>
      <w:r w:rsidRPr="0097554A">
        <w:rPr>
          <w:color w:val="0000FF"/>
          <w:lang w:val="ru-RU"/>
        </w:rPr>
        <w:t>，</w:t>
      </w:r>
      <w:r w:rsidRPr="004C59BB">
        <w:rPr>
          <w:color w:val="0000FF"/>
        </w:rPr>
        <w:t>第</w:t>
      </w:r>
      <w:r w:rsidRPr="0097554A">
        <w:rPr>
          <w:color w:val="0000FF"/>
          <w:lang w:val="ru-RU"/>
        </w:rPr>
        <w:t>17</w:t>
      </w:r>
      <w:r w:rsidRPr="004C59BB">
        <w:rPr>
          <w:color w:val="0000FF"/>
        </w:rPr>
        <w:t>节</w:t>
      </w:r>
      <w:r w:rsidRPr="0097554A">
        <w:rPr>
          <w:color w:val="0000FF"/>
          <w:lang w:val="ru-RU"/>
        </w:rPr>
        <w:t>；</w:t>
      </w:r>
      <w:r w:rsidRPr="004C59BB">
        <w:rPr>
          <w:color w:val="0000FF"/>
        </w:rPr>
        <w:t>希波吕托斯</w:t>
      </w:r>
      <w:r w:rsidRPr="0097554A">
        <w:rPr>
          <w:color w:val="0000FF"/>
          <w:lang w:val="ru-RU"/>
        </w:rPr>
        <w:t>，</w:t>
      </w:r>
      <w:r w:rsidRPr="004C59BB">
        <w:rPr>
          <w:color w:val="0000FF"/>
        </w:rPr>
        <w:t>《反诺埃提乌斯》第</w:t>
      </w:r>
      <w:r w:rsidRPr="0097554A">
        <w:rPr>
          <w:color w:val="0000FF"/>
          <w:lang w:val="ru-RU"/>
        </w:rPr>
        <w:t>18</w:t>
      </w:r>
      <w:r w:rsidRPr="004C59BB">
        <w:rPr>
          <w:color w:val="0000FF"/>
        </w:rPr>
        <w:t>章</w:t>
      </w:r>
      <w:r w:rsidRPr="0097554A">
        <w:rPr>
          <w:color w:val="0000FF"/>
          <w:lang w:val="ru-RU"/>
        </w:rPr>
        <w:t>；</w:t>
      </w:r>
      <w:r w:rsidRPr="004C59BB">
        <w:rPr>
          <w:color w:val="0000FF"/>
        </w:rPr>
        <w:t>亚他那修</w:t>
      </w:r>
      <w:r w:rsidRPr="0097554A">
        <w:rPr>
          <w:color w:val="0000FF"/>
          <w:lang w:val="ru-RU"/>
        </w:rPr>
        <w:t>，</w:t>
      </w:r>
      <w:r w:rsidRPr="004C59BB">
        <w:rPr>
          <w:color w:val="0000FF"/>
        </w:rPr>
        <w:t>《反阿波林尼乌斯》第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7</w:t>
      </w:r>
      <w:r w:rsidRPr="004C59BB">
        <w:rPr>
          <w:color w:val="0000FF"/>
        </w:rPr>
        <w:t>章</w:t>
      </w:r>
      <w:r w:rsidRPr="0097554A">
        <w:rPr>
          <w:color w:val="0000FF"/>
          <w:lang w:val="ru-RU"/>
        </w:rPr>
        <w:t xml:space="preserve">； </w:t>
      </w:r>
      <w:r w:rsidRPr="004C59BB">
        <w:rPr>
          <w:color w:val="0000FF"/>
        </w:rPr>
        <w:t>埃皮法尼乌斯《反异端》LXXVII</w:t>
      </w:r>
      <w:r w:rsidRPr="0097554A">
        <w:rPr>
          <w:color w:val="0000FF"/>
          <w:lang w:val="ru-RU"/>
        </w:rPr>
        <w:t>，26；</w:t>
      </w:r>
      <w:r w:rsidRPr="004C59BB">
        <w:rPr>
          <w:color w:val="0000FF"/>
        </w:rPr>
        <w:t>奥古斯丁《反阿里乌派讲道》第</w:t>
      </w:r>
      <w:r w:rsidRPr="0097554A">
        <w:rPr>
          <w:color w:val="0000FF"/>
          <w:lang w:val="ru-RU"/>
        </w:rPr>
        <w:t>8</w:t>
      </w:r>
      <w:r w:rsidRPr="004C59BB">
        <w:rPr>
          <w:color w:val="0000FF"/>
        </w:rPr>
        <w:t>章</w:t>
      </w:r>
      <w:r w:rsidRPr="0097554A">
        <w:rPr>
          <w:color w:val="0000FF"/>
          <w:lang w:val="ru-RU"/>
        </w:rPr>
        <w:t>；</w:t>
      </w:r>
      <w:r w:rsidRPr="004C59BB">
        <w:rPr>
          <w:color w:val="0000FF"/>
        </w:rPr>
        <w:t>见《八音集》第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54</w:t>
      </w:r>
      <w:r w:rsidRPr="004C59BB">
        <w:rPr>
          <w:color w:val="0000FF"/>
        </w:rPr>
        <w:t>、</w:t>
      </w:r>
      <w:r w:rsidRPr="0097554A">
        <w:rPr>
          <w:color w:val="0000FF"/>
          <w:lang w:val="ru-RU"/>
        </w:rPr>
        <w:t>266</w:t>
      </w:r>
      <w:r w:rsidRPr="004C59BB">
        <w:rPr>
          <w:color w:val="0000FF"/>
        </w:rPr>
        <w:t>、</w:t>
      </w:r>
      <w:r w:rsidRPr="0097554A">
        <w:rPr>
          <w:color w:val="0000FF"/>
          <w:lang w:val="ru-RU"/>
        </w:rPr>
        <w:t>283</w:t>
      </w:r>
      <w:r w:rsidRPr="004C59BB">
        <w:rPr>
          <w:color w:val="0000FF"/>
        </w:rPr>
        <w:t>页</w:t>
      </w:r>
      <w:r w:rsidRPr="0097554A">
        <w:rPr>
          <w:color w:val="0000FF"/>
          <w:lang w:val="ru-RU"/>
        </w:rPr>
        <w:t>；</w:t>
      </w:r>
      <w:r w:rsidRPr="004C59BB">
        <w:rPr>
          <w:color w:val="0000FF"/>
        </w:rPr>
        <w:t>第</w:t>
      </w:r>
      <w:r w:rsidRPr="0097554A">
        <w:rPr>
          <w:color w:val="0000FF"/>
          <w:lang w:val="ru-RU"/>
        </w:rPr>
        <w:t>2</w:t>
      </w:r>
      <w:r w:rsidRPr="004C59BB">
        <w:rPr>
          <w:color w:val="0000FF"/>
        </w:rPr>
        <w:t>卷</w:t>
      </w:r>
      <w:r w:rsidRPr="0097554A">
        <w:rPr>
          <w:color w:val="0000FF"/>
          <w:lang w:val="ru-RU"/>
        </w:rPr>
        <w:t>，</w:t>
      </w:r>
      <w:r w:rsidRPr="004C59BB">
        <w:rPr>
          <w:color w:val="0000FF"/>
        </w:rPr>
        <w:t>第</w:t>
      </w:r>
      <w:r w:rsidRPr="0097554A">
        <w:rPr>
          <w:color w:val="0000FF"/>
          <w:lang w:val="ru-RU"/>
        </w:rPr>
        <w:t>15</w:t>
      </w:r>
      <w:r w:rsidRPr="004C59BB">
        <w:rPr>
          <w:color w:val="0000FF"/>
        </w:rPr>
        <w:t>、</w:t>
      </w:r>
      <w:r w:rsidRPr="0097554A">
        <w:rPr>
          <w:color w:val="0000FF"/>
          <w:lang w:val="ru-RU"/>
        </w:rPr>
        <w:t>76</w:t>
      </w:r>
      <w:r w:rsidRPr="004C59BB">
        <w:rPr>
          <w:color w:val="0000FF"/>
        </w:rPr>
        <w:t>、</w:t>
      </w:r>
      <w:r w:rsidRPr="0097554A">
        <w:rPr>
          <w:color w:val="0000FF"/>
          <w:lang w:val="ru-RU"/>
        </w:rPr>
        <w:t>245</w:t>
      </w:r>
      <w:r w:rsidRPr="004C59BB">
        <w:rPr>
          <w:color w:val="0000FF"/>
        </w:rPr>
        <w:t>页</w:t>
      </w:r>
      <w:r w:rsidRPr="0097554A">
        <w:rPr>
          <w:color w:val="0000FF"/>
          <w:lang w:val="ru-RU"/>
        </w:rPr>
        <w:t>，</w:t>
      </w:r>
      <w:r w:rsidRPr="004C59BB">
        <w:rPr>
          <w:color w:val="0000FF"/>
        </w:rPr>
        <w:t>莫斯科</w:t>
      </w:r>
      <w:r w:rsidRPr="0097554A">
        <w:rPr>
          <w:color w:val="0000FF"/>
          <w:lang w:val="ru-RU"/>
        </w:rPr>
        <w:t>，1838</w:t>
      </w:r>
      <w:r w:rsidRPr="004C59BB">
        <w:rPr>
          <w:color w:val="0000FF"/>
        </w:rPr>
        <w:t>年。</w:t>
      </w:r>
    </w:p>
  </w:footnote>
  <w:footnote w:id="243">
    <w:p w14:paraId="4B23BD4D" w14:textId="77777777" w:rsidR="00230C5F" w:rsidRPr="0097554A" w:rsidRDefault="00230C5F">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《致亚历山大</w:t>
      </w:r>
      <w:r w:rsidRPr="0097554A">
        <w:rPr>
          <w:color w:val="0000FF"/>
          <w:lang w:val="ru-RU"/>
        </w:rPr>
        <w:t>·</w:t>
      </w:r>
      <w:r w:rsidRPr="004C59BB">
        <w:rPr>
          <w:color w:val="0000FF"/>
        </w:rPr>
        <w:t>西奥弗的书信》</w:t>
      </w:r>
      <w:r w:rsidRPr="0097554A">
        <w:rPr>
          <w:color w:val="0000FF"/>
          <w:lang w:val="ru-RU"/>
        </w:rPr>
        <w:t>，</w:t>
      </w:r>
      <w:r w:rsidRPr="004C59BB">
        <w:rPr>
          <w:color w:val="0000FF"/>
        </w:rPr>
        <w:t>《文集》第II卷</w:t>
      </w:r>
      <w:r w:rsidRPr="0097554A">
        <w:rPr>
          <w:color w:val="0000FF"/>
          <w:lang w:val="ru-RU"/>
        </w:rPr>
        <w:t>，</w:t>
      </w:r>
      <w:r w:rsidRPr="004C59BB">
        <w:rPr>
          <w:color w:val="0000FF"/>
        </w:rPr>
        <w:t>第</w:t>
      </w:r>
      <w:r w:rsidRPr="0097554A">
        <w:rPr>
          <w:color w:val="0000FF"/>
          <w:lang w:val="ru-RU"/>
        </w:rPr>
        <w:t>697</w:t>
      </w:r>
      <w:r w:rsidRPr="004C59BB">
        <w:rPr>
          <w:color w:val="0000FF"/>
        </w:rPr>
        <w:t>页</w:t>
      </w:r>
      <w:r w:rsidRPr="0097554A">
        <w:rPr>
          <w:color w:val="0000FF"/>
          <w:lang w:val="ru-RU"/>
        </w:rPr>
        <w:t>，</w:t>
      </w:r>
      <w:r w:rsidRPr="004C59BB">
        <w:rPr>
          <w:color w:val="0000FF"/>
        </w:rPr>
        <w:t>巴黎</w:t>
      </w:r>
      <w:r w:rsidRPr="0097554A">
        <w:rPr>
          <w:color w:val="0000FF"/>
          <w:lang w:val="ru-RU"/>
        </w:rPr>
        <w:t>，1615</w:t>
      </w:r>
      <w:r w:rsidRPr="004C59BB">
        <w:rPr>
          <w:color w:val="0000FF"/>
          <w:lang w:val="el-GR"/>
        </w:rPr>
        <w:t>年</w:t>
      </w:r>
      <w:r w:rsidRPr="004C59BB">
        <w:rPr>
          <w:color w:val="0000FF"/>
        </w:rPr>
        <w:t>。圣西奥多里特也指出</w:t>
      </w:r>
      <w:r w:rsidRPr="0097554A">
        <w:rPr>
          <w:color w:val="0000FF"/>
        </w:rPr>
        <w:t>：</w:t>
      </w:r>
      <w:r w:rsidRPr="004C59BB">
        <w:rPr>
          <w:color w:val="0000FF"/>
          <w:lang w:val="el-GR"/>
        </w:rPr>
        <w:t>ή</w:t>
      </w:r>
      <w:r w:rsidRPr="0097554A">
        <w:rPr>
          <w:color w:val="0000FF"/>
        </w:rPr>
        <w:t xml:space="preserve"> </w:t>
      </w:r>
      <w:r w:rsidRPr="004C59BB">
        <w:rPr>
          <w:color w:val="0000FF"/>
          <w:lang w:val="el-GR"/>
        </w:rPr>
        <w:t>γάρ</w:t>
      </w:r>
      <w:r w:rsidRPr="0097554A">
        <w:rPr>
          <w:color w:val="0000FF"/>
        </w:rPr>
        <w:t xml:space="preserve"> </w:t>
      </w:r>
      <w:r w:rsidRPr="004C59BB">
        <w:rPr>
          <w:color w:val="0000FF"/>
          <w:lang w:val="el-GR"/>
        </w:rPr>
        <w:t>ενωσίς</w:t>
      </w:r>
      <w:r w:rsidRPr="0097554A">
        <w:rPr>
          <w:color w:val="0000FF"/>
        </w:rPr>
        <w:t xml:space="preserve"> </w:t>
      </w:r>
      <w:r w:rsidRPr="004C59BB">
        <w:rPr>
          <w:color w:val="0000FF"/>
          <w:lang w:val="el-GR"/>
        </w:rPr>
        <w:t>κοινά</w:t>
      </w:r>
      <w:r w:rsidRPr="0097554A">
        <w:rPr>
          <w:color w:val="0000FF"/>
        </w:rPr>
        <w:t xml:space="preserve"> </w:t>
      </w:r>
      <w:r w:rsidRPr="004C59BB">
        <w:rPr>
          <w:color w:val="0000FF"/>
          <w:lang w:val="el-GR"/>
        </w:rPr>
        <w:t>ποιεΐ</w:t>
      </w:r>
      <w:r w:rsidRPr="0097554A">
        <w:rPr>
          <w:color w:val="0000FF"/>
        </w:rPr>
        <w:t xml:space="preserve"> </w:t>
      </w:r>
      <w:r w:rsidRPr="004C59BB">
        <w:rPr>
          <w:color w:val="0000FF"/>
          <w:lang w:val="el-GR"/>
        </w:rPr>
        <w:t>τά</w:t>
      </w:r>
      <w:r w:rsidRPr="0097554A">
        <w:rPr>
          <w:color w:val="0000FF"/>
        </w:rPr>
        <w:t xml:space="preserve"> </w:t>
      </w:r>
      <w:r w:rsidRPr="004C59BB">
        <w:rPr>
          <w:color w:val="0000FF"/>
          <w:lang w:val="el-GR"/>
        </w:rPr>
        <w:t>ονόματα</w:t>
      </w:r>
      <w:r w:rsidRPr="0097554A">
        <w:rPr>
          <w:color w:val="0000FF"/>
        </w:rPr>
        <w:t>，</w:t>
      </w:r>
      <w:r w:rsidRPr="004C59BB">
        <w:rPr>
          <w:color w:val="0000FF"/>
          <w:lang w:val="el-GR"/>
        </w:rPr>
        <w:t>άλλ</w:t>
      </w:r>
      <w:r w:rsidRPr="0097554A">
        <w:rPr>
          <w:color w:val="0000FF"/>
        </w:rPr>
        <w:t xml:space="preserve">’ </w:t>
      </w:r>
      <w:r w:rsidRPr="004C59BB">
        <w:rPr>
          <w:color w:val="0000FF"/>
          <w:lang w:val="el-GR"/>
        </w:rPr>
        <w:t>ου</w:t>
      </w:r>
      <w:r w:rsidRPr="0097554A">
        <w:rPr>
          <w:color w:val="0000FF"/>
        </w:rPr>
        <w:t xml:space="preserve"> </w:t>
      </w:r>
      <w:r w:rsidRPr="004C59BB">
        <w:rPr>
          <w:color w:val="0000FF"/>
          <w:lang w:val="el-GR"/>
        </w:rPr>
        <w:t>συγχεΐ</w:t>
      </w:r>
      <w:r w:rsidRPr="0097554A">
        <w:rPr>
          <w:color w:val="0000FF"/>
        </w:rPr>
        <w:t xml:space="preserve"> </w:t>
      </w:r>
      <w:r w:rsidRPr="004C59BB">
        <w:rPr>
          <w:color w:val="0000FF"/>
          <w:lang w:val="el-GR"/>
        </w:rPr>
        <w:t>ταότας</w:t>
      </w:r>
      <w:r w:rsidRPr="0097554A">
        <w:rPr>
          <w:color w:val="0000FF"/>
        </w:rPr>
        <w:t xml:space="preserve"> </w:t>
      </w:r>
      <w:r w:rsidRPr="004C59BB">
        <w:rPr>
          <w:color w:val="0000FF"/>
          <w:lang w:val="el-GR"/>
        </w:rPr>
        <w:t>το</w:t>
      </w:r>
      <w:r w:rsidRPr="0097554A">
        <w:rPr>
          <w:color w:val="0000FF"/>
        </w:rPr>
        <w:t xml:space="preserve"> </w:t>
      </w:r>
      <w:r w:rsidRPr="004C59BB">
        <w:rPr>
          <w:color w:val="0000FF"/>
          <w:lang w:val="el-GR"/>
        </w:rPr>
        <w:t>των</w:t>
      </w:r>
      <w:r w:rsidRPr="0097554A">
        <w:rPr>
          <w:color w:val="0000FF"/>
        </w:rPr>
        <w:t xml:space="preserve"> </w:t>
      </w:r>
      <w:r w:rsidRPr="004C59BB">
        <w:rPr>
          <w:color w:val="0000FF"/>
          <w:lang w:val="el-GR"/>
        </w:rPr>
        <w:t>ονομάτων</w:t>
      </w:r>
      <w:r w:rsidRPr="0097554A">
        <w:rPr>
          <w:color w:val="0000FF"/>
        </w:rPr>
        <w:t xml:space="preserve"> </w:t>
      </w:r>
      <w:r w:rsidRPr="004C59BB">
        <w:rPr>
          <w:color w:val="0000FF"/>
          <w:lang w:val="el-GR"/>
        </w:rPr>
        <w:t>κοινον</w:t>
      </w:r>
      <w:r w:rsidRPr="0097554A">
        <w:rPr>
          <w:color w:val="0000FF"/>
        </w:rPr>
        <w:t>（</w:t>
      </w:r>
      <w:r w:rsidRPr="004C59BB">
        <w:rPr>
          <w:color w:val="0000FF"/>
        </w:rPr>
        <w:t>《致约伯</w:t>
      </w:r>
      <w:r w:rsidRPr="0097554A">
        <w:rPr>
          <w:color w:val="0000FF"/>
        </w:rPr>
        <w:t>·</w:t>
      </w:r>
      <w:r w:rsidRPr="004C59BB">
        <w:rPr>
          <w:color w:val="0000FF"/>
          <w:lang w:val="el-GR"/>
        </w:rPr>
        <w:t>阿基曼德罗斯的</w:t>
      </w:r>
      <w:r w:rsidRPr="004C59BB">
        <w:rPr>
          <w:color w:val="0000FF"/>
        </w:rPr>
        <w:t>书信</w:t>
      </w:r>
      <w:r w:rsidRPr="004C59BB">
        <w:rPr>
          <w:color w:val="0000FF"/>
          <w:lang w:val="el-GR"/>
        </w:rPr>
        <w:t>》</w:t>
      </w:r>
      <w:r w:rsidRPr="004C59BB">
        <w:rPr>
          <w:color w:val="0000FF"/>
        </w:rPr>
        <w:t>第CXXVII封</w:t>
      </w:r>
      <w:r w:rsidRPr="0097554A">
        <w:rPr>
          <w:color w:val="0000FF"/>
        </w:rPr>
        <w:t>）</w:t>
      </w:r>
      <w:r w:rsidRPr="004C59BB">
        <w:rPr>
          <w:color w:val="0000FF"/>
          <w:lang w:val="el-GR"/>
        </w:rPr>
        <w:t>。</w:t>
      </w:r>
    </w:p>
  </w:footnote>
  <w:footnote w:id="244">
    <w:p w14:paraId="3522185A" w14:textId="77777777" w:rsidR="00230C5F" w:rsidRPr="0097554A" w:rsidRDefault="00230C5F">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w:t>
      </w:r>
      <w:r w:rsidRPr="004C59BB">
        <w:rPr>
          <w:color w:val="0000FF"/>
          <w:lang w:val="ru-RU"/>
        </w:rPr>
        <w:t>信仰要义</w:t>
      </w:r>
      <w:r w:rsidRPr="004C59BB">
        <w:rPr>
          <w:color w:val="0000FF"/>
          <w:lang w:val="el-GR"/>
        </w:rPr>
        <w:t>》</w:t>
      </w:r>
      <w:r w:rsidRPr="004C59BB">
        <w:rPr>
          <w:color w:val="0000FF"/>
        </w:rPr>
        <w:t>第三</w:t>
      </w:r>
      <w:r w:rsidRPr="004C59BB">
        <w:rPr>
          <w:color w:val="0000FF"/>
          <w:lang w:val="el-GR"/>
        </w:rPr>
        <w:t>卷</w:t>
      </w:r>
      <w:r w:rsidRPr="0097554A">
        <w:rPr>
          <w:color w:val="0000FF"/>
        </w:rPr>
        <w:t>，</w:t>
      </w:r>
      <w:r w:rsidRPr="004C59BB">
        <w:rPr>
          <w:color w:val="0000FF"/>
          <w:lang w:val="el-GR"/>
        </w:rPr>
        <w:t>第四章</w:t>
      </w:r>
      <w:r w:rsidRPr="0097554A">
        <w:rPr>
          <w:color w:val="0000FF"/>
        </w:rPr>
        <w:t>，</w:t>
      </w:r>
      <w:r w:rsidRPr="004C59BB">
        <w:rPr>
          <w:color w:val="0000FF"/>
          <w:lang w:val="el-GR"/>
        </w:rPr>
        <w:t>第</w:t>
      </w:r>
      <w:r w:rsidRPr="0097554A">
        <w:rPr>
          <w:color w:val="0000FF"/>
        </w:rPr>
        <w:t>147–148</w:t>
      </w:r>
      <w:r w:rsidRPr="004C59BB">
        <w:rPr>
          <w:color w:val="0000FF"/>
          <w:lang w:val="ru-RU"/>
        </w:rPr>
        <w:t>页</w:t>
      </w:r>
      <w:r w:rsidRPr="004C59BB">
        <w:rPr>
          <w:color w:val="0000FF"/>
          <w:lang w:val="el-GR"/>
        </w:rPr>
        <w:t>。</w:t>
      </w:r>
    </w:p>
  </w:footnote>
  <w:footnote w:id="245">
    <w:p w14:paraId="780D0551" w14:textId="77777777" w:rsidR="00E73F0B" w:rsidRPr="0097554A" w:rsidRDefault="00E73F0B" w:rsidP="00E73F0B">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约翰</w:t>
      </w:r>
      <w:r w:rsidRPr="0097554A">
        <w:rPr>
          <w:color w:val="0000FF"/>
        </w:rPr>
        <w:t>·</w:t>
      </w:r>
      <w:r w:rsidRPr="004C59BB">
        <w:rPr>
          <w:color w:val="0000FF"/>
          <w:lang w:val="ru-RU"/>
        </w:rPr>
        <w:t>达马斯库斯</w:t>
      </w:r>
      <w:r w:rsidRPr="0097554A">
        <w:rPr>
          <w:color w:val="0000FF"/>
        </w:rPr>
        <w:t>，</w:t>
      </w:r>
      <w:r w:rsidRPr="004C59BB">
        <w:rPr>
          <w:color w:val="0000FF"/>
          <w:lang w:val="ru-RU"/>
        </w:rPr>
        <w:t>同上</w:t>
      </w:r>
      <w:r w:rsidRPr="0097554A">
        <w:rPr>
          <w:color w:val="0000FF"/>
        </w:rPr>
        <w:t>，</w:t>
      </w:r>
      <w:r w:rsidRPr="004C59BB">
        <w:rPr>
          <w:color w:val="0000FF"/>
          <w:lang w:val="ru-RU"/>
        </w:rPr>
        <w:t>第</w:t>
      </w:r>
      <w:r w:rsidRPr="0097554A">
        <w:rPr>
          <w:color w:val="0000FF"/>
        </w:rPr>
        <w:t>147</w:t>
      </w:r>
      <w:r w:rsidRPr="004C59BB">
        <w:rPr>
          <w:color w:val="0000FF"/>
          <w:lang w:val="ru-RU"/>
        </w:rPr>
        <w:t>、</w:t>
      </w:r>
      <w:r w:rsidRPr="0097554A">
        <w:rPr>
          <w:color w:val="0000FF"/>
        </w:rPr>
        <w:t>149</w:t>
      </w:r>
      <w:r w:rsidRPr="004C59BB">
        <w:rPr>
          <w:color w:val="0000FF"/>
          <w:lang w:val="ru-RU"/>
        </w:rPr>
        <w:t>页。</w:t>
      </w:r>
    </w:p>
  </w:footnote>
  <w:footnote w:id="246">
    <w:p w14:paraId="2691DF5A" w14:textId="77777777" w:rsidR="00E73F0B" w:rsidRPr="004C59BB" w:rsidRDefault="00E73F0B">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或者</w:t>
      </w:r>
      <w:r w:rsidRPr="0097554A">
        <w:rPr>
          <w:color w:val="0000FF"/>
        </w:rPr>
        <w:t>，</w:t>
      </w:r>
      <w:r w:rsidRPr="004C59BB">
        <w:rPr>
          <w:color w:val="0000FF"/>
          <w:lang w:val="ru-RU"/>
        </w:rPr>
        <w:t>用该学派的术语来说</w:t>
      </w:r>
      <w:r w:rsidRPr="0097554A">
        <w:rPr>
          <w:color w:val="0000FF"/>
        </w:rPr>
        <w:t>：“</w:t>
      </w:r>
      <w:r w:rsidRPr="004C59BB">
        <w:rPr>
          <w:color w:val="0000FF"/>
          <w:lang w:val="ru-RU"/>
        </w:rPr>
        <w:t>基督内属性的共融</w:t>
      </w:r>
      <w:r w:rsidRPr="004C59BB">
        <w:rPr>
          <w:color w:val="0000FF"/>
        </w:rPr>
        <w:t>只能在‘具体层面’</w:t>
      </w:r>
      <w:r w:rsidRPr="0097554A">
        <w:rPr>
          <w:color w:val="0000FF"/>
        </w:rPr>
        <w:t>（</w:t>
      </w:r>
      <w:r w:rsidRPr="004C59BB">
        <w:rPr>
          <w:color w:val="0000FF"/>
        </w:rPr>
        <w:t>in concreto</w:t>
      </w:r>
      <w:r w:rsidRPr="0097554A">
        <w:rPr>
          <w:color w:val="0000FF"/>
        </w:rPr>
        <w:t>）</w:t>
      </w:r>
      <w:r w:rsidRPr="004C59BB">
        <w:rPr>
          <w:color w:val="0000FF"/>
          <w:lang w:val="ru-RU"/>
        </w:rPr>
        <w:t>予以承认</w:t>
      </w:r>
      <w:r w:rsidRPr="0097554A">
        <w:rPr>
          <w:color w:val="0000FF"/>
        </w:rPr>
        <w:t>，</w:t>
      </w:r>
      <w:r w:rsidRPr="004C59BB">
        <w:rPr>
          <w:color w:val="0000FF"/>
          <w:lang w:val="ru-RU"/>
        </w:rPr>
        <w:t>即当祂的两个本性在其位格的统一性中被考察时</w:t>
      </w:r>
      <w:r w:rsidRPr="0097554A">
        <w:rPr>
          <w:color w:val="0000FF"/>
        </w:rPr>
        <w:t>；</w:t>
      </w:r>
      <w:r w:rsidRPr="004C59BB">
        <w:rPr>
          <w:color w:val="0000FF"/>
          <w:lang w:val="ru-RU"/>
        </w:rPr>
        <w:t>而不能在</w:t>
      </w:r>
      <w:r w:rsidRPr="0097554A">
        <w:rPr>
          <w:color w:val="0000FF"/>
        </w:rPr>
        <w:t>‘</w:t>
      </w:r>
      <w:r w:rsidRPr="004C59BB">
        <w:rPr>
          <w:color w:val="0000FF"/>
          <w:lang w:val="ru-RU"/>
        </w:rPr>
        <w:t>抽象层面</w:t>
      </w:r>
      <w:r w:rsidRPr="0097554A">
        <w:rPr>
          <w:color w:val="0000FF"/>
        </w:rPr>
        <w:t>’（</w:t>
      </w:r>
      <w:r w:rsidRPr="004C59BB">
        <w:rPr>
          <w:color w:val="0000FF"/>
        </w:rPr>
        <w:t>in abstracto</w:t>
      </w:r>
      <w:r w:rsidRPr="0097554A">
        <w:rPr>
          <w:color w:val="0000FF"/>
        </w:rPr>
        <w:t>）</w:t>
      </w:r>
      <w:r w:rsidRPr="004C59BB">
        <w:rPr>
          <w:color w:val="0000FF"/>
          <w:lang w:val="ru-RU"/>
        </w:rPr>
        <w:t>予以承认</w:t>
      </w:r>
      <w:r w:rsidRPr="0097554A">
        <w:rPr>
          <w:color w:val="0000FF"/>
        </w:rPr>
        <w:t>，</w:t>
      </w:r>
      <w:r w:rsidRPr="004C59BB">
        <w:rPr>
          <w:color w:val="0000FF"/>
          <w:lang w:val="ru-RU"/>
        </w:rPr>
        <w:t>即当每个本性被单独考察、脱离其位格的统一性时。”</w:t>
      </w:r>
    </w:p>
  </w:footnote>
  <w:footnote w:id="247">
    <w:p w14:paraId="45323AF7"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《信仰要义》</w:t>
      </w:r>
      <w:r w:rsidRPr="004C59BB">
        <w:rPr>
          <w:color w:val="0000FF"/>
        </w:rPr>
        <w:t>第三卷</w:t>
      </w:r>
      <w:r w:rsidRPr="004C59BB">
        <w:rPr>
          <w:color w:val="0000FF"/>
          <w:lang w:val="ru-RU"/>
        </w:rPr>
        <w:t>，第17章，第197–198页。</w:t>
      </w:r>
    </w:p>
  </w:footnote>
  <w:footnote w:id="248">
    <w:p w14:paraId="330CE335"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路德派关于耶稣基督仅凭其人性便无所不在的教义，与以下内容相悖：a) 圣经：马太福音28:5, 6；马可福音16:6；路加福音24:6；约翰福音11:15, 21；使徒行传1:11；</w:t>
      </w:r>
      <w:r w:rsidR="00EC3177" w:rsidRPr="004C59BB">
        <w:rPr>
          <w:color w:val="0000FF"/>
          <w:lang w:val="ru-RU"/>
        </w:rPr>
        <w:t xml:space="preserve"> </w:t>
      </w:r>
      <w:r w:rsidRPr="004C59BB">
        <w:rPr>
          <w:color w:val="0000FF"/>
          <w:lang w:val="ru-RU"/>
        </w:rPr>
        <w:t>3:21等；b)</w:t>
      </w:r>
      <w:r w:rsidRPr="0097554A">
        <w:rPr>
          <w:color w:val="0000FF"/>
          <w:lang w:val="ru-RU"/>
        </w:rPr>
        <w:t xml:space="preserve"> </w:t>
      </w:r>
      <w:r w:rsidRPr="004C59BB">
        <w:rPr>
          <w:color w:val="0000FF"/>
        </w:rPr>
        <w:t>第三</w:t>
      </w:r>
      <w:r w:rsidRPr="004C59BB">
        <w:rPr>
          <w:color w:val="0000FF"/>
          <w:lang w:val="ru-RU"/>
        </w:rPr>
        <w:t>、</w:t>
      </w:r>
      <w:r w:rsidRPr="004C59BB">
        <w:rPr>
          <w:color w:val="0000FF"/>
        </w:rPr>
        <w:t>第四</w:t>
      </w:r>
      <w:r w:rsidRPr="004C59BB">
        <w:rPr>
          <w:color w:val="0000FF"/>
          <w:lang w:val="ru-RU"/>
        </w:rPr>
        <w:t>、第五和第六次大公会议的教义，这些会议承认基督的两个本性在不混合、不可改变的情况下结合，并保留各自的属性；同样，第七次大公会议也谴责了那些认为基督的肉身是不可描述的或无边无际的偶像破坏者； c) 最后，圣教父们的教义……（关于他们的证言，以及对上述路德派教义的详细探讨，参见费奥凡·普罗科波维奇的</w:t>
      </w:r>
      <w:r w:rsidRPr="004C59BB">
        <w:rPr>
          <w:color w:val="0000FF"/>
        </w:rPr>
        <w:t>《神学</w:t>
      </w:r>
      <w:r w:rsidRPr="004C59BB">
        <w:rPr>
          <w:color w:val="0000FF"/>
          <w:lang w:val="ru-RU"/>
        </w:rPr>
        <w:t>》（</w:t>
      </w:r>
      <w:r w:rsidRPr="004C59BB">
        <w:rPr>
          <w:color w:val="0000FF"/>
        </w:rPr>
        <w:t>Theolog</w:t>
      </w:r>
      <w:r w:rsidRPr="004C59BB">
        <w:rPr>
          <w:color w:val="0000FF"/>
          <w:lang w:val="ru-RU"/>
        </w:rPr>
        <w:t>.）</w:t>
      </w:r>
      <w:r w:rsidRPr="004C59BB">
        <w:rPr>
          <w:color w:val="0000FF"/>
        </w:rPr>
        <w:t>第三</w:t>
      </w:r>
      <w:r w:rsidRPr="004C59BB">
        <w:rPr>
          <w:color w:val="0000FF"/>
          <w:lang w:val="ru-RU"/>
        </w:rPr>
        <w:t>卷，</w:t>
      </w:r>
      <w:r w:rsidRPr="004C59BB">
        <w:rPr>
          <w:color w:val="0000FF"/>
        </w:rPr>
        <w:t>第九</w:t>
      </w:r>
      <w:r w:rsidRPr="004C59BB">
        <w:rPr>
          <w:color w:val="0000FF"/>
          <w:lang w:val="ru-RU"/>
        </w:rPr>
        <w:t>卷，第九章，第209–232节）。</w:t>
      </w:r>
    </w:p>
  </w:footnote>
  <w:footnote w:id="249">
    <w:p w14:paraId="10753B0E" w14:textId="77777777" w:rsidR="00E73F0B" w:rsidRPr="0097554A" w:rsidRDefault="00E73F0B">
      <w:pPr>
        <w:pStyle w:val="FootnoteText"/>
        <w:rPr>
          <w:color w:val="0000FF"/>
          <w:lang w:val="ru-RU"/>
        </w:rPr>
      </w:pPr>
      <w:r w:rsidRPr="004C59BB">
        <w:rPr>
          <w:rStyle w:val="FootnoteReference"/>
          <w:color w:val="0000FF"/>
        </w:rPr>
        <w:footnoteRef/>
      </w:r>
      <w:r w:rsidRPr="004C59BB">
        <w:rPr>
          <w:color w:val="0000FF"/>
          <w:lang w:val="ru-RU"/>
        </w:rPr>
        <w:t xml:space="preserve"> 由此，关于救主对末日的预知，古代教会导师们那些看似相互矛盾的言论似乎得以完全调和。其中一些人在阐释《马太福音》24章36节时指出，基督以人的本性而言并不知道世界的末日，例如：爱任纽（《</w:t>
      </w:r>
      <w:r w:rsidRPr="004C59BB">
        <w:rPr>
          <w:color w:val="0000FF"/>
        </w:rPr>
        <w:t>反异端</w:t>
      </w:r>
      <w:r w:rsidRPr="004C59BB">
        <w:rPr>
          <w:color w:val="0000FF"/>
          <w:lang w:val="ru-RU"/>
        </w:rPr>
        <w:t xml:space="preserve">》 </w:t>
      </w:r>
      <w:r w:rsidRPr="004C59BB">
        <w:rPr>
          <w:color w:val="0000FF"/>
        </w:rPr>
        <w:t>II</w:t>
      </w:r>
      <w:r w:rsidRPr="004C59BB">
        <w:rPr>
          <w:color w:val="0000FF"/>
          <w:lang w:val="ru-RU"/>
        </w:rPr>
        <w:t xml:space="preserve">, 29, </w:t>
      </w:r>
      <w:r w:rsidRPr="004C59BB">
        <w:rPr>
          <w:color w:val="0000FF"/>
        </w:rPr>
        <w:t>a</w:t>
      </w:r>
      <w:r w:rsidRPr="004C59BB">
        <w:rPr>
          <w:color w:val="0000FF"/>
          <w:lang w:val="ru-RU"/>
        </w:rPr>
        <w:t>. 6. 8）、大亚他那修（《</w:t>
      </w:r>
      <w:r w:rsidRPr="004C59BB">
        <w:rPr>
          <w:color w:val="0000FF"/>
        </w:rPr>
        <w:t>反</w:t>
      </w:r>
      <w:r w:rsidRPr="004C59BB">
        <w:rPr>
          <w:color w:val="0000FF"/>
          <w:lang w:val="ru-RU"/>
        </w:rPr>
        <w:t>阿里乌派</w:t>
      </w:r>
      <w:r w:rsidRPr="004C59BB">
        <w:rPr>
          <w:color w:val="0000FF"/>
        </w:rPr>
        <w:t>讲道</w:t>
      </w:r>
      <w:r w:rsidRPr="004C59BB">
        <w:rPr>
          <w:color w:val="0000FF"/>
          <w:lang w:val="ru-RU"/>
        </w:rPr>
        <w:t>集》</w:t>
      </w:r>
      <w:r w:rsidRPr="004C59BB">
        <w:rPr>
          <w:color w:val="0000FF"/>
        </w:rPr>
        <w:t>III</w:t>
      </w:r>
      <w:r w:rsidRPr="004C59BB">
        <w:rPr>
          <w:color w:val="0000FF"/>
          <w:lang w:val="ru-RU"/>
        </w:rPr>
        <w:t xml:space="preserve">, </w:t>
      </w:r>
      <w:r w:rsidRPr="004C59BB">
        <w:rPr>
          <w:color w:val="0000FF"/>
        </w:rPr>
        <w:t>n</w:t>
      </w:r>
      <w:r w:rsidRPr="004C59BB">
        <w:rPr>
          <w:color w:val="0000FF"/>
          <w:lang w:val="ru-RU"/>
        </w:rPr>
        <w:t>. 43. 46. 52. 53）、大巴西勒（《</w:t>
      </w:r>
      <w:r w:rsidRPr="004C59BB">
        <w:rPr>
          <w:color w:val="0000FF"/>
        </w:rPr>
        <w:t>书信</w:t>
      </w:r>
      <w:r w:rsidRPr="004C59BB">
        <w:rPr>
          <w:color w:val="0000FF"/>
          <w:lang w:val="ru-RU"/>
        </w:rPr>
        <w:t>集》</w:t>
      </w:r>
      <w:r w:rsidRPr="004C59BB">
        <w:rPr>
          <w:color w:val="0000FF"/>
        </w:rPr>
        <w:t>CCXXXVI</w:t>
      </w:r>
      <w:r w:rsidRPr="004C59BB">
        <w:rPr>
          <w:color w:val="0000FF"/>
          <w:lang w:val="ru-RU"/>
        </w:rPr>
        <w:t xml:space="preserve">, </w:t>
      </w:r>
      <w:r w:rsidRPr="004C59BB">
        <w:rPr>
          <w:color w:val="0000FF"/>
        </w:rPr>
        <w:t>n</w:t>
      </w:r>
      <w:r w:rsidRPr="004C59BB">
        <w:rPr>
          <w:color w:val="0000FF"/>
          <w:lang w:val="ru-RU"/>
        </w:rPr>
        <w:t>. 1）， 神学家格里高利（《论神学》</w:t>
      </w:r>
      <w:r w:rsidRPr="004C59BB">
        <w:rPr>
          <w:color w:val="0000FF"/>
        </w:rPr>
        <w:t>IV</w:t>
      </w:r>
      <w:r w:rsidRPr="004C59BB">
        <w:rPr>
          <w:color w:val="0000FF"/>
          <w:lang w:val="ru-RU"/>
        </w:rPr>
        <w:t>，载于</w:t>
      </w:r>
      <w:r w:rsidRPr="004C59BB">
        <w:rPr>
          <w:color w:val="0000FF"/>
        </w:rPr>
        <w:t>《圣教父著作集》III</w:t>
      </w:r>
      <w:r w:rsidRPr="0097554A">
        <w:rPr>
          <w:color w:val="0000FF"/>
          <w:lang w:val="ru-RU"/>
        </w:rPr>
        <w:t>，94），</w:t>
      </w:r>
      <w:r w:rsidRPr="004C59BB">
        <w:rPr>
          <w:color w:val="0000FF"/>
        </w:rPr>
        <w:t>尼西亚的格里高利</w:t>
      </w:r>
      <w:r w:rsidRPr="0097554A">
        <w:rPr>
          <w:color w:val="0000FF"/>
          <w:lang w:val="ru-RU"/>
        </w:rPr>
        <w:t>（</w:t>
      </w:r>
      <w:r w:rsidRPr="004C59BB">
        <w:rPr>
          <w:color w:val="0000FF"/>
        </w:rPr>
        <w:t>《反阿波林尼乌斯</w:t>
      </w:r>
      <w:r w:rsidRPr="0097554A">
        <w:rPr>
          <w:color w:val="0000FF"/>
          <w:lang w:val="ru-RU"/>
        </w:rPr>
        <w:t>·</w:t>
      </w:r>
      <w:r w:rsidRPr="004C59BB">
        <w:rPr>
          <w:color w:val="0000FF"/>
        </w:rPr>
        <w:t>反驳》第</w:t>
      </w:r>
      <w:r w:rsidRPr="0097554A">
        <w:rPr>
          <w:color w:val="0000FF"/>
          <w:lang w:val="ru-RU"/>
        </w:rPr>
        <w:t>14</w:t>
      </w:r>
      <w:r w:rsidRPr="004C59BB">
        <w:rPr>
          <w:color w:val="0000FF"/>
        </w:rPr>
        <w:t>、</w:t>
      </w:r>
      <w:r w:rsidRPr="0097554A">
        <w:rPr>
          <w:color w:val="0000FF"/>
          <w:lang w:val="ru-RU"/>
        </w:rPr>
        <w:t>28</w:t>
      </w:r>
      <w:r w:rsidRPr="004C59BB">
        <w:rPr>
          <w:color w:val="0000FF"/>
        </w:rPr>
        <w:t>条</w:t>
      </w:r>
      <w:r w:rsidRPr="0097554A">
        <w:rPr>
          <w:color w:val="0000FF"/>
          <w:lang w:val="ru-RU"/>
        </w:rPr>
        <w:t>；</w:t>
      </w:r>
      <w:r w:rsidRPr="004C59BB">
        <w:rPr>
          <w:color w:val="0000FF"/>
        </w:rPr>
        <w:t>《论圣子与圣灵的神性》第</w:t>
      </w:r>
      <w:r w:rsidRPr="0097554A">
        <w:rPr>
          <w:color w:val="0000FF"/>
          <w:lang w:val="ru-RU"/>
        </w:rPr>
        <w:t>470</w:t>
      </w:r>
      <w:r w:rsidRPr="004C59BB">
        <w:rPr>
          <w:color w:val="0000FF"/>
        </w:rPr>
        <w:t>页</w:t>
      </w:r>
      <w:r w:rsidRPr="0097554A">
        <w:rPr>
          <w:color w:val="0000FF"/>
          <w:lang w:val="ru-RU"/>
        </w:rPr>
        <w:t>，</w:t>
      </w:r>
      <w:r w:rsidRPr="004C59BB">
        <w:rPr>
          <w:color w:val="0000FF"/>
        </w:rPr>
        <w:t>第三卷</w:t>
      </w:r>
      <w:r w:rsidRPr="0097554A">
        <w:rPr>
          <w:color w:val="0000FF"/>
          <w:lang w:val="ru-RU"/>
        </w:rPr>
        <w:t>，</w:t>
      </w:r>
      <w:r w:rsidRPr="004C59BB">
        <w:rPr>
          <w:color w:val="0000FF"/>
        </w:rPr>
        <w:t>莫雷尔版</w:t>
      </w:r>
      <w:r w:rsidRPr="0097554A">
        <w:rPr>
          <w:color w:val="0000FF"/>
          <w:lang w:val="ru-RU"/>
        </w:rPr>
        <w:t>），</w:t>
      </w:r>
      <w:r w:rsidRPr="004C59BB">
        <w:rPr>
          <w:color w:val="0000FF"/>
        </w:rPr>
        <w:t>亚历山大的迪迪姆</w:t>
      </w:r>
      <w:r w:rsidRPr="0097554A">
        <w:rPr>
          <w:color w:val="0000FF"/>
          <w:lang w:val="ru-RU"/>
        </w:rPr>
        <w:t xml:space="preserve"> （</w:t>
      </w:r>
      <w:r w:rsidRPr="004C59BB">
        <w:rPr>
          <w:color w:val="0000FF"/>
        </w:rPr>
        <w:t>《讲义》</w:t>
      </w:r>
      <w:r w:rsidRPr="0097554A">
        <w:rPr>
          <w:color w:val="0000FF"/>
          <w:lang w:val="ru-RU"/>
        </w:rPr>
        <w:t>，</w:t>
      </w:r>
      <w:r w:rsidRPr="004C59BB">
        <w:rPr>
          <w:color w:val="0000FF"/>
        </w:rPr>
        <w:t>《约翰一书》注释</w:t>
      </w:r>
      <w:r w:rsidRPr="0097554A">
        <w:rPr>
          <w:color w:val="0000FF"/>
          <w:lang w:val="ru-RU"/>
        </w:rPr>
        <w:t>，</w:t>
      </w:r>
      <w:r w:rsidRPr="004C59BB">
        <w:rPr>
          <w:color w:val="0000FF"/>
        </w:rPr>
        <w:t>第二章</w:t>
      </w:r>
      <w:r w:rsidRPr="0097554A">
        <w:rPr>
          <w:color w:val="0000FF"/>
          <w:lang w:val="ru-RU"/>
        </w:rPr>
        <w:t>，</w:t>
      </w:r>
      <w:r w:rsidRPr="004C59BB">
        <w:rPr>
          <w:color w:val="0000FF"/>
        </w:rPr>
        <w:t>第</w:t>
      </w:r>
      <w:r w:rsidRPr="0097554A">
        <w:rPr>
          <w:color w:val="0000FF"/>
          <w:lang w:val="ru-RU"/>
        </w:rPr>
        <w:t>3</w:t>
      </w:r>
      <w:r w:rsidRPr="004C59BB">
        <w:rPr>
          <w:color w:val="0000FF"/>
        </w:rPr>
        <w:t>、</w:t>
      </w:r>
      <w:r w:rsidRPr="0097554A">
        <w:rPr>
          <w:color w:val="0000FF"/>
          <w:lang w:val="ru-RU"/>
        </w:rPr>
        <w:t>4</w:t>
      </w:r>
      <w:r w:rsidRPr="004C59BB">
        <w:rPr>
          <w:color w:val="0000FF"/>
        </w:rPr>
        <w:t>节</w:t>
      </w:r>
      <w:r w:rsidRPr="0097554A">
        <w:rPr>
          <w:color w:val="0000FF"/>
          <w:lang w:val="ru-RU"/>
        </w:rPr>
        <w:t>），</w:t>
      </w:r>
      <w:r w:rsidRPr="004C59BB">
        <w:rPr>
          <w:color w:val="0000FF"/>
        </w:rPr>
        <w:t>埃皮法尼乌斯</w:t>
      </w:r>
      <w:r w:rsidRPr="0097554A">
        <w:rPr>
          <w:color w:val="0000FF"/>
          <w:lang w:val="ru-RU"/>
        </w:rPr>
        <w:t>（</w:t>
      </w:r>
      <w:r w:rsidRPr="004C59BB">
        <w:rPr>
          <w:color w:val="0000FF"/>
        </w:rPr>
        <w:t>《锚定》第XL章</w:t>
      </w:r>
      <w:r w:rsidRPr="0097554A">
        <w:rPr>
          <w:color w:val="0000FF"/>
          <w:lang w:val="ru-RU"/>
        </w:rPr>
        <w:t>），</w:t>
      </w:r>
      <w:r w:rsidRPr="004C59BB">
        <w:rPr>
          <w:color w:val="0000FF"/>
        </w:rPr>
        <w:t>狄奥多里特</w:t>
      </w:r>
      <w:r w:rsidRPr="0097554A">
        <w:rPr>
          <w:color w:val="0000FF"/>
          <w:lang w:val="ru-RU"/>
        </w:rPr>
        <w:t>（</w:t>
      </w:r>
      <w:r w:rsidRPr="004C59BB">
        <w:rPr>
          <w:color w:val="0000FF"/>
        </w:rPr>
        <w:t>《诗篇》注释</w:t>
      </w:r>
      <w:r w:rsidRPr="004C59BB">
        <w:rPr>
          <w:color w:val="0000FF"/>
          <w:lang w:val="ru-RU"/>
        </w:rPr>
        <w:t>，第十五篇，第7节），亚历山大的西里尔（《</w:t>
      </w:r>
      <w:r w:rsidRPr="004C59BB">
        <w:rPr>
          <w:color w:val="0000FF"/>
        </w:rPr>
        <w:t>反</w:t>
      </w:r>
      <w:r w:rsidRPr="004C59BB">
        <w:rPr>
          <w:color w:val="0000FF"/>
          <w:lang w:val="ru-RU"/>
        </w:rPr>
        <w:t>人类论》第14章），以及总体而言许多人——甚至可以说几乎所有人，正如拜占庭的莱昂提乌斯所证实的（</w:t>
      </w:r>
      <w:r w:rsidRPr="004C59BB">
        <w:rPr>
          <w:color w:val="0000FF"/>
        </w:rPr>
        <w:t>《论异端</w:t>
      </w:r>
      <w:r w:rsidRPr="004C59BB">
        <w:rPr>
          <w:color w:val="0000FF"/>
          <w:lang w:val="ru-RU"/>
        </w:rPr>
        <w:t xml:space="preserve">》，第 </w:t>
      </w:r>
      <w:r w:rsidRPr="004C59BB">
        <w:rPr>
          <w:color w:val="0000FF"/>
        </w:rPr>
        <w:t>X</w:t>
      </w:r>
      <w:r w:rsidRPr="004C59BB">
        <w:rPr>
          <w:color w:val="0000FF"/>
          <w:lang w:val="ru-RU"/>
        </w:rPr>
        <w:t>）所证明的那样，许多——甚至可以说几乎所有——人都持此观点。而另一些人，尽管寥寥无几，却主张基督不仅凭借其神性，也凭借其人性，知晓世界的末日以及其他一切（</w:t>
      </w:r>
      <w:r w:rsidRPr="004C59BB">
        <w:rPr>
          <w:color w:val="0000FF"/>
        </w:rPr>
        <w:t>安布罗斯《论信仰》V</w:t>
      </w:r>
      <w:r w:rsidRPr="004C59BB">
        <w:rPr>
          <w:color w:val="0000FF"/>
          <w:lang w:val="ru-RU"/>
        </w:rPr>
        <w:t>，</w:t>
      </w:r>
      <w:r w:rsidRPr="0097554A">
        <w:rPr>
          <w:color w:val="0000FF"/>
          <w:lang w:val="ru-RU"/>
        </w:rPr>
        <w:t>18，</w:t>
      </w:r>
      <w:r w:rsidRPr="004C59BB">
        <w:rPr>
          <w:color w:val="0000FF"/>
        </w:rPr>
        <w:t>n</w:t>
      </w:r>
      <w:r w:rsidRPr="004C59BB">
        <w:rPr>
          <w:color w:val="0000FF"/>
          <w:lang w:val="ru-RU"/>
        </w:rPr>
        <w:t>. 221；尤洛格</w:t>
      </w:r>
      <w:r w:rsidRPr="0097554A">
        <w:rPr>
          <w:color w:val="0000FF"/>
          <w:lang w:val="ru-RU"/>
        </w:rPr>
        <w:t>，</w:t>
      </w:r>
      <w:r w:rsidRPr="004C59BB">
        <w:rPr>
          <w:color w:val="0000FF"/>
        </w:rPr>
        <w:t>引自</w:t>
      </w:r>
      <w:r w:rsidRPr="004C59BB">
        <w:rPr>
          <w:color w:val="0000FF"/>
          <w:lang w:val="ru-RU"/>
        </w:rPr>
        <w:t>福提乌斯手稿</w:t>
      </w:r>
      <w:r w:rsidRPr="004C59BB">
        <w:rPr>
          <w:color w:val="0000FF"/>
        </w:rPr>
        <w:t>CCXXX</w:t>
      </w:r>
      <w:r w:rsidRPr="004C59BB">
        <w:rPr>
          <w:color w:val="0000FF"/>
          <w:lang w:val="ru-RU"/>
        </w:rPr>
        <w:t>，第882页；大马士革 《信仰要义》</w:t>
      </w:r>
      <w:r w:rsidRPr="004C59BB">
        <w:rPr>
          <w:color w:val="0000FF"/>
        </w:rPr>
        <w:t>第三</w:t>
      </w:r>
      <w:r w:rsidRPr="004C59BB">
        <w:rPr>
          <w:color w:val="0000FF"/>
          <w:lang w:val="ru-RU"/>
        </w:rPr>
        <w:t>卷，第22章）。前者的观点也是合理的：因为他们在此情况下将救主的人性理解</w:t>
      </w:r>
      <w:r w:rsidRPr="004C59BB">
        <w:rPr>
          <w:color w:val="0000FF"/>
        </w:rPr>
        <w:t>为</w:t>
      </w:r>
      <w:r w:rsidRPr="0097554A">
        <w:rPr>
          <w:color w:val="0000FF"/>
          <w:lang w:val="ru-RU"/>
        </w:rPr>
        <w:t>“</w:t>
      </w:r>
      <w:r w:rsidRPr="004C59BB">
        <w:rPr>
          <w:color w:val="0000FF"/>
        </w:rPr>
        <w:t>抽象的</w:t>
      </w:r>
      <w:r w:rsidRPr="004C59BB">
        <w:rPr>
          <w:color w:val="0000FF"/>
          <w:lang w:val="ru-RU"/>
        </w:rPr>
        <w:t>”，即独立于祂神性位格的统一性之外，正如圣格里高利·神学家所言：“对任何人来说都很明显，圣子作为神是知道的； 却将无知归于自己，如同人一般，只要可见之物能够与心智所想之物分离。 这一思想也体现在：此处对圣子的称谓是超然且无所指的，即未附加任何限定——祂是誰的儿子，以便我们能以更符合虔诚的方式理解这种无知，并将之归于人性，而非</w:t>
      </w:r>
      <w:r w:rsidR="005666A3" w:rsidRPr="004C59BB">
        <w:rPr>
          <w:color w:val="0000FF"/>
          <w:lang w:val="ru-RU"/>
        </w:rPr>
        <w:t>神性”</w:t>
      </w:r>
      <w:r w:rsidRPr="004C59BB">
        <w:rPr>
          <w:color w:val="0000FF"/>
          <w:lang w:val="ru-RU"/>
        </w:rPr>
        <w:t xml:space="preserve"> （《圣教父著作集》</w:t>
      </w:r>
      <w:r w:rsidRPr="004C59BB">
        <w:rPr>
          <w:color w:val="0000FF"/>
        </w:rPr>
        <w:t>第三</w:t>
      </w:r>
      <w:r w:rsidRPr="004C59BB">
        <w:rPr>
          <w:color w:val="0000FF"/>
          <w:lang w:val="ru-RU"/>
        </w:rPr>
        <w:t>卷，94）。后者的观点也是正确的：因为他们将救主理解为一个神圣位格，其中神性与人性不可分割地结合在一起——尤洛吉乌斯的话（同上引文）尤其清楚地表明了这一点。 正是基于这一最终含义，教会于六世纪谴责了不可知论者的谬论——他们将基督的两种本性混为一谈，即承认神性吞噬了人性，并断言即使将基督理解为唯一的神性位格，祂也不知晓（</w:t>
      </w:r>
      <w:r w:rsidRPr="004C59BB">
        <w:rPr>
          <w:color w:val="0000FF"/>
        </w:rPr>
        <w:t>αγνοέω</w:t>
      </w:r>
      <w:r w:rsidRPr="004C59BB">
        <w:rPr>
          <w:color w:val="0000FF"/>
          <w:lang w:val="ru-RU"/>
        </w:rPr>
        <w:t>）世界末日 （</w:t>
      </w:r>
      <w:r w:rsidRPr="004C59BB">
        <w:rPr>
          <w:color w:val="0000FF"/>
        </w:rPr>
        <w:t>尼西弗鲁斯</w:t>
      </w:r>
      <w:r w:rsidRPr="004C59BB">
        <w:rPr>
          <w:color w:val="0000FF"/>
          <w:lang w:val="ru-RU"/>
        </w:rPr>
        <w:t>《</w:t>
      </w:r>
      <w:r w:rsidRPr="004C59BB">
        <w:rPr>
          <w:color w:val="0000FF"/>
        </w:rPr>
        <w:t>教会史》第十八卷</w:t>
      </w:r>
      <w:r w:rsidRPr="0097554A">
        <w:rPr>
          <w:color w:val="0000FF"/>
          <w:lang w:val="ru-RU"/>
        </w:rPr>
        <w:t>，</w:t>
      </w:r>
      <w:r w:rsidRPr="004C59BB">
        <w:rPr>
          <w:color w:val="0000FF"/>
        </w:rPr>
        <w:t>第</w:t>
      </w:r>
      <w:r w:rsidRPr="0097554A">
        <w:rPr>
          <w:color w:val="0000FF"/>
          <w:lang w:val="ru-RU"/>
        </w:rPr>
        <w:t>45</w:t>
      </w:r>
      <w:r w:rsidRPr="004C59BB">
        <w:rPr>
          <w:color w:val="0000FF"/>
        </w:rPr>
        <w:t>、</w:t>
      </w:r>
      <w:r w:rsidRPr="0097554A">
        <w:rPr>
          <w:color w:val="0000FF"/>
          <w:lang w:val="ru-RU"/>
        </w:rPr>
        <w:t>49</w:t>
      </w:r>
      <w:r w:rsidRPr="004C59BB">
        <w:rPr>
          <w:color w:val="0000FF"/>
        </w:rPr>
        <w:t>、</w:t>
      </w:r>
      <w:r w:rsidRPr="0097554A">
        <w:rPr>
          <w:color w:val="0000FF"/>
          <w:lang w:val="ru-RU"/>
        </w:rPr>
        <w:t>50</w:t>
      </w:r>
      <w:r w:rsidRPr="004C59BB">
        <w:rPr>
          <w:color w:val="0000FF"/>
        </w:rPr>
        <w:t>章</w:t>
      </w:r>
      <w:r w:rsidRPr="0097554A">
        <w:rPr>
          <w:color w:val="0000FF"/>
          <w:lang w:val="ru-RU"/>
        </w:rPr>
        <w:t>；</w:t>
      </w:r>
      <w:r w:rsidRPr="004C59BB">
        <w:rPr>
          <w:color w:val="0000FF"/>
        </w:rPr>
        <w:t>苏伊塞尔《教会宝库》</w:t>
      </w:r>
      <w:r w:rsidRPr="0097554A">
        <w:rPr>
          <w:color w:val="0000FF"/>
          <w:lang w:val="ru-RU"/>
        </w:rPr>
        <w:t>“</w:t>
      </w:r>
      <w:r w:rsidRPr="004C59BB">
        <w:rPr>
          <w:color w:val="0000FF"/>
        </w:rPr>
        <w:t>Αγνοηται</w:t>
      </w:r>
      <w:r w:rsidRPr="0097554A">
        <w:rPr>
          <w:color w:val="0000FF"/>
          <w:lang w:val="ru-RU"/>
        </w:rPr>
        <w:t>”</w:t>
      </w:r>
      <w:r w:rsidRPr="004C59BB">
        <w:rPr>
          <w:color w:val="0000FF"/>
        </w:rPr>
        <w:t>条目</w:t>
      </w:r>
      <w:r w:rsidRPr="0097554A">
        <w:rPr>
          <w:color w:val="0000FF"/>
          <w:lang w:val="ru-RU"/>
        </w:rPr>
        <w:t>）</w:t>
      </w:r>
      <w:r w:rsidRPr="004C59BB">
        <w:rPr>
          <w:color w:val="0000FF"/>
        </w:rPr>
        <w:t>。</w:t>
      </w:r>
    </w:p>
  </w:footnote>
  <w:footnote w:id="250">
    <w:p w14:paraId="7C67308B"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“如果肉身自受孕之初就真正与神之言联合，或者更确切地说，是在祂里面存在并与祂具有位格上的同一性；那么，它怎能不完全充满一切智慧和恩典呢？ ——肉体并非自行获得恩典，而是因位格的联合——即当人性与神性同属一位基督之时（因为同一位基督既是神又是人）——而分享圣言所拥有的恩典，并向世界倾注恩典、智慧及一切美</w:t>
      </w:r>
      <w:r w:rsidR="005666A3" w:rsidRPr="004C59BB">
        <w:rPr>
          <w:color w:val="0000FF"/>
          <w:lang w:val="ru-RU"/>
        </w:rPr>
        <w:t>善的丰盛”</w:t>
      </w:r>
      <w:r w:rsidRPr="004C59BB">
        <w:rPr>
          <w:color w:val="0000FF"/>
          <w:lang w:val="ru-RU"/>
        </w:rPr>
        <w:t xml:space="preserve"> （大马士革。 《信仰真义》</w:t>
      </w:r>
      <w:r w:rsidRPr="004C59BB">
        <w:rPr>
          <w:color w:val="0000FF"/>
        </w:rPr>
        <w:t>第三卷</w:t>
      </w:r>
      <w:r w:rsidRPr="004C59BB">
        <w:rPr>
          <w:color w:val="0000FF"/>
          <w:lang w:val="ru-RU"/>
        </w:rPr>
        <w:t>，第22章，第211页）。</w:t>
      </w:r>
    </w:p>
  </w:footnote>
  <w:footnote w:id="251">
    <w:p w14:paraId="1DBE47FF"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狄奥尼修斯</w:t>
      </w:r>
      <w:r w:rsidRPr="004C59BB">
        <w:rPr>
          <w:color w:val="0000FF"/>
          <w:lang w:val="ru-RU"/>
        </w:rPr>
        <w:t>·</w:t>
      </w:r>
      <w:r w:rsidRPr="004C59BB">
        <w:rPr>
          <w:color w:val="0000FF"/>
        </w:rPr>
        <w:t>阿雷奥帕戈斯</w:t>
      </w:r>
      <w:r w:rsidRPr="004C59BB">
        <w:rPr>
          <w:color w:val="0000FF"/>
          <w:lang w:val="ru-RU"/>
        </w:rPr>
        <w:t>，</w:t>
      </w:r>
      <w:r w:rsidRPr="004C59BB">
        <w:rPr>
          <w:color w:val="0000FF"/>
        </w:rPr>
        <w:t>《论</w:t>
      </w:r>
      <w:r w:rsidRPr="004C59BB">
        <w:rPr>
          <w:color w:val="0000FF"/>
          <w:lang w:val="ru-RU"/>
        </w:rPr>
        <w:t>教会等级制度》第3章；巴克斯特对《诗篇》第44篇的注释，载于《圣教父文集》</w:t>
      </w:r>
      <w:r w:rsidRPr="004C59BB">
        <w:rPr>
          <w:color w:val="0000FF"/>
        </w:rPr>
        <w:t>第V</w:t>
      </w:r>
      <w:r w:rsidRPr="004C59BB">
        <w:rPr>
          <w:color w:val="0000FF"/>
          <w:lang w:val="ru-RU"/>
        </w:rPr>
        <w:t>卷，第230页。</w:t>
      </w:r>
    </w:p>
  </w:footnote>
  <w:footnote w:id="252">
    <w:p w14:paraId="27DCD316"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“人的肉身，就其本性而言，并非赐生命者；但主的肉身，因位格与上帝之道本身联合，虽然就其本性而言并未脱离死性； 然而，正因与圣言位格联合，它便成了赐生命的：我们不能说它不是赐生命的，或不是永远</w:t>
      </w:r>
      <w:r w:rsidR="005666A3" w:rsidRPr="004C59BB">
        <w:rPr>
          <w:color w:val="0000FF"/>
          <w:lang w:val="ru-RU"/>
        </w:rPr>
        <w:t>赐生命的”</w:t>
      </w:r>
      <w:r w:rsidRPr="004C59BB">
        <w:rPr>
          <w:color w:val="0000FF"/>
          <w:lang w:val="ru-RU"/>
        </w:rPr>
        <w:t>（大马士革，《信仰论述》</w:t>
      </w:r>
      <w:r w:rsidRPr="004C59BB">
        <w:rPr>
          <w:color w:val="0000FF"/>
        </w:rPr>
        <w:t>第三卷</w:t>
      </w:r>
      <w:r w:rsidRPr="004C59BB">
        <w:rPr>
          <w:color w:val="0000FF"/>
          <w:lang w:val="ru-RU"/>
        </w:rPr>
        <w:t>，21，第208–209页）。</w:t>
      </w:r>
    </w:p>
  </w:footnote>
  <w:footnote w:id="253">
    <w:p w14:paraId="5D9AB77A" w14:textId="77777777" w:rsidR="00E73F0B" w:rsidRPr="0097554A" w:rsidRDefault="00E73F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贾斯汀</w:t>
      </w:r>
      <w:r w:rsidRPr="004C59BB">
        <w:rPr>
          <w:color w:val="0000FF"/>
          <w:lang w:val="ru-RU"/>
        </w:rPr>
        <w:t>《</w:t>
      </w:r>
      <w:r w:rsidRPr="004C59BB">
        <w:rPr>
          <w:color w:val="0000FF"/>
        </w:rPr>
        <w:t>信仰阐释</w:t>
      </w:r>
      <w:r w:rsidRPr="004C59BB">
        <w:rPr>
          <w:color w:val="0000FF"/>
          <w:lang w:val="ru-RU"/>
        </w:rPr>
        <w:t>》；</w:t>
      </w:r>
      <w:r w:rsidRPr="004C59BB">
        <w:rPr>
          <w:color w:val="0000FF"/>
        </w:rPr>
        <w:t>参见其</w:t>
      </w:r>
      <w:r w:rsidRPr="004C59BB">
        <w:rPr>
          <w:color w:val="0000FF"/>
          <w:lang w:val="ru-RU"/>
        </w:rPr>
        <w:t>著作集第</w:t>
      </w:r>
      <w:r w:rsidRPr="0097554A">
        <w:rPr>
          <w:color w:val="0000FF"/>
          <w:lang w:val="ru-RU"/>
        </w:rPr>
        <w:t>387</w:t>
      </w:r>
      <w:r w:rsidRPr="004C59BB">
        <w:rPr>
          <w:color w:val="0000FF"/>
        </w:rPr>
        <w:t>页</w:t>
      </w:r>
      <w:r w:rsidRPr="004C59BB">
        <w:rPr>
          <w:color w:val="0000FF"/>
          <w:lang w:val="ru-RU"/>
        </w:rPr>
        <w:t>，</w:t>
      </w:r>
      <w:r w:rsidRPr="004C59BB">
        <w:rPr>
          <w:color w:val="0000FF"/>
        </w:rPr>
        <w:t>科隆版</w:t>
      </w:r>
      <w:r w:rsidRPr="0097554A">
        <w:rPr>
          <w:color w:val="0000FF"/>
          <w:lang w:val="ru-RU"/>
        </w:rPr>
        <w:t>，1686</w:t>
      </w:r>
      <w:r w:rsidRPr="004C59BB">
        <w:rPr>
          <w:color w:val="0000FF"/>
        </w:rPr>
        <w:t>年。</w:t>
      </w:r>
    </w:p>
  </w:footnote>
  <w:footnote w:id="254">
    <w:p w14:paraId="137D9DE9" w14:textId="77777777" w:rsidR="00E73F0B" w:rsidRPr="0097554A" w:rsidRDefault="00E73F0B">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《第六次大公会议》</w:t>
      </w:r>
      <w:r w:rsidRPr="0097554A">
        <w:rPr>
          <w:color w:val="0000FF"/>
          <w:lang w:val="ru-RU"/>
        </w:rPr>
        <w:t>，</w:t>
      </w:r>
      <w:r w:rsidRPr="004C59BB">
        <w:rPr>
          <w:color w:val="0000FF"/>
        </w:rPr>
        <w:t>引自维尼乌斯。第III卷</w:t>
      </w:r>
      <w:r w:rsidRPr="0097554A">
        <w:rPr>
          <w:color w:val="0000FF"/>
          <w:lang w:val="ru-RU"/>
        </w:rPr>
        <w:t>，</w:t>
      </w:r>
      <w:r w:rsidRPr="004C59BB">
        <w:rPr>
          <w:color w:val="0000FF"/>
        </w:rPr>
        <w:t>第I部分</w:t>
      </w:r>
      <w:r w:rsidRPr="0097554A">
        <w:rPr>
          <w:color w:val="0000FF"/>
          <w:lang w:val="ru-RU"/>
        </w:rPr>
        <w:t>，</w:t>
      </w:r>
      <w:r w:rsidRPr="004C59BB">
        <w:rPr>
          <w:color w:val="0000FF"/>
        </w:rPr>
        <w:t>第</w:t>
      </w:r>
      <w:r w:rsidRPr="0097554A">
        <w:rPr>
          <w:color w:val="0000FF"/>
          <w:lang w:val="ru-RU"/>
        </w:rPr>
        <w:t>184–185</w:t>
      </w:r>
      <w:r w:rsidRPr="004C59BB">
        <w:rPr>
          <w:color w:val="0000FF"/>
        </w:rPr>
        <w:t>页。</w:t>
      </w:r>
    </w:p>
  </w:footnote>
  <w:footnote w:id="255">
    <w:p w14:paraId="551FBE46" w14:textId="77777777" w:rsidR="00E73F0B" w:rsidRPr="0097554A" w:rsidRDefault="00E73F0B">
      <w:pPr>
        <w:pStyle w:val="FootnoteText"/>
        <w:rPr>
          <w:color w:val="0000FF"/>
          <w:lang w:val="ru-RU"/>
        </w:rPr>
      </w:pPr>
      <w:r w:rsidRPr="004C59BB">
        <w:rPr>
          <w:rStyle w:val="FootnoteReference"/>
          <w:color w:val="0000FF"/>
        </w:rPr>
        <w:footnoteRef/>
      </w:r>
      <w:r w:rsidRPr="0097554A">
        <w:rPr>
          <w:color w:val="0000FF"/>
          <w:lang w:val="ru-RU"/>
        </w:rPr>
        <w:t xml:space="preserve"> </w:t>
      </w:r>
      <w:r w:rsidR="001973A6" w:rsidRPr="004C59BB">
        <w:rPr>
          <w:color w:val="0000FF"/>
        </w:rPr>
        <w:t>《反阿里乌派演说》第</w:t>
      </w:r>
      <w:r w:rsidR="001973A6" w:rsidRPr="0097554A">
        <w:rPr>
          <w:color w:val="0000FF"/>
          <w:lang w:val="ru-RU"/>
        </w:rPr>
        <w:t>1</w:t>
      </w:r>
      <w:r w:rsidR="001973A6" w:rsidRPr="004C59BB">
        <w:rPr>
          <w:color w:val="0000FF"/>
        </w:rPr>
        <w:t>篇</w:t>
      </w:r>
      <w:r w:rsidR="001973A6" w:rsidRPr="0097554A">
        <w:rPr>
          <w:color w:val="0000FF"/>
          <w:lang w:val="ru-RU"/>
        </w:rPr>
        <w:t>，</w:t>
      </w:r>
      <w:r w:rsidR="001973A6" w:rsidRPr="004C59BB">
        <w:rPr>
          <w:color w:val="0000FF"/>
        </w:rPr>
        <w:t>第</w:t>
      </w:r>
      <w:r w:rsidR="001973A6" w:rsidRPr="0097554A">
        <w:rPr>
          <w:color w:val="0000FF"/>
          <w:lang w:val="ru-RU"/>
        </w:rPr>
        <w:t>43</w:t>
      </w:r>
      <w:r w:rsidR="001973A6" w:rsidRPr="004C59BB">
        <w:rPr>
          <w:color w:val="0000FF"/>
        </w:rPr>
        <w:t>节</w:t>
      </w:r>
      <w:r w:rsidR="001973A6" w:rsidRPr="0097554A">
        <w:rPr>
          <w:color w:val="0000FF"/>
          <w:lang w:val="ru-RU"/>
        </w:rPr>
        <w:t>；</w:t>
      </w:r>
      <w:r w:rsidR="001973A6" w:rsidRPr="004C59BB">
        <w:rPr>
          <w:color w:val="0000FF"/>
        </w:rPr>
        <w:t>《致阿德尔夫书信》第</w:t>
      </w:r>
      <w:r w:rsidR="001973A6" w:rsidRPr="0097554A">
        <w:rPr>
          <w:color w:val="0000FF"/>
          <w:lang w:val="ru-RU"/>
        </w:rPr>
        <w:t>3</w:t>
      </w:r>
      <w:r w:rsidR="001973A6" w:rsidRPr="004C59BB">
        <w:rPr>
          <w:color w:val="0000FF"/>
        </w:rPr>
        <w:t>节</w:t>
      </w:r>
      <w:r w:rsidR="001973A6" w:rsidRPr="0097554A">
        <w:rPr>
          <w:color w:val="0000FF"/>
          <w:lang w:val="ru-RU"/>
        </w:rPr>
        <w:t>，</w:t>
      </w:r>
      <w:r w:rsidR="001973A6" w:rsidRPr="004C59BB">
        <w:rPr>
          <w:color w:val="0000FF"/>
        </w:rPr>
        <w:t>第</w:t>
      </w:r>
      <w:r w:rsidR="001973A6" w:rsidRPr="0097554A">
        <w:rPr>
          <w:color w:val="0000FF"/>
          <w:lang w:val="ru-RU"/>
        </w:rPr>
        <w:t>5–8</w:t>
      </w:r>
      <w:r w:rsidR="001973A6" w:rsidRPr="004C59BB">
        <w:rPr>
          <w:color w:val="0000FF"/>
        </w:rPr>
        <w:t>段。</w:t>
      </w:r>
    </w:p>
  </w:footnote>
  <w:footnote w:id="256">
    <w:p w14:paraId="3DD359F9" w14:textId="77777777" w:rsidR="001973A6" w:rsidRPr="0097554A" w:rsidRDefault="001973A6">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《Ancorat》</w:t>
      </w:r>
      <w:r w:rsidRPr="0097554A">
        <w:rPr>
          <w:color w:val="0000FF"/>
          <w:lang w:val="ru-RU"/>
        </w:rPr>
        <w:t>，</w:t>
      </w:r>
      <w:r w:rsidRPr="004C59BB">
        <w:rPr>
          <w:color w:val="0000FF"/>
        </w:rPr>
        <w:t>第四卷。参见安布罗斯《圣灵论》第三卷</w:t>
      </w:r>
      <w:r w:rsidRPr="0097554A">
        <w:rPr>
          <w:color w:val="0000FF"/>
          <w:lang w:val="ru-RU"/>
        </w:rPr>
        <w:t>，</w:t>
      </w:r>
      <w:r w:rsidRPr="004C59BB">
        <w:rPr>
          <w:color w:val="0000FF"/>
        </w:rPr>
        <w:t>第二部分</w:t>
      </w:r>
      <w:r w:rsidRPr="0097554A">
        <w:rPr>
          <w:color w:val="0000FF"/>
          <w:lang w:val="ru-RU"/>
        </w:rPr>
        <w:t>，</w:t>
      </w:r>
      <w:r w:rsidRPr="004C59BB">
        <w:rPr>
          <w:color w:val="0000FF"/>
        </w:rPr>
        <w:t>第</w:t>
      </w:r>
      <w:r w:rsidRPr="0097554A">
        <w:rPr>
          <w:color w:val="0000FF"/>
          <w:lang w:val="ru-RU"/>
        </w:rPr>
        <w:t>76–79</w:t>
      </w:r>
      <w:r w:rsidRPr="004C59BB">
        <w:rPr>
          <w:color w:val="0000FF"/>
        </w:rPr>
        <w:t>节。</w:t>
      </w:r>
    </w:p>
  </w:footnote>
  <w:footnote w:id="257">
    <w:p w14:paraId="702F776D" w14:textId="77777777" w:rsidR="001973A6" w:rsidRPr="0097554A" w:rsidRDefault="001973A6">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《致赫布雷人书》第五章</w:t>
      </w:r>
      <w:r w:rsidRPr="0097554A">
        <w:rPr>
          <w:color w:val="0000FF"/>
          <w:lang w:val="ru-RU"/>
        </w:rPr>
        <w:t>，</w:t>
      </w:r>
      <w:r w:rsidRPr="004C59BB">
        <w:rPr>
          <w:color w:val="0000FF"/>
        </w:rPr>
        <w:t>全集第十二卷</w:t>
      </w:r>
      <w:r w:rsidRPr="0097554A">
        <w:rPr>
          <w:color w:val="0000FF"/>
          <w:lang w:val="ru-RU"/>
        </w:rPr>
        <w:t>，</w:t>
      </w:r>
      <w:r w:rsidRPr="004C59BB">
        <w:rPr>
          <w:color w:val="0000FF"/>
        </w:rPr>
        <w:t>第</w:t>
      </w:r>
      <w:r w:rsidRPr="0097554A">
        <w:rPr>
          <w:color w:val="0000FF"/>
          <w:lang w:val="ru-RU"/>
        </w:rPr>
        <w:t>51</w:t>
      </w:r>
      <w:r w:rsidRPr="004C59BB">
        <w:rPr>
          <w:color w:val="0000FF"/>
        </w:rPr>
        <w:t>页。</w:t>
      </w:r>
    </w:p>
  </w:footnote>
  <w:footnote w:id="258">
    <w:p w14:paraId="680585DC" w14:textId="77777777" w:rsidR="001973A6" w:rsidRPr="0097554A" w:rsidRDefault="001973A6">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《书信集》CLI</w:t>
      </w:r>
      <w:r w:rsidRPr="0097554A">
        <w:rPr>
          <w:color w:val="0000FF"/>
          <w:lang w:val="ru-RU"/>
        </w:rPr>
        <w:t>；</w:t>
      </w:r>
      <w:r w:rsidRPr="004C59BB">
        <w:rPr>
          <w:color w:val="0000FF"/>
        </w:rPr>
        <w:t>参见《雅歌注释》第三卷</w:t>
      </w:r>
      <w:r w:rsidRPr="0097554A">
        <w:rPr>
          <w:color w:val="0000FF"/>
          <w:lang w:val="ru-RU"/>
        </w:rPr>
        <w:t>，</w:t>
      </w:r>
      <w:r w:rsidRPr="004C59BB">
        <w:rPr>
          <w:color w:val="0000FF"/>
        </w:rPr>
        <w:t>第</w:t>
      </w:r>
      <w:r w:rsidRPr="0097554A">
        <w:rPr>
          <w:color w:val="0000FF"/>
          <w:lang w:val="ru-RU"/>
        </w:rPr>
        <w:t>6</w:t>
      </w:r>
      <w:r w:rsidRPr="004C59BB">
        <w:rPr>
          <w:color w:val="0000FF"/>
        </w:rPr>
        <w:t>章</w:t>
      </w:r>
      <w:r w:rsidRPr="0097554A">
        <w:rPr>
          <w:color w:val="0000FF"/>
          <w:lang w:val="ru-RU"/>
        </w:rPr>
        <w:t>；</w:t>
      </w:r>
      <w:r w:rsidRPr="004C59BB">
        <w:rPr>
          <w:color w:val="0000FF"/>
        </w:rPr>
        <w:t>《以弗所书注释》第二卷</w:t>
      </w:r>
      <w:r w:rsidRPr="0097554A">
        <w:rPr>
          <w:color w:val="0000FF"/>
          <w:lang w:val="ru-RU"/>
        </w:rPr>
        <w:t>，</w:t>
      </w:r>
      <w:r w:rsidRPr="004C59BB">
        <w:rPr>
          <w:color w:val="0000FF"/>
        </w:rPr>
        <w:t>第</w:t>
      </w:r>
      <w:r w:rsidRPr="0097554A">
        <w:rPr>
          <w:color w:val="0000FF"/>
          <w:lang w:val="ru-RU"/>
        </w:rPr>
        <w:t>7</w:t>
      </w:r>
      <w:r w:rsidRPr="004C59BB">
        <w:rPr>
          <w:color w:val="0000FF"/>
        </w:rPr>
        <w:t>章。</w:t>
      </w:r>
    </w:p>
  </w:footnote>
  <w:footnote w:id="259">
    <w:p w14:paraId="36ED2D1A" w14:textId="77777777" w:rsidR="001973A6" w:rsidRPr="0097554A" w:rsidRDefault="001973A6">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致君士坦丁堡的弗拉维安书信</w:t>
      </w:r>
      <w:r w:rsidRPr="0097554A">
        <w:rPr>
          <w:color w:val="0000FF"/>
          <w:lang w:val="ru-RU"/>
        </w:rPr>
        <w:t xml:space="preserve"> </w:t>
      </w:r>
      <w:r w:rsidRPr="004C59BB">
        <w:rPr>
          <w:color w:val="0000FF"/>
        </w:rPr>
        <w:t>CIV。</w:t>
      </w:r>
    </w:p>
  </w:footnote>
  <w:footnote w:id="260">
    <w:p w14:paraId="43E812AA" w14:textId="77777777" w:rsidR="001973A6" w:rsidRPr="0097554A" w:rsidRDefault="001973A6">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ru-RU"/>
        </w:rPr>
        <w:t>参见</w:t>
      </w:r>
      <w:r w:rsidRPr="004C59BB">
        <w:rPr>
          <w:color w:val="0000FF"/>
        </w:rPr>
        <w:t>《</w:t>
      </w:r>
      <w:r w:rsidRPr="004C59BB">
        <w:rPr>
          <w:color w:val="0000FF"/>
          <w:lang w:val="ru-RU"/>
        </w:rPr>
        <w:t>谴责书</w:t>
      </w:r>
      <w:r w:rsidRPr="004C59BB">
        <w:rPr>
          <w:color w:val="0000FF"/>
        </w:rPr>
        <w:t>》第八卷</w:t>
      </w:r>
      <w:r w:rsidRPr="004C59BB">
        <w:rPr>
          <w:color w:val="0000FF"/>
          <w:lang w:val="ru-RU"/>
        </w:rPr>
        <w:t>，载于</w:t>
      </w:r>
      <w:r w:rsidRPr="004C59BB">
        <w:rPr>
          <w:color w:val="0000FF"/>
        </w:rPr>
        <w:t>《基督教读本》</w:t>
      </w:r>
      <w:r w:rsidRPr="0097554A">
        <w:rPr>
          <w:color w:val="0000FF"/>
          <w:lang w:val="ru-RU"/>
        </w:rPr>
        <w:t>1841</w:t>
      </w:r>
      <w:r w:rsidRPr="004C59BB">
        <w:rPr>
          <w:color w:val="0000FF"/>
        </w:rPr>
        <w:t>年第</w:t>
      </w:r>
      <w:r w:rsidRPr="0097554A">
        <w:rPr>
          <w:color w:val="0000FF"/>
          <w:lang w:val="ru-RU"/>
        </w:rPr>
        <w:t>1</w:t>
      </w:r>
      <w:r w:rsidRPr="004C59BB">
        <w:rPr>
          <w:color w:val="0000FF"/>
        </w:rPr>
        <w:t>期</w:t>
      </w:r>
      <w:r w:rsidRPr="0097554A">
        <w:rPr>
          <w:color w:val="0000FF"/>
          <w:lang w:val="ru-RU"/>
        </w:rPr>
        <w:t>，</w:t>
      </w:r>
      <w:r w:rsidRPr="004C59BB">
        <w:rPr>
          <w:color w:val="0000FF"/>
        </w:rPr>
        <w:t>第</w:t>
      </w:r>
      <w:r w:rsidRPr="0097554A">
        <w:rPr>
          <w:color w:val="0000FF"/>
          <w:lang w:val="ru-RU"/>
        </w:rPr>
        <w:t>59–60</w:t>
      </w:r>
      <w:r w:rsidRPr="004C59BB">
        <w:rPr>
          <w:color w:val="0000FF"/>
        </w:rPr>
        <w:t>页。</w:t>
      </w:r>
    </w:p>
  </w:footnote>
  <w:footnote w:id="261">
    <w:p w14:paraId="3920E3E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《信仰宣言》精确版</w:t>
      </w:r>
      <w:r w:rsidRPr="004C59BB">
        <w:rPr>
          <w:color w:val="0000FF"/>
        </w:rPr>
        <w:t>第三卷</w:t>
      </w:r>
      <w:r w:rsidRPr="004C59BB">
        <w:rPr>
          <w:color w:val="0000FF"/>
          <w:lang w:val="ru-RU"/>
        </w:rPr>
        <w:t>，第8章，第159–160页。</w:t>
      </w:r>
    </w:p>
  </w:footnote>
  <w:footnote w:id="262">
    <w:p w14:paraId="3DD37D6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《使徒会议与教父著作集》第4页，1843年版。</w:t>
      </w:r>
    </w:p>
  </w:footnote>
  <w:footnote w:id="263">
    <w:p w14:paraId="757E3DD1"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“在祂救赎性的受难之前，祂说：</w:t>
      </w:r>
      <w:r w:rsidR="000C73C6" w:rsidRPr="004C59BB">
        <w:rPr>
          <w:i/>
          <w:iCs/>
          <w:color w:val="0000FF"/>
          <w:lang w:val="ru-RU"/>
        </w:rPr>
        <w:t>‘我父啊！倘若可行，求祢叫这杯离开我吧</w:t>
      </w:r>
      <w:r w:rsidRPr="004C59BB">
        <w:rPr>
          <w:color w:val="0000FF"/>
          <w:lang w:val="ru-RU"/>
        </w:rPr>
        <w:t>（马太福音26</w:t>
      </w:r>
      <w:r w:rsidR="000C73C6" w:rsidRPr="004C59BB">
        <w:rPr>
          <w:color w:val="0000FF"/>
          <w:lang w:val="ru-RU"/>
        </w:rPr>
        <w:t>:</w:t>
      </w:r>
      <w:r w:rsidRPr="004C59BB">
        <w:rPr>
          <w:color w:val="0000FF"/>
          <w:lang w:val="ru-RU"/>
        </w:rPr>
        <w:t>39）’；但显然，祂必须作为人而非作为神来喝这杯。 因此，作为人，祂希望这杯能从祂身上挪去。这是出于自然恐惧的话语。</w:t>
      </w:r>
      <w:r w:rsidR="000C73C6" w:rsidRPr="004C59BB">
        <w:rPr>
          <w:i/>
          <w:iCs/>
          <w:color w:val="0000FF"/>
          <w:lang w:val="ru-RU"/>
        </w:rPr>
        <w:t>不过，‘不要照我的意思，只要照你的意思</w:t>
      </w:r>
      <w:r w:rsidRPr="004C59BB">
        <w:rPr>
          <w:color w:val="0000FF"/>
          <w:lang w:val="ru-RU"/>
        </w:rPr>
        <w:t>’（路加</w:t>
      </w:r>
      <w:r w:rsidR="000C73C6" w:rsidRPr="004C59BB">
        <w:rPr>
          <w:color w:val="0000FF"/>
          <w:lang w:val="ru-RU"/>
        </w:rPr>
        <w:t>福音22:</w:t>
      </w:r>
      <w:r w:rsidRPr="004C59BB">
        <w:rPr>
          <w:color w:val="0000FF"/>
          <w:lang w:val="ru-RU"/>
        </w:rPr>
        <w:t>42）；不是我的意思，因为我的本质与你不同；而是你的意思，即我的也是你的，因为我与你</w:t>
      </w:r>
      <w:r w:rsidR="005666A3" w:rsidRPr="004C59BB">
        <w:rPr>
          <w:color w:val="0000FF"/>
          <w:lang w:val="ru-RU"/>
        </w:rPr>
        <w:t>同质”</w:t>
      </w:r>
      <w:r w:rsidRPr="004C59BB">
        <w:rPr>
          <w:color w:val="0000FF"/>
          <w:lang w:val="ru-RU"/>
        </w:rPr>
        <w:t xml:space="preserve"> （大马士革，《信仰要义精确阐述》，</w:t>
      </w:r>
      <w:r w:rsidRPr="004C59BB">
        <w:rPr>
          <w:color w:val="0000FF"/>
        </w:rPr>
        <w:t>第三</w:t>
      </w:r>
      <w:r w:rsidRPr="004C59BB">
        <w:rPr>
          <w:color w:val="0000FF"/>
          <w:lang w:val="ru-RU"/>
        </w:rPr>
        <w:t>卷，18，第202页；第24章，第214页）。</w:t>
      </w:r>
    </w:p>
  </w:footnote>
  <w:footnote w:id="264">
    <w:p w14:paraId="071668A0"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“祂是顺服的（腓立比书 2</w:t>
      </w:r>
      <w:r w:rsidR="000C73C6" w:rsidRPr="004C59BB">
        <w:rPr>
          <w:color w:val="0000FF"/>
          <w:lang w:val="ru-RU"/>
        </w:rPr>
        <w:t>:</w:t>
      </w:r>
      <w:r w:rsidRPr="004C59BB">
        <w:rPr>
          <w:color w:val="0000FF"/>
          <w:lang w:val="ru-RU"/>
        </w:rPr>
        <w:t>8），是自愿的还是非自愿的？若是非自愿的：那就不是顺服，而是强迫。但主是顺服的，不是作为神，而是作为人。 因为作为神，祂既不能顺服，也不能悖逆：正如神圣的格里高利所言，这属于下属的特性。因此，基督作为人也有自己的意志（圣马克西姆，</w:t>
      </w:r>
      <w:r w:rsidRPr="004C59BB">
        <w:rPr>
          <w:color w:val="0000FF"/>
        </w:rPr>
        <w:t>《论皮洛士的争论</w:t>
      </w:r>
      <w:r w:rsidRPr="004C59BB">
        <w:rPr>
          <w:color w:val="0000FF"/>
          <w:lang w:val="ru-RU"/>
        </w:rPr>
        <w:t>》，第179页，全集</w:t>
      </w:r>
      <w:r w:rsidRPr="004C59BB">
        <w:rPr>
          <w:color w:val="0000FF"/>
        </w:rPr>
        <w:t>第II</w:t>
      </w:r>
      <w:r w:rsidRPr="004C59BB">
        <w:rPr>
          <w:color w:val="0000FF"/>
          <w:lang w:val="ru-RU"/>
        </w:rPr>
        <w:t>卷，</w:t>
      </w:r>
      <w:r w:rsidRPr="004C59BB">
        <w:rPr>
          <w:color w:val="0000FF"/>
        </w:rPr>
        <w:t>巴黎</w:t>
      </w:r>
      <w:r w:rsidRPr="004C59BB">
        <w:rPr>
          <w:color w:val="0000FF"/>
          <w:lang w:val="ru-RU"/>
        </w:rPr>
        <w:t>1675年版）。</w:t>
      </w:r>
    </w:p>
  </w:footnote>
  <w:footnote w:id="265">
    <w:p w14:paraId="01B8729C" w14:textId="77777777" w:rsidR="00E21AED" w:rsidRPr="0097554A" w:rsidRDefault="00E21AED">
      <w:pPr>
        <w:pStyle w:val="FootnoteText"/>
        <w:rPr>
          <w:color w:val="0000FF"/>
          <w:lang w:val="ru-RU"/>
        </w:rPr>
      </w:pPr>
      <w:r w:rsidRPr="004C59BB">
        <w:rPr>
          <w:rStyle w:val="FootnoteReference"/>
          <w:color w:val="0000FF"/>
        </w:rPr>
        <w:footnoteRef/>
      </w:r>
      <w:r w:rsidRPr="004C59BB">
        <w:rPr>
          <w:color w:val="0000FF"/>
          <w:lang w:val="ru-RU"/>
        </w:rPr>
        <w:t xml:space="preserve"> “如果祂作为神感到口渴，且尝过之后不愿饮用，那么就意味着祂作为神也承受了苦难；因为口渴和品尝都是受苦的状态。 倘若祂并非作为神而感到口渴，那么无疑是作为人；因此，祂也拥有作为人的意志</w:t>
      </w:r>
      <w:r w:rsidR="005666A3" w:rsidRPr="004C59BB">
        <w:rPr>
          <w:color w:val="0000FF"/>
          <w:lang w:val="ru-RU"/>
        </w:rPr>
        <w:t>”</w:t>
      </w:r>
      <w:r w:rsidRPr="004C59BB">
        <w:rPr>
          <w:color w:val="0000FF"/>
          <w:lang w:val="ru-RU"/>
        </w:rPr>
        <w:t>（大马士革，</w:t>
      </w:r>
      <w:r w:rsidRPr="004C59BB">
        <w:rPr>
          <w:color w:val="0000FF"/>
        </w:rPr>
        <w:t>《</w:t>
      </w:r>
      <w:r w:rsidRPr="004C59BB">
        <w:rPr>
          <w:color w:val="0000FF"/>
          <w:lang w:val="ru-RU"/>
        </w:rPr>
        <w:t>信仰论精要</w:t>
      </w:r>
      <w:r w:rsidRPr="004C59BB">
        <w:rPr>
          <w:color w:val="0000FF"/>
        </w:rPr>
        <w:t>》第三卷</w:t>
      </w:r>
      <w:r w:rsidRPr="0097554A">
        <w:rPr>
          <w:color w:val="0000FF"/>
          <w:lang w:val="ru-RU"/>
        </w:rPr>
        <w:t>，</w:t>
      </w:r>
      <w:r w:rsidRPr="004C59BB">
        <w:rPr>
          <w:color w:val="0000FF"/>
        </w:rPr>
        <w:t>第</w:t>
      </w:r>
      <w:r w:rsidRPr="0097554A">
        <w:rPr>
          <w:color w:val="0000FF"/>
          <w:lang w:val="ru-RU"/>
        </w:rPr>
        <w:t>14</w:t>
      </w:r>
      <w:r w:rsidRPr="004C59BB">
        <w:rPr>
          <w:color w:val="0000FF"/>
        </w:rPr>
        <w:t>章</w:t>
      </w:r>
      <w:r w:rsidRPr="0097554A">
        <w:rPr>
          <w:color w:val="0000FF"/>
          <w:lang w:val="ru-RU"/>
        </w:rPr>
        <w:t>，</w:t>
      </w:r>
      <w:r w:rsidRPr="004C59BB">
        <w:rPr>
          <w:color w:val="0000FF"/>
        </w:rPr>
        <w:t>第</w:t>
      </w:r>
      <w:r w:rsidRPr="0097554A">
        <w:rPr>
          <w:color w:val="0000FF"/>
          <w:lang w:val="ru-RU"/>
        </w:rPr>
        <w:t>177</w:t>
      </w:r>
      <w:r w:rsidRPr="004C59BB">
        <w:rPr>
          <w:color w:val="0000FF"/>
        </w:rPr>
        <w:t>页</w:t>
      </w:r>
      <w:r w:rsidRPr="0097554A">
        <w:rPr>
          <w:color w:val="0000FF"/>
          <w:lang w:val="ru-RU"/>
        </w:rPr>
        <w:t>）</w:t>
      </w:r>
      <w:r w:rsidRPr="004C59BB">
        <w:rPr>
          <w:color w:val="0000FF"/>
        </w:rPr>
        <w:t>。</w:t>
      </w:r>
    </w:p>
  </w:footnote>
  <w:footnote w:id="266">
    <w:p w14:paraId="1C116BCB" w14:textId="77777777" w:rsidR="00E21AED" w:rsidRPr="0097554A" w:rsidRDefault="00E21AED">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《论神学与道成肉身</w:t>
      </w:r>
      <w:r w:rsidRPr="0097554A">
        <w:rPr>
          <w:color w:val="0000FF"/>
          <w:lang w:val="ru-RU"/>
        </w:rPr>
        <w:t>：</w:t>
      </w:r>
      <w:r w:rsidRPr="004C59BB">
        <w:rPr>
          <w:color w:val="0000FF"/>
        </w:rPr>
        <w:t>反驳贝罗尼乌斯与赫利西乌斯》</w:t>
      </w:r>
      <w:r w:rsidRPr="0097554A">
        <w:rPr>
          <w:color w:val="0000FF"/>
          <w:lang w:val="ru-RU"/>
        </w:rPr>
        <w:t>，</w:t>
      </w:r>
      <w:r w:rsidRPr="004C59BB">
        <w:rPr>
          <w:color w:val="0000FF"/>
        </w:rPr>
        <w:t>第II、IV章。</w:t>
      </w:r>
    </w:p>
  </w:footnote>
  <w:footnote w:id="267">
    <w:p w14:paraId="63610929" w14:textId="77777777" w:rsidR="00E21AED" w:rsidRPr="0097554A" w:rsidRDefault="00E21AED">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《论道成肉身及反阿里乌派》</w:t>
      </w:r>
      <w:r w:rsidRPr="0097554A">
        <w:rPr>
          <w:color w:val="0000FF"/>
          <w:lang w:val="ru-RU"/>
        </w:rPr>
        <w:t>，</w:t>
      </w:r>
      <w:r w:rsidRPr="004C59BB">
        <w:rPr>
          <w:color w:val="0000FF"/>
        </w:rPr>
        <w:t>第</w:t>
      </w:r>
      <w:r w:rsidRPr="0097554A">
        <w:rPr>
          <w:color w:val="0000FF"/>
          <w:lang w:val="ru-RU"/>
        </w:rPr>
        <w:t>21</w:t>
      </w:r>
      <w:r w:rsidRPr="004C59BB">
        <w:rPr>
          <w:color w:val="0000FF"/>
        </w:rPr>
        <w:t>章。</w:t>
      </w:r>
    </w:p>
  </w:footnote>
  <w:footnote w:id="268">
    <w:p w14:paraId="1CA96681" w14:textId="77777777" w:rsidR="00E21AED" w:rsidRPr="0097554A" w:rsidRDefault="00E21AED">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见阿加通《致皇帝书》</w:t>
      </w:r>
      <w:r w:rsidRPr="0097554A">
        <w:rPr>
          <w:color w:val="0000FF"/>
          <w:lang w:val="ru-RU"/>
        </w:rPr>
        <w:t>（</w:t>
      </w:r>
      <w:r w:rsidRPr="004C59BB">
        <w:rPr>
          <w:color w:val="0000FF"/>
        </w:rPr>
        <w:t>引自第六次大公会议</w:t>
      </w:r>
      <w:r w:rsidRPr="0097554A">
        <w:rPr>
          <w:color w:val="0000FF"/>
          <w:lang w:val="ru-RU"/>
        </w:rPr>
        <w:t>，</w:t>
      </w:r>
      <w:r w:rsidRPr="004C59BB">
        <w:rPr>
          <w:color w:val="0000FF"/>
        </w:rPr>
        <w:t>会议记录第四卷</w:t>
      </w:r>
      <w:r w:rsidRPr="0097554A">
        <w:rPr>
          <w:color w:val="0000FF"/>
          <w:lang w:val="ru-RU"/>
        </w:rPr>
        <w:t>，</w:t>
      </w:r>
      <w:r w:rsidRPr="004C59BB">
        <w:rPr>
          <w:color w:val="0000FF"/>
        </w:rPr>
        <w:t>第</w:t>
      </w:r>
      <w:r w:rsidRPr="0097554A">
        <w:rPr>
          <w:color w:val="0000FF"/>
          <w:lang w:val="ru-RU"/>
        </w:rPr>
        <w:t>652</w:t>
      </w:r>
      <w:r w:rsidRPr="004C59BB">
        <w:rPr>
          <w:color w:val="0000FF"/>
        </w:rPr>
        <w:t>页</w:t>
      </w:r>
      <w:r w:rsidRPr="0097554A">
        <w:rPr>
          <w:color w:val="0000FF"/>
          <w:lang w:val="ru-RU"/>
        </w:rPr>
        <w:t>，</w:t>
      </w:r>
      <w:r w:rsidRPr="004C59BB">
        <w:rPr>
          <w:color w:val="0000FF"/>
        </w:rPr>
        <w:t>第六卷</w:t>
      </w:r>
      <w:r w:rsidRPr="0097554A">
        <w:rPr>
          <w:color w:val="0000FF"/>
          <w:lang w:val="ru-RU"/>
        </w:rPr>
        <w:t>，</w:t>
      </w:r>
      <w:r w:rsidRPr="004C59BB">
        <w:rPr>
          <w:color w:val="0000FF"/>
        </w:rPr>
        <w:t>拉布版</w:t>
      </w:r>
      <w:r w:rsidRPr="0097554A">
        <w:rPr>
          <w:color w:val="0000FF"/>
          <w:lang w:val="ru-RU"/>
        </w:rPr>
        <w:t>）</w:t>
      </w:r>
      <w:r w:rsidRPr="004C59BB">
        <w:rPr>
          <w:color w:val="0000FF"/>
        </w:rPr>
        <w:t>。</w:t>
      </w:r>
    </w:p>
  </w:footnote>
  <w:footnote w:id="269">
    <w:p w14:paraId="29CE18F7" w14:textId="77777777" w:rsidR="00D755B5" w:rsidRPr="004C59BB" w:rsidRDefault="00D755B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《马太福音》第</w:t>
      </w:r>
      <w:r w:rsidRPr="0097554A">
        <w:rPr>
          <w:color w:val="0000FF"/>
          <w:lang w:val="ru-RU"/>
        </w:rPr>
        <w:t>26</w:t>
      </w:r>
      <w:r w:rsidRPr="004C59BB">
        <w:rPr>
          <w:color w:val="0000FF"/>
        </w:rPr>
        <w:t>章第</w:t>
      </w:r>
      <w:r w:rsidRPr="0097554A">
        <w:rPr>
          <w:color w:val="0000FF"/>
          <w:lang w:val="ru-RU"/>
        </w:rPr>
        <w:t>38</w:t>
      </w:r>
      <w:r w:rsidRPr="004C59BB">
        <w:rPr>
          <w:color w:val="0000FF"/>
        </w:rPr>
        <w:t>节</w:t>
      </w:r>
      <w:r w:rsidRPr="0097554A">
        <w:rPr>
          <w:color w:val="0000FF"/>
          <w:lang w:val="ru-RU"/>
        </w:rPr>
        <w:t>（</w:t>
      </w:r>
      <w:r w:rsidRPr="004C59BB">
        <w:rPr>
          <w:color w:val="0000FF"/>
        </w:rPr>
        <w:t>见阿纳斯塔西乌斯《教父文集》</w:t>
      </w:r>
      <w:r w:rsidRPr="0097554A">
        <w:rPr>
          <w:color w:val="0000FF"/>
          <w:lang w:val="ru-RU"/>
        </w:rPr>
        <w:t>，</w:t>
      </w:r>
      <w:r w:rsidRPr="004C59BB">
        <w:rPr>
          <w:color w:val="0000FF"/>
        </w:rPr>
        <w:t>《论道成肉身》第十八章</w:t>
      </w:r>
      <w:r w:rsidRPr="004C59BB">
        <w:rPr>
          <w:color w:val="0000FF"/>
          <w:lang w:val="ru-RU"/>
        </w:rPr>
        <w:t>）。</w:t>
      </w:r>
    </w:p>
  </w:footnote>
  <w:footnote w:id="270">
    <w:p w14:paraId="62A074C0"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《论信仰》第二</w:t>
      </w:r>
      <w:r w:rsidRPr="004C59BB">
        <w:rPr>
          <w:color w:val="0000FF"/>
          <w:lang w:val="ru-RU"/>
        </w:rPr>
        <w:t>卷，第7章，第52、53节。</w:t>
      </w:r>
    </w:p>
  </w:footnote>
  <w:footnote w:id="271">
    <w:p w14:paraId="40ABCC5B"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《马太福音讲道集》</w:t>
      </w:r>
      <w:r w:rsidRPr="004C59BB">
        <w:rPr>
          <w:color w:val="0000FF"/>
        </w:rPr>
        <w:t>第LXXXIII</w:t>
      </w:r>
      <w:r w:rsidRPr="004C59BB">
        <w:rPr>
          <w:color w:val="0000FF"/>
          <w:lang w:val="ru-RU"/>
        </w:rPr>
        <w:t>卷，</w:t>
      </w:r>
      <w:r w:rsidRPr="004C59BB">
        <w:rPr>
          <w:color w:val="0000FF"/>
        </w:rPr>
        <w:t>第三</w:t>
      </w:r>
      <w:r w:rsidRPr="004C59BB">
        <w:rPr>
          <w:color w:val="0000FF"/>
          <w:lang w:val="ru-RU"/>
        </w:rPr>
        <w:t>部分，第428页（俄文译本）。</w:t>
      </w:r>
    </w:p>
  </w:footnote>
  <w:footnote w:id="272">
    <w:p w14:paraId="19CB9A66"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约翰·达马斯库斯。《信仰论》</w:t>
      </w:r>
      <w:r w:rsidRPr="004C59BB">
        <w:rPr>
          <w:color w:val="0000FF"/>
        </w:rPr>
        <w:t>第三</w:t>
      </w:r>
      <w:r w:rsidRPr="004C59BB">
        <w:rPr>
          <w:color w:val="0000FF"/>
          <w:lang w:val="ru-RU"/>
        </w:rPr>
        <w:t>卷，第14章，第174页；第15章，第184–185页。</w:t>
      </w:r>
    </w:p>
  </w:footnote>
  <w:footnote w:id="273">
    <w:p w14:paraId="32EEFEA4" w14:textId="77777777" w:rsidR="00D755B5" w:rsidRPr="004C59BB" w:rsidRDefault="00D755B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马克西姆</w:t>
      </w:r>
      <w:r w:rsidRPr="0097554A">
        <w:rPr>
          <w:color w:val="0000FF"/>
          <w:lang w:val="ru-RU"/>
        </w:rPr>
        <w:t>·</w:t>
      </w:r>
      <w:r w:rsidRPr="004C59BB">
        <w:rPr>
          <w:color w:val="0000FF"/>
        </w:rPr>
        <w:t>殉道者</w:t>
      </w:r>
      <w:r w:rsidRPr="0097554A">
        <w:rPr>
          <w:color w:val="0000FF"/>
          <w:lang w:val="ru-RU"/>
        </w:rPr>
        <w:t>，</w:t>
      </w:r>
      <w:r w:rsidRPr="004C59BB">
        <w:rPr>
          <w:color w:val="0000FF"/>
        </w:rPr>
        <w:t>《与皮洛士的辩论》</w:t>
      </w:r>
      <w:r w:rsidRPr="0097554A">
        <w:rPr>
          <w:color w:val="0000FF"/>
          <w:lang w:val="ru-RU"/>
        </w:rPr>
        <w:t>，</w:t>
      </w:r>
      <w:r w:rsidRPr="004C59BB">
        <w:rPr>
          <w:color w:val="0000FF"/>
        </w:rPr>
        <w:t>《文集》第II卷</w:t>
      </w:r>
      <w:r w:rsidRPr="0097554A">
        <w:rPr>
          <w:color w:val="0000FF"/>
          <w:lang w:val="ru-RU"/>
        </w:rPr>
        <w:t>，</w:t>
      </w:r>
      <w:r w:rsidRPr="004C59BB">
        <w:rPr>
          <w:color w:val="0000FF"/>
        </w:rPr>
        <w:t>第</w:t>
      </w:r>
      <w:r w:rsidRPr="0097554A">
        <w:rPr>
          <w:color w:val="0000FF"/>
          <w:lang w:val="ru-RU"/>
        </w:rPr>
        <w:t>187–188</w:t>
      </w:r>
      <w:r w:rsidRPr="004C59BB">
        <w:rPr>
          <w:color w:val="0000FF"/>
        </w:rPr>
        <w:t>页</w:t>
      </w:r>
      <w:r w:rsidRPr="0097554A">
        <w:rPr>
          <w:color w:val="0000FF"/>
          <w:lang w:val="ru-RU"/>
        </w:rPr>
        <w:t>，</w:t>
      </w:r>
      <w:r w:rsidRPr="004C59BB">
        <w:rPr>
          <w:color w:val="0000FF"/>
        </w:rPr>
        <w:t>巴黎</w:t>
      </w:r>
      <w:r w:rsidRPr="0097554A">
        <w:rPr>
          <w:color w:val="0000FF"/>
          <w:lang w:val="ru-RU"/>
        </w:rPr>
        <w:t>，</w:t>
      </w:r>
      <w:r w:rsidRPr="004C59BB">
        <w:rPr>
          <w:color w:val="0000FF"/>
          <w:lang w:val="ru-RU"/>
        </w:rPr>
        <w:t>1675年；达马斯库斯，《信仰真义》</w:t>
      </w:r>
      <w:r w:rsidRPr="004C59BB">
        <w:rPr>
          <w:color w:val="0000FF"/>
        </w:rPr>
        <w:t>第三卷</w:t>
      </w:r>
      <w:r w:rsidRPr="004C59BB">
        <w:rPr>
          <w:color w:val="0000FF"/>
          <w:lang w:val="ru-RU"/>
        </w:rPr>
        <w:t>，第15章，第188页。</w:t>
      </w:r>
    </w:p>
  </w:footnote>
  <w:footnote w:id="274">
    <w:p w14:paraId="15ABAD4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马克西姆《信经》及达马斯库斯，</w:t>
      </w:r>
      <w:r w:rsidRPr="004C59BB">
        <w:rPr>
          <w:color w:val="0000FF"/>
        </w:rPr>
        <w:t>同上</w:t>
      </w:r>
      <w:r w:rsidRPr="004C59BB">
        <w:rPr>
          <w:color w:val="0000FF"/>
          <w:lang w:val="ru-RU"/>
        </w:rPr>
        <w:t>。</w:t>
      </w:r>
    </w:p>
  </w:footnote>
  <w:footnote w:id="275">
    <w:p w14:paraId="76232C25"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达马斯库斯，同上，第189页。</w:t>
      </w:r>
    </w:p>
  </w:footnote>
  <w:footnote w:id="276">
    <w:p w14:paraId="3E617FD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“祂既完全是神，又拥有自己的人性；既完全是人，又拥有自己的神性：作为人，祂在自己之内并借着自己，将自己的人性顺服于神和父，并顺从了父，在祂自己身上为我们树立了卓越的榜样和</w:t>
      </w:r>
      <w:r w:rsidR="005666A3" w:rsidRPr="004C59BB">
        <w:rPr>
          <w:color w:val="0000FF"/>
          <w:lang w:val="ru-RU"/>
        </w:rPr>
        <w:t>典范”</w:t>
      </w:r>
      <w:r w:rsidRPr="004C59BB">
        <w:rPr>
          <w:color w:val="0000FF"/>
          <w:lang w:val="ru-RU"/>
        </w:rPr>
        <w:t>（达马斯库斯，同上，第18章，第202页； 引文见第14章，第178页，并参见上文注释264）。</w:t>
      </w:r>
    </w:p>
  </w:footnote>
  <w:footnote w:id="277">
    <w:p w14:paraId="3D72A423"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第三</w:t>
      </w:r>
      <w:r w:rsidRPr="004C59BB">
        <w:rPr>
          <w:color w:val="0000FF"/>
          <w:lang w:val="ru-RU"/>
        </w:rPr>
        <w:t>卷，第14章，第172页；</w:t>
      </w:r>
      <w:r w:rsidRPr="004C59BB">
        <w:rPr>
          <w:color w:val="0000FF"/>
        </w:rPr>
        <w:t>参</w:t>
      </w:r>
      <w:r w:rsidRPr="004C59BB">
        <w:rPr>
          <w:color w:val="0000FF"/>
          <w:lang w:val="ru-RU"/>
        </w:rPr>
        <w:t>见</w:t>
      </w:r>
      <w:r w:rsidRPr="004C59BB">
        <w:rPr>
          <w:color w:val="0000FF"/>
        </w:rPr>
        <w:t>希波吕托斯《论道成肉</w:t>
      </w:r>
      <w:r w:rsidRPr="004C59BB">
        <w:rPr>
          <w:color w:val="0000FF"/>
          <w:lang w:val="ru-RU"/>
        </w:rPr>
        <w:t>身，</w:t>
      </w:r>
      <w:r w:rsidRPr="004C59BB">
        <w:rPr>
          <w:color w:val="0000FF"/>
        </w:rPr>
        <w:t>反驳贝罗尼乌斯</w:t>
      </w:r>
      <w:r w:rsidRPr="004C59BB">
        <w:rPr>
          <w:color w:val="0000FF"/>
          <w:lang w:val="ru-RU"/>
        </w:rPr>
        <w:t>与赫利西乌斯》，第1节：</w:t>
      </w:r>
      <w:r w:rsidRPr="004C59BB">
        <w:rPr>
          <w:color w:val="0000FF"/>
        </w:rPr>
        <w:t>他将自己视为二者兼</w:t>
      </w:r>
      <w:r w:rsidRPr="004C59BB">
        <w:rPr>
          <w:color w:val="0000FF"/>
          <w:lang w:val="ru-RU"/>
        </w:rPr>
        <w:t>具</w:t>
      </w:r>
      <w:r w:rsidRPr="0097554A">
        <w:rPr>
          <w:color w:val="0000FF"/>
          <w:lang w:val="ru-RU"/>
        </w:rPr>
        <w:t>，</w:t>
      </w:r>
      <w:r w:rsidRPr="004C59BB">
        <w:rPr>
          <w:color w:val="0000FF"/>
        </w:rPr>
        <w:t>而作为二者兼具者</w:t>
      </w:r>
      <w:r w:rsidRPr="004C59BB">
        <w:rPr>
          <w:color w:val="0000FF"/>
          <w:lang w:val="ru-RU"/>
        </w:rPr>
        <w:t>，</w:t>
      </w:r>
      <w:r w:rsidRPr="004C59BB">
        <w:rPr>
          <w:color w:val="0000FF"/>
        </w:rPr>
        <w:t>我既从神性角度</w:t>
      </w:r>
      <w:r w:rsidRPr="0097554A">
        <w:rPr>
          <w:color w:val="0000FF"/>
          <w:lang w:val="ru-RU"/>
        </w:rPr>
        <w:t>，</w:t>
      </w:r>
      <w:r w:rsidRPr="004C59BB">
        <w:rPr>
          <w:color w:val="0000FF"/>
        </w:rPr>
        <w:t>也从人性角度说</w:t>
      </w:r>
      <w:r w:rsidRPr="004C59BB">
        <w:rPr>
          <w:color w:val="0000FF"/>
          <w:lang w:val="ru-RU"/>
        </w:rPr>
        <w:t>，</w:t>
      </w:r>
      <w:r w:rsidRPr="004C59BB">
        <w:rPr>
          <w:color w:val="0000FF"/>
        </w:rPr>
        <w:t>他行事为人</w:t>
      </w:r>
      <w:r w:rsidRPr="004C59BB">
        <w:rPr>
          <w:color w:val="0000FF"/>
          <w:lang w:val="ru-RU"/>
        </w:rPr>
        <w:t>。</w:t>
      </w:r>
    </w:p>
  </w:footnote>
  <w:footnote w:id="278">
    <w:p w14:paraId="720FB9A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同上，第174页。</w:t>
      </w:r>
    </w:p>
  </w:footnote>
  <w:footnote w:id="279">
    <w:p w14:paraId="60529EA0" w14:textId="77777777" w:rsidR="00D755B5" w:rsidRPr="0097554A" w:rsidRDefault="00D755B5">
      <w:pPr>
        <w:pStyle w:val="FootnoteText"/>
        <w:rPr>
          <w:color w:val="0000FF"/>
          <w:lang w:val="ru-RU"/>
        </w:rPr>
      </w:pPr>
      <w:r w:rsidRPr="004C59BB">
        <w:rPr>
          <w:rStyle w:val="FootnoteReference"/>
          <w:color w:val="0000FF"/>
        </w:rPr>
        <w:footnoteRef/>
      </w:r>
      <w:r w:rsidRPr="004C59BB">
        <w:rPr>
          <w:color w:val="0000FF"/>
          <w:lang w:val="ru-RU"/>
        </w:rPr>
        <w:t xml:space="preserve"> 第15章，第184、</w:t>
      </w:r>
      <w:r w:rsidRPr="0097554A">
        <w:rPr>
          <w:color w:val="0000FF"/>
          <w:lang w:val="ru-RU"/>
        </w:rPr>
        <w:t>187</w:t>
      </w:r>
      <w:r w:rsidRPr="004C59BB">
        <w:rPr>
          <w:color w:val="0000FF"/>
          <w:lang w:val="ru-RU"/>
        </w:rPr>
        <w:t>页</w:t>
      </w:r>
      <w:r w:rsidRPr="004C59BB">
        <w:rPr>
          <w:color w:val="0000FF"/>
        </w:rPr>
        <w:t>。</w:t>
      </w:r>
    </w:p>
  </w:footnote>
  <w:footnote w:id="280">
    <w:p w14:paraId="5C9C414E" w14:textId="77777777" w:rsidR="00D755B5" w:rsidRPr="004C59BB" w:rsidRDefault="00D755B5">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第</w:t>
      </w:r>
      <w:r w:rsidRPr="0097554A">
        <w:rPr>
          <w:color w:val="0000FF"/>
          <w:lang w:val="ru-RU"/>
        </w:rPr>
        <w:t>19</w:t>
      </w:r>
      <w:r w:rsidRPr="004C59BB">
        <w:rPr>
          <w:color w:val="0000FF"/>
        </w:rPr>
        <w:t>章</w:t>
      </w:r>
      <w:r w:rsidRPr="0097554A">
        <w:rPr>
          <w:color w:val="0000FF"/>
          <w:lang w:val="ru-RU"/>
        </w:rPr>
        <w:t>，</w:t>
      </w:r>
      <w:r w:rsidRPr="004C59BB">
        <w:rPr>
          <w:color w:val="0000FF"/>
        </w:rPr>
        <w:t>第</w:t>
      </w:r>
      <w:r w:rsidRPr="0097554A">
        <w:rPr>
          <w:color w:val="0000FF"/>
          <w:lang w:val="ru-RU"/>
        </w:rPr>
        <w:t>204–205</w:t>
      </w:r>
      <w:r w:rsidRPr="004C59BB">
        <w:rPr>
          <w:color w:val="0000FF"/>
        </w:rPr>
        <w:t>页</w:t>
      </w:r>
      <w:r w:rsidRPr="0097554A">
        <w:rPr>
          <w:color w:val="0000FF"/>
          <w:lang w:val="ru-RU"/>
        </w:rPr>
        <w:t>；</w:t>
      </w:r>
      <w:r w:rsidRPr="004C59BB">
        <w:rPr>
          <w:color w:val="0000FF"/>
        </w:rPr>
        <w:t>第</w:t>
      </w:r>
      <w:r w:rsidRPr="0097554A">
        <w:rPr>
          <w:color w:val="0000FF"/>
          <w:lang w:val="ru-RU"/>
        </w:rPr>
        <w:t>15</w:t>
      </w:r>
      <w:r w:rsidRPr="004C59BB">
        <w:rPr>
          <w:color w:val="0000FF"/>
        </w:rPr>
        <w:t>章</w:t>
      </w:r>
      <w:r w:rsidRPr="0097554A">
        <w:rPr>
          <w:color w:val="0000FF"/>
          <w:lang w:val="ru-RU"/>
        </w:rPr>
        <w:t>，</w:t>
      </w:r>
      <w:r w:rsidRPr="004C59BB">
        <w:rPr>
          <w:color w:val="0000FF"/>
        </w:rPr>
        <w:t>第</w:t>
      </w:r>
      <w:r w:rsidRPr="0097554A">
        <w:rPr>
          <w:color w:val="0000FF"/>
          <w:lang w:val="ru-RU"/>
        </w:rPr>
        <w:t>190</w:t>
      </w:r>
      <w:r w:rsidRPr="004C59BB">
        <w:rPr>
          <w:color w:val="0000FF"/>
        </w:rPr>
        <w:t>页。参见阿塔纳修斯《路加福音注释》第十二章第10节，Opp. T, 1, 974, Colon. 1686。</w:t>
      </w:r>
    </w:p>
  </w:footnote>
  <w:footnote w:id="281">
    <w:p w14:paraId="71823DB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第18章，第201–202页。</w:t>
      </w:r>
    </w:p>
  </w:footnote>
  <w:footnote w:id="282">
    <w:p w14:paraId="2C86F41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第203–204页。</w:t>
      </w:r>
    </w:p>
  </w:footnote>
  <w:footnote w:id="283">
    <w:p w14:paraId="504F095F"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第19章，第205页。</w:t>
      </w:r>
    </w:p>
  </w:footnote>
  <w:footnote w:id="284">
    <w:p w14:paraId="03275463"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第206页；参见狄奥尼修斯《阿瑞奥帕古斯书信集》第四卷致卡尤斯·莫纳赫的信。</w:t>
      </w:r>
    </w:p>
  </w:footnote>
  <w:footnote w:id="285">
    <w:p w14:paraId="16DD0966" w14:textId="77777777" w:rsidR="0050344D" w:rsidRPr="0097554A" w:rsidRDefault="0050344D">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道成了肉身</w:t>
      </w:r>
      <w:r w:rsidRPr="0097554A">
        <w:rPr>
          <w:color w:val="0000FF"/>
        </w:rPr>
        <w:t>，</w:t>
      </w:r>
      <w:r w:rsidRPr="004C59BB">
        <w:rPr>
          <w:color w:val="0000FF"/>
          <w:lang w:val="ru-RU"/>
        </w:rPr>
        <w:t>由童贞女受孕</w:t>
      </w:r>
      <w:r w:rsidRPr="0097554A">
        <w:rPr>
          <w:color w:val="0000FF"/>
        </w:rPr>
        <w:t>，</w:t>
      </w:r>
      <w:r w:rsidRPr="004C59BB">
        <w:rPr>
          <w:color w:val="0000FF"/>
          <w:lang w:val="ru-RU"/>
        </w:rPr>
        <w:t>上帝带着所领受的人性从她而出</w:t>
      </w:r>
      <w:r w:rsidRPr="0097554A">
        <w:rPr>
          <w:color w:val="0000FF"/>
        </w:rPr>
        <w:t>；</w:t>
      </w:r>
      <w:r w:rsidRPr="004C59BB">
        <w:rPr>
          <w:color w:val="0000FF"/>
          <w:lang w:val="ru-RU"/>
        </w:rPr>
        <w:t>这人性在被创造的瞬间</w:t>
      </w:r>
      <w:r w:rsidRPr="0097554A">
        <w:rPr>
          <w:color w:val="0000FF"/>
        </w:rPr>
        <w:t>，</w:t>
      </w:r>
      <w:r w:rsidRPr="004C59BB">
        <w:rPr>
          <w:color w:val="0000FF"/>
          <w:lang w:val="ru-RU"/>
        </w:rPr>
        <w:t>便因道而神化</w:t>
      </w:r>
      <w:r w:rsidRPr="0097554A">
        <w:rPr>
          <w:color w:val="0000FF"/>
        </w:rPr>
        <w:t>；</w:t>
      </w:r>
      <w:r w:rsidRPr="004C59BB">
        <w:rPr>
          <w:color w:val="0000FF"/>
          <w:lang w:val="ru-RU"/>
        </w:rPr>
        <w:t>因此</w:t>
      </w:r>
      <w:r w:rsidRPr="0097554A">
        <w:rPr>
          <w:color w:val="0000FF"/>
        </w:rPr>
        <w:t>，</w:t>
      </w:r>
      <w:r w:rsidRPr="004C59BB">
        <w:rPr>
          <w:color w:val="0000FF"/>
          <w:lang w:val="ru-RU"/>
        </w:rPr>
        <w:t>这三件事</w:t>
      </w:r>
      <w:r w:rsidRPr="0097554A">
        <w:rPr>
          <w:color w:val="0000FF"/>
        </w:rPr>
        <w:t>——</w:t>
      </w:r>
      <w:r w:rsidRPr="004C59BB">
        <w:rPr>
          <w:color w:val="0000FF"/>
          <w:lang w:val="ru-RU"/>
        </w:rPr>
        <w:t>领受、受孕以及人性因道而神化</w:t>
      </w:r>
      <w:r w:rsidRPr="0097554A">
        <w:rPr>
          <w:color w:val="0000FF"/>
        </w:rPr>
        <w:t>——</w:t>
      </w:r>
      <w:r w:rsidRPr="004C59BB">
        <w:rPr>
          <w:color w:val="0000FF"/>
          <w:lang w:val="ru-RU"/>
        </w:rPr>
        <w:t>是在同一时刻完成的。</w:t>
      </w:r>
      <w:r w:rsidRPr="0097554A">
        <w:rPr>
          <w:color w:val="0000FF"/>
        </w:rPr>
        <w:t xml:space="preserve"> </w:t>
      </w:r>
      <w:r w:rsidRPr="004C59BB">
        <w:rPr>
          <w:color w:val="0000FF"/>
          <w:lang w:val="ru-RU"/>
        </w:rPr>
        <w:t>正因如此</w:t>
      </w:r>
      <w:r w:rsidRPr="0097554A">
        <w:rPr>
          <w:color w:val="0000FF"/>
        </w:rPr>
        <w:t>，</w:t>
      </w:r>
      <w:r w:rsidRPr="004C59BB">
        <w:rPr>
          <w:color w:val="0000FF"/>
          <w:lang w:val="ru-RU"/>
        </w:rPr>
        <w:t>圣童贞女不仅因道的神性</w:t>
      </w:r>
      <w:r w:rsidRPr="0097554A">
        <w:rPr>
          <w:color w:val="0000FF"/>
        </w:rPr>
        <w:t>，</w:t>
      </w:r>
      <w:r w:rsidRPr="004C59BB">
        <w:rPr>
          <w:color w:val="0000FF"/>
          <w:lang w:val="ru-RU"/>
        </w:rPr>
        <w:t>也因人类本性被神化而受到尊崇并被称为</w:t>
      </w:r>
      <w:r w:rsidR="005666A3" w:rsidRPr="0097554A">
        <w:rPr>
          <w:color w:val="0000FF"/>
        </w:rPr>
        <w:t>‘</w:t>
      </w:r>
      <w:r w:rsidR="005666A3" w:rsidRPr="004C59BB">
        <w:rPr>
          <w:color w:val="0000FF"/>
          <w:lang w:val="ru-RU"/>
        </w:rPr>
        <w:t>圣母</w:t>
      </w:r>
      <w:r w:rsidRPr="0097554A">
        <w:rPr>
          <w:color w:val="0000FF"/>
        </w:rPr>
        <w:t>’”（</w:t>
      </w:r>
      <w:r w:rsidRPr="004C59BB">
        <w:rPr>
          <w:color w:val="0000FF"/>
          <w:lang w:val="ru-RU"/>
        </w:rPr>
        <w:t>大马士革。精确版</w:t>
      </w:r>
      <w:r w:rsidRPr="0097554A">
        <w:rPr>
          <w:color w:val="0000FF"/>
        </w:rPr>
        <w:t>——</w:t>
      </w:r>
      <w:r w:rsidRPr="004C59BB">
        <w:rPr>
          <w:color w:val="0000FF"/>
          <w:lang w:val="ru-RU"/>
        </w:rPr>
        <w:t>第</w:t>
      </w:r>
      <w:r w:rsidRPr="0097554A">
        <w:rPr>
          <w:color w:val="0000FF"/>
        </w:rPr>
        <w:t>12</w:t>
      </w:r>
      <w:r w:rsidRPr="004C59BB">
        <w:rPr>
          <w:color w:val="0000FF"/>
          <w:lang w:val="ru-RU"/>
        </w:rPr>
        <w:t>章</w:t>
      </w:r>
      <w:r w:rsidRPr="0097554A">
        <w:rPr>
          <w:color w:val="0000FF"/>
        </w:rPr>
        <w:t>，</w:t>
      </w:r>
      <w:r w:rsidRPr="004C59BB">
        <w:rPr>
          <w:color w:val="0000FF"/>
          <w:lang w:val="ru-RU"/>
        </w:rPr>
        <w:t>第</w:t>
      </w:r>
      <w:r w:rsidRPr="0097554A">
        <w:rPr>
          <w:color w:val="0000FF"/>
        </w:rPr>
        <w:t>170</w:t>
      </w:r>
      <w:r w:rsidRPr="004C59BB">
        <w:rPr>
          <w:color w:val="0000FF"/>
          <w:lang w:val="ru-RU"/>
        </w:rPr>
        <w:t>页</w:t>
      </w:r>
      <w:r w:rsidRPr="0097554A">
        <w:rPr>
          <w:color w:val="0000FF"/>
        </w:rPr>
        <w:t>）</w:t>
      </w:r>
      <w:r w:rsidRPr="004C59BB">
        <w:rPr>
          <w:color w:val="0000FF"/>
          <w:lang w:val="ru-RU"/>
        </w:rPr>
        <w:t>。</w:t>
      </w:r>
    </w:p>
  </w:footnote>
  <w:footnote w:id="286">
    <w:p w14:paraId="38BE40B6" w14:textId="77777777" w:rsidR="0050344D" w:rsidRPr="0097554A" w:rsidRDefault="0050344D">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同上</w:t>
      </w:r>
      <w:r w:rsidRPr="0097554A">
        <w:rPr>
          <w:color w:val="0000FF"/>
        </w:rPr>
        <w:t>——</w:t>
      </w:r>
      <w:r w:rsidRPr="004C59BB">
        <w:rPr>
          <w:color w:val="0000FF"/>
          <w:lang w:val="ru-RU"/>
        </w:rPr>
        <w:t>第</w:t>
      </w:r>
      <w:r w:rsidRPr="0097554A">
        <w:rPr>
          <w:color w:val="0000FF"/>
        </w:rPr>
        <w:t>167–168</w:t>
      </w:r>
      <w:r w:rsidRPr="004C59BB">
        <w:rPr>
          <w:color w:val="0000FF"/>
          <w:lang w:val="ru-RU"/>
        </w:rPr>
        <w:t>页。</w:t>
      </w:r>
    </w:p>
  </w:footnote>
  <w:footnote w:id="287">
    <w:p w14:paraId="75C54880" w14:textId="77777777" w:rsidR="0050344D" w:rsidRPr="0097554A" w:rsidRDefault="0050344D">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致以弗所人书</w:t>
      </w:r>
      <w:r w:rsidRPr="004C59BB">
        <w:rPr>
          <w:color w:val="0000FF"/>
          <w:lang w:val="ru-RU"/>
        </w:rPr>
        <w:t>》</w:t>
      </w:r>
      <w:r w:rsidRPr="004C59BB">
        <w:rPr>
          <w:color w:val="0000FF"/>
        </w:rPr>
        <w:t>第XVIII</w:t>
      </w:r>
      <w:r w:rsidRPr="004C59BB">
        <w:rPr>
          <w:color w:val="0000FF"/>
          <w:lang w:val="ru-RU"/>
        </w:rPr>
        <w:t>章</w:t>
      </w:r>
      <w:r w:rsidRPr="0097554A">
        <w:rPr>
          <w:color w:val="0000FF"/>
        </w:rPr>
        <w:t>，</w:t>
      </w:r>
      <w:r w:rsidRPr="004C59BB">
        <w:rPr>
          <w:color w:val="0000FF"/>
          <w:lang w:val="ru-RU"/>
        </w:rPr>
        <w:t>载于《基督读本》</w:t>
      </w:r>
      <w:r w:rsidRPr="0097554A">
        <w:rPr>
          <w:color w:val="0000FF"/>
        </w:rPr>
        <w:t>1821</w:t>
      </w:r>
      <w:r w:rsidRPr="004C59BB">
        <w:rPr>
          <w:color w:val="0000FF"/>
          <w:lang w:val="ru-RU"/>
        </w:rPr>
        <w:t>年版</w:t>
      </w:r>
      <w:r w:rsidRPr="0097554A">
        <w:rPr>
          <w:color w:val="0000FF"/>
        </w:rPr>
        <w:t>，</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40</w:t>
      </w:r>
      <w:r w:rsidRPr="004C59BB">
        <w:rPr>
          <w:color w:val="0000FF"/>
          <w:lang w:val="ru-RU"/>
        </w:rPr>
        <w:t>页。</w:t>
      </w:r>
    </w:p>
  </w:footnote>
  <w:footnote w:id="288">
    <w:p w14:paraId="2C7B542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《反异端论》第三卷，第21章及第31章，注10。</w:t>
      </w:r>
    </w:p>
  </w:footnote>
  <w:footnote w:id="289">
    <w:p w14:paraId="12584D8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w:t>
      </w:r>
      <w:r w:rsidR="00EF7C79" w:rsidRPr="004C59BB">
        <w:rPr>
          <w:color w:val="0000FF"/>
        </w:rPr>
        <w:t>索克拉底《教会史》第七卷，第32章。</w:t>
      </w:r>
    </w:p>
  </w:footnote>
  <w:footnote w:id="290">
    <w:p w14:paraId="60A353CA"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参见《Xp. Чт.》1840年，第IV卷，第17页。</w:t>
      </w:r>
    </w:p>
  </w:footnote>
  <w:footnote w:id="291">
    <w:p w14:paraId="74D2501C"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《亚历山大书信》，引自提奥多雷特《教会史》第1卷，第4章。</w:t>
      </w:r>
    </w:p>
  </w:footnote>
  <w:footnote w:id="292">
    <w:p w14:paraId="4358394F" w14:textId="77777777" w:rsidR="00EF7C79" w:rsidRPr="0097554A" w:rsidRDefault="00EF7C79">
      <w:pPr>
        <w:pStyle w:val="FootnoteText"/>
        <w:rPr>
          <w:color w:val="0000FF"/>
          <w:lang w:val="ru-RU"/>
        </w:rPr>
      </w:pPr>
      <w:r w:rsidRPr="004C59BB">
        <w:rPr>
          <w:rStyle w:val="FootnoteReference"/>
          <w:color w:val="0000FF"/>
        </w:rPr>
        <w:footnoteRef/>
      </w:r>
      <w:r w:rsidRPr="004C59BB">
        <w:rPr>
          <w:color w:val="0000FF"/>
        </w:rPr>
        <w:t xml:space="preserve"> 《反阿里乌派演说》第三</w:t>
      </w:r>
      <w:r w:rsidRPr="004C59BB">
        <w:rPr>
          <w:color w:val="0000FF"/>
          <w:lang w:val="ru-RU"/>
        </w:rPr>
        <w:t>卷</w:t>
      </w:r>
      <w:r w:rsidRPr="0097554A">
        <w:rPr>
          <w:color w:val="0000FF"/>
        </w:rPr>
        <w:t>，</w:t>
      </w:r>
      <w:r w:rsidRPr="004C59BB">
        <w:rPr>
          <w:color w:val="0000FF"/>
          <w:lang w:val="ru-RU"/>
        </w:rPr>
        <w:t>注</w:t>
      </w:r>
      <w:r w:rsidRPr="0097554A">
        <w:rPr>
          <w:color w:val="0000FF"/>
        </w:rPr>
        <w:t>29</w:t>
      </w:r>
      <w:r w:rsidRPr="004C59BB">
        <w:rPr>
          <w:color w:val="0000FF"/>
          <w:lang w:val="ru-RU"/>
        </w:rPr>
        <w:t>。或译：“约翰尚在母腹中时，便因圣母玛利亚的问候之声而欢欣雀跃（第33段）。” 这位圣父在其著作的其他地方也赋予圣母同样的称谓（</w:t>
      </w:r>
      <w:r w:rsidRPr="004C59BB">
        <w:rPr>
          <w:color w:val="0000FF"/>
        </w:rPr>
        <w:t>《反阿里乌派演说》第三卷</w:t>
      </w:r>
      <w:r w:rsidRPr="0097554A">
        <w:rPr>
          <w:color w:val="0000FF"/>
          <w:lang w:val="ru-RU"/>
        </w:rPr>
        <w:t>，</w:t>
      </w:r>
      <w:r w:rsidRPr="004C59BB">
        <w:rPr>
          <w:color w:val="0000FF"/>
        </w:rPr>
        <w:t>第</w:t>
      </w:r>
      <w:r w:rsidRPr="0097554A">
        <w:rPr>
          <w:color w:val="0000FF"/>
          <w:lang w:val="ru-RU"/>
        </w:rPr>
        <w:t>14</w:t>
      </w:r>
      <w:r w:rsidRPr="004C59BB">
        <w:rPr>
          <w:color w:val="0000FF"/>
        </w:rPr>
        <w:t>节</w:t>
      </w:r>
      <w:r w:rsidRPr="0097554A">
        <w:rPr>
          <w:color w:val="0000FF"/>
          <w:lang w:val="ru-RU"/>
        </w:rPr>
        <w:t>；</w:t>
      </w:r>
      <w:r w:rsidRPr="004C59BB">
        <w:rPr>
          <w:color w:val="0000FF"/>
        </w:rPr>
        <w:t>《演说集》第四卷</w:t>
      </w:r>
      <w:r w:rsidRPr="0097554A">
        <w:rPr>
          <w:color w:val="0000FF"/>
          <w:lang w:val="ru-RU"/>
        </w:rPr>
        <w:t>，</w:t>
      </w:r>
      <w:r w:rsidRPr="004C59BB">
        <w:rPr>
          <w:color w:val="0000FF"/>
        </w:rPr>
        <w:t>第</w:t>
      </w:r>
      <w:r w:rsidRPr="0097554A">
        <w:rPr>
          <w:color w:val="0000FF"/>
          <w:lang w:val="ru-RU"/>
        </w:rPr>
        <w:t>32</w:t>
      </w:r>
      <w:r w:rsidRPr="004C59BB">
        <w:rPr>
          <w:color w:val="0000FF"/>
        </w:rPr>
        <w:t>节</w:t>
      </w:r>
      <w:r w:rsidRPr="0097554A">
        <w:rPr>
          <w:color w:val="0000FF"/>
          <w:lang w:val="ru-RU"/>
        </w:rPr>
        <w:t>；</w:t>
      </w:r>
      <w:r w:rsidRPr="004C59BB">
        <w:rPr>
          <w:color w:val="0000FF"/>
        </w:rPr>
        <w:t>《论上帝圣言道成肉身》第</w:t>
      </w:r>
      <w:r w:rsidRPr="0097554A">
        <w:rPr>
          <w:color w:val="0000FF"/>
          <w:lang w:val="ru-RU"/>
        </w:rPr>
        <w:t>4</w:t>
      </w:r>
      <w:r w:rsidRPr="004C59BB">
        <w:rPr>
          <w:color w:val="0000FF"/>
        </w:rPr>
        <w:t>节</w:t>
      </w:r>
      <w:r w:rsidRPr="0097554A">
        <w:rPr>
          <w:color w:val="0000FF"/>
          <w:lang w:val="ru-RU"/>
        </w:rPr>
        <w:t>）</w:t>
      </w:r>
      <w:r w:rsidRPr="004C59BB">
        <w:rPr>
          <w:color w:val="0000FF"/>
        </w:rPr>
        <w:t>。</w:t>
      </w:r>
    </w:p>
  </w:footnote>
  <w:footnote w:id="293">
    <w:p w14:paraId="2A9B5E5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《主变容节讲道集》，载于《圣父著作集》</w:t>
      </w:r>
      <w:r w:rsidRPr="004C59BB">
        <w:rPr>
          <w:color w:val="0000FF"/>
        </w:rPr>
        <w:t>第XIII卷</w:t>
      </w:r>
      <w:r w:rsidRPr="004C59BB">
        <w:rPr>
          <w:color w:val="0000FF"/>
          <w:lang w:val="ru-RU"/>
        </w:rPr>
        <w:t>，第154页。</w:t>
      </w:r>
    </w:p>
  </w:footnote>
  <w:footnote w:id="294">
    <w:p w14:paraId="257F3D3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载于《基督教读本》1840年版，</w:t>
      </w:r>
      <w:r w:rsidRPr="004C59BB">
        <w:rPr>
          <w:color w:val="0000FF"/>
        </w:rPr>
        <w:t>第I卷</w:t>
      </w:r>
      <w:r w:rsidRPr="004C59BB">
        <w:rPr>
          <w:color w:val="0000FF"/>
          <w:lang w:val="ru-RU"/>
        </w:rPr>
        <w:t>，第116页。</w:t>
      </w:r>
    </w:p>
  </w:footnote>
  <w:footnote w:id="295">
    <w:p w14:paraId="1D5C72B9" w14:textId="77777777" w:rsidR="00677D19" w:rsidRPr="0097554A" w:rsidRDefault="00677D19">
      <w:pPr>
        <w:pStyle w:val="FootnoteText"/>
        <w:rPr>
          <w:color w:val="0000FF"/>
          <w:lang w:val="ru-RU"/>
        </w:rPr>
      </w:pPr>
      <w:r w:rsidRPr="004C59BB">
        <w:rPr>
          <w:rStyle w:val="FootnoteReference"/>
          <w:color w:val="0000FF"/>
        </w:rPr>
        <w:footnoteRef/>
      </w:r>
      <w:r w:rsidRPr="004C59BB">
        <w:rPr>
          <w:color w:val="0000FF"/>
          <w:lang w:val="ru-RU"/>
        </w:rPr>
        <w:t xml:space="preserve"> 《致克莱多尼乌斯书》第1封，载于《圣教父文集》</w:t>
      </w:r>
      <w:r w:rsidRPr="004C59BB">
        <w:rPr>
          <w:color w:val="0000FF"/>
        </w:rPr>
        <w:t>第IV</w:t>
      </w:r>
      <w:r w:rsidRPr="004C59BB">
        <w:rPr>
          <w:color w:val="0000FF"/>
          <w:lang w:val="ru-RU"/>
        </w:rPr>
        <w:t>卷，第197页；关于神学的词条（</w:t>
      </w:r>
      <w:r w:rsidRPr="004C59BB">
        <w:rPr>
          <w:color w:val="0000FF"/>
        </w:rPr>
        <w:t>第三篇</w:t>
      </w:r>
      <w:r w:rsidRPr="004C59BB">
        <w:rPr>
          <w:color w:val="0000FF"/>
          <w:lang w:val="ru-RU"/>
        </w:rPr>
        <w:t>）</w:t>
      </w:r>
      <w:r w:rsidRPr="004C59BB">
        <w:rPr>
          <w:color w:val="0000FF"/>
        </w:rPr>
        <w:t>亦见同卷</w:t>
      </w:r>
      <w:r w:rsidRPr="0097554A">
        <w:rPr>
          <w:color w:val="0000FF"/>
          <w:lang w:val="ru-RU"/>
        </w:rPr>
        <w:t>，</w:t>
      </w:r>
      <w:r w:rsidRPr="004C59BB">
        <w:rPr>
          <w:color w:val="0000FF"/>
        </w:rPr>
        <w:t>第III卷</w:t>
      </w:r>
      <w:r w:rsidRPr="0097554A">
        <w:rPr>
          <w:color w:val="0000FF"/>
          <w:lang w:val="ru-RU"/>
        </w:rPr>
        <w:t>，</w:t>
      </w:r>
      <w:r w:rsidRPr="004C59BB">
        <w:rPr>
          <w:color w:val="0000FF"/>
        </w:rPr>
        <w:t>第</w:t>
      </w:r>
      <w:r w:rsidRPr="0097554A">
        <w:rPr>
          <w:color w:val="0000FF"/>
          <w:lang w:val="ru-RU"/>
        </w:rPr>
        <w:t>56</w:t>
      </w:r>
      <w:r w:rsidRPr="004C59BB">
        <w:rPr>
          <w:color w:val="0000FF"/>
        </w:rPr>
        <w:t>页。</w:t>
      </w:r>
    </w:p>
  </w:footnote>
  <w:footnote w:id="296">
    <w:p w14:paraId="7EA9F3D4" w14:textId="77777777" w:rsidR="00677D19" w:rsidRPr="004C59BB" w:rsidRDefault="00677D19">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《致尤斯塔修斯与安布罗斯书信》</w:t>
      </w:r>
      <w:r w:rsidRPr="0097554A">
        <w:rPr>
          <w:color w:val="0000FF"/>
          <w:lang w:val="ru-RU"/>
        </w:rPr>
        <w:t>，</w:t>
      </w:r>
      <w:r w:rsidRPr="004C59BB">
        <w:rPr>
          <w:color w:val="0000FF"/>
        </w:rPr>
        <w:t>见《文集》第III卷第</w:t>
      </w:r>
      <w:r w:rsidRPr="0097554A">
        <w:rPr>
          <w:color w:val="0000FF"/>
          <w:lang w:val="ru-RU"/>
        </w:rPr>
        <w:t>660</w:t>
      </w:r>
      <w:r w:rsidRPr="004C59BB">
        <w:rPr>
          <w:color w:val="0000FF"/>
        </w:rPr>
        <w:t>页</w:t>
      </w:r>
      <w:r w:rsidRPr="0097554A">
        <w:rPr>
          <w:color w:val="0000FF"/>
          <w:lang w:val="ru-RU"/>
        </w:rPr>
        <w:t>，</w:t>
      </w:r>
      <w:r w:rsidRPr="004C59BB">
        <w:rPr>
          <w:color w:val="0000FF"/>
        </w:rPr>
        <w:t>莫雷尔校注本。参见《论福乐》第一篇，第1卷第767页，以及《论主的显现》，第III卷第460页。</w:t>
      </w:r>
    </w:p>
  </w:footnote>
  <w:footnote w:id="297">
    <w:p w14:paraId="58FBF6F0" w14:textId="77777777" w:rsidR="00677D19" w:rsidRPr="0097554A" w:rsidRDefault="00677D19">
      <w:pPr>
        <w:pStyle w:val="FootnoteText"/>
        <w:rPr>
          <w:color w:val="0000FF"/>
          <w:lang w:val="el-GR"/>
        </w:rPr>
      </w:pPr>
      <w:r w:rsidRPr="004C59BB">
        <w:rPr>
          <w:rStyle w:val="FootnoteReference"/>
          <w:color w:val="0000FF"/>
        </w:rPr>
        <w:footnoteRef/>
      </w:r>
      <w:r w:rsidRPr="0097554A">
        <w:rPr>
          <w:color w:val="0000FF"/>
        </w:rPr>
        <w:t xml:space="preserve"> “</w:t>
      </w:r>
      <w:r w:rsidRPr="004C59BB">
        <w:rPr>
          <w:color w:val="0000FF"/>
          <w:lang w:val="el-GR"/>
        </w:rPr>
        <w:t>至于</w:t>
      </w:r>
      <w:r w:rsidRPr="0097554A">
        <w:rPr>
          <w:color w:val="0000FF"/>
        </w:rPr>
        <w:t>‘</w:t>
      </w:r>
      <w:r w:rsidRPr="004C59BB">
        <w:rPr>
          <w:color w:val="0000FF"/>
          <w:lang w:val="el-GR"/>
        </w:rPr>
        <w:t>神之母</w:t>
      </w:r>
      <w:r w:rsidRPr="0097554A">
        <w:rPr>
          <w:color w:val="0000FF"/>
        </w:rPr>
        <w:t>’，</w:t>
      </w:r>
      <w:r w:rsidRPr="004C59BB">
        <w:rPr>
          <w:color w:val="0000FF"/>
          <w:lang w:val="el-GR"/>
        </w:rPr>
        <w:t>你们却从未停止称呼玛利亚。</w:t>
      </w:r>
      <w:r w:rsidRPr="0097554A">
        <w:rPr>
          <w:color w:val="0000FF"/>
          <w:lang w:val="el-GR"/>
        </w:rPr>
        <w:t>”</w:t>
      </w:r>
      <w:r w:rsidRPr="004C59BB">
        <w:rPr>
          <w:color w:val="0000FF"/>
        </w:rPr>
        <w:t>见西里尔《反尤利安论》第八卷</w:t>
      </w:r>
      <w:r w:rsidRPr="0097554A">
        <w:rPr>
          <w:color w:val="0000FF"/>
          <w:lang w:val="el-GR"/>
        </w:rPr>
        <w:t>，</w:t>
      </w:r>
      <w:r w:rsidRPr="004C59BB">
        <w:rPr>
          <w:color w:val="0000FF"/>
        </w:rPr>
        <w:t>载于《全集》第VI卷</w:t>
      </w:r>
      <w:r w:rsidRPr="0097554A">
        <w:rPr>
          <w:color w:val="0000FF"/>
          <w:lang w:val="el-GR"/>
        </w:rPr>
        <w:t>，</w:t>
      </w:r>
      <w:r w:rsidRPr="004C59BB">
        <w:rPr>
          <w:color w:val="0000FF"/>
        </w:rPr>
        <w:t>第</w:t>
      </w:r>
      <w:r w:rsidRPr="0097554A">
        <w:rPr>
          <w:color w:val="0000FF"/>
          <w:lang w:val="el-GR"/>
        </w:rPr>
        <w:t>262</w:t>
      </w:r>
      <w:r w:rsidRPr="004C59BB">
        <w:rPr>
          <w:color w:val="0000FF"/>
        </w:rPr>
        <w:t>页。</w:t>
      </w:r>
    </w:p>
  </w:footnote>
  <w:footnote w:id="298">
    <w:p w14:paraId="553D36D1" w14:textId="77777777" w:rsidR="00677D19" w:rsidRPr="0097554A" w:rsidRDefault="00677D19">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参见《</w:t>
      </w:r>
      <w:r w:rsidRPr="004C59BB">
        <w:rPr>
          <w:color w:val="0000FF"/>
        </w:rPr>
        <w:t>十二项</w:t>
      </w:r>
      <w:r w:rsidRPr="004C59BB">
        <w:rPr>
          <w:color w:val="0000FF"/>
          <w:lang w:val="ru-RU"/>
        </w:rPr>
        <w:t>绝罚》中的第一项</w:t>
      </w:r>
      <w:r w:rsidRPr="0097554A">
        <w:rPr>
          <w:color w:val="0000FF"/>
          <w:lang w:val="el-GR"/>
        </w:rPr>
        <w:t>，</w:t>
      </w:r>
      <w:r w:rsidRPr="004C59BB">
        <w:rPr>
          <w:color w:val="0000FF"/>
          <w:lang w:val="ru-RU"/>
        </w:rPr>
        <w:t>载于《基督教读物》</w:t>
      </w:r>
      <w:r w:rsidRPr="0097554A">
        <w:rPr>
          <w:color w:val="0000FF"/>
          <w:lang w:val="el-GR"/>
        </w:rPr>
        <w:t>1841</w:t>
      </w:r>
      <w:r w:rsidRPr="004C59BB">
        <w:rPr>
          <w:color w:val="0000FF"/>
          <w:lang w:val="ru-RU"/>
        </w:rPr>
        <w:t>年</w:t>
      </w:r>
      <w:r w:rsidRPr="004C59BB">
        <w:rPr>
          <w:color w:val="0000FF"/>
        </w:rPr>
        <w:t>卷一</w:t>
      </w:r>
      <w:r w:rsidRPr="0097554A">
        <w:rPr>
          <w:color w:val="0000FF"/>
          <w:lang w:val="el-GR"/>
        </w:rPr>
        <w:t>，</w:t>
      </w:r>
      <w:r w:rsidRPr="004C59BB">
        <w:rPr>
          <w:color w:val="0000FF"/>
          <w:lang w:val="ru-RU"/>
        </w:rPr>
        <w:t>第</w:t>
      </w:r>
      <w:r w:rsidRPr="0097554A">
        <w:rPr>
          <w:color w:val="0000FF"/>
          <w:lang w:val="el-GR"/>
        </w:rPr>
        <w:t>57</w:t>
      </w:r>
      <w:r w:rsidRPr="004C59BB">
        <w:rPr>
          <w:color w:val="0000FF"/>
          <w:lang w:val="ru-RU"/>
        </w:rPr>
        <w:t>页。</w:t>
      </w:r>
    </w:p>
  </w:footnote>
  <w:footnote w:id="299">
    <w:p w14:paraId="286CE3C4" w14:textId="77777777" w:rsidR="00677D19" w:rsidRPr="0097554A" w:rsidRDefault="00677D19" w:rsidP="00677D19">
      <w:pPr>
        <w:pStyle w:val="FootnoteText"/>
        <w:rPr>
          <w:color w:val="0000FF"/>
          <w:lang w:val="el-GR"/>
        </w:rPr>
      </w:pPr>
      <w:r w:rsidRPr="004C59BB">
        <w:rPr>
          <w:rStyle w:val="FootnoteReference"/>
          <w:color w:val="0000FF"/>
        </w:rPr>
        <w:footnoteRef/>
      </w:r>
      <w:r w:rsidRPr="004C59BB">
        <w:rPr>
          <w:color w:val="0000FF"/>
          <w:lang w:val="el-GR"/>
        </w:rPr>
        <w:t xml:space="preserve"> 那些自古以来就作为正统信仰的灯塔，依据使徒传统，教导人们称呼并信奉科里乌斯的母亲为“神之母”。</w:t>
      </w:r>
      <w:r w:rsidRPr="004C59BB">
        <w:rPr>
          <w:color w:val="0000FF"/>
        </w:rPr>
        <w:t>《异端论》</w:t>
      </w:r>
      <w:r w:rsidRPr="0097554A">
        <w:rPr>
          <w:color w:val="0000FF"/>
          <w:lang w:val="el-GR"/>
        </w:rPr>
        <w:t xml:space="preserve"> </w:t>
      </w:r>
      <w:r w:rsidRPr="004C59BB">
        <w:rPr>
          <w:color w:val="0000FF"/>
        </w:rPr>
        <w:t>Fab</w:t>
      </w:r>
      <w:r w:rsidRPr="0097554A">
        <w:rPr>
          <w:color w:val="0000FF"/>
          <w:lang w:val="el-GR"/>
        </w:rPr>
        <w:t xml:space="preserve">. </w:t>
      </w:r>
      <w:r w:rsidRPr="004C59BB">
        <w:rPr>
          <w:color w:val="0000FF"/>
        </w:rPr>
        <w:t>IV</w:t>
      </w:r>
      <w:r w:rsidRPr="0097554A">
        <w:rPr>
          <w:color w:val="0000FF"/>
          <w:lang w:val="el-GR"/>
        </w:rPr>
        <w:t xml:space="preserve">, </w:t>
      </w:r>
      <w:r w:rsidRPr="004C59BB">
        <w:rPr>
          <w:color w:val="0000FF"/>
        </w:rPr>
        <w:t>c</w:t>
      </w:r>
      <w:r w:rsidRPr="0097554A">
        <w:rPr>
          <w:color w:val="0000FF"/>
          <w:lang w:val="el-GR"/>
        </w:rPr>
        <w:t xml:space="preserve">. 12, </w:t>
      </w:r>
      <w:r w:rsidRPr="004C59BB">
        <w:rPr>
          <w:color w:val="0000FF"/>
        </w:rPr>
        <w:t>载于《Opp</w:t>
      </w:r>
      <w:r w:rsidRPr="0097554A">
        <w:rPr>
          <w:color w:val="0000FF"/>
          <w:lang w:val="el-GR"/>
        </w:rPr>
        <w:t>.</w:t>
      </w:r>
      <w:r w:rsidRPr="004C59BB">
        <w:rPr>
          <w:color w:val="0000FF"/>
        </w:rPr>
        <w:t>》第IV卷</w:t>
      </w:r>
      <w:r w:rsidRPr="0097554A">
        <w:rPr>
          <w:color w:val="0000FF"/>
          <w:lang w:val="el-GR"/>
        </w:rPr>
        <w:t>，</w:t>
      </w:r>
      <w:r w:rsidRPr="004C59BB">
        <w:rPr>
          <w:color w:val="0000FF"/>
        </w:rPr>
        <w:t>第</w:t>
      </w:r>
      <w:r w:rsidRPr="0097554A">
        <w:rPr>
          <w:color w:val="0000FF"/>
          <w:lang w:val="el-GR"/>
        </w:rPr>
        <w:t>245</w:t>
      </w:r>
      <w:r w:rsidRPr="004C59BB">
        <w:rPr>
          <w:color w:val="0000FF"/>
        </w:rPr>
        <w:t>页</w:t>
      </w:r>
      <w:r w:rsidRPr="0097554A">
        <w:rPr>
          <w:color w:val="0000FF"/>
          <w:lang w:val="el-GR"/>
        </w:rPr>
        <w:t>，</w:t>
      </w:r>
      <w:r w:rsidRPr="004C59BB">
        <w:rPr>
          <w:color w:val="0000FF"/>
        </w:rPr>
        <w:t>吕讷堡</w:t>
      </w:r>
      <w:r w:rsidRPr="0097554A">
        <w:rPr>
          <w:color w:val="0000FF"/>
          <w:lang w:val="el-GR"/>
        </w:rPr>
        <w:t>，1642</w:t>
      </w:r>
      <w:r w:rsidRPr="004C59BB">
        <w:rPr>
          <w:color w:val="0000FF"/>
        </w:rPr>
        <w:t>年。</w:t>
      </w:r>
    </w:p>
  </w:footnote>
  <w:footnote w:id="300">
    <w:p w14:paraId="746AA8FF" w14:textId="77777777" w:rsidR="00677D19" w:rsidRPr="0097554A" w:rsidRDefault="00677D19">
      <w:pPr>
        <w:pStyle w:val="FootnoteText"/>
        <w:rPr>
          <w:color w:val="0000FF"/>
          <w:lang w:val="el-GR"/>
        </w:rPr>
      </w:pPr>
      <w:r w:rsidRPr="004C59BB">
        <w:rPr>
          <w:rStyle w:val="FootnoteReference"/>
          <w:color w:val="0000FF"/>
        </w:rPr>
        <w:footnoteRef/>
      </w:r>
      <w:r w:rsidRPr="004C59BB">
        <w:rPr>
          <w:color w:val="0000FF"/>
          <w:lang w:val="el-GR"/>
        </w:rPr>
        <w:t xml:space="preserve"> 因为，在教会教师中，没有人曾反对这个</w:t>
      </w:r>
      <w:r w:rsidRPr="004C59BB">
        <w:rPr>
          <w:color w:val="0000FF"/>
        </w:rPr>
        <w:t>称谓</w:t>
      </w:r>
      <w:r w:rsidRPr="0097554A">
        <w:rPr>
          <w:color w:val="0000FF"/>
          <w:lang w:val="el-GR"/>
        </w:rPr>
        <w:t>……</w:t>
      </w:r>
      <w:r w:rsidRPr="004C59BB">
        <w:rPr>
          <w:color w:val="0000FF"/>
        </w:rPr>
        <w:t>见于哈杜因《教会会议记录》第</w:t>
      </w:r>
      <w:r w:rsidRPr="0097554A">
        <w:rPr>
          <w:color w:val="0000FF"/>
          <w:lang w:val="el-GR"/>
        </w:rPr>
        <w:t>1</w:t>
      </w:r>
      <w:r w:rsidRPr="004C59BB">
        <w:rPr>
          <w:color w:val="0000FF"/>
        </w:rPr>
        <w:t>卷</w:t>
      </w:r>
      <w:r w:rsidRPr="0097554A">
        <w:rPr>
          <w:color w:val="0000FF"/>
          <w:lang w:val="el-GR"/>
        </w:rPr>
        <w:t>，</w:t>
      </w:r>
      <w:r w:rsidRPr="004C59BB">
        <w:rPr>
          <w:color w:val="0000FF"/>
        </w:rPr>
        <w:t>第</w:t>
      </w:r>
      <w:r w:rsidRPr="0097554A">
        <w:rPr>
          <w:color w:val="0000FF"/>
          <w:lang w:val="el-GR"/>
        </w:rPr>
        <w:t>1329</w:t>
      </w:r>
      <w:r w:rsidRPr="004C59BB">
        <w:rPr>
          <w:color w:val="0000FF"/>
        </w:rPr>
        <w:t>栏。</w:t>
      </w:r>
    </w:p>
  </w:footnote>
  <w:footnote w:id="301">
    <w:p w14:paraId="3AE233D3" w14:textId="77777777" w:rsidR="00677D19" w:rsidRPr="0097554A" w:rsidRDefault="00677D19">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亚历山大</w:t>
      </w:r>
      <w:r w:rsidRPr="0097554A">
        <w:rPr>
          <w:color w:val="0000FF"/>
          <w:lang w:val="el-GR"/>
        </w:rPr>
        <w:t>·</w:t>
      </w:r>
      <w:r w:rsidRPr="004C59BB">
        <w:rPr>
          <w:color w:val="0000FF"/>
        </w:rPr>
        <w:t>西里尔致埃及修士书</w:t>
      </w:r>
      <w:r w:rsidRPr="0097554A">
        <w:rPr>
          <w:color w:val="0000FF"/>
          <w:lang w:val="el-GR"/>
        </w:rPr>
        <w:t xml:space="preserve"> 1，</w:t>
      </w:r>
      <w:r w:rsidRPr="004C59BB">
        <w:rPr>
          <w:color w:val="0000FF"/>
        </w:rPr>
        <w:t>载于《全集》第</w:t>
      </w:r>
      <w:r w:rsidRPr="0097554A">
        <w:rPr>
          <w:color w:val="0000FF"/>
          <w:lang w:val="el-GR"/>
        </w:rPr>
        <w:t xml:space="preserve"> </w:t>
      </w:r>
      <w:r w:rsidRPr="004C59BB">
        <w:rPr>
          <w:color w:val="0000FF"/>
        </w:rPr>
        <w:t>V</w:t>
      </w:r>
      <w:r w:rsidRPr="0097554A">
        <w:rPr>
          <w:color w:val="0000FF"/>
          <w:lang w:val="el-GR"/>
        </w:rPr>
        <w:t xml:space="preserve"> </w:t>
      </w:r>
      <w:r w:rsidRPr="004C59BB">
        <w:rPr>
          <w:color w:val="0000FF"/>
        </w:rPr>
        <w:t>卷</w:t>
      </w:r>
      <w:r w:rsidRPr="0097554A">
        <w:rPr>
          <w:color w:val="0000FF"/>
          <w:lang w:val="el-GR"/>
        </w:rPr>
        <w:t>，</w:t>
      </w:r>
      <w:r w:rsidRPr="004C59BB">
        <w:rPr>
          <w:color w:val="0000FF"/>
        </w:rPr>
        <w:t>第二部分</w:t>
      </w:r>
      <w:r w:rsidRPr="0097554A">
        <w:rPr>
          <w:color w:val="0000FF"/>
          <w:lang w:val="el-GR"/>
        </w:rPr>
        <w:t>，</w:t>
      </w:r>
      <w:r w:rsidRPr="004C59BB">
        <w:rPr>
          <w:color w:val="0000FF"/>
          <w:lang w:val="ru-RU"/>
        </w:rPr>
        <w:t>第</w:t>
      </w:r>
      <w:r w:rsidRPr="0097554A">
        <w:rPr>
          <w:color w:val="0000FF"/>
          <w:lang w:val="el-GR"/>
        </w:rPr>
        <w:t xml:space="preserve"> 6–8 </w:t>
      </w:r>
      <w:r w:rsidRPr="004C59BB">
        <w:rPr>
          <w:color w:val="0000FF"/>
          <w:lang w:val="ru-RU"/>
        </w:rPr>
        <w:t>页。</w:t>
      </w:r>
    </w:p>
  </w:footnote>
  <w:footnote w:id="302">
    <w:p w14:paraId="12EB02CB" w14:textId="77777777" w:rsidR="00677D19" w:rsidRPr="0097554A" w:rsidRDefault="00677D19">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我们绝不称圣童贞女为</w:t>
      </w:r>
      <w:r w:rsidRPr="0097554A">
        <w:rPr>
          <w:color w:val="0000FF"/>
          <w:lang w:val="el-GR"/>
        </w:rPr>
        <w:t>‘</w:t>
      </w:r>
      <w:r w:rsidRPr="004C59BB">
        <w:rPr>
          <w:color w:val="0000FF"/>
          <w:lang w:val="ru-RU"/>
        </w:rPr>
        <w:t>基督之母</w:t>
      </w:r>
      <w:r w:rsidRPr="0097554A">
        <w:rPr>
          <w:color w:val="0000FF"/>
          <w:lang w:val="el-GR"/>
        </w:rPr>
        <w:t>’：</w:t>
      </w:r>
      <w:r w:rsidRPr="004C59BB">
        <w:rPr>
          <w:color w:val="0000FF"/>
          <w:lang w:val="ru-RU"/>
        </w:rPr>
        <w:t>因为这个冒犯性的称谓</w:t>
      </w:r>
      <w:r w:rsidRPr="0097554A">
        <w:rPr>
          <w:color w:val="0000FF"/>
          <w:lang w:val="el-GR"/>
        </w:rPr>
        <w:t>，</w:t>
      </w:r>
      <w:r w:rsidRPr="004C59BB">
        <w:rPr>
          <w:color w:val="0000FF"/>
          <w:lang w:val="ru-RU"/>
        </w:rPr>
        <w:t>是那个放荡、可憎、效法犹太教的涅斯托里</w:t>
      </w:r>
      <w:r w:rsidRPr="0097554A">
        <w:rPr>
          <w:color w:val="0000FF"/>
          <w:lang w:val="el-GR"/>
        </w:rPr>
        <w:t>——</w:t>
      </w:r>
      <w:r w:rsidRPr="004C59BB">
        <w:rPr>
          <w:color w:val="0000FF"/>
          <w:lang w:val="ru-RU"/>
        </w:rPr>
        <w:t>一个不耻之器</w:t>
      </w:r>
      <w:r w:rsidRPr="0097554A">
        <w:rPr>
          <w:color w:val="0000FF"/>
          <w:lang w:val="el-GR"/>
        </w:rPr>
        <w:t>——</w:t>
      </w:r>
      <w:r w:rsidRPr="004C59BB">
        <w:rPr>
          <w:color w:val="0000FF"/>
          <w:lang w:val="ru-RU"/>
        </w:rPr>
        <w:t>所杜撰的</w:t>
      </w:r>
      <w:r w:rsidRPr="0097554A">
        <w:rPr>
          <w:color w:val="0000FF"/>
          <w:lang w:val="el-GR"/>
        </w:rPr>
        <w:t>，</w:t>
      </w:r>
      <w:r w:rsidRPr="004C59BB">
        <w:rPr>
          <w:color w:val="0000FF"/>
          <w:lang w:val="ru-RU"/>
        </w:rPr>
        <w:t>旨在贬低</w:t>
      </w:r>
      <w:r w:rsidRPr="0097554A">
        <w:rPr>
          <w:color w:val="0000FF"/>
          <w:lang w:val="el-GR"/>
        </w:rPr>
        <w:t>‘</w:t>
      </w:r>
      <w:r w:rsidRPr="004C59BB">
        <w:rPr>
          <w:color w:val="0000FF"/>
          <w:lang w:val="ru-RU"/>
        </w:rPr>
        <w:t>圣母</w:t>
      </w:r>
      <w:r w:rsidRPr="0097554A">
        <w:rPr>
          <w:color w:val="0000FF"/>
          <w:lang w:val="el-GR"/>
        </w:rPr>
        <w:t>’</w:t>
      </w:r>
      <w:r w:rsidRPr="004C59BB">
        <w:rPr>
          <w:color w:val="0000FF"/>
          <w:lang w:val="ru-RU"/>
        </w:rPr>
        <w:t>之名</w:t>
      </w:r>
      <w:r w:rsidRPr="0097554A">
        <w:rPr>
          <w:color w:val="0000FF"/>
          <w:lang w:val="el-GR"/>
        </w:rPr>
        <w:t>，</w:t>
      </w:r>
      <w:r w:rsidRPr="004C59BB">
        <w:rPr>
          <w:color w:val="0000FF"/>
          <w:lang w:val="ru-RU"/>
        </w:rPr>
        <w:t>并剥夺那位唯一真正被尊崇、其荣耀超越一切受造之物的圣母的部分尊荣。</w:t>
      </w:r>
      <w:r w:rsidRPr="0097554A">
        <w:rPr>
          <w:color w:val="0000FF"/>
          <w:lang w:val="el-GR"/>
        </w:rPr>
        <w:t xml:space="preserve"> </w:t>
      </w:r>
      <w:r w:rsidRPr="004C59BB">
        <w:rPr>
          <w:color w:val="0000FF"/>
          <w:lang w:val="ru-RU"/>
        </w:rPr>
        <w:t>大卫王和亚伦大祭司也被称为</w:t>
      </w:r>
      <w:r w:rsidRPr="0097554A">
        <w:rPr>
          <w:color w:val="0000FF"/>
          <w:lang w:val="el-GR"/>
        </w:rPr>
        <w:t>‘</w:t>
      </w:r>
      <w:r w:rsidRPr="004C59BB">
        <w:rPr>
          <w:color w:val="0000FF"/>
          <w:lang w:val="ru-RU"/>
        </w:rPr>
        <w:t>受膏者</w:t>
      </w:r>
      <w:r w:rsidRPr="0097554A">
        <w:rPr>
          <w:color w:val="0000FF"/>
          <w:lang w:val="el-GR"/>
        </w:rPr>
        <w:t>’——</w:t>
      </w:r>
      <w:r w:rsidRPr="004C59BB">
        <w:rPr>
          <w:color w:val="0000FF"/>
          <w:lang w:val="ru-RU"/>
        </w:rPr>
        <w:t>因为君王和祭司都曾受过膏抹</w:t>
      </w:r>
      <w:r w:rsidRPr="0097554A">
        <w:rPr>
          <w:color w:val="0000FF"/>
          <w:lang w:val="el-GR"/>
        </w:rPr>
        <w:t>：</w:t>
      </w:r>
      <w:r w:rsidRPr="004C59BB">
        <w:rPr>
          <w:color w:val="0000FF"/>
          <w:lang w:val="ru-RU"/>
        </w:rPr>
        <w:t>任何</w:t>
      </w:r>
      <w:r w:rsidRPr="0097554A">
        <w:rPr>
          <w:color w:val="0000FF"/>
          <w:lang w:val="el-GR"/>
        </w:rPr>
        <w:t>‘</w:t>
      </w:r>
      <w:r w:rsidRPr="004C59BB">
        <w:rPr>
          <w:color w:val="0000FF"/>
          <w:lang w:val="ru-RU"/>
        </w:rPr>
        <w:t>蒙神同在</w:t>
      </w:r>
      <w:r w:rsidRPr="0097554A">
        <w:rPr>
          <w:color w:val="0000FF"/>
          <w:lang w:val="el-GR"/>
        </w:rPr>
        <w:t>’</w:t>
      </w:r>
      <w:r w:rsidRPr="004C59BB">
        <w:rPr>
          <w:color w:val="0000FF"/>
          <w:lang w:val="ru-RU"/>
        </w:rPr>
        <w:t>之人</w:t>
      </w:r>
      <w:r w:rsidRPr="0097554A">
        <w:rPr>
          <w:color w:val="0000FF"/>
          <w:lang w:val="el-GR"/>
        </w:rPr>
        <w:t>，</w:t>
      </w:r>
      <w:r w:rsidRPr="004C59BB">
        <w:rPr>
          <w:color w:val="0000FF"/>
          <w:lang w:val="ru-RU"/>
        </w:rPr>
        <w:t>都可以被称为</w:t>
      </w:r>
      <w:r w:rsidRPr="0097554A">
        <w:rPr>
          <w:color w:val="0000FF"/>
          <w:lang w:val="el-GR"/>
        </w:rPr>
        <w:t>‘</w:t>
      </w:r>
      <w:r w:rsidRPr="004C59BB">
        <w:rPr>
          <w:color w:val="0000FF"/>
          <w:lang w:val="ru-RU"/>
        </w:rPr>
        <w:t>受膏者</w:t>
      </w:r>
      <w:r w:rsidRPr="0097554A">
        <w:rPr>
          <w:color w:val="0000FF"/>
          <w:lang w:val="el-GR"/>
        </w:rPr>
        <w:t>’，</w:t>
      </w:r>
      <w:r w:rsidRPr="004C59BB">
        <w:rPr>
          <w:color w:val="0000FF"/>
          <w:lang w:val="ru-RU"/>
        </w:rPr>
        <w:t>但绝不能按本质被称为</w:t>
      </w:r>
      <w:r w:rsidRPr="0097554A">
        <w:rPr>
          <w:color w:val="0000FF"/>
          <w:lang w:val="el-GR"/>
        </w:rPr>
        <w:t>‘</w:t>
      </w:r>
      <w:r w:rsidRPr="004C59BB">
        <w:rPr>
          <w:color w:val="0000FF"/>
          <w:lang w:val="ru-RU"/>
        </w:rPr>
        <w:t>神</w:t>
      </w:r>
      <w:r w:rsidRPr="0097554A">
        <w:rPr>
          <w:color w:val="0000FF"/>
          <w:lang w:val="el-GR"/>
        </w:rPr>
        <w:t>’；</w:t>
      </w:r>
      <w:r w:rsidRPr="004C59BB">
        <w:rPr>
          <w:color w:val="0000FF"/>
          <w:lang w:val="ru-RU"/>
        </w:rPr>
        <w:t>正是基于这种意义</w:t>
      </w:r>
      <w:r w:rsidRPr="0097554A">
        <w:rPr>
          <w:color w:val="0000FF"/>
          <w:lang w:val="el-GR"/>
        </w:rPr>
        <w:t>，</w:t>
      </w:r>
      <w:r w:rsidRPr="004C59BB">
        <w:rPr>
          <w:color w:val="0000FF"/>
          <w:lang w:val="ru-RU"/>
        </w:rPr>
        <w:t>那个疯狂的涅斯托里才胆敢称那位由童贞女所生的为</w:t>
      </w:r>
      <w:r w:rsidRPr="0097554A">
        <w:rPr>
          <w:color w:val="0000FF"/>
          <w:lang w:val="el-GR"/>
        </w:rPr>
        <w:t>‘</w:t>
      </w:r>
      <w:r w:rsidRPr="004C59BB">
        <w:rPr>
          <w:color w:val="0000FF"/>
          <w:lang w:val="ru-RU"/>
        </w:rPr>
        <w:t>蒙神同在者</w:t>
      </w:r>
      <w:r w:rsidRPr="0097554A">
        <w:rPr>
          <w:color w:val="0000FF"/>
          <w:lang w:val="el-GR"/>
        </w:rPr>
        <w:t>’</w:t>
      </w:r>
      <w:r w:rsidRPr="004C59BB">
        <w:rPr>
          <w:color w:val="0000FF"/>
          <w:lang w:val="ru-RU"/>
        </w:rPr>
        <w:t>。</w:t>
      </w:r>
      <w:r w:rsidRPr="0097554A">
        <w:rPr>
          <w:color w:val="0000FF"/>
          <w:lang w:val="el-GR"/>
        </w:rPr>
        <w:t xml:space="preserve"> </w:t>
      </w:r>
      <w:r w:rsidRPr="004C59BB">
        <w:rPr>
          <w:color w:val="0000FF"/>
          <w:lang w:val="ru-RU"/>
        </w:rPr>
        <w:t>但我们绝不可称祂为</w:t>
      </w:r>
      <w:r w:rsidRPr="0097554A">
        <w:rPr>
          <w:color w:val="0000FF"/>
          <w:lang w:val="el-GR"/>
        </w:rPr>
        <w:t>“</w:t>
      </w:r>
      <w:r w:rsidRPr="004C59BB">
        <w:rPr>
          <w:color w:val="0000FF"/>
          <w:lang w:val="ru-RU"/>
        </w:rPr>
        <w:t>神所载者</w:t>
      </w:r>
      <w:r w:rsidRPr="0097554A">
        <w:rPr>
          <w:color w:val="0000FF"/>
          <w:lang w:val="el-GR"/>
        </w:rPr>
        <w:t>”，</w:t>
      </w:r>
      <w:r w:rsidRPr="004C59BB">
        <w:rPr>
          <w:color w:val="0000FF"/>
          <w:lang w:val="ru-RU"/>
        </w:rPr>
        <w:t>甚至在心中也不可将祂视为</w:t>
      </w:r>
      <w:r w:rsidRPr="0097554A">
        <w:rPr>
          <w:color w:val="0000FF"/>
          <w:lang w:val="el-GR"/>
        </w:rPr>
        <w:t>“</w:t>
      </w:r>
      <w:r w:rsidRPr="004C59BB">
        <w:rPr>
          <w:color w:val="0000FF"/>
          <w:lang w:val="ru-RU"/>
        </w:rPr>
        <w:t>神所载者</w:t>
      </w:r>
      <w:r w:rsidRPr="0097554A">
        <w:rPr>
          <w:color w:val="0000FF"/>
          <w:lang w:val="el-GR"/>
        </w:rPr>
        <w:t>”；</w:t>
      </w:r>
      <w:r w:rsidRPr="004C59BB">
        <w:rPr>
          <w:color w:val="0000FF"/>
          <w:lang w:val="ru-RU"/>
        </w:rPr>
        <w:t>相反</w:t>
      </w:r>
      <w:r w:rsidRPr="0097554A">
        <w:rPr>
          <w:color w:val="0000FF"/>
          <w:lang w:val="el-GR"/>
        </w:rPr>
        <w:t>，</w:t>
      </w:r>
      <w:r w:rsidRPr="004C59BB">
        <w:rPr>
          <w:color w:val="0000FF"/>
          <w:lang w:val="ru-RU"/>
        </w:rPr>
        <w:t>我们要信奉祂是道成肉身的神</w:t>
      </w:r>
      <w:r w:rsidR="005666A3" w:rsidRPr="0097554A">
        <w:rPr>
          <w:color w:val="0000FF"/>
          <w:lang w:val="el-GR"/>
        </w:rPr>
        <w:t>”</w:t>
      </w:r>
      <w:r w:rsidRPr="0097554A">
        <w:rPr>
          <w:color w:val="0000FF"/>
          <w:lang w:val="el-GR"/>
        </w:rPr>
        <w:t>（</w:t>
      </w:r>
      <w:r w:rsidRPr="004C59BB">
        <w:rPr>
          <w:color w:val="0000FF"/>
          <w:lang w:val="ru-RU"/>
        </w:rPr>
        <w:t>达马斯库斯</w:t>
      </w:r>
      <w:r w:rsidRPr="0097554A">
        <w:rPr>
          <w:color w:val="0000FF"/>
          <w:lang w:val="el-GR"/>
        </w:rPr>
        <w:t>，</w:t>
      </w:r>
      <w:r w:rsidRPr="004C59BB">
        <w:rPr>
          <w:color w:val="0000FF"/>
          <w:lang w:val="ru-RU"/>
        </w:rPr>
        <w:t>《信仰论述》</w:t>
      </w:r>
      <w:r w:rsidRPr="004C59BB">
        <w:rPr>
          <w:color w:val="0000FF"/>
        </w:rPr>
        <w:t>第三卷</w:t>
      </w:r>
      <w:r w:rsidRPr="0097554A">
        <w:rPr>
          <w:color w:val="0000FF"/>
          <w:lang w:val="el-GR"/>
        </w:rPr>
        <w:t>，</w:t>
      </w:r>
      <w:r w:rsidRPr="004C59BB">
        <w:rPr>
          <w:color w:val="0000FF"/>
        </w:rPr>
        <w:t>第九</w:t>
      </w:r>
      <w:r w:rsidRPr="004C59BB">
        <w:rPr>
          <w:color w:val="0000FF"/>
          <w:lang w:val="ru-RU"/>
        </w:rPr>
        <w:t>章第</w:t>
      </w:r>
      <w:r w:rsidRPr="0097554A">
        <w:rPr>
          <w:color w:val="0000FF"/>
          <w:lang w:val="el-GR"/>
        </w:rPr>
        <w:t>12</w:t>
      </w:r>
      <w:r w:rsidRPr="004C59BB">
        <w:rPr>
          <w:color w:val="0000FF"/>
          <w:lang w:val="ru-RU"/>
        </w:rPr>
        <w:t>节</w:t>
      </w:r>
      <w:r w:rsidRPr="0097554A">
        <w:rPr>
          <w:color w:val="0000FF"/>
          <w:lang w:val="el-GR"/>
        </w:rPr>
        <w:t>，</w:t>
      </w:r>
      <w:r w:rsidRPr="004C59BB">
        <w:rPr>
          <w:color w:val="0000FF"/>
          <w:lang w:val="ru-RU"/>
        </w:rPr>
        <w:t>第</w:t>
      </w:r>
      <w:r w:rsidRPr="0097554A">
        <w:rPr>
          <w:color w:val="0000FF"/>
          <w:lang w:val="el-GR"/>
        </w:rPr>
        <w:t>169–170</w:t>
      </w:r>
      <w:r w:rsidRPr="004C59BB">
        <w:rPr>
          <w:color w:val="0000FF"/>
          <w:lang w:val="ru-RU"/>
        </w:rPr>
        <w:t>页</w:t>
      </w:r>
      <w:r w:rsidRPr="0097554A">
        <w:rPr>
          <w:color w:val="0000FF"/>
          <w:lang w:val="el-GR"/>
        </w:rPr>
        <w:t>）</w:t>
      </w:r>
      <w:r w:rsidRPr="004C59BB">
        <w:rPr>
          <w:color w:val="0000FF"/>
          <w:lang w:val="ru-RU"/>
        </w:rPr>
        <w:t>。</w:t>
      </w:r>
    </w:p>
  </w:footnote>
  <w:footnote w:id="303">
    <w:p w14:paraId="5CD6D0C1" w14:textId="77777777" w:rsidR="00677D19" w:rsidRPr="0097554A" w:rsidRDefault="00677D19">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大马士革</w:t>
      </w:r>
      <w:r w:rsidRPr="0097554A">
        <w:rPr>
          <w:color w:val="0000FF"/>
          <w:lang w:val="el-GR"/>
        </w:rPr>
        <w:t>，</w:t>
      </w:r>
      <w:r w:rsidRPr="004C59BB">
        <w:rPr>
          <w:color w:val="0000FF"/>
          <w:lang w:val="ru-RU"/>
        </w:rPr>
        <w:t>同上</w:t>
      </w:r>
      <w:r w:rsidRPr="0097554A">
        <w:rPr>
          <w:color w:val="0000FF"/>
          <w:lang w:val="el-GR"/>
        </w:rPr>
        <w:t>，</w:t>
      </w:r>
      <w:r w:rsidRPr="004C59BB">
        <w:rPr>
          <w:color w:val="0000FF"/>
        </w:rPr>
        <w:t>第三卷</w:t>
      </w:r>
      <w:r w:rsidRPr="0097554A">
        <w:rPr>
          <w:color w:val="0000FF"/>
          <w:lang w:val="el-GR"/>
        </w:rPr>
        <w:t>，</w:t>
      </w:r>
      <w:r w:rsidRPr="004C59BB">
        <w:rPr>
          <w:color w:val="0000FF"/>
          <w:lang w:val="ru-RU"/>
        </w:rPr>
        <w:t>第六章</w:t>
      </w:r>
      <w:r w:rsidRPr="0097554A">
        <w:rPr>
          <w:color w:val="0000FF"/>
          <w:lang w:val="el-GR"/>
        </w:rPr>
        <w:t>，</w:t>
      </w:r>
      <w:r w:rsidRPr="004C59BB">
        <w:rPr>
          <w:color w:val="0000FF"/>
          <w:lang w:val="ru-RU"/>
        </w:rPr>
        <w:t>第</w:t>
      </w:r>
      <w:r w:rsidRPr="0097554A">
        <w:rPr>
          <w:color w:val="0000FF"/>
          <w:lang w:val="el-GR"/>
        </w:rPr>
        <w:t>151</w:t>
      </w:r>
      <w:r w:rsidRPr="004C59BB">
        <w:rPr>
          <w:color w:val="0000FF"/>
          <w:lang w:val="ru-RU"/>
        </w:rPr>
        <w:t>页。</w:t>
      </w:r>
    </w:p>
  </w:footnote>
  <w:footnote w:id="304">
    <w:p w14:paraId="38135FFE" w14:textId="77777777" w:rsidR="00677D19" w:rsidRPr="0097554A" w:rsidRDefault="00677D19">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同上</w:t>
      </w:r>
      <w:r w:rsidRPr="0097554A">
        <w:rPr>
          <w:color w:val="0000FF"/>
          <w:lang w:val="el-GR"/>
        </w:rPr>
        <w:t>，</w:t>
      </w:r>
      <w:r w:rsidRPr="004C59BB">
        <w:rPr>
          <w:color w:val="0000FF"/>
        </w:rPr>
        <w:t>第II</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166</w:t>
      </w:r>
      <w:r w:rsidRPr="004C59BB">
        <w:rPr>
          <w:color w:val="0000FF"/>
          <w:lang w:val="ru-RU"/>
        </w:rPr>
        <w:t>、</w:t>
      </w:r>
      <w:r w:rsidRPr="0097554A">
        <w:rPr>
          <w:color w:val="0000FF"/>
          <w:lang w:val="el-GR"/>
        </w:rPr>
        <w:t>167</w:t>
      </w:r>
      <w:r w:rsidRPr="004C59BB">
        <w:rPr>
          <w:color w:val="0000FF"/>
          <w:lang w:val="ru-RU"/>
        </w:rPr>
        <w:t>页</w:t>
      </w:r>
      <w:r w:rsidRPr="0097554A">
        <w:rPr>
          <w:color w:val="0000FF"/>
          <w:lang w:val="el-GR"/>
        </w:rPr>
        <w:t>；</w:t>
      </w:r>
      <w:r w:rsidRPr="004C59BB">
        <w:rPr>
          <w:color w:val="0000FF"/>
        </w:rPr>
        <w:t>第</w:t>
      </w:r>
      <w:r w:rsidRPr="0097554A">
        <w:rPr>
          <w:color w:val="0000FF"/>
          <w:lang w:val="el-GR"/>
        </w:rPr>
        <w:t>6</w:t>
      </w:r>
      <w:r w:rsidRPr="004C59BB">
        <w:rPr>
          <w:color w:val="0000FF"/>
        </w:rPr>
        <w:t>章</w:t>
      </w:r>
      <w:r w:rsidRPr="0097554A">
        <w:rPr>
          <w:color w:val="0000FF"/>
          <w:lang w:val="el-GR"/>
        </w:rPr>
        <w:t>，</w:t>
      </w:r>
      <w:r w:rsidRPr="004C59BB">
        <w:rPr>
          <w:color w:val="0000FF"/>
        </w:rPr>
        <w:t>第</w:t>
      </w:r>
      <w:r w:rsidRPr="0097554A">
        <w:rPr>
          <w:color w:val="0000FF"/>
          <w:lang w:val="el-GR"/>
        </w:rPr>
        <w:t>151</w:t>
      </w:r>
      <w:r w:rsidRPr="004C59BB">
        <w:rPr>
          <w:color w:val="0000FF"/>
        </w:rPr>
        <w:t>、</w:t>
      </w:r>
      <w:r w:rsidRPr="0097554A">
        <w:rPr>
          <w:color w:val="0000FF"/>
          <w:lang w:val="el-GR"/>
        </w:rPr>
        <w:t>152</w:t>
      </w:r>
      <w:r w:rsidRPr="004C59BB">
        <w:rPr>
          <w:color w:val="0000FF"/>
        </w:rPr>
        <w:t>页。</w:t>
      </w:r>
    </w:p>
  </w:footnote>
  <w:footnote w:id="305">
    <w:p w14:paraId="5A5671FB" w14:textId="77777777" w:rsidR="00677D19" w:rsidRPr="0097554A" w:rsidRDefault="00677D19">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《以弗所大公会议》</w:t>
      </w:r>
      <w:r w:rsidRPr="0097554A">
        <w:rPr>
          <w:color w:val="0000FF"/>
          <w:lang w:val="el-GR"/>
        </w:rPr>
        <w:t>，</w:t>
      </w:r>
      <w:r w:rsidRPr="004C59BB">
        <w:rPr>
          <w:color w:val="0000FF"/>
        </w:rPr>
        <w:t>第</w:t>
      </w:r>
      <w:r w:rsidRPr="0097554A">
        <w:rPr>
          <w:color w:val="0000FF"/>
          <w:lang w:val="el-GR"/>
        </w:rPr>
        <w:t>1</w:t>
      </w:r>
      <w:r w:rsidRPr="004C59BB">
        <w:rPr>
          <w:color w:val="0000FF"/>
        </w:rPr>
        <w:t>卷</w:t>
      </w:r>
      <w:r w:rsidRPr="0097554A">
        <w:rPr>
          <w:color w:val="0000FF"/>
          <w:lang w:val="el-GR"/>
        </w:rPr>
        <w:t>，</w:t>
      </w:r>
      <w:r w:rsidRPr="004C59BB">
        <w:rPr>
          <w:color w:val="0000FF"/>
          <w:lang w:val="ru-RU"/>
        </w:rPr>
        <w:t>第</w:t>
      </w:r>
      <w:r w:rsidRPr="0097554A">
        <w:rPr>
          <w:color w:val="0000FF"/>
          <w:lang w:val="el-GR"/>
        </w:rPr>
        <w:t>1</w:t>
      </w:r>
      <w:r w:rsidRPr="004C59BB">
        <w:rPr>
          <w:color w:val="0000FF"/>
        </w:rPr>
        <w:t>部分</w:t>
      </w:r>
      <w:r w:rsidRPr="0097554A">
        <w:rPr>
          <w:color w:val="0000FF"/>
          <w:lang w:val="el-GR"/>
        </w:rPr>
        <w:t>，</w:t>
      </w:r>
      <w:r w:rsidRPr="004C59BB">
        <w:rPr>
          <w:color w:val="0000FF"/>
          <w:lang w:val="ru-RU"/>
        </w:rPr>
        <w:t>第</w:t>
      </w:r>
      <w:r w:rsidRPr="0097554A">
        <w:rPr>
          <w:color w:val="0000FF"/>
          <w:lang w:val="el-GR"/>
        </w:rPr>
        <w:t>46</w:t>
      </w:r>
      <w:r w:rsidRPr="004C59BB">
        <w:rPr>
          <w:color w:val="0000FF"/>
          <w:lang w:val="ru-RU"/>
        </w:rPr>
        <w:t>页</w:t>
      </w:r>
      <w:r w:rsidRPr="0097554A">
        <w:rPr>
          <w:color w:val="0000FF"/>
          <w:lang w:val="el-GR"/>
        </w:rPr>
        <w:t>，</w:t>
      </w:r>
      <w:r w:rsidRPr="004C59BB">
        <w:rPr>
          <w:color w:val="0000FF"/>
        </w:rPr>
        <w:t>引自Bin</w:t>
      </w:r>
      <w:r w:rsidRPr="0097554A">
        <w:rPr>
          <w:color w:val="0000FF"/>
          <w:lang w:val="el-GR"/>
        </w:rPr>
        <w:t>.</w:t>
      </w:r>
    </w:p>
  </w:footnote>
  <w:footnote w:id="306">
    <w:p w14:paraId="415F9ACD" w14:textId="77777777" w:rsidR="00677D19" w:rsidRPr="0097554A" w:rsidRDefault="00677D19">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《马太福音》</w:t>
      </w:r>
      <w:r w:rsidRPr="0097554A">
        <w:rPr>
          <w:color w:val="0000FF"/>
          <w:lang w:val="el-GR"/>
        </w:rPr>
        <w:t>19:1</w:t>
      </w:r>
      <w:r w:rsidRPr="004C59BB">
        <w:rPr>
          <w:color w:val="0000FF"/>
          <w:lang w:val="ru-RU"/>
        </w:rPr>
        <w:t>的注释</w:t>
      </w:r>
      <w:r w:rsidRPr="0097554A">
        <w:rPr>
          <w:color w:val="0000FF"/>
          <w:lang w:val="el-GR"/>
        </w:rPr>
        <w:t>，</w:t>
      </w:r>
      <w:r w:rsidRPr="004C59BB">
        <w:rPr>
          <w:color w:val="0000FF"/>
          <w:lang w:val="ru-RU"/>
        </w:rPr>
        <w:t>载于《圣父</w:t>
      </w:r>
      <w:r w:rsidRPr="004C59BB">
        <w:rPr>
          <w:color w:val="0000FF"/>
        </w:rPr>
        <w:t>著作集》第三卷</w:t>
      </w:r>
      <w:r w:rsidRPr="0097554A">
        <w:rPr>
          <w:color w:val="0000FF"/>
          <w:lang w:val="el-GR"/>
        </w:rPr>
        <w:t>，</w:t>
      </w:r>
      <w:r w:rsidRPr="004C59BB">
        <w:rPr>
          <w:color w:val="0000FF"/>
        </w:rPr>
        <w:t>第</w:t>
      </w:r>
      <w:r w:rsidRPr="0097554A">
        <w:rPr>
          <w:color w:val="0000FF"/>
          <w:lang w:val="el-GR"/>
        </w:rPr>
        <w:t>214–215</w:t>
      </w:r>
      <w:r w:rsidRPr="004C59BB">
        <w:rPr>
          <w:color w:val="0000FF"/>
        </w:rPr>
        <w:t>页。</w:t>
      </w:r>
    </w:p>
  </w:footnote>
  <w:footnote w:id="307">
    <w:p w14:paraId="0BC2848A" w14:textId="77777777" w:rsidR="00677D19" w:rsidRPr="0097554A" w:rsidRDefault="00677D19">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《论三位一体》第三卷</w:t>
      </w:r>
      <w:r w:rsidRPr="0097554A">
        <w:rPr>
          <w:color w:val="0000FF"/>
          <w:lang w:val="el-GR"/>
        </w:rPr>
        <w:t>，</w:t>
      </w:r>
      <w:r w:rsidRPr="004C59BB">
        <w:rPr>
          <w:color w:val="0000FF"/>
        </w:rPr>
        <w:t>第二章</w:t>
      </w:r>
      <w:r w:rsidRPr="0097554A">
        <w:rPr>
          <w:color w:val="0000FF"/>
          <w:lang w:val="el-GR"/>
        </w:rPr>
        <w:t>，</w:t>
      </w:r>
      <w:r w:rsidRPr="004C59BB">
        <w:rPr>
          <w:color w:val="0000FF"/>
        </w:rPr>
        <w:t>载于《教父全集》第十卷</w:t>
      </w:r>
      <w:r w:rsidRPr="0097554A">
        <w:rPr>
          <w:color w:val="0000FF"/>
          <w:lang w:val="el-GR"/>
        </w:rPr>
        <w:t>，</w:t>
      </w:r>
      <w:r w:rsidRPr="004C59BB">
        <w:rPr>
          <w:color w:val="0000FF"/>
        </w:rPr>
        <w:t>第</w:t>
      </w:r>
      <w:r w:rsidRPr="0097554A">
        <w:rPr>
          <w:color w:val="0000FF"/>
          <w:lang w:val="el-GR"/>
        </w:rPr>
        <w:t>82</w:t>
      </w:r>
      <w:r w:rsidRPr="004C59BB">
        <w:rPr>
          <w:color w:val="0000FF"/>
        </w:rPr>
        <w:t>页。</w:t>
      </w:r>
    </w:p>
  </w:footnote>
  <w:footnote w:id="308">
    <w:p w14:paraId="40636259" w14:textId="77777777" w:rsidR="006D2C7E" w:rsidRPr="0097554A" w:rsidRDefault="006D2C7E">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《反阿波林纳里》</w:t>
      </w:r>
      <w:r w:rsidRPr="0097554A">
        <w:rPr>
          <w:color w:val="0000FF"/>
          <w:lang w:val="el-GR"/>
        </w:rPr>
        <w:t>，</w:t>
      </w:r>
      <w:r w:rsidRPr="004C59BB">
        <w:rPr>
          <w:color w:val="0000FF"/>
        </w:rPr>
        <w:t>载于第III卷</w:t>
      </w:r>
      <w:r w:rsidRPr="0097554A">
        <w:rPr>
          <w:color w:val="0000FF"/>
          <w:lang w:val="el-GR"/>
        </w:rPr>
        <w:t>，</w:t>
      </w:r>
      <w:r w:rsidRPr="004C59BB">
        <w:rPr>
          <w:color w:val="0000FF"/>
        </w:rPr>
        <w:t>第</w:t>
      </w:r>
      <w:r w:rsidRPr="0097554A">
        <w:rPr>
          <w:color w:val="0000FF"/>
          <w:lang w:val="el-GR"/>
        </w:rPr>
        <w:t>262</w:t>
      </w:r>
      <w:r w:rsidRPr="004C59BB">
        <w:rPr>
          <w:color w:val="0000FF"/>
        </w:rPr>
        <w:t>页</w:t>
      </w:r>
      <w:r w:rsidRPr="0097554A">
        <w:rPr>
          <w:color w:val="0000FF"/>
          <w:lang w:val="el-GR"/>
        </w:rPr>
        <w:t>，</w:t>
      </w:r>
      <w:r w:rsidRPr="004C59BB">
        <w:rPr>
          <w:color w:val="0000FF"/>
        </w:rPr>
        <w:t>莫雷尔版</w:t>
      </w:r>
      <w:r w:rsidRPr="004C59BB">
        <w:rPr>
          <w:color w:val="0000FF"/>
          <w:lang w:val="ru-RU"/>
        </w:rPr>
        <w:t>。</w:t>
      </w:r>
    </w:p>
  </w:footnote>
  <w:footnote w:id="309">
    <w:p w14:paraId="3FC0BD5C" w14:textId="77777777" w:rsidR="006D2C7E" w:rsidRPr="0097554A" w:rsidRDefault="006D2C7E">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致亚美尼亚人的书信</w:t>
      </w:r>
      <w:r w:rsidRPr="0097554A">
        <w:rPr>
          <w:color w:val="0000FF"/>
          <w:lang w:val="el-GR"/>
        </w:rPr>
        <w:t>：</w:t>
      </w:r>
      <w:r w:rsidRPr="004C59BB">
        <w:rPr>
          <w:color w:val="0000FF"/>
        </w:rPr>
        <w:t>论</w:t>
      </w:r>
      <w:r w:rsidRPr="004C59BB">
        <w:rPr>
          <w:color w:val="0000FF"/>
          <w:lang w:val="ru-RU"/>
        </w:rPr>
        <w:t>信仰</w:t>
      </w:r>
      <w:r w:rsidRPr="0097554A">
        <w:rPr>
          <w:color w:val="0000FF"/>
          <w:lang w:val="el-GR"/>
        </w:rPr>
        <w:t>，</w:t>
      </w:r>
      <w:r w:rsidRPr="004C59BB">
        <w:rPr>
          <w:color w:val="0000FF"/>
          <w:lang w:val="ru-RU"/>
        </w:rPr>
        <w:t>载于《基督教读本》</w:t>
      </w:r>
      <w:r w:rsidRPr="0097554A">
        <w:rPr>
          <w:color w:val="0000FF"/>
          <w:lang w:val="el-GR"/>
        </w:rPr>
        <w:t>1841</w:t>
      </w:r>
      <w:r w:rsidRPr="004C59BB">
        <w:rPr>
          <w:color w:val="0000FF"/>
          <w:lang w:val="ru-RU"/>
        </w:rPr>
        <w:t>年版</w:t>
      </w:r>
      <w:r w:rsidRPr="0097554A">
        <w:rPr>
          <w:color w:val="0000FF"/>
          <w:lang w:val="el-GR"/>
        </w:rPr>
        <w:t>，</w:t>
      </w:r>
      <w:r w:rsidRPr="004C59BB">
        <w:rPr>
          <w:color w:val="0000FF"/>
          <w:lang w:val="ru-RU"/>
        </w:rPr>
        <w:t>第</w:t>
      </w:r>
      <w:r w:rsidRPr="0097554A">
        <w:rPr>
          <w:color w:val="0000FF"/>
          <w:lang w:val="el-GR"/>
        </w:rPr>
        <w:t>1</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361–362</w:t>
      </w:r>
      <w:r w:rsidRPr="004C59BB">
        <w:rPr>
          <w:color w:val="0000FF"/>
          <w:lang w:val="ru-RU"/>
        </w:rPr>
        <w:t>页及第</w:t>
      </w:r>
      <w:r w:rsidRPr="0097554A">
        <w:rPr>
          <w:color w:val="0000FF"/>
          <w:lang w:val="el-GR"/>
        </w:rPr>
        <w:t>364</w:t>
      </w:r>
      <w:r w:rsidRPr="004C59BB">
        <w:rPr>
          <w:color w:val="0000FF"/>
          <w:lang w:val="ru-RU"/>
        </w:rPr>
        <w:t>页。</w:t>
      </w:r>
    </w:p>
  </w:footnote>
  <w:footnote w:id="310">
    <w:p w14:paraId="602D41C5" w14:textId="77777777" w:rsidR="006D2C7E" w:rsidRPr="0097554A" w:rsidRDefault="006D2C7E">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《信仰论》</w:t>
      </w:r>
      <w:r w:rsidRPr="004C59BB">
        <w:rPr>
          <w:color w:val="0000FF"/>
        </w:rPr>
        <w:t>精编第三</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8</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160</w:t>
      </w:r>
      <w:r w:rsidRPr="004C59BB">
        <w:rPr>
          <w:color w:val="0000FF"/>
          <w:lang w:val="ru-RU"/>
        </w:rPr>
        <w:t>页</w:t>
      </w:r>
      <w:r w:rsidRPr="0097554A">
        <w:rPr>
          <w:color w:val="0000FF"/>
          <w:lang w:val="el-GR"/>
        </w:rPr>
        <w:t>；</w:t>
      </w:r>
      <w:r w:rsidRPr="004C59BB">
        <w:rPr>
          <w:color w:val="0000FF"/>
          <w:lang w:val="ru-RU"/>
        </w:rPr>
        <w:t>第</w:t>
      </w:r>
      <w:r w:rsidRPr="0097554A">
        <w:rPr>
          <w:color w:val="0000FF"/>
          <w:lang w:val="el-GR"/>
        </w:rPr>
        <w:t>9</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160–161</w:t>
      </w:r>
      <w:r w:rsidRPr="004C59BB">
        <w:rPr>
          <w:color w:val="0000FF"/>
          <w:lang w:val="ru-RU"/>
        </w:rPr>
        <w:t>页。</w:t>
      </w:r>
    </w:p>
  </w:footnote>
  <w:footnote w:id="311">
    <w:p w14:paraId="43410A1E" w14:textId="77777777" w:rsidR="00F64FAF" w:rsidRPr="004C59BB" w:rsidRDefault="00F64FAF">
      <w:pPr>
        <w:pStyle w:val="FootnoteText"/>
        <w:rPr>
          <w:color w:val="0000FF"/>
          <w:lang w:val="ru-RU"/>
        </w:rPr>
      </w:pPr>
      <w:r w:rsidRPr="004C59BB">
        <w:rPr>
          <w:rStyle w:val="FootnoteReference"/>
          <w:color w:val="0000FF"/>
        </w:rPr>
        <w:footnoteRef/>
      </w:r>
      <w:r w:rsidRPr="0097554A">
        <w:rPr>
          <w:color w:val="0000FF"/>
          <w:lang w:val="el-GR"/>
        </w:rPr>
        <w:t xml:space="preserve"> “</w:t>
      </w:r>
      <w:r w:rsidRPr="004C59BB">
        <w:rPr>
          <w:color w:val="0000FF"/>
          <w:lang w:val="ru-RU"/>
        </w:rPr>
        <w:t>他因受圣灵的膏抹而被称为基督。但他并非作为神</w:t>
      </w:r>
      <w:r w:rsidRPr="0097554A">
        <w:rPr>
          <w:color w:val="0000FF"/>
          <w:lang w:val="el-GR"/>
        </w:rPr>
        <w:t>，</w:t>
      </w:r>
      <w:r w:rsidRPr="004C59BB">
        <w:rPr>
          <w:color w:val="0000FF"/>
          <w:lang w:val="ru-RU"/>
        </w:rPr>
        <w:t>而是作为人受膏的。既然他是作为人受膏的，那么在道成肉身后，他</w:t>
      </w:r>
      <w:r w:rsidR="005666A3" w:rsidRPr="004C59BB">
        <w:rPr>
          <w:color w:val="0000FF"/>
          <w:lang w:val="ru-RU"/>
        </w:rPr>
        <w:t>便被称为基督”</w:t>
      </w:r>
      <w:r w:rsidRPr="004C59BB">
        <w:rPr>
          <w:color w:val="0000FF"/>
          <w:lang w:val="ru-RU"/>
        </w:rPr>
        <w:t>（费奥多里特，《简明》 《神圣教义选编》，第11章，载于《基督教读本》1844年版，IV卷，314页）。“我们说，道在成为肉身之时，便获得了‘基督耶稣’之名。既然主是从上帝和圣父那里受了喜乐的圣油——即圣灵——的膏抹，因此祂才被称为基督。 至于这受膏之事是针对人性而行的，任何正信者对此都不会怀疑（亚历山大的西里尔在致皇后们的信中，见达马斯库斯《正统信仰精确阐述》，IV卷，第6章，第29页）。 “我们断言：神的儿子——神的道——一进入圣母的胎中，便成了基督（受膏者），祂在神性未受改变的情况下成了肉身，而这肉身也蒙</w:t>
      </w:r>
      <w:r w:rsidR="005666A3" w:rsidRPr="004C59BB">
        <w:rPr>
          <w:color w:val="0000FF"/>
          <w:lang w:val="ru-RU"/>
        </w:rPr>
        <w:t>神性所膏抹”</w:t>
      </w:r>
      <w:r w:rsidRPr="004C59BB">
        <w:rPr>
          <w:color w:val="0000FF"/>
          <w:lang w:val="ru-RU"/>
        </w:rPr>
        <w:t>（达马斯库斯，同上）。 参见圣基里尔·耶路撒冷（《秘训》第三卷，第2节，第450页）和圣格里高利·神学家（《论神学》第四卷，载于《圣教父文集》第三卷，第101页）所表达的相同观点。</w:t>
      </w:r>
    </w:p>
  </w:footnote>
  <w:footnote w:id="312">
    <w:p w14:paraId="312DFBCA"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《东正教信经：东方使徒教会》，第1卷，对第34个问题的回答： </w:t>
      </w:r>
      <w:r w:rsidR="005666A3" w:rsidRPr="004C59BB">
        <w:rPr>
          <w:color w:val="0000FF"/>
          <w:lang w:val="ru-RU"/>
        </w:rPr>
        <w:t>“</w:t>
      </w:r>
      <w:r w:rsidRPr="004C59BB">
        <w:rPr>
          <w:color w:val="0000FF"/>
          <w:lang w:val="ru-RU"/>
        </w:rPr>
        <w:t>‘基督’之名意为受膏者：因为在旧约中，受膏者被称为‘基督’，例如：祭司、君王和先知，基督正是受膏担任这三项职分，不过，他并非与其他人一样，而是优于所有其他</w:t>
      </w:r>
      <w:r w:rsidR="005666A3" w:rsidRPr="004C59BB">
        <w:rPr>
          <w:color w:val="0000FF"/>
          <w:lang w:val="ru-RU"/>
        </w:rPr>
        <w:t>受膏者”</w:t>
      </w:r>
      <w:r w:rsidRPr="004C59BB">
        <w:rPr>
          <w:color w:val="0000FF"/>
          <w:lang w:val="ru-RU"/>
        </w:rPr>
        <w:t>（第34页，第7版）。 《基督教要理问答》第2条：“问：为什么神的儿子耶稣被称为受膏者？ 答：因为圣灵的一切恩赐都无限地赐予了祂的人性，因此祂在最高程度上兼具先知的智慧、大祭司的圣洁和君王的权能。（第37–38页，莫斯科，1840年）。</w:t>
      </w:r>
    </w:p>
  </w:footnote>
  <w:footnote w:id="313">
    <w:p w14:paraId="4C213485" w14:textId="77777777" w:rsidR="00205710" w:rsidRPr="004C59BB" w:rsidRDefault="00205710">
      <w:pPr>
        <w:pStyle w:val="FootnoteText"/>
        <w:rPr>
          <w:color w:val="0000FF"/>
          <w:lang w:val="ru-RU"/>
        </w:rPr>
      </w:pPr>
      <w:r w:rsidRPr="004C59BB">
        <w:rPr>
          <w:rStyle w:val="FootnoteReference"/>
          <w:color w:val="0000FF"/>
        </w:rPr>
        <w:footnoteRef/>
      </w:r>
      <w:r w:rsidRPr="004C59BB">
        <w:rPr>
          <w:color w:val="0000FF"/>
          <w:lang w:val="ru-RU"/>
        </w:rPr>
        <w:t xml:space="preserve"> 参见《基督教读物》1831年，</w:t>
      </w:r>
      <w:r w:rsidRPr="004C59BB">
        <w:rPr>
          <w:color w:val="0000FF"/>
        </w:rPr>
        <w:t>第XLI</w:t>
      </w:r>
      <w:r w:rsidRPr="004C59BB">
        <w:rPr>
          <w:color w:val="0000FF"/>
          <w:lang w:val="ru-RU"/>
        </w:rPr>
        <w:t>卷，第290页，关于先知摩西对那位与他相似的先知的论述。</w:t>
      </w:r>
    </w:p>
  </w:footnote>
  <w:footnote w:id="314">
    <w:p w14:paraId="30E8BEBD" w14:textId="77777777" w:rsidR="00205710" w:rsidRPr="0097554A" w:rsidRDefault="0020571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《使徒宪章》第二卷</w:t>
      </w:r>
      <w:r w:rsidRPr="0097554A">
        <w:rPr>
          <w:color w:val="0000FF"/>
          <w:lang w:val="ru-RU"/>
        </w:rPr>
        <w:t>，</w:t>
      </w:r>
      <w:r w:rsidRPr="004C59BB">
        <w:rPr>
          <w:color w:val="0000FF"/>
        </w:rPr>
        <w:t>第</w:t>
      </w:r>
      <w:r w:rsidRPr="0097554A">
        <w:rPr>
          <w:color w:val="0000FF"/>
          <w:lang w:val="ru-RU"/>
        </w:rPr>
        <w:t>6</w:t>
      </w:r>
      <w:r w:rsidRPr="004C59BB">
        <w:rPr>
          <w:color w:val="0000FF"/>
        </w:rPr>
        <w:t>章</w:t>
      </w:r>
      <w:r w:rsidRPr="0097554A">
        <w:rPr>
          <w:color w:val="0000FF"/>
          <w:lang w:val="ru-RU"/>
        </w:rPr>
        <w:t>，</w:t>
      </w:r>
      <w:r w:rsidRPr="004C59BB">
        <w:rPr>
          <w:color w:val="0000FF"/>
        </w:rPr>
        <w:t>第</w:t>
      </w:r>
      <w:r w:rsidRPr="0097554A">
        <w:rPr>
          <w:color w:val="0000FF"/>
          <w:lang w:val="ru-RU"/>
        </w:rPr>
        <w:t>20</w:t>
      </w:r>
      <w:r w:rsidRPr="004C59BB">
        <w:rPr>
          <w:color w:val="0000FF"/>
        </w:rPr>
        <w:t>节</w:t>
      </w:r>
      <w:r w:rsidRPr="0097554A">
        <w:rPr>
          <w:color w:val="0000FF"/>
          <w:lang w:val="ru-RU"/>
        </w:rPr>
        <w:t>；</w:t>
      </w:r>
      <w:r w:rsidRPr="004C59BB">
        <w:rPr>
          <w:color w:val="0000FF"/>
        </w:rPr>
        <w:t>梅瑟迪乌斯《论西缅与安娜》第</w:t>
      </w:r>
      <w:r w:rsidRPr="0097554A">
        <w:rPr>
          <w:color w:val="0000FF"/>
          <w:lang w:val="ru-RU"/>
        </w:rPr>
        <w:t>5</w:t>
      </w:r>
      <w:r w:rsidRPr="004C59BB">
        <w:rPr>
          <w:color w:val="0000FF"/>
        </w:rPr>
        <w:t>章</w:t>
      </w:r>
      <w:r w:rsidRPr="0097554A">
        <w:rPr>
          <w:color w:val="0000FF"/>
          <w:lang w:val="ru-RU"/>
        </w:rPr>
        <w:t>，</w:t>
      </w:r>
      <w:r w:rsidRPr="004C59BB">
        <w:rPr>
          <w:color w:val="0000FF"/>
        </w:rPr>
        <w:t>第</w:t>
      </w:r>
      <w:r w:rsidRPr="0097554A">
        <w:rPr>
          <w:color w:val="0000FF"/>
          <w:lang w:val="ru-RU"/>
        </w:rPr>
        <w:t>6</w:t>
      </w:r>
      <w:r w:rsidRPr="004C59BB">
        <w:rPr>
          <w:color w:val="0000FF"/>
        </w:rPr>
        <w:t>节</w:t>
      </w:r>
      <w:r w:rsidRPr="0097554A">
        <w:rPr>
          <w:color w:val="0000FF"/>
          <w:lang w:val="ru-RU"/>
        </w:rPr>
        <w:t>；</w:t>
      </w:r>
      <w:r w:rsidRPr="004C59BB">
        <w:rPr>
          <w:color w:val="0000FF"/>
        </w:rPr>
        <w:t>克莱门特《讲道集》第一卷</w:t>
      </w:r>
      <w:r w:rsidRPr="0097554A">
        <w:rPr>
          <w:color w:val="0000FF"/>
          <w:lang w:val="ru-RU"/>
        </w:rPr>
        <w:t>，</w:t>
      </w:r>
      <w:r w:rsidRPr="004C59BB">
        <w:rPr>
          <w:color w:val="0000FF"/>
        </w:rPr>
        <w:t>第</w:t>
      </w:r>
      <w:r w:rsidRPr="0097554A">
        <w:rPr>
          <w:color w:val="0000FF"/>
          <w:lang w:val="ru-RU"/>
        </w:rPr>
        <w:t>20</w:t>
      </w:r>
      <w:r w:rsidRPr="004C59BB">
        <w:rPr>
          <w:color w:val="0000FF"/>
        </w:rPr>
        <w:t>、</w:t>
      </w:r>
      <w:r w:rsidRPr="0097554A">
        <w:rPr>
          <w:color w:val="0000FF"/>
          <w:lang w:val="ru-RU"/>
        </w:rPr>
        <w:t>21</w:t>
      </w:r>
      <w:r w:rsidRPr="004C59BB">
        <w:rPr>
          <w:color w:val="0000FF"/>
        </w:rPr>
        <w:t>节</w:t>
      </w:r>
      <w:r w:rsidRPr="0097554A">
        <w:rPr>
          <w:color w:val="0000FF"/>
          <w:lang w:val="ru-RU"/>
        </w:rPr>
        <w:t>；</w:t>
      </w:r>
      <w:r w:rsidRPr="004C59BB">
        <w:rPr>
          <w:color w:val="0000FF"/>
        </w:rPr>
        <w:t>第二卷</w:t>
      </w:r>
      <w:r w:rsidRPr="0097554A">
        <w:rPr>
          <w:color w:val="0000FF"/>
          <w:lang w:val="ru-RU"/>
        </w:rPr>
        <w:t>，</w:t>
      </w:r>
      <w:r w:rsidRPr="004C59BB">
        <w:rPr>
          <w:color w:val="0000FF"/>
        </w:rPr>
        <w:t>第</w:t>
      </w:r>
      <w:r w:rsidRPr="0097554A">
        <w:rPr>
          <w:color w:val="0000FF"/>
          <w:lang w:val="ru-RU"/>
        </w:rPr>
        <w:t>6</w:t>
      </w:r>
      <w:r w:rsidRPr="004C59BB">
        <w:rPr>
          <w:color w:val="0000FF"/>
        </w:rPr>
        <w:t>、</w:t>
      </w:r>
      <w:r w:rsidRPr="0097554A">
        <w:rPr>
          <w:color w:val="0000FF"/>
          <w:lang w:val="ru-RU"/>
        </w:rPr>
        <w:t>9</w:t>
      </w:r>
      <w:r w:rsidRPr="004C59BB">
        <w:rPr>
          <w:color w:val="0000FF"/>
        </w:rPr>
        <w:t>节</w:t>
      </w:r>
      <w:r w:rsidRPr="0097554A">
        <w:rPr>
          <w:color w:val="0000FF"/>
          <w:lang w:val="ru-RU"/>
        </w:rPr>
        <w:t>；</w:t>
      </w:r>
      <w:r w:rsidRPr="004C59BB">
        <w:rPr>
          <w:color w:val="0000FF"/>
        </w:rPr>
        <w:t>第三卷</w:t>
      </w:r>
      <w:r w:rsidRPr="0097554A">
        <w:rPr>
          <w:color w:val="0000FF"/>
          <w:lang w:val="ru-RU"/>
        </w:rPr>
        <w:t>，</w:t>
      </w:r>
      <w:r w:rsidRPr="004C59BB">
        <w:rPr>
          <w:color w:val="0000FF"/>
        </w:rPr>
        <w:t>第</w:t>
      </w:r>
      <w:r w:rsidRPr="0097554A">
        <w:rPr>
          <w:color w:val="0000FF"/>
          <w:lang w:val="ru-RU"/>
        </w:rPr>
        <w:t>11</w:t>
      </w:r>
      <w:r w:rsidRPr="004C59BB">
        <w:rPr>
          <w:color w:val="0000FF"/>
        </w:rPr>
        <w:t>节</w:t>
      </w:r>
      <w:r w:rsidRPr="0097554A">
        <w:rPr>
          <w:color w:val="0000FF"/>
          <w:lang w:val="ru-RU"/>
        </w:rPr>
        <w:t>；</w:t>
      </w:r>
      <w:r w:rsidRPr="004C59BB">
        <w:rPr>
          <w:color w:val="0000FF"/>
        </w:rPr>
        <w:t>第十一卷</w:t>
      </w:r>
      <w:r w:rsidRPr="0097554A">
        <w:rPr>
          <w:color w:val="0000FF"/>
          <w:lang w:val="ru-RU"/>
        </w:rPr>
        <w:t>，</w:t>
      </w:r>
      <w:r w:rsidRPr="004C59BB">
        <w:rPr>
          <w:color w:val="0000FF"/>
        </w:rPr>
        <w:t>第</w:t>
      </w:r>
      <w:r w:rsidRPr="0097554A">
        <w:rPr>
          <w:color w:val="0000FF"/>
          <w:lang w:val="ru-RU"/>
        </w:rPr>
        <w:t>25</w:t>
      </w:r>
      <w:r w:rsidRPr="004C59BB">
        <w:rPr>
          <w:color w:val="0000FF"/>
        </w:rPr>
        <w:t>节</w:t>
      </w:r>
      <w:r w:rsidRPr="0097554A">
        <w:rPr>
          <w:color w:val="0000FF"/>
          <w:lang w:val="ru-RU"/>
        </w:rPr>
        <w:t xml:space="preserve">； </w:t>
      </w:r>
      <w:r w:rsidRPr="004C59BB">
        <w:rPr>
          <w:color w:val="0000FF"/>
        </w:rPr>
        <w:t>提奥多雷特</w:t>
      </w:r>
      <w:r w:rsidRPr="0097554A">
        <w:rPr>
          <w:color w:val="0000FF"/>
          <w:lang w:val="ru-RU"/>
        </w:rPr>
        <w:t>，</w:t>
      </w:r>
      <w:r w:rsidRPr="004C59BB">
        <w:rPr>
          <w:color w:val="0000FF"/>
          <w:lang w:val="el-GR"/>
        </w:rPr>
        <w:t>《</w:t>
      </w:r>
      <w:r w:rsidRPr="004C59BB">
        <w:rPr>
          <w:color w:val="0000FF"/>
        </w:rPr>
        <w:t>书信</w:t>
      </w:r>
      <w:r w:rsidRPr="004C59BB">
        <w:rPr>
          <w:color w:val="0000FF"/>
          <w:lang w:val="el-GR"/>
        </w:rPr>
        <w:t>集》CXLV</w:t>
      </w:r>
      <w:r w:rsidRPr="0097554A">
        <w:rPr>
          <w:color w:val="0000FF"/>
          <w:lang w:val="ru-RU"/>
        </w:rPr>
        <w:t>Ï：</w:t>
      </w:r>
      <w:r w:rsidRPr="004C59BB">
        <w:rPr>
          <w:color w:val="0000FF"/>
          <w:lang w:val="el-GR"/>
        </w:rPr>
        <w:t>基督被召</w:t>
      </w:r>
      <w:r w:rsidRPr="0097554A">
        <w:rPr>
          <w:color w:val="0000FF"/>
          <w:lang w:val="ru-RU"/>
        </w:rPr>
        <w:t>，</w:t>
      </w:r>
      <w:r w:rsidRPr="004C59BB">
        <w:rPr>
          <w:color w:val="0000FF"/>
          <w:lang w:val="el-GR"/>
        </w:rPr>
        <w:t>按其人性而言</w:t>
      </w:r>
      <w:r w:rsidRPr="0097554A">
        <w:rPr>
          <w:color w:val="0000FF"/>
          <w:lang w:val="ru-RU"/>
        </w:rPr>
        <w:t>，</w:t>
      </w:r>
      <w:r w:rsidRPr="004C59BB">
        <w:rPr>
          <w:color w:val="0000FF"/>
          <w:lang w:val="el-GR"/>
        </w:rPr>
        <w:t>因圣灵受膏</w:t>
      </w:r>
      <w:r w:rsidRPr="0097554A">
        <w:rPr>
          <w:color w:val="0000FF"/>
          <w:lang w:val="ru-RU"/>
        </w:rPr>
        <w:t>，</w:t>
      </w:r>
      <w:r w:rsidRPr="004C59BB">
        <w:rPr>
          <w:color w:val="0000FF"/>
          <w:lang w:val="el-GR"/>
        </w:rPr>
        <w:t>并被立为我们的大祭司、使徒、先知和君王。</w:t>
      </w:r>
    </w:p>
  </w:footnote>
  <w:footnote w:id="315">
    <w:p w14:paraId="6BEA2C21"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《讲道集》</w:t>
      </w:r>
      <w:r w:rsidRPr="004C59BB">
        <w:rPr>
          <w:color w:val="0000FF"/>
        </w:rPr>
        <w:t>第六</w:t>
      </w:r>
      <w:r w:rsidRPr="004C59BB">
        <w:rPr>
          <w:color w:val="0000FF"/>
          <w:lang w:val="ru-RU"/>
        </w:rPr>
        <w:t>卷，</w:t>
      </w:r>
      <w:r w:rsidRPr="004C59BB">
        <w:rPr>
          <w:color w:val="0000FF"/>
        </w:rPr>
        <w:t>第II</w:t>
      </w:r>
      <w:r w:rsidRPr="004C59BB">
        <w:rPr>
          <w:color w:val="0000FF"/>
          <w:lang w:val="ru-RU"/>
        </w:rPr>
        <w:t>节，第107–108页。</w:t>
      </w:r>
    </w:p>
  </w:footnote>
  <w:footnote w:id="316">
    <w:p w14:paraId="11ABD52B" w14:textId="77777777" w:rsidR="002A7613" w:rsidRPr="004C59BB" w:rsidRDefault="002A7613">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《论上帝之言的道成肉身》第</w:t>
      </w:r>
      <w:r w:rsidRPr="0097554A">
        <w:rPr>
          <w:color w:val="0000FF"/>
          <w:lang w:val="ru-RU"/>
        </w:rPr>
        <w:t>14</w:t>
      </w:r>
      <w:r w:rsidRPr="004C59BB">
        <w:rPr>
          <w:color w:val="0000FF"/>
        </w:rPr>
        <w:t>节</w:t>
      </w:r>
      <w:r w:rsidRPr="0097554A">
        <w:rPr>
          <w:color w:val="0000FF"/>
          <w:lang w:val="ru-RU"/>
        </w:rPr>
        <w:t>，</w:t>
      </w:r>
      <w:r w:rsidRPr="004C59BB">
        <w:rPr>
          <w:color w:val="0000FF"/>
        </w:rPr>
        <w:t>载于《基督教周报》</w:t>
      </w:r>
      <w:r w:rsidRPr="0097554A">
        <w:rPr>
          <w:color w:val="0000FF"/>
          <w:lang w:val="ru-RU"/>
        </w:rPr>
        <w:t>1837</w:t>
      </w:r>
      <w:r w:rsidRPr="004C59BB">
        <w:rPr>
          <w:color w:val="0000FF"/>
        </w:rPr>
        <w:t>年</w:t>
      </w:r>
      <w:r w:rsidRPr="0097554A">
        <w:rPr>
          <w:color w:val="0000FF"/>
          <w:lang w:val="ru-RU"/>
        </w:rPr>
        <w:t>，</w:t>
      </w:r>
      <w:r w:rsidRPr="004C59BB">
        <w:rPr>
          <w:color w:val="0000FF"/>
        </w:rPr>
        <w:t>第IV卷</w:t>
      </w:r>
      <w:r w:rsidRPr="0097554A">
        <w:rPr>
          <w:color w:val="0000FF"/>
          <w:lang w:val="ru-RU"/>
        </w:rPr>
        <w:t>，</w:t>
      </w:r>
      <w:r w:rsidRPr="004C59BB">
        <w:rPr>
          <w:color w:val="0000FF"/>
        </w:rPr>
        <w:t>第</w:t>
      </w:r>
      <w:r w:rsidRPr="0097554A">
        <w:rPr>
          <w:color w:val="0000FF"/>
          <w:lang w:val="ru-RU"/>
        </w:rPr>
        <w:t>283–284</w:t>
      </w:r>
      <w:r w:rsidRPr="004C59BB">
        <w:rPr>
          <w:color w:val="0000FF"/>
        </w:rPr>
        <w:t>页。</w:t>
      </w:r>
      <w:r w:rsidRPr="004C59BB">
        <w:rPr>
          <w:color w:val="0000FF"/>
          <w:lang w:val="ru-RU"/>
        </w:rPr>
        <w:t>另见前</w:t>
      </w:r>
      <w:r w:rsidRPr="004C59BB">
        <w:rPr>
          <w:color w:val="0000FF"/>
        </w:rPr>
        <w:t>注33中</w:t>
      </w:r>
      <w:r w:rsidRPr="004C59BB">
        <w:rPr>
          <w:color w:val="0000FF"/>
          <w:lang w:val="ru-RU"/>
        </w:rPr>
        <w:t>引用的圣爱任纽的话</w:t>
      </w:r>
      <w:r w:rsidRPr="004C59BB">
        <w:rPr>
          <w:color w:val="0000FF"/>
        </w:rPr>
        <w:t>。</w:t>
      </w:r>
    </w:p>
  </w:footnote>
  <w:footnote w:id="317">
    <w:p w14:paraId="081D8ABF" w14:textId="77777777" w:rsidR="002A7613" w:rsidRPr="0097554A" w:rsidRDefault="002A7613">
      <w:pPr>
        <w:pStyle w:val="FootnoteText"/>
        <w:rPr>
          <w:color w:val="0000FF"/>
        </w:rPr>
      </w:pPr>
      <w:r w:rsidRPr="004C59BB">
        <w:rPr>
          <w:rStyle w:val="FootnoteReference"/>
          <w:color w:val="0000FF"/>
        </w:rPr>
        <w:footnoteRef/>
      </w:r>
      <w:r w:rsidRPr="004C59BB">
        <w:rPr>
          <w:color w:val="0000FF"/>
        </w:rPr>
        <w:t xml:space="preserve"> 《以赛亚书注释》第五卷，收录于《著作集》第二卷，第776页，巴黎</w:t>
      </w:r>
      <w:r w:rsidRPr="0097554A">
        <w:rPr>
          <w:color w:val="0000FF"/>
        </w:rPr>
        <w:t>1638</w:t>
      </w:r>
      <w:r w:rsidRPr="004C59BB">
        <w:rPr>
          <w:color w:val="0000FF"/>
          <w:lang w:val="ru-RU"/>
        </w:rPr>
        <w:t>年</w:t>
      </w:r>
      <w:r w:rsidRPr="004C59BB">
        <w:rPr>
          <w:color w:val="0000FF"/>
        </w:rPr>
        <w:t>版</w:t>
      </w:r>
      <w:r w:rsidRPr="004C59BB">
        <w:rPr>
          <w:color w:val="0000FF"/>
          <w:lang w:val="ru-RU"/>
        </w:rPr>
        <w:t>。</w:t>
      </w:r>
    </w:p>
  </w:footnote>
  <w:footnote w:id="318">
    <w:p w14:paraId="706076BC" w14:textId="77777777" w:rsidR="002A7613" w:rsidRPr="0097554A" w:rsidRDefault="002A7613">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基督的教义在圣经中常被称为律法</w:t>
      </w:r>
      <w:r w:rsidRPr="0097554A">
        <w:rPr>
          <w:color w:val="0000FF"/>
        </w:rPr>
        <w:t xml:space="preserve"> </w:t>
      </w:r>
      <w:r w:rsidR="00463137" w:rsidRPr="0097554A">
        <w:rPr>
          <w:color w:val="0000FF"/>
        </w:rPr>
        <w:t>[</w:t>
      </w:r>
      <w:r w:rsidRPr="0097554A">
        <w:rPr>
          <w:color w:val="0000FF"/>
        </w:rPr>
        <w:t>(</w:t>
      </w:r>
      <w:r w:rsidRPr="004C59BB">
        <w:rPr>
          <w:color w:val="0000FF"/>
          <w:lang w:val="ru-RU"/>
        </w:rPr>
        <w:t>赛</w:t>
      </w:r>
      <w:r w:rsidRPr="0097554A">
        <w:rPr>
          <w:color w:val="0000FF"/>
        </w:rPr>
        <w:t xml:space="preserve"> 2</w:t>
      </w:r>
      <w:r w:rsidR="00463137" w:rsidRPr="0097554A">
        <w:rPr>
          <w:color w:val="0000FF"/>
        </w:rPr>
        <w:t>:</w:t>
      </w:r>
      <w:r w:rsidRPr="0097554A">
        <w:rPr>
          <w:color w:val="0000FF"/>
        </w:rPr>
        <w:t>3</w:t>
      </w:r>
      <w:r w:rsidR="00463137" w:rsidRPr="0097554A">
        <w:rPr>
          <w:color w:val="0000FF"/>
        </w:rPr>
        <w:t>)</w:t>
      </w:r>
      <w:r w:rsidRPr="0097554A">
        <w:rPr>
          <w:color w:val="0000FF"/>
        </w:rPr>
        <w:t xml:space="preserve">； </w:t>
      </w:r>
      <w:r w:rsidR="00463137" w:rsidRPr="0097554A">
        <w:rPr>
          <w:color w:val="0000FF"/>
        </w:rPr>
        <w:t>(</w:t>
      </w:r>
      <w:r w:rsidRPr="004C59BB">
        <w:rPr>
          <w:color w:val="0000FF"/>
          <w:lang w:val="ru-RU"/>
        </w:rPr>
        <w:t>弥</w:t>
      </w:r>
      <w:r w:rsidRPr="0097554A">
        <w:rPr>
          <w:color w:val="0000FF"/>
        </w:rPr>
        <w:t>4</w:t>
      </w:r>
      <w:r w:rsidR="00463137" w:rsidRPr="0097554A">
        <w:rPr>
          <w:color w:val="0000FF"/>
        </w:rPr>
        <w:t>:</w:t>
      </w:r>
      <w:r w:rsidRPr="0097554A">
        <w:rPr>
          <w:color w:val="0000FF"/>
        </w:rPr>
        <w:t>2</w:t>
      </w:r>
      <w:r w:rsidR="00463137" w:rsidRPr="0097554A">
        <w:rPr>
          <w:color w:val="0000FF"/>
        </w:rPr>
        <w:t>)</w:t>
      </w:r>
      <w:r w:rsidRPr="0097554A">
        <w:rPr>
          <w:color w:val="0000FF"/>
        </w:rPr>
        <w:t>；</w:t>
      </w:r>
      <w:r w:rsidR="00463137" w:rsidRPr="0097554A">
        <w:rPr>
          <w:color w:val="0000FF"/>
        </w:rPr>
        <w:t>(</w:t>
      </w:r>
      <w:r w:rsidRPr="004C59BB">
        <w:rPr>
          <w:color w:val="0000FF"/>
          <w:lang w:val="ru-RU"/>
        </w:rPr>
        <w:t>林前</w:t>
      </w:r>
      <w:r w:rsidRPr="0097554A">
        <w:rPr>
          <w:color w:val="0000FF"/>
        </w:rPr>
        <w:t>9</w:t>
      </w:r>
      <w:r w:rsidR="00463137" w:rsidRPr="0097554A">
        <w:rPr>
          <w:color w:val="0000FF"/>
        </w:rPr>
        <w:t>:</w:t>
      </w:r>
      <w:r w:rsidRPr="0097554A">
        <w:rPr>
          <w:color w:val="0000FF"/>
        </w:rPr>
        <w:t>21)</w:t>
      </w:r>
      <w:r w:rsidR="00463137" w:rsidRPr="0097554A">
        <w:rPr>
          <w:color w:val="0000FF"/>
        </w:rPr>
        <w:t>]</w:t>
      </w:r>
      <w:r w:rsidRPr="0097554A">
        <w:rPr>
          <w:color w:val="0000FF"/>
        </w:rPr>
        <w:t>，</w:t>
      </w:r>
      <w:r w:rsidRPr="004C59BB">
        <w:rPr>
          <w:color w:val="0000FF"/>
          <w:lang w:val="ru-RU"/>
        </w:rPr>
        <w:t>特别是</w:t>
      </w:r>
      <w:r w:rsidRPr="0097554A">
        <w:rPr>
          <w:color w:val="0000FF"/>
        </w:rPr>
        <w:t>“</w:t>
      </w:r>
      <w:r w:rsidRPr="004C59BB">
        <w:rPr>
          <w:color w:val="0000FF"/>
          <w:lang w:val="ru-RU"/>
        </w:rPr>
        <w:t>信的律法</w:t>
      </w:r>
      <w:r w:rsidRPr="0097554A">
        <w:rPr>
          <w:color w:val="0000FF"/>
        </w:rPr>
        <w:t>”（</w:t>
      </w:r>
      <w:r w:rsidRPr="004C59BB">
        <w:rPr>
          <w:color w:val="0000FF"/>
          <w:lang w:val="ru-RU"/>
        </w:rPr>
        <w:t>罗</w:t>
      </w:r>
      <w:r w:rsidRPr="0097554A">
        <w:rPr>
          <w:color w:val="0000FF"/>
        </w:rPr>
        <w:t>3</w:t>
      </w:r>
      <w:r w:rsidR="00463137" w:rsidRPr="0097554A">
        <w:rPr>
          <w:color w:val="0000FF"/>
        </w:rPr>
        <w:t>:</w:t>
      </w:r>
      <w:r w:rsidRPr="0097554A">
        <w:rPr>
          <w:color w:val="0000FF"/>
        </w:rPr>
        <w:t>27）</w:t>
      </w:r>
      <w:r w:rsidRPr="004C59BB">
        <w:rPr>
          <w:color w:val="0000FF"/>
          <w:lang w:val="ru-RU"/>
        </w:rPr>
        <w:t>、诫命或基督的道德律法</w:t>
      </w:r>
      <w:r w:rsidRPr="0097554A">
        <w:rPr>
          <w:color w:val="0000FF"/>
        </w:rPr>
        <w:t xml:space="preserve"> </w:t>
      </w:r>
      <w:r w:rsidR="00463137" w:rsidRPr="0097554A">
        <w:rPr>
          <w:color w:val="0000FF"/>
        </w:rPr>
        <w:t>[</w:t>
      </w:r>
      <w:r w:rsidRPr="0097554A">
        <w:rPr>
          <w:color w:val="0000FF"/>
        </w:rPr>
        <w:t>(</w:t>
      </w:r>
      <w:r w:rsidRPr="004C59BB">
        <w:rPr>
          <w:color w:val="0000FF"/>
          <w:lang w:val="ru-RU"/>
        </w:rPr>
        <w:t>约</w:t>
      </w:r>
      <w:r w:rsidRPr="0097554A">
        <w:rPr>
          <w:color w:val="0000FF"/>
        </w:rPr>
        <w:t>13</w:t>
      </w:r>
      <w:r w:rsidR="00463137" w:rsidRPr="0097554A">
        <w:rPr>
          <w:color w:val="0000FF"/>
        </w:rPr>
        <w:t>:</w:t>
      </w:r>
      <w:r w:rsidRPr="0097554A">
        <w:rPr>
          <w:color w:val="0000FF"/>
        </w:rPr>
        <w:t>34</w:t>
      </w:r>
      <w:r w:rsidR="00463137" w:rsidRPr="0097554A">
        <w:rPr>
          <w:color w:val="0000FF"/>
        </w:rPr>
        <w:t>)</w:t>
      </w:r>
      <w:r w:rsidRPr="0097554A">
        <w:rPr>
          <w:color w:val="0000FF"/>
        </w:rPr>
        <w:t>；</w:t>
      </w:r>
      <w:r w:rsidR="00463137" w:rsidRPr="0097554A">
        <w:rPr>
          <w:color w:val="0000FF"/>
        </w:rPr>
        <w:t>(</w:t>
      </w:r>
      <w:r w:rsidRPr="004C59BB">
        <w:rPr>
          <w:color w:val="0000FF"/>
          <w:lang w:val="ru-RU"/>
        </w:rPr>
        <w:t>加</w:t>
      </w:r>
      <w:r w:rsidRPr="0097554A">
        <w:rPr>
          <w:color w:val="0000FF"/>
        </w:rPr>
        <w:t>6</w:t>
      </w:r>
      <w:r w:rsidR="00463137" w:rsidRPr="0097554A">
        <w:rPr>
          <w:color w:val="0000FF"/>
        </w:rPr>
        <w:t>:</w:t>
      </w:r>
      <w:r w:rsidRPr="0097554A">
        <w:rPr>
          <w:color w:val="0000FF"/>
        </w:rPr>
        <w:t>2</w:t>
      </w:r>
      <w:r w:rsidR="00463137" w:rsidRPr="0097554A">
        <w:rPr>
          <w:color w:val="0000FF"/>
        </w:rPr>
        <w:t>)</w:t>
      </w:r>
      <w:r w:rsidRPr="0097554A">
        <w:rPr>
          <w:color w:val="0000FF"/>
        </w:rPr>
        <w:t>；</w:t>
      </w:r>
      <w:r w:rsidRPr="004C59BB">
        <w:rPr>
          <w:color w:val="0000FF"/>
          <w:lang w:val="ru-RU"/>
        </w:rPr>
        <w:t>参</w:t>
      </w:r>
      <w:r w:rsidRPr="0097554A">
        <w:rPr>
          <w:color w:val="0000FF"/>
        </w:rPr>
        <w:t xml:space="preserve"> </w:t>
      </w:r>
      <w:r w:rsidR="00463137" w:rsidRPr="0097554A">
        <w:rPr>
          <w:color w:val="0000FF"/>
        </w:rPr>
        <w:t>（</w:t>
      </w:r>
      <w:r w:rsidRPr="004C59BB">
        <w:rPr>
          <w:color w:val="0000FF"/>
          <w:lang w:val="ru-RU"/>
        </w:rPr>
        <w:t>太</w:t>
      </w:r>
      <w:r w:rsidRPr="0097554A">
        <w:rPr>
          <w:color w:val="0000FF"/>
        </w:rPr>
        <w:t xml:space="preserve"> 7</w:t>
      </w:r>
      <w:r w:rsidR="00463137" w:rsidRPr="0097554A">
        <w:rPr>
          <w:color w:val="0000FF"/>
        </w:rPr>
        <w:t>:</w:t>
      </w:r>
      <w:r w:rsidRPr="0097554A">
        <w:rPr>
          <w:color w:val="0000FF"/>
        </w:rPr>
        <w:t>12</w:t>
      </w:r>
      <w:r w:rsidR="00463137" w:rsidRPr="0097554A">
        <w:rPr>
          <w:color w:val="0000FF"/>
        </w:rPr>
        <w:t>）</w:t>
      </w:r>
      <w:r w:rsidRPr="0097554A">
        <w:rPr>
          <w:color w:val="0000FF"/>
        </w:rPr>
        <w:t>；</w:t>
      </w:r>
      <w:r w:rsidR="00463137" w:rsidRPr="0097554A">
        <w:rPr>
          <w:color w:val="0000FF"/>
        </w:rPr>
        <w:t>（</w:t>
      </w:r>
      <w:r w:rsidRPr="004C59BB">
        <w:rPr>
          <w:color w:val="0000FF"/>
          <w:lang w:val="ru-RU"/>
        </w:rPr>
        <w:t>约</w:t>
      </w:r>
      <w:r w:rsidRPr="0097554A">
        <w:rPr>
          <w:color w:val="0000FF"/>
        </w:rPr>
        <w:t xml:space="preserve"> 15</w:t>
      </w:r>
      <w:r w:rsidR="00463137" w:rsidRPr="0097554A">
        <w:rPr>
          <w:color w:val="0000FF"/>
        </w:rPr>
        <w:t>:</w:t>
      </w:r>
      <w:r w:rsidRPr="0097554A">
        <w:rPr>
          <w:color w:val="0000FF"/>
        </w:rPr>
        <w:t>12）</w:t>
      </w:r>
      <w:r w:rsidR="00463137" w:rsidRPr="0097554A">
        <w:rPr>
          <w:color w:val="0000FF"/>
        </w:rPr>
        <w:t>]</w:t>
      </w:r>
      <w:r w:rsidRPr="004C59BB">
        <w:rPr>
          <w:color w:val="0000FF"/>
          <w:lang w:val="ru-RU"/>
        </w:rPr>
        <w:t xml:space="preserve">。同样，将该律法分为教义部分和道德部分的划分，既见于圣经 </w:t>
      </w:r>
      <w:r w:rsidR="001F1173" w:rsidRPr="004C59BB">
        <w:rPr>
          <w:color w:val="0000FF"/>
          <w:lang w:val="ru-RU"/>
        </w:rPr>
        <w:t>[</w:t>
      </w:r>
      <w:r w:rsidRPr="004C59BB">
        <w:rPr>
          <w:color w:val="0000FF"/>
          <w:lang w:val="ru-RU"/>
        </w:rPr>
        <w:t>(太 28</w:t>
      </w:r>
      <w:r w:rsidR="001F1173" w:rsidRPr="004C59BB">
        <w:rPr>
          <w:color w:val="0000FF"/>
          <w:lang w:val="ru-RU"/>
        </w:rPr>
        <w:t>:19-20)</w:t>
      </w:r>
      <w:r w:rsidRPr="004C59BB">
        <w:rPr>
          <w:color w:val="0000FF"/>
          <w:lang w:val="ru-RU"/>
        </w:rPr>
        <w:t xml:space="preserve">； </w:t>
      </w:r>
      <w:r w:rsidR="001F1173" w:rsidRPr="004C59BB">
        <w:rPr>
          <w:color w:val="0000FF"/>
          <w:lang w:val="ru-RU"/>
        </w:rPr>
        <w:t>（</w:t>
      </w:r>
      <w:r w:rsidRPr="004C59BB">
        <w:rPr>
          <w:color w:val="0000FF"/>
          <w:lang w:val="ru-RU"/>
        </w:rPr>
        <w:t>雅各书 2</w:t>
      </w:r>
      <w:r w:rsidR="001F1173" w:rsidRPr="004C59BB">
        <w:rPr>
          <w:color w:val="0000FF"/>
          <w:lang w:val="ru-RU"/>
        </w:rPr>
        <w:t>:</w:t>
      </w:r>
      <w:r w:rsidRPr="004C59BB">
        <w:rPr>
          <w:color w:val="0000FF"/>
          <w:lang w:val="ru-RU"/>
        </w:rPr>
        <w:t>24-26）</w:t>
      </w:r>
      <w:r w:rsidR="001F1173" w:rsidRPr="004C59BB">
        <w:rPr>
          <w:color w:val="0000FF"/>
          <w:lang w:val="ru-RU"/>
        </w:rPr>
        <w:t>]</w:t>
      </w:r>
      <w:r w:rsidRPr="004C59BB">
        <w:rPr>
          <w:color w:val="0000FF"/>
          <w:lang w:val="ru-RU"/>
        </w:rPr>
        <w:t>，也见于教父著作（</w:t>
      </w:r>
      <w:r w:rsidRPr="004C59BB">
        <w:rPr>
          <w:color w:val="0000FF"/>
        </w:rPr>
        <w:t>西里尔</w:t>
      </w:r>
      <w:r w:rsidRPr="0097554A">
        <w:rPr>
          <w:color w:val="0000FF"/>
          <w:lang w:val="ru-RU"/>
        </w:rPr>
        <w:t>·</w:t>
      </w:r>
      <w:r w:rsidRPr="004C59BB">
        <w:rPr>
          <w:color w:val="0000FF"/>
        </w:rPr>
        <w:t>耶路撒冷</w:t>
      </w:r>
      <w:r w:rsidRPr="0097554A">
        <w:rPr>
          <w:color w:val="0000FF"/>
          <w:lang w:val="ru-RU"/>
        </w:rPr>
        <w:t>，</w:t>
      </w:r>
      <w:r w:rsidRPr="004C59BB">
        <w:rPr>
          <w:color w:val="0000FF"/>
        </w:rPr>
        <w:t>《教理问答》第四卷</w:t>
      </w:r>
      <w:r w:rsidRPr="0097554A">
        <w:rPr>
          <w:color w:val="0000FF"/>
          <w:lang w:val="ru-RU"/>
        </w:rPr>
        <w:t>，</w:t>
      </w:r>
      <w:r w:rsidRPr="004C59BB">
        <w:rPr>
          <w:color w:val="0000FF"/>
        </w:rPr>
        <w:t>第</w:t>
      </w:r>
      <w:r w:rsidRPr="0097554A">
        <w:rPr>
          <w:color w:val="0000FF"/>
          <w:lang w:val="ru-RU"/>
        </w:rPr>
        <w:t>2</w:t>
      </w:r>
      <w:r w:rsidRPr="004C59BB">
        <w:rPr>
          <w:color w:val="0000FF"/>
        </w:rPr>
        <w:t>节</w:t>
      </w:r>
      <w:r w:rsidRPr="0097554A">
        <w:rPr>
          <w:color w:val="0000FF"/>
          <w:lang w:val="ru-RU"/>
        </w:rPr>
        <w:t>；</w:t>
      </w:r>
      <w:r w:rsidRPr="004C59BB">
        <w:rPr>
          <w:color w:val="0000FF"/>
        </w:rPr>
        <w:t>金口若望</w:t>
      </w:r>
      <w:r w:rsidRPr="0097554A">
        <w:rPr>
          <w:color w:val="0000FF"/>
          <w:lang w:val="ru-RU"/>
        </w:rPr>
        <w:t>，</w:t>
      </w:r>
      <w:r w:rsidRPr="004C59BB">
        <w:rPr>
          <w:color w:val="0000FF"/>
        </w:rPr>
        <w:t>《创世记讲道集》第二篇</w:t>
      </w:r>
      <w:r w:rsidRPr="0097554A">
        <w:rPr>
          <w:color w:val="0000FF"/>
          <w:lang w:val="ru-RU"/>
        </w:rPr>
        <w:t>，</w:t>
      </w:r>
      <w:r w:rsidRPr="004C59BB">
        <w:rPr>
          <w:color w:val="0000FF"/>
        </w:rPr>
        <w:t>第</w:t>
      </w:r>
      <w:r w:rsidRPr="0097554A">
        <w:rPr>
          <w:color w:val="0000FF"/>
          <w:lang w:val="ru-RU"/>
        </w:rPr>
        <w:t>5</w:t>
      </w:r>
      <w:r w:rsidRPr="004C59BB">
        <w:rPr>
          <w:color w:val="0000FF"/>
        </w:rPr>
        <w:t>节</w:t>
      </w:r>
      <w:r w:rsidRPr="0097554A">
        <w:rPr>
          <w:color w:val="0000FF"/>
          <w:lang w:val="ru-RU"/>
        </w:rPr>
        <w:t>；</w:t>
      </w:r>
      <w:r w:rsidRPr="004C59BB">
        <w:rPr>
          <w:color w:val="0000FF"/>
        </w:rPr>
        <w:t>第十三篇</w:t>
      </w:r>
      <w:r w:rsidRPr="0097554A">
        <w:rPr>
          <w:color w:val="0000FF"/>
          <w:lang w:val="ru-RU"/>
        </w:rPr>
        <w:t>，</w:t>
      </w:r>
      <w:r w:rsidRPr="004C59BB">
        <w:rPr>
          <w:color w:val="0000FF"/>
        </w:rPr>
        <w:t>第</w:t>
      </w:r>
      <w:r w:rsidRPr="0097554A">
        <w:rPr>
          <w:color w:val="0000FF"/>
          <w:lang w:val="ru-RU"/>
        </w:rPr>
        <w:t>4</w:t>
      </w:r>
      <w:r w:rsidRPr="004C59BB">
        <w:rPr>
          <w:color w:val="0000FF"/>
        </w:rPr>
        <w:t>节</w:t>
      </w:r>
      <w:r w:rsidRPr="0097554A">
        <w:rPr>
          <w:color w:val="0000FF"/>
          <w:lang w:val="ru-RU"/>
        </w:rPr>
        <w:t>）</w:t>
      </w:r>
      <w:r w:rsidRPr="004C59BB">
        <w:rPr>
          <w:color w:val="0000FF"/>
        </w:rPr>
        <w:t>。</w:t>
      </w:r>
    </w:p>
  </w:footnote>
  <w:footnote w:id="319">
    <w:p w14:paraId="3FB7F0B9"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“那么，基督从何处开始，又为我们奠定了怎样的新生活根基呢？……他以这奇妙的话语开篇：‘虚心的人有福了，因为天国是他们的。’ ‘心灵贫穷’是什么意思？——就是思想谦卑、心怀痛悔的人……因为骄傲是万恶之首，是一切不义的根源与源头：因此，救主便针对这一病症准备了相应的良药，将这条第一条诫命作为坚实而稳妥的基础。因为以此为基础，才能稳妥地建立其他一切…… 正如骄傲是各种不义的源头，谦卑便是各种虔诚的开端。 正因如此，基督才首先从根源上将骄傲从听众的心中连根</w:t>
      </w:r>
      <w:r w:rsidR="005666A3" w:rsidRPr="004C59BB">
        <w:rPr>
          <w:color w:val="0000FF"/>
          <w:lang w:val="ru-RU"/>
        </w:rPr>
        <w:t>拔除</w:t>
      </w:r>
      <w:r w:rsidRPr="004C59BB">
        <w:rPr>
          <w:color w:val="0000FF"/>
          <w:lang w:val="ru-RU"/>
        </w:rPr>
        <w:t>”（金口若望，《马太福音讲道集》第十五篇，第1、2段，第1卷，第267–269页，据俄文译本）。</w:t>
      </w:r>
    </w:p>
  </w:footnote>
  <w:footnote w:id="320">
    <w:p w14:paraId="0E9ACEBD" w14:textId="77777777" w:rsidR="002A7613" w:rsidRPr="0097554A" w:rsidRDefault="002A7613">
      <w:pPr>
        <w:pStyle w:val="FootnoteText"/>
        <w:rPr>
          <w:color w:val="0000FF"/>
          <w:lang w:val="ru-RU"/>
        </w:rPr>
      </w:pPr>
      <w:r w:rsidRPr="004C59BB">
        <w:rPr>
          <w:rStyle w:val="FootnoteReference"/>
          <w:color w:val="0000FF"/>
        </w:rPr>
        <w:footnoteRef/>
      </w:r>
      <w:r w:rsidRPr="004C59BB">
        <w:rPr>
          <w:color w:val="0000FF"/>
          <w:lang w:val="ru-RU"/>
        </w:rPr>
        <w:t xml:space="preserve"> “虽然基督以不同的方式描述了各种赏赐，但归根结底，他将所有人引入天国。当他说‘哀恸的人有福了’，‘怜悯人的人有福了’，‘心里清洁的人有福了’，‘使人和睦的人有福了’——他所指的无非就是天国。 凡获得这些福分的人，必然也会获得天国。因此，不要以为只有心灵贫穷的人才能获得这一奖赏，那些渴慕公义、温柔的人以及所有其他人同样能获得。因为祂在每一条诫命中都提到了‘有福了’，正是为了让你不要期待任何感官上的享受。 </w:t>
      </w:r>
      <w:r w:rsidR="005666A3" w:rsidRPr="004C59BB">
        <w:rPr>
          <w:color w:val="0000FF"/>
          <w:lang w:val="ru-RU"/>
        </w:rPr>
        <w:t>“那些</w:t>
      </w:r>
      <w:r w:rsidRPr="004C59BB">
        <w:rPr>
          <w:color w:val="0000FF"/>
          <w:lang w:val="ru-RU"/>
        </w:rPr>
        <w:t>因今生中会消逝、甚至如影般转瞬即逝的事物而获得奖赏</w:t>
      </w:r>
      <w:r w:rsidR="005666A3" w:rsidRPr="004C59BB">
        <w:rPr>
          <w:color w:val="0000FF"/>
          <w:lang w:val="ru-RU"/>
        </w:rPr>
        <w:t>的人，</w:t>
      </w:r>
      <w:r w:rsidRPr="004C59BB">
        <w:rPr>
          <w:color w:val="0000FF"/>
          <w:lang w:val="ru-RU"/>
        </w:rPr>
        <w:t>绝不可能是</w:t>
      </w:r>
      <w:r w:rsidR="005666A3" w:rsidRPr="004C59BB">
        <w:rPr>
          <w:color w:val="0000FF"/>
          <w:lang w:val="ru-RU"/>
        </w:rPr>
        <w:t>蒙福的”</w:t>
      </w:r>
      <w:r w:rsidRPr="004C59BB">
        <w:rPr>
          <w:color w:val="0000FF"/>
          <w:lang w:val="ru-RU"/>
        </w:rPr>
        <w:t>（金口若望，</w:t>
      </w:r>
      <w:r w:rsidRPr="004C59BB">
        <w:rPr>
          <w:color w:val="0000FF"/>
        </w:rPr>
        <w:t>《</w:t>
      </w:r>
      <w:r w:rsidRPr="004C59BB">
        <w:rPr>
          <w:color w:val="0000FF"/>
          <w:lang w:val="ru-RU"/>
        </w:rPr>
        <w:t>马太</w:t>
      </w:r>
      <w:r w:rsidRPr="004C59BB">
        <w:rPr>
          <w:color w:val="0000FF"/>
        </w:rPr>
        <w:t>福音讲道集》第十五</w:t>
      </w:r>
      <w:r w:rsidRPr="004C59BB">
        <w:rPr>
          <w:color w:val="0000FF"/>
          <w:lang w:val="ru-RU"/>
        </w:rPr>
        <w:t>篇</w:t>
      </w:r>
      <w:r w:rsidRPr="0097554A">
        <w:rPr>
          <w:color w:val="0000FF"/>
          <w:lang w:val="ru-RU"/>
        </w:rPr>
        <w:t>，</w:t>
      </w:r>
      <w:r w:rsidRPr="004C59BB">
        <w:rPr>
          <w:color w:val="0000FF"/>
        </w:rPr>
        <w:t>第</w:t>
      </w:r>
      <w:r w:rsidRPr="0097554A">
        <w:rPr>
          <w:color w:val="0000FF"/>
          <w:lang w:val="ru-RU"/>
        </w:rPr>
        <w:t>5</w:t>
      </w:r>
      <w:r w:rsidRPr="004C59BB">
        <w:rPr>
          <w:color w:val="0000FF"/>
          <w:lang w:val="ru-RU"/>
        </w:rPr>
        <w:t>节</w:t>
      </w:r>
      <w:r w:rsidRPr="0097554A">
        <w:rPr>
          <w:color w:val="0000FF"/>
          <w:lang w:val="ru-RU"/>
        </w:rPr>
        <w:t>，</w:t>
      </w:r>
      <w:r w:rsidRPr="004C59BB">
        <w:rPr>
          <w:color w:val="0000FF"/>
        </w:rPr>
        <w:t>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278</w:t>
      </w:r>
      <w:r w:rsidRPr="004C59BB">
        <w:rPr>
          <w:color w:val="0000FF"/>
        </w:rPr>
        <w:t>页</w:t>
      </w:r>
      <w:r w:rsidRPr="0097554A">
        <w:rPr>
          <w:color w:val="0000FF"/>
          <w:lang w:val="ru-RU"/>
        </w:rPr>
        <w:t>）</w:t>
      </w:r>
      <w:r w:rsidRPr="004C59BB">
        <w:rPr>
          <w:color w:val="0000FF"/>
        </w:rPr>
        <w:t>。</w:t>
      </w:r>
    </w:p>
  </w:footnote>
  <w:footnote w:id="321">
    <w:p w14:paraId="63F9E0DB" w14:textId="77777777" w:rsidR="002A7613" w:rsidRPr="0097554A" w:rsidRDefault="002A7613">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安布罗斯《致霍伦提安书》第XLIV封</w:t>
      </w:r>
      <w:r w:rsidRPr="0097554A">
        <w:rPr>
          <w:color w:val="0000FF"/>
          <w:lang w:val="ru-RU"/>
        </w:rPr>
        <w:t>，</w:t>
      </w:r>
      <w:r w:rsidRPr="004C59BB">
        <w:rPr>
          <w:color w:val="0000FF"/>
        </w:rPr>
        <w:t>第</w:t>
      </w:r>
      <w:r w:rsidRPr="0097554A">
        <w:rPr>
          <w:color w:val="0000FF"/>
          <w:lang w:val="ru-RU"/>
        </w:rPr>
        <w:t>15</w:t>
      </w:r>
      <w:r w:rsidRPr="004C59BB">
        <w:rPr>
          <w:color w:val="0000FF"/>
        </w:rPr>
        <w:t>节</w:t>
      </w:r>
      <w:r w:rsidRPr="0097554A">
        <w:rPr>
          <w:color w:val="0000FF"/>
          <w:lang w:val="ru-RU"/>
        </w:rPr>
        <w:t>；</w:t>
      </w:r>
      <w:r w:rsidRPr="004C59BB">
        <w:rPr>
          <w:color w:val="0000FF"/>
        </w:rPr>
        <w:t>金口若望《论忏悔》讲道集第六篇</w:t>
      </w:r>
      <w:r w:rsidRPr="0097554A">
        <w:rPr>
          <w:color w:val="0000FF"/>
          <w:lang w:val="ru-RU"/>
        </w:rPr>
        <w:t>，</w:t>
      </w:r>
      <w:r w:rsidRPr="004C59BB">
        <w:rPr>
          <w:color w:val="0000FF"/>
        </w:rPr>
        <w:t>第</w:t>
      </w:r>
      <w:r w:rsidRPr="0097554A">
        <w:rPr>
          <w:color w:val="0000FF"/>
          <w:lang w:val="ru-RU"/>
        </w:rPr>
        <w:t>4</w:t>
      </w:r>
      <w:r w:rsidRPr="004C59BB">
        <w:rPr>
          <w:color w:val="0000FF"/>
        </w:rPr>
        <w:t>节</w:t>
      </w:r>
      <w:r w:rsidRPr="0097554A">
        <w:rPr>
          <w:color w:val="0000FF"/>
          <w:lang w:val="ru-RU"/>
        </w:rPr>
        <w:t>；</w:t>
      </w:r>
      <w:r w:rsidRPr="004C59BB">
        <w:rPr>
          <w:color w:val="0000FF"/>
        </w:rPr>
        <w:t>拉克坦提乌斯《神学要义》第四卷</w:t>
      </w:r>
      <w:r w:rsidRPr="0097554A">
        <w:rPr>
          <w:color w:val="0000FF"/>
          <w:lang w:val="ru-RU"/>
        </w:rPr>
        <w:t>，</w:t>
      </w:r>
      <w:r w:rsidRPr="004C59BB">
        <w:rPr>
          <w:color w:val="0000FF"/>
        </w:rPr>
        <w:t>第</w:t>
      </w:r>
      <w:r w:rsidRPr="0097554A">
        <w:rPr>
          <w:color w:val="0000FF"/>
          <w:lang w:val="ru-RU"/>
        </w:rPr>
        <w:t>20</w:t>
      </w:r>
      <w:r w:rsidRPr="004C59BB">
        <w:rPr>
          <w:color w:val="0000FF"/>
        </w:rPr>
        <w:t>章。</w:t>
      </w:r>
    </w:p>
  </w:footnote>
  <w:footnote w:id="322">
    <w:p w14:paraId="0434143E" w14:textId="77777777" w:rsidR="002A7613" w:rsidRPr="004C59BB" w:rsidRDefault="002A7613">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ru-RU"/>
        </w:rPr>
        <w:t>这些思想由以下人物阐述</w:t>
      </w:r>
      <w:r w:rsidRPr="0097554A">
        <w:rPr>
          <w:color w:val="0000FF"/>
          <w:lang w:val="ru-RU"/>
        </w:rPr>
        <w:t>：</w:t>
      </w:r>
      <w:r w:rsidRPr="004C59BB">
        <w:rPr>
          <w:color w:val="0000FF"/>
          <w:lang w:val="ru-RU"/>
        </w:rPr>
        <w:t>伊里奈</w:t>
      </w:r>
      <w:r w:rsidRPr="0097554A">
        <w:rPr>
          <w:color w:val="0000FF"/>
          <w:lang w:val="ru-RU"/>
        </w:rPr>
        <w:t>（</w:t>
      </w:r>
      <w:r w:rsidRPr="004C59BB">
        <w:rPr>
          <w:color w:val="0000FF"/>
        </w:rPr>
        <w:t>《反异端》第三</w:t>
      </w:r>
      <w:r w:rsidRPr="004C59BB">
        <w:rPr>
          <w:color w:val="0000FF"/>
          <w:lang w:val="ru-RU"/>
        </w:rPr>
        <w:t>卷，12章，注12；</w:t>
      </w:r>
      <w:r w:rsidRPr="004C59BB">
        <w:rPr>
          <w:color w:val="0000FF"/>
        </w:rPr>
        <w:t>第四</w:t>
      </w:r>
      <w:r w:rsidRPr="004C59BB">
        <w:rPr>
          <w:color w:val="0000FF"/>
          <w:lang w:val="ru-RU"/>
        </w:rPr>
        <w:t>卷，34章，注2）、特土良（《</w:t>
      </w:r>
      <w:r w:rsidRPr="004C59BB">
        <w:rPr>
          <w:color w:val="0000FF"/>
        </w:rPr>
        <w:t>反马吉安</w:t>
      </w:r>
      <w:r w:rsidRPr="004C59BB">
        <w:rPr>
          <w:color w:val="0000FF"/>
          <w:lang w:val="ru-RU"/>
        </w:rPr>
        <w:t>》</w:t>
      </w:r>
      <w:r w:rsidRPr="004C59BB">
        <w:rPr>
          <w:color w:val="0000FF"/>
        </w:rPr>
        <w:t>第四</w:t>
      </w:r>
      <w:r w:rsidRPr="004C59BB">
        <w:rPr>
          <w:color w:val="0000FF"/>
          <w:lang w:val="ru-RU"/>
        </w:rPr>
        <w:t xml:space="preserve">卷，1、11、21章； </w:t>
      </w:r>
      <w:r w:rsidRPr="004C59BB">
        <w:rPr>
          <w:color w:val="0000FF"/>
        </w:rPr>
        <w:t>V</w:t>
      </w:r>
      <w:r w:rsidRPr="004C59BB">
        <w:rPr>
          <w:color w:val="0000FF"/>
          <w:lang w:val="ru-RU"/>
        </w:rPr>
        <w:t>, 2），尤其是优西比乌（</w:t>
      </w:r>
      <w:r w:rsidRPr="004C59BB">
        <w:rPr>
          <w:color w:val="0000FF"/>
        </w:rPr>
        <w:t>《福音论证</w:t>
      </w:r>
      <w:r w:rsidRPr="004C59BB">
        <w:rPr>
          <w:color w:val="0000FF"/>
          <w:lang w:val="ru-RU"/>
        </w:rPr>
        <w:t>》1, 5. 6. 7）等人。</w:t>
      </w:r>
    </w:p>
  </w:footnote>
  <w:footnote w:id="323">
    <w:p w14:paraId="5CF94A77"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《复活节讲道集》，载于《圣教父著作集》</w:t>
      </w:r>
      <w:r w:rsidRPr="004C59BB">
        <w:rPr>
          <w:color w:val="0000FF"/>
        </w:rPr>
        <w:t>第四</w:t>
      </w:r>
      <w:r w:rsidRPr="004C59BB">
        <w:rPr>
          <w:color w:val="0000FF"/>
          <w:lang w:val="ru-RU"/>
        </w:rPr>
        <w:t>卷，170–171页。圣约翰·金口也指出：“祂（耶稣基督）的教导并未废除先前的律法，而是将其提升并予以完善。 例如，‘不可杀人’这条诫命，并未被‘不可发怒’这条诫命所废除；相反，后者是对前者的补充和强化。对于其他所有诫命，也应如此…… 例如，他不仅命令我们要仁慈，还要将自己的右耳也献上；不仅要温顺，而且当有人要打你的右脸时，还要把左脸也转</w:t>
      </w:r>
      <w:r w:rsidR="005666A3" w:rsidRPr="004C59BB">
        <w:rPr>
          <w:color w:val="0000FF"/>
          <w:lang w:val="ru-RU"/>
        </w:rPr>
        <w:t>过去”</w:t>
      </w:r>
      <w:r w:rsidRPr="004C59BB">
        <w:rPr>
          <w:color w:val="0000FF"/>
          <w:lang w:val="ru-RU"/>
        </w:rPr>
        <w:t>（《马太福音讲道集》</w:t>
      </w:r>
      <w:r w:rsidRPr="004C59BB">
        <w:rPr>
          <w:color w:val="0000FF"/>
        </w:rPr>
        <w:t>第十六</w:t>
      </w:r>
      <w:r w:rsidRPr="004C59BB">
        <w:rPr>
          <w:color w:val="0000FF"/>
          <w:lang w:val="ru-RU"/>
        </w:rPr>
        <w:t>篇，第3节，第1卷，第309、311页）。 福者狄奥多里特也说了同样的话：“旧约律法谴责通奸（出埃及记 20</w:t>
      </w:r>
      <w:r w:rsidR="00F45CFB" w:rsidRPr="004C59BB">
        <w:rPr>
          <w:color w:val="0000FF"/>
          <w:lang w:val="ru-RU"/>
        </w:rPr>
        <w:t>:</w:t>
      </w:r>
      <w:r w:rsidRPr="004C59BB">
        <w:rPr>
          <w:color w:val="0000FF"/>
          <w:lang w:val="ru-RU"/>
        </w:rPr>
        <w:t>14）；而福音律法甚至将源于淫荡目光的犯罪欲望称为淫乱（马太福音 5</w:t>
      </w:r>
      <w:r w:rsidR="00F45CFB" w:rsidRPr="004C59BB">
        <w:rPr>
          <w:color w:val="0000FF"/>
          <w:lang w:val="ru-RU"/>
        </w:rPr>
        <w:t>:</w:t>
      </w:r>
      <w:r w:rsidRPr="004C59BB">
        <w:rPr>
          <w:color w:val="0000FF"/>
          <w:lang w:val="ru-RU"/>
        </w:rPr>
        <w:t>28）。 旧约律法禁止违背誓言（马太福音 5</w:t>
      </w:r>
      <w:r w:rsidR="00F45CFB" w:rsidRPr="004C59BB">
        <w:rPr>
          <w:color w:val="0000FF"/>
          <w:lang w:val="ru-RU"/>
        </w:rPr>
        <w:t>:</w:t>
      </w:r>
      <w:r w:rsidRPr="004C59BB">
        <w:rPr>
          <w:color w:val="0000FF"/>
          <w:lang w:val="ru-RU"/>
        </w:rPr>
        <w:t>33），而新约律法甚至禁止起誓（马太福音 5</w:t>
      </w:r>
      <w:r w:rsidR="00F45CFB" w:rsidRPr="004C59BB">
        <w:rPr>
          <w:color w:val="0000FF"/>
          <w:lang w:val="ru-RU"/>
        </w:rPr>
        <w:t>:</w:t>
      </w:r>
      <w:r w:rsidRPr="004C59BB">
        <w:rPr>
          <w:color w:val="0000FF"/>
          <w:lang w:val="ru-RU"/>
        </w:rPr>
        <w:t>34）。旧约律法规定，丈夫若不爱妻子，就应当休妻（申命记 24:1）； 而新约则规定，除非是通奸者的言语，否则休妻即构成</w:t>
      </w:r>
      <w:r w:rsidR="005666A3" w:rsidRPr="004C59BB">
        <w:rPr>
          <w:color w:val="0000FF"/>
          <w:lang w:val="ru-RU"/>
        </w:rPr>
        <w:t>通奸”</w:t>
      </w:r>
      <w:r w:rsidRPr="004C59BB">
        <w:rPr>
          <w:color w:val="0000FF"/>
          <w:lang w:val="ru-RU"/>
        </w:rPr>
        <w:t>（《神学教义简明概论》第16章，载于《基督教读本》1844年版，</w:t>
      </w:r>
      <w:r w:rsidRPr="004C59BB">
        <w:rPr>
          <w:color w:val="0000FF"/>
        </w:rPr>
        <w:t>第IV</w:t>
      </w:r>
      <w:r w:rsidRPr="004C59BB">
        <w:rPr>
          <w:color w:val="0000FF"/>
          <w:lang w:val="ru-RU"/>
        </w:rPr>
        <w:t>卷，第332页）。</w:t>
      </w:r>
    </w:p>
  </w:footnote>
  <w:footnote w:id="324">
    <w:p w14:paraId="62AA9D0E" w14:textId="77777777" w:rsidR="009B440A" w:rsidRPr="004C59BB" w:rsidRDefault="009B440A">
      <w:pPr>
        <w:pStyle w:val="FootnoteText"/>
        <w:rPr>
          <w:color w:val="0000FF"/>
          <w:lang w:val="ru-RU"/>
        </w:rPr>
      </w:pPr>
      <w:r w:rsidRPr="004C59BB">
        <w:rPr>
          <w:rStyle w:val="FootnoteReference"/>
          <w:color w:val="0000FF"/>
        </w:rPr>
        <w:footnoteRef/>
      </w:r>
      <w:r w:rsidRPr="004C59BB">
        <w:rPr>
          <w:color w:val="0000FF"/>
          <w:lang w:val="ru-RU"/>
        </w:rPr>
        <w:t xml:space="preserve"> 见《马太福音讲道集》</w:t>
      </w:r>
      <w:r w:rsidRPr="004C59BB">
        <w:rPr>
          <w:color w:val="0000FF"/>
        </w:rPr>
        <w:t>第十六</w:t>
      </w:r>
      <w:r w:rsidRPr="004C59BB">
        <w:rPr>
          <w:color w:val="0000FF"/>
          <w:lang w:val="ru-RU"/>
        </w:rPr>
        <w:t>篇，第5节，第1卷，第317页。</w:t>
      </w:r>
    </w:p>
  </w:footnote>
  <w:footnote w:id="325">
    <w:p w14:paraId="46581C85" w14:textId="77777777" w:rsidR="00203E23" w:rsidRPr="004C59BB" w:rsidRDefault="00203E23">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贾斯汀《与特里丰的对话》第</w:t>
      </w:r>
      <w:r w:rsidRPr="0097554A">
        <w:rPr>
          <w:color w:val="0000FF"/>
          <w:lang w:val="ru-RU"/>
        </w:rPr>
        <w:t>41</w:t>
      </w:r>
      <w:r w:rsidRPr="004C59BB">
        <w:rPr>
          <w:color w:val="0000FF"/>
        </w:rPr>
        <w:t>章</w:t>
      </w:r>
      <w:r w:rsidRPr="0097554A">
        <w:rPr>
          <w:color w:val="0000FF"/>
          <w:lang w:val="ru-RU"/>
        </w:rPr>
        <w:t>；</w:t>
      </w:r>
      <w:r w:rsidRPr="004C59BB">
        <w:rPr>
          <w:color w:val="0000FF"/>
        </w:rPr>
        <w:t>金口若望《反犹太人论》第五篇</w:t>
      </w:r>
      <w:r w:rsidRPr="0097554A">
        <w:rPr>
          <w:color w:val="0000FF"/>
          <w:lang w:val="ru-RU"/>
        </w:rPr>
        <w:t>，</w:t>
      </w:r>
      <w:r w:rsidRPr="004C59BB">
        <w:rPr>
          <w:color w:val="0000FF"/>
        </w:rPr>
        <w:t>第</w:t>
      </w:r>
      <w:r w:rsidRPr="0097554A">
        <w:rPr>
          <w:color w:val="0000FF"/>
          <w:lang w:val="ru-RU"/>
        </w:rPr>
        <w:t>12</w:t>
      </w:r>
      <w:r w:rsidRPr="004C59BB">
        <w:rPr>
          <w:color w:val="0000FF"/>
        </w:rPr>
        <w:t>节</w:t>
      </w:r>
      <w:r w:rsidRPr="0097554A">
        <w:rPr>
          <w:color w:val="0000FF"/>
          <w:lang w:val="ru-RU"/>
        </w:rPr>
        <w:t>；</w:t>
      </w:r>
      <w:r w:rsidRPr="004C59BB">
        <w:rPr>
          <w:color w:val="0000FF"/>
        </w:rPr>
        <w:t>奥古斯丁《上帝之城》第十八卷</w:t>
      </w:r>
      <w:r w:rsidRPr="004C59BB">
        <w:rPr>
          <w:color w:val="0000FF"/>
          <w:lang w:val="ru-RU"/>
        </w:rPr>
        <w:t>，第35章，第3节。</w:t>
      </w:r>
    </w:p>
  </w:footnote>
  <w:footnote w:id="326">
    <w:p w14:paraId="3D4AEC83"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我认为，他履行了一切律法所规定的义务，是为了向律法——作为教导者——给予奖赏，并向律法——作为被废除者——致以葬礼般的敬意</w:t>
      </w:r>
      <w:r w:rsidR="005666A3" w:rsidRPr="004C59BB">
        <w:rPr>
          <w:color w:val="0000FF"/>
          <w:lang w:val="ru-RU"/>
        </w:rPr>
        <w:t>”</w:t>
      </w:r>
      <w:r w:rsidRPr="004C59BB">
        <w:rPr>
          <w:color w:val="0000FF"/>
          <w:lang w:val="ru-RU"/>
        </w:rPr>
        <w:t>（格里高利·神学家，《论圣约与基督再来》的讲道，载于《圣教父文集》</w:t>
      </w:r>
      <w:r w:rsidRPr="004C59BB">
        <w:rPr>
          <w:color w:val="0000FF"/>
        </w:rPr>
        <w:t>第IV</w:t>
      </w:r>
      <w:r w:rsidRPr="004C59BB">
        <w:rPr>
          <w:color w:val="0000FF"/>
          <w:lang w:val="ru-RU"/>
        </w:rPr>
        <w:t>卷，第249页）。</w:t>
      </w:r>
    </w:p>
  </w:footnote>
  <w:footnote w:id="327">
    <w:p w14:paraId="7E604164"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“祂在违反安息日时，并非突然制定了这样的律法规定，而是事先提出了许多不同的理由。 倘若祂意图废除其中一条诫命时，尚且在言辞上如此谨慎，以免令听众感到恐惧；那么，当祂将整部全新的律法附加于原有的律法之上时，就更需要预先为听众做好准备，并顾及他们的处境，以免引起他们的反感…… </w:t>
      </w:r>
      <w:r w:rsidR="005666A3" w:rsidRPr="004C59BB">
        <w:rPr>
          <w:color w:val="0000FF"/>
          <w:lang w:val="ru-RU"/>
        </w:rPr>
        <w:t>“</w:t>
      </w:r>
      <w:r w:rsidRPr="004C59BB">
        <w:rPr>
          <w:color w:val="0000FF"/>
          <w:lang w:val="ru-RU"/>
        </w:rPr>
        <w:t>当祂打算完善律法时，便以极大的谨慎着手此事</w:t>
      </w:r>
      <w:r w:rsidR="005666A3" w:rsidRPr="004C59BB">
        <w:rPr>
          <w:color w:val="0000FF"/>
          <w:lang w:val="ru-RU"/>
        </w:rPr>
        <w:t>”</w:t>
      </w:r>
      <w:r w:rsidRPr="004C59BB">
        <w:rPr>
          <w:color w:val="0000FF"/>
          <w:lang w:val="ru-RU"/>
        </w:rPr>
        <w:t>（金口若望《马太福音讲道集》</w:t>
      </w:r>
      <w:r w:rsidRPr="004C59BB">
        <w:rPr>
          <w:color w:val="0000FF"/>
        </w:rPr>
        <w:t>第十六</w:t>
      </w:r>
      <w:r w:rsidRPr="004C59BB">
        <w:rPr>
          <w:color w:val="0000FF"/>
          <w:lang w:val="ru-RU"/>
        </w:rPr>
        <w:t>篇，第2段，第1卷，第307页）。</w:t>
      </w:r>
    </w:p>
  </w:footnote>
  <w:footnote w:id="328">
    <w:p w14:paraId="4DB9976F"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“正如对于教育者而言，最大的赞誉在于他所教导的青年已无需他的监督来保持贞洁，因为他在这一美德上已足够坚固；同样，对于律法而言，最大的赞誉在于我们已不再需要它的帮助。 正因如此，我们才对律法心怀感激——正是它使我们的灵魂具备了足够的能力，得以领受至高的</w:t>
      </w:r>
      <w:r w:rsidR="005666A3" w:rsidRPr="004C59BB">
        <w:rPr>
          <w:color w:val="0000FF"/>
          <w:lang w:val="ru-RU"/>
        </w:rPr>
        <w:t>智慧</w:t>
      </w:r>
      <w:r w:rsidRPr="004C59BB">
        <w:rPr>
          <w:color w:val="0000FF"/>
          <w:lang w:val="ru-RU"/>
        </w:rPr>
        <w:t>”（金口若望，《反犹太人讲道集》</w:t>
      </w:r>
      <w:r w:rsidRPr="004C59BB">
        <w:rPr>
          <w:color w:val="0000FF"/>
        </w:rPr>
        <w:t>第二</w:t>
      </w:r>
      <w:r w:rsidRPr="004C59BB">
        <w:rPr>
          <w:color w:val="0000FF"/>
          <w:lang w:val="ru-RU"/>
        </w:rPr>
        <w:t>卷，第3段，</w:t>
      </w:r>
      <w:r w:rsidRPr="004C59BB">
        <w:rPr>
          <w:color w:val="0000FF"/>
        </w:rPr>
        <w:t>见第三</w:t>
      </w:r>
      <w:r w:rsidRPr="004C59BB">
        <w:rPr>
          <w:color w:val="0000FF"/>
          <w:lang w:val="ru-RU"/>
        </w:rPr>
        <w:t>卷，第488页，根据1850年圣彼得堡神学院出版的俄文译本）。</w:t>
      </w:r>
    </w:p>
  </w:footnote>
  <w:footnote w:id="329">
    <w:p w14:paraId="63F34BC6"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“上帝使（犹太人）远离祭祀，摧毁了那座城本身，并使其对所有人而言都无法进入。因为，如果祂并非如此打算，那么作为无处不在、充满万物的上帝，祂又为何要把一切敬拜都限定在同一处呢？ 既然祂将敬拜与献祭、献祭与地点、地点与时间、时间与一座城市紧密结合，又为何随后要摧毁这座城市呢？最令人惊讶和费解的是：整个宇宙对犹太人都是开放的，却无处允许他们献祭；唯独耶路撒冷无法进入，而他们却只被允许在那里献祭。 那么，耶路撒冷被毁的原因，难道不清晰、不显而易见吗？即便是最愚昧的人也能明白。如果一位建筑师，在已经打好地基、砌好墙体、架设好拱顶并将其固定在一块置于中央的石头上之后，又将这块石头移走，那么整座建筑的结构就会崩塌： 同样，上帝将这座城作为（犹太）敬拜的纽带，随后将其摧毁，由此也摧毁了该敬拜体系的</w:t>
      </w:r>
      <w:r w:rsidR="005666A3" w:rsidRPr="004C59BB">
        <w:rPr>
          <w:color w:val="0000FF"/>
          <w:lang w:val="ru-RU"/>
        </w:rPr>
        <w:t>其余部分”</w:t>
      </w:r>
      <w:r w:rsidRPr="004C59BB">
        <w:rPr>
          <w:color w:val="0000FF"/>
          <w:lang w:val="ru-RU"/>
        </w:rPr>
        <w:t>（金口若望，《讲道集》 《犹大四书》第5章第6节，第536–537页，同卷；引自《圣父词典》《犹大三书》</w:t>
      </w:r>
      <w:r w:rsidRPr="004C59BB">
        <w:rPr>
          <w:color w:val="0000FF"/>
        </w:rPr>
        <w:t>第</w:t>
      </w:r>
      <w:r w:rsidRPr="0097554A">
        <w:rPr>
          <w:color w:val="0000FF"/>
          <w:lang w:val="ru-RU"/>
        </w:rPr>
        <w:t>5</w:t>
      </w:r>
      <w:r w:rsidRPr="004C59BB">
        <w:rPr>
          <w:color w:val="0000FF"/>
          <w:lang w:val="ru-RU"/>
        </w:rPr>
        <w:t>章第3节，第503页）。</w:t>
      </w:r>
    </w:p>
  </w:footnote>
  <w:footnote w:id="330">
    <w:p w14:paraId="07AECB97" w14:textId="77777777" w:rsidR="008B03A1" w:rsidRPr="0097554A" w:rsidRDefault="008B03A1">
      <w:pPr>
        <w:pStyle w:val="FootnoteText"/>
        <w:rPr>
          <w:color w:val="0000FF"/>
          <w:lang w:val="ru-RU"/>
        </w:rPr>
      </w:pPr>
      <w:r w:rsidRPr="004C59BB">
        <w:rPr>
          <w:rStyle w:val="FootnoteReference"/>
          <w:color w:val="0000FF"/>
        </w:rPr>
        <w:footnoteRef/>
      </w:r>
      <w:r w:rsidRPr="004C59BB">
        <w:rPr>
          <w:color w:val="0000FF"/>
          <w:lang w:val="ru-RU"/>
        </w:rPr>
        <w:t xml:space="preserve"> 《神学教义简明摘要》第17章，载于《基督教读本》1844年版，</w:t>
      </w:r>
      <w:r w:rsidRPr="004C59BB">
        <w:rPr>
          <w:color w:val="0000FF"/>
        </w:rPr>
        <w:t>第IV</w:t>
      </w:r>
      <w:r w:rsidRPr="004C59BB">
        <w:rPr>
          <w:color w:val="0000FF"/>
          <w:lang w:val="ru-RU"/>
        </w:rPr>
        <w:t>卷，第337–338页。 教父福提乌斯在其一封书信中（《</w:t>
      </w:r>
      <w:r w:rsidRPr="004C59BB">
        <w:rPr>
          <w:color w:val="0000FF"/>
        </w:rPr>
        <w:t>福提乌斯书信</w:t>
      </w:r>
      <w:r w:rsidRPr="004C59BB">
        <w:rPr>
          <w:color w:val="0000FF"/>
          <w:lang w:val="ru-RU"/>
        </w:rPr>
        <w:t>集》，</w:t>
      </w:r>
      <w:r w:rsidRPr="004C59BB">
        <w:rPr>
          <w:color w:val="0000FF"/>
        </w:rPr>
        <w:t>伦敦</w:t>
      </w:r>
      <w:r w:rsidRPr="004C59BB">
        <w:rPr>
          <w:color w:val="0000FF"/>
          <w:lang w:val="ru-RU"/>
        </w:rPr>
        <w:t>1651年版，</w:t>
      </w:r>
      <w:r w:rsidRPr="004C59BB">
        <w:rPr>
          <w:color w:val="0000FF"/>
        </w:rPr>
        <w:t>第L</w:t>
      </w:r>
      <w:r w:rsidRPr="004C59BB">
        <w:rPr>
          <w:color w:val="0000FF"/>
          <w:lang w:val="ru-RU"/>
        </w:rPr>
        <w:t>封</w:t>
      </w:r>
      <w:r w:rsidRPr="0097554A">
        <w:rPr>
          <w:color w:val="0000FF"/>
          <w:lang w:val="ru-RU"/>
        </w:rPr>
        <w:t>，</w:t>
      </w:r>
      <w:r w:rsidRPr="004C59BB">
        <w:rPr>
          <w:color w:val="0000FF"/>
        </w:rPr>
        <w:t>第</w:t>
      </w:r>
      <w:r w:rsidRPr="0097554A">
        <w:rPr>
          <w:color w:val="0000FF"/>
          <w:lang w:val="ru-RU"/>
        </w:rPr>
        <w:t>103–105</w:t>
      </w:r>
      <w:r w:rsidRPr="004C59BB">
        <w:rPr>
          <w:color w:val="0000FF"/>
        </w:rPr>
        <w:t>页</w:t>
      </w:r>
      <w:r w:rsidRPr="0097554A">
        <w:rPr>
          <w:color w:val="0000FF"/>
          <w:lang w:val="ru-RU"/>
        </w:rPr>
        <w:t>）</w:t>
      </w:r>
      <w:r w:rsidRPr="004C59BB">
        <w:rPr>
          <w:color w:val="0000FF"/>
          <w:lang w:val="ru-RU"/>
        </w:rPr>
        <w:t>，相当详尽且分条地论述了旧约律法的废除（而非废绝）问题</w:t>
      </w:r>
      <w:r w:rsidRPr="004C59BB">
        <w:rPr>
          <w:color w:val="0000FF"/>
        </w:rPr>
        <w:t>。</w:t>
      </w:r>
    </w:p>
  </w:footnote>
  <w:footnote w:id="331">
    <w:p w14:paraId="57C51F78"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《普世信仰》……，Liber. Rar. Epist. ad episcop. orient.（见于索克拉底《教会史》第四卷，第14章）；亚历山大的克莱门特《杂论》第六卷，第5章，第17节；伊格纳提乌斯《反塞尔苏斯》第四卷，第9章；优西比乌《福音论证》第一卷，第5章，第7节。 《天主教信仰》……特土良《反马吉安》第四卷，第4章；奥古斯丁《论真正的宗教》第九卷，第17节；《论信仰的益处》第七章，第13节。《天主教纪律》……奥古斯丁《论信仰的益处》第八章，第20节。</w:t>
      </w:r>
    </w:p>
  </w:footnote>
  <w:footnote w:id="332">
    <w:p w14:paraId="4055209A"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金口若望</w:t>
      </w:r>
      <w:r w:rsidRPr="004C59BB">
        <w:rPr>
          <w:color w:val="0000FF"/>
        </w:rPr>
        <w:t>《</w:t>
      </w:r>
      <w:r w:rsidRPr="004C59BB">
        <w:rPr>
          <w:color w:val="0000FF"/>
          <w:lang w:val="ru-RU"/>
        </w:rPr>
        <w:t>马太福音讲道集》</w:t>
      </w:r>
      <w:r w:rsidRPr="004C59BB">
        <w:rPr>
          <w:color w:val="0000FF"/>
        </w:rPr>
        <w:t>第十五</w:t>
      </w:r>
      <w:r w:rsidRPr="004C59BB">
        <w:rPr>
          <w:color w:val="0000FF"/>
          <w:lang w:val="ru-RU"/>
        </w:rPr>
        <w:t>篇</w:t>
      </w:r>
      <w:r w:rsidRPr="0097554A">
        <w:rPr>
          <w:color w:val="0000FF"/>
        </w:rPr>
        <w:t>，</w:t>
      </w:r>
      <w:r w:rsidRPr="004C59BB">
        <w:rPr>
          <w:color w:val="0000FF"/>
          <w:lang w:val="ru-RU"/>
        </w:rPr>
        <w:t>第</w:t>
      </w:r>
      <w:r w:rsidRPr="0097554A">
        <w:rPr>
          <w:color w:val="0000FF"/>
        </w:rPr>
        <w:t>6</w:t>
      </w:r>
      <w:r w:rsidRPr="004C59BB">
        <w:rPr>
          <w:color w:val="0000FF"/>
          <w:lang w:val="ru-RU"/>
        </w:rPr>
        <w:t>、</w:t>
      </w:r>
      <w:r w:rsidRPr="0097554A">
        <w:rPr>
          <w:color w:val="0000FF"/>
        </w:rPr>
        <w:t>7</w:t>
      </w:r>
      <w:r w:rsidRPr="004C59BB">
        <w:rPr>
          <w:color w:val="0000FF"/>
          <w:lang w:val="ru-RU"/>
        </w:rPr>
        <w:t>页</w:t>
      </w:r>
      <w:r w:rsidRPr="0097554A">
        <w:rPr>
          <w:color w:val="0000FF"/>
        </w:rPr>
        <w:t>，</w:t>
      </w:r>
      <w:r w:rsidRPr="004C59BB">
        <w:rPr>
          <w:color w:val="0000FF"/>
          <w:lang w:val="ru-RU"/>
        </w:rPr>
        <w:t>第</w:t>
      </w:r>
      <w:r w:rsidRPr="0097554A">
        <w:rPr>
          <w:color w:val="0000FF"/>
        </w:rPr>
        <w:t>283</w:t>
      </w:r>
      <w:r w:rsidRPr="004C59BB">
        <w:rPr>
          <w:color w:val="0000FF"/>
          <w:lang w:val="ru-RU"/>
        </w:rPr>
        <w:t>、</w:t>
      </w:r>
      <w:r w:rsidRPr="004C59BB">
        <w:rPr>
          <w:color w:val="0000FF"/>
        </w:rPr>
        <w:t>286–287页；优西比乌《论福音的证明》第1卷，第4、5、6、7章；《福音准备》第1卷，第1章。</w:t>
      </w:r>
    </w:p>
  </w:footnote>
  <w:footnote w:id="333">
    <w:p w14:paraId="1CD07DE7"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《救赎之师》……优西比乌《圣经注释》第XXXII卷，第8章。——《救赎之教义》……优西比乌《福音论证》第1卷，第5章。</w:t>
      </w:r>
    </w:p>
  </w:footnote>
  <w:footnote w:id="334">
    <w:p w14:paraId="057AC51D" w14:textId="77777777" w:rsidR="008B03A1" w:rsidRPr="0097554A" w:rsidRDefault="008B03A1">
      <w:pPr>
        <w:pStyle w:val="FootnoteText"/>
        <w:rPr>
          <w:color w:val="0000FF"/>
        </w:rPr>
      </w:pPr>
      <w:r w:rsidRPr="004C59BB">
        <w:rPr>
          <w:rStyle w:val="FootnoteReference"/>
          <w:color w:val="0000FF"/>
        </w:rPr>
        <w:footnoteRef/>
      </w:r>
      <w:r w:rsidRPr="004C59BB">
        <w:rPr>
          <w:color w:val="0000FF"/>
        </w:rPr>
        <w:t xml:space="preserve"> 伊格纳提乌斯《致士麦那书》第VI章；贾斯汀《护教论》第II卷，第1节；特土良《论基督的肉身》cIII；爱任纽《反异端》第IV卷，第25章，第1节； 金口若望《罗马书讲道集》第八篇，第1、4节；优西比乌《论福音的证明》第1卷，第5章；《诗篇注释》第32篇，第8节；第99篇，第8节；提奥多雷特《希伯来书注释》第2卷，第3章；奥古斯丁《上帝之城》第10卷，第25章；《论三位一体》第4</w:t>
      </w:r>
      <w:r w:rsidRPr="004C59BB">
        <w:rPr>
          <w:color w:val="0000FF"/>
          <w:lang w:val="ru-RU"/>
        </w:rPr>
        <w:t>卷</w:t>
      </w:r>
      <w:r w:rsidRPr="0097554A">
        <w:rPr>
          <w:color w:val="0000FF"/>
        </w:rPr>
        <w:t>，</w:t>
      </w:r>
      <w:r w:rsidRPr="004C59BB">
        <w:rPr>
          <w:color w:val="0000FF"/>
          <w:lang w:val="ru-RU"/>
        </w:rPr>
        <w:t>第</w:t>
      </w:r>
      <w:r w:rsidRPr="0097554A">
        <w:rPr>
          <w:color w:val="0000FF"/>
        </w:rPr>
        <w:t>22</w:t>
      </w:r>
      <w:r w:rsidRPr="004C59BB">
        <w:rPr>
          <w:color w:val="0000FF"/>
          <w:lang w:val="ru-RU"/>
        </w:rPr>
        <w:t>章</w:t>
      </w:r>
      <w:r w:rsidRPr="0097554A">
        <w:rPr>
          <w:color w:val="0000FF"/>
        </w:rPr>
        <w:t>，</w:t>
      </w:r>
      <w:r w:rsidRPr="004C59BB">
        <w:rPr>
          <w:color w:val="0000FF"/>
          <w:lang w:val="ru-RU"/>
        </w:rPr>
        <w:t>第</w:t>
      </w:r>
      <w:r w:rsidRPr="0097554A">
        <w:rPr>
          <w:color w:val="0000FF"/>
        </w:rPr>
        <w:t>27</w:t>
      </w:r>
      <w:r w:rsidRPr="004C59BB">
        <w:rPr>
          <w:color w:val="0000FF"/>
          <w:lang w:val="ru-RU"/>
        </w:rPr>
        <w:t>节。</w:t>
      </w:r>
    </w:p>
  </w:footnote>
  <w:footnote w:id="335">
    <w:p w14:paraId="51E893DE" w14:textId="77777777" w:rsidR="00A505BA" w:rsidRPr="0097554A" w:rsidRDefault="00A505BA">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参见对此处的注释</w:t>
      </w:r>
      <w:r w:rsidRPr="0097554A">
        <w:rPr>
          <w:color w:val="0000FF"/>
        </w:rPr>
        <w:t>：</w:t>
      </w:r>
      <w:r w:rsidRPr="004C59BB">
        <w:rPr>
          <w:color w:val="0000FF"/>
          <w:lang w:val="ru-RU"/>
        </w:rPr>
        <w:t>圣金口若望</w:t>
      </w:r>
      <w:r w:rsidRPr="0097554A">
        <w:rPr>
          <w:color w:val="0000FF"/>
        </w:rPr>
        <w:t>（</w:t>
      </w:r>
      <w:r w:rsidRPr="004C59BB">
        <w:rPr>
          <w:color w:val="0000FF"/>
          <w:lang w:val="ru-RU"/>
        </w:rPr>
        <w:t>《反犹太人论》</w:t>
      </w:r>
      <w:r w:rsidRPr="0097554A">
        <w:rPr>
          <w:color w:val="0000FF"/>
        </w:rPr>
        <w:t>，</w:t>
      </w:r>
      <w:r w:rsidRPr="004C59BB">
        <w:rPr>
          <w:color w:val="0000FF"/>
        </w:rPr>
        <w:t>第七</w:t>
      </w:r>
      <w:r w:rsidRPr="004C59BB">
        <w:rPr>
          <w:color w:val="0000FF"/>
          <w:lang w:val="ru-RU"/>
        </w:rPr>
        <w:t>卷</w:t>
      </w:r>
      <w:r w:rsidRPr="0097554A">
        <w:rPr>
          <w:color w:val="0000FF"/>
        </w:rPr>
        <w:t>，</w:t>
      </w:r>
      <w:r w:rsidRPr="004C59BB">
        <w:rPr>
          <w:color w:val="0000FF"/>
          <w:lang w:val="ru-RU"/>
        </w:rPr>
        <w:t>第</w:t>
      </w:r>
      <w:r w:rsidRPr="0097554A">
        <w:rPr>
          <w:color w:val="0000FF"/>
        </w:rPr>
        <w:t>5</w:t>
      </w:r>
      <w:r w:rsidRPr="004C59BB">
        <w:rPr>
          <w:color w:val="0000FF"/>
          <w:lang w:val="ru-RU"/>
        </w:rPr>
        <w:t>、</w:t>
      </w:r>
      <w:r w:rsidRPr="0097554A">
        <w:rPr>
          <w:color w:val="0000FF"/>
        </w:rPr>
        <w:t>6</w:t>
      </w:r>
      <w:r w:rsidRPr="004C59BB">
        <w:rPr>
          <w:color w:val="0000FF"/>
          <w:lang w:val="ru-RU"/>
        </w:rPr>
        <w:t>节</w:t>
      </w:r>
      <w:r w:rsidRPr="0097554A">
        <w:rPr>
          <w:color w:val="0000FF"/>
        </w:rPr>
        <w:t>，</w:t>
      </w:r>
      <w:r w:rsidRPr="004C59BB">
        <w:rPr>
          <w:color w:val="0000FF"/>
          <w:lang w:val="ru-RU"/>
        </w:rPr>
        <w:t>第</w:t>
      </w:r>
      <w:r w:rsidRPr="0097554A">
        <w:rPr>
          <w:color w:val="0000FF"/>
        </w:rPr>
        <w:t>628–636</w:t>
      </w:r>
      <w:r w:rsidRPr="004C59BB">
        <w:rPr>
          <w:color w:val="0000FF"/>
          <w:lang w:val="ru-RU"/>
        </w:rPr>
        <w:t>页</w:t>
      </w:r>
      <w:r w:rsidRPr="0097554A">
        <w:rPr>
          <w:color w:val="0000FF"/>
        </w:rPr>
        <w:t>，</w:t>
      </w:r>
      <w:r w:rsidRPr="004C59BB">
        <w:rPr>
          <w:color w:val="0000FF"/>
          <w:lang w:val="ru-RU"/>
        </w:rPr>
        <w:t>见</w:t>
      </w:r>
      <w:r w:rsidRPr="004C59BB">
        <w:rPr>
          <w:color w:val="0000FF"/>
        </w:rPr>
        <w:t>第三</w:t>
      </w:r>
      <w:r w:rsidRPr="004C59BB">
        <w:rPr>
          <w:color w:val="0000FF"/>
          <w:lang w:val="ru-RU"/>
        </w:rPr>
        <w:t>卷</w:t>
      </w:r>
      <w:r w:rsidRPr="0097554A">
        <w:rPr>
          <w:color w:val="0000FF"/>
        </w:rPr>
        <w:t>，</w:t>
      </w:r>
      <w:r w:rsidRPr="004C59BB">
        <w:rPr>
          <w:color w:val="0000FF"/>
          <w:lang w:val="ru-RU"/>
        </w:rPr>
        <w:t>该教父著作的俄文译本</w:t>
      </w:r>
      <w:r w:rsidRPr="0097554A">
        <w:rPr>
          <w:color w:val="0000FF"/>
        </w:rPr>
        <w:t>），</w:t>
      </w:r>
      <w:r w:rsidRPr="004C59BB">
        <w:rPr>
          <w:color w:val="0000FF"/>
          <w:lang w:val="ru-RU"/>
        </w:rPr>
        <w:t>圣埃皮法尼乌斯</w:t>
      </w:r>
      <w:r w:rsidRPr="0097554A">
        <w:rPr>
          <w:color w:val="0000FF"/>
        </w:rPr>
        <w:t xml:space="preserve"> （</w:t>
      </w:r>
      <w:r w:rsidRPr="004C59BB">
        <w:rPr>
          <w:color w:val="0000FF"/>
          <w:lang w:val="ru-RU"/>
        </w:rPr>
        <w:t>《</w:t>
      </w:r>
      <w:r w:rsidRPr="004C59BB">
        <w:rPr>
          <w:color w:val="0000FF"/>
        </w:rPr>
        <w:t>论麦基洗德派异端</w:t>
      </w:r>
      <w:r w:rsidRPr="004C59BB">
        <w:rPr>
          <w:color w:val="0000FF"/>
          <w:lang w:val="ru-RU"/>
        </w:rPr>
        <w:t>》</w:t>
      </w:r>
      <w:r w:rsidRPr="004C59BB">
        <w:rPr>
          <w:color w:val="0000FF"/>
        </w:rPr>
        <w:t>第LV章</w:t>
      </w:r>
      <w:r w:rsidRPr="0097554A">
        <w:rPr>
          <w:color w:val="0000FF"/>
        </w:rPr>
        <w:t>），</w:t>
      </w:r>
      <w:r w:rsidRPr="004C59BB">
        <w:rPr>
          <w:color w:val="0000FF"/>
          <w:lang w:val="ru-RU"/>
        </w:rPr>
        <w:t>亚历山大的圣西里尔</w:t>
      </w:r>
      <w:r w:rsidRPr="0097554A">
        <w:rPr>
          <w:color w:val="0000FF"/>
        </w:rPr>
        <w:t>（</w:t>
      </w:r>
      <w:r w:rsidRPr="004C59BB">
        <w:rPr>
          <w:color w:val="0000FF"/>
          <w:lang w:val="ru-RU"/>
        </w:rPr>
        <w:t>《</w:t>
      </w:r>
      <w:r w:rsidRPr="004C59BB">
        <w:rPr>
          <w:color w:val="0000FF"/>
        </w:rPr>
        <w:t>铭文集</w:t>
      </w:r>
      <w:r w:rsidRPr="004C59BB">
        <w:rPr>
          <w:color w:val="0000FF"/>
          <w:lang w:val="ru-RU"/>
        </w:rPr>
        <w:t>》</w:t>
      </w:r>
      <w:r w:rsidRPr="004C59BB">
        <w:rPr>
          <w:color w:val="0000FF"/>
        </w:rPr>
        <w:t>第II卷</w:t>
      </w:r>
      <w:r w:rsidRPr="0097554A">
        <w:rPr>
          <w:color w:val="0000FF"/>
        </w:rPr>
        <w:t>，</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16</w:t>
      </w:r>
      <w:r w:rsidRPr="004C59BB">
        <w:rPr>
          <w:color w:val="0000FF"/>
        </w:rPr>
        <w:t>页及</w:t>
      </w:r>
      <w:r w:rsidRPr="004C59BB">
        <w:rPr>
          <w:color w:val="0000FF"/>
          <w:lang w:val="ru-RU"/>
        </w:rPr>
        <w:t>后续</w:t>
      </w:r>
      <w:r w:rsidRPr="0097554A">
        <w:rPr>
          <w:color w:val="0000FF"/>
        </w:rPr>
        <w:t>），</w:t>
      </w:r>
      <w:r w:rsidRPr="004C59BB">
        <w:rPr>
          <w:color w:val="0000FF"/>
          <w:lang w:val="ru-RU"/>
        </w:rPr>
        <w:t>福者</w:t>
      </w:r>
      <w:r w:rsidRPr="004C59BB">
        <w:rPr>
          <w:color w:val="0000FF"/>
        </w:rPr>
        <w:t>奥古斯丁（《论基督教教义》第IV卷，第21章），福者狄奥多里特（《创世记注释》，</w:t>
      </w:r>
      <w:r w:rsidRPr="004C59BB">
        <w:rPr>
          <w:color w:val="0000FF"/>
          <w:lang w:val="ru-RU"/>
        </w:rPr>
        <w:t>第</w:t>
      </w:r>
      <w:r w:rsidRPr="0097554A">
        <w:rPr>
          <w:color w:val="0000FF"/>
        </w:rPr>
        <w:t>64</w:t>
      </w:r>
      <w:r w:rsidRPr="004C59BB">
        <w:rPr>
          <w:color w:val="0000FF"/>
          <w:lang w:val="ru-RU"/>
        </w:rPr>
        <w:t>问</w:t>
      </w:r>
      <w:r w:rsidRPr="0097554A">
        <w:rPr>
          <w:color w:val="0000FF"/>
        </w:rPr>
        <w:t>）</w:t>
      </w:r>
      <w:r w:rsidRPr="004C59BB">
        <w:rPr>
          <w:color w:val="0000FF"/>
          <w:lang w:val="ru-RU"/>
        </w:rPr>
        <w:t>。</w:t>
      </w:r>
    </w:p>
  </w:footnote>
  <w:footnote w:id="336">
    <w:p w14:paraId="627D9D8A" w14:textId="77777777" w:rsidR="00A505BA" w:rsidRPr="0097554A" w:rsidRDefault="00A505BA">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致腓力书</w:t>
      </w:r>
      <w:r w:rsidRPr="004C59BB">
        <w:rPr>
          <w:color w:val="0000FF"/>
          <w:lang w:val="ru-RU"/>
        </w:rPr>
        <w:t>》</w:t>
      </w:r>
      <w:r w:rsidRPr="004C59BB">
        <w:rPr>
          <w:color w:val="0000FF"/>
        </w:rPr>
        <w:t>第ΧΙI</w:t>
      </w:r>
      <w:r w:rsidRPr="004C59BB">
        <w:rPr>
          <w:color w:val="0000FF"/>
          <w:lang w:val="ru-RU"/>
        </w:rPr>
        <w:t>章。</w:t>
      </w:r>
    </w:p>
  </w:footnote>
  <w:footnote w:id="337">
    <w:p w14:paraId="08119492" w14:textId="77777777" w:rsidR="00951BFA" w:rsidRPr="0097554A" w:rsidRDefault="00951BFA">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关于圣子的圣礼圣咏</w:t>
      </w:r>
      <w:r w:rsidRPr="0097554A">
        <w:rPr>
          <w:color w:val="0000FF"/>
        </w:rPr>
        <w:t>，</w:t>
      </w:r>
      <w:r w:rsidRPr="004C59BB">
        <w:rPr>
          <w:color w:val="0000FF"/>
          <w:lang w:val="ru-RU"/>
        </w:rPr>
        <w:t>见《圣教父著作集》</w:t>
      </w:r>
      <w:r w:rsidRPr="004C59BB">
        <w:rPr>
          <w:color w:val="0000FF"/>
        </w:rPr>
        <w:t>第四卷</w:t>
      </w:r>
      <w:r w:rsidRPr="0097554A">
        <w:rPr>
          <w:color w:val="0000FF"/>
        </w:rPr>
        <w:t>，</w:t>
      </w:r>
      <w:r w:rsidRPr="004C59BB">
        <w:rPr>
          <w:color w:val="0000FF"/>
          <w:lang w:val="ru-RU"/>
        </w:rPr>
        <w:t>第</w:t>
      </w:r>
      <w:r w:rsidRPr="0097554A">
        <w:rPr>
          <w:color w:val="0000FF"/>
        </w:rPr>
        <w:t>220</w:t>
      </w:r>
      <w:r w:rsidRPr="004C59BB">
        <w:rPr>
          <w:color w:val="0000FF"/>
          <w:lang w:val="ru-RU"/>
        </w:rPr>
        <w:t>页。</w:t>
      </w:r>
    </w:p>
  </w:footnote>
  <w:footnote w:id="338">
    <w:p w14:paraId="257D6BEC" w14:textId="77777777" w:rsidR="00951BFA" w:rsidRPr="0097554A" w:rsidRDefault="00951BFA">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《神学词典》</w:t>
      </w:r>
      <w:r w:rsidRPr="004C59BB">
        <w:rPr>
          <w:color w:val="0000FF"/>
        </w:rPr>
        <w:t>第四卷</w:t>
      </w:r>
      <w:r w:rsidRPr="0097554A">
        <w:rPr>
          <w:color w:val="0000FF"/>
        </w:rPr>
        <w:t>，</w:t>
      </w:r>
      <w:r w:rsidRPr="004C59BB">
        <w:rPr>
          <w:color w:val="0000FF"/>
          <w:lang w:val="ru-RU"/>
        </w:rPr>
        <w:t>同上</w:t>
      </w:r>
      <w:r w:rsidRPr="0097554A">
        <w:rPr>
          <w:color w:val="0000FF"/>
        </w:rPr>
        <w:t>，</w:t>
      </w:r>
      <w:r w:rsidRPr="004C59BB">
        <w:rPr>
          <w:color w:val="0000FF"/>
        </w:rPr>
        <w:t>第三卷</w:t>
      </w:r>
      <w:r w:rsidRPr="0097554A">
        <w:rPr>
          <w:color w:val="0000FF"/>
        </w:rPr>
        <w:t>，</w:t>
      </w:r>
      <w:r w:rsidRPr="004C59BB">
        <w:rPr>
          <w:color w:val="0000FF"/>
          <w:lang w:val="ru-RU"/>
        </w:rPr>
        <w:t>第</w:t>
      </w:r>
      <w:r w:rsidRPr="0097554A">
        <w:rPr>
          <w:color w:val="0000FF"/>
        </w:rPr>
        <w:t>102</w:t>
      </w:r>
      <w:r w:rsidRPr="004C59BB">
        <w:rPr>
          <w:color w:val="0000FF"/>
          <w:lang w:val="ru-RU"/>
        </w:rPr>
        <w:t>页。</w:t>
      </w:r>
    </w:p>
  </w:footnote>
  <w:footnote w:id="339">
    <w:p w14:paraId="57A2102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《异端论》LXIX，第39条。</w:t>
      </w:r>
    </w:p>
  </w:footnote>
  <w:footnote w:id="340">
    <w:p w14:paraId="7F51A23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《异端论》第LV卷，第4条。</w:t>
      </w:r>
    </w:p>
  </w:footnote>
  <w:footnote w:id="341">
    <w:p w14:paraId="79C83AB1" w14:textId="77777777" w:rsidR="00951BFA" w:rsidRPr="0097554A" w:rsidRDefault="00951BFA">
      <w:pPr>
        <w:pStyle w:val="FootnoteText"/>
        <w:rPr>
          <w:color w:val="0000FF"/>
        </w:rPr>
      </w:pPr>
      <w:r w:rsidRPr="004C59BB">
        <w:rPr>
          <w:rStyle w:val="FootnoteReference"/>
          <w:color w:val="0000FF"/>
        </w:rPr>
        <w:footnoteRef/>
      </w:r>
      <w:r w:rsidRPr="004C59BB">
        <w:rPr>
          <w:color w:val="0000FF"/>
        </w:rPr>
        <w:t xml:space="preserve"> 克莱门特《致哥林多书信》1，第36条；贾斯汀《与特里弗的对话》第33、</w:t>
      </w:r>
      <w:r w:rsidRPr="0097554A">
        <w:rPr>
          <w:color w:val="0000FF"/>
        </w:rPr>
        <w:t>34</w:t>
      </w:r>
      <w:r w:rsidRPr="004C59BB">
        <w:rPr>
          <w:color w:val="0000FF"/>
          <w:lang w:val="ru-RU"/>
        </w:rPr>
        <w:t>、</w:t>
      </w:r>
      <w:r w:rsidRPr="0097554A">
        <w:rPr>
          <w:color w:val="0000FF"/>
        </w:rPr>
        <w:t>36</w:t>
      </w:r>
      <w:r w:rsidRPr="004C59BB">
        <w:rPr>
          <w:color w:val="0000FF"/>
          <w:lang w:val="ru-RU"/>
        </w:rPr>
        <w:t>、</w:t>
      </w:r>
      <w:r w:rsidRPr="0097554A">
        <w:rPr>
          <w:color w:val="0000FF"/>
        </w:rPr>
        <w:t>118</w:t>
      </w:r>
      <w:r w:rsidRPr="004C59BB">
        <w:rPr>
          <w:color w:val="0000FF"/>
          <w:lang w:val="ru-RU"/>
        </w:rPr>
        <w:t>条</w:t>
      </w:r>
      <w:r w:rsidRPr="0097554A">
        <w:rPr>
          <w:color w:val="0000FF"/>
        </w:rPr>
        <w:t>；</w:t>
      </w:r>
      <w:r w:rsidRPr="004C59BB">
        <w:rPr>
          <w:color w:val="0000FF"/>
        </w:rPr>
        <w:t>克莱门特</w:t>
      </w:r>
      <w:r w:rsidRPr="004C59BB">
        <w:rPr>
          <w:color w:val="0000FF"/>
          <w:lang w:val="ru-RU"/>
        </w:rPr>
        <w:t>《</w:t>
      </w:r>
      <w:r w:rsidRPr="004C59BB">
        <w:rPr>
          <w:color w:val="0000FF"/>
        </w:rPr>
        <w:t>杂论</w:t>
      </w:r>
      <w:r w:rsidRPr="004C59BB">
        <w:rPr>
          <w:color w:val="0000FF"/>
          <w:lang w:val="ru-RU"/>
        </w:rPr>
        <w:t>》</w:t>
      </w:r>
      <w:r w:rsidRPr="004C59BB">
        <w:rPr>
          <w:color w:val="0000FF"/>
        </w:rPr>
        <w:t>第七卷</w:t>
      </w:r>
      <w:r w:rsidRPr="0097554A">
        <w:rPr>
          <w:color w:val="0000FF"/>
        </w:rPr>
        <w:t>，</w:t>
      </w:r>
      <w:r w:rsidRPr="004C59BB">
        <w:rPr>
          <w:color w:val="0000FF"/>
          <w:lang w:val="ru-RU"/>
        </w:rPr>
        <w:t>第</w:t>
      </w:r>
      <w:r w:rsidRPr="0097554A">
        <w:rPr>
          <w:color w:val="0000FF"/>
        </w:rPr>
        <w:t>3</w:t>
      </w:r>
      <w:r w:rsidRPr="004C59BB">
        <w:rPr>
          <w:color w:val="0000FF"/>
          <w:lang w:val="ru-RU"/>
        </w:rPr>
        <w:t>章</w:t>
      </w:r>
      <w:r w:rsidRPr="0097554A">
        <w:rPr>
          <w:color w:val="0000FF"/>
        </w:rPr>
        <w:t>；</w:t>
      </w:r>
      <w:r w:rsidRPr="004C59BB">
        <w:rPr>
          <w:color w:val="0000FF"/>
        </w:rPr>
        <w:t>阿诺布</w:t>
      </w:r>
      <w:r w:rsidRPr="004C59BB">
        <w:rPr>
          <w:color w:val="0000FF"/>
          <w:lang w:val="ru-RU"/>
        </w:rPr>
        <w:t>《反</w:t>
      </w:r>
      <w:r w:rsidRPr="004C59BB">
        <w:rPr>
          <w:color w:val="0000FF"/>
        </w:rPr>
        <w:t>异教论</w:t>
      </w:r>
      <w:r w:rsidRPr="004C59BB">
        <w:rPr>
          <w:color w:val="0000FF"/>
          <w:lang w:val="ru-RU"/>
        </w:rPr>
        <w:t>》</w:t>
      </w:r>
      <w:r w:rsidRPr="004C59BB">
        <w:rPr>
          <w:color w:val="0000FF"/>
        </w:rPr>
        <w:t>第二</w:t>
      </w:r>
      <w:r w:rsidRPr="004C59BB">
        <w:rPr>
          <w:color w:val="0000FF"/>
          <w:lang w:val="ru-RU"/>
        </w:rPr>
        <w:t>卷</w:t>
      </w:r>
      <w:r w:rsidRPr="0097554A">
        <w:rPr>
          <w:color w:val="0000FF"/>
        </w:rPr>
        <w:t>，</w:t>
      </w:r>
      <w:r w:rsidRPr="004C59BB">
        <w:rPr>
          <w:color w:val="0000FF"/>
          <w:lang w:val="ru-RU"/>
        </w:rPr>
        <w:t>第</w:t>
      </w:r>
      <w:r w:rsidRPr="0097554A">
        <w:rPr>
          <w:color w:val="0000FF"/>
        </w:rPr>
        <w:t>65</w:t>
      </w:r>
      <w:r w:rsidRPr="004C59BB">
        <w:rPr>
          <w:color w:val="0000FF"/>
          <w:lang w:val="ru-RU"/>
        </w:rPr>
        <w:t>章。</w:t>
      </w:r>
    </w:p>
  </w:footnote>
  <w:footnote w:id="342">
    <w:p w14:paraId="1180931D" w14:textId="77777777" w:rsidR="00951BFA" w:rsidRPr="0097554A" w:rsidRDefault="00951BFA">
      <w:pPr>
        <w:pStyle w:val="FootnoteText"/>
        <w:rPr>
          <w:color w:val="0000FF"/>
        </w:rPr>
      </w:pPr>
      <w:r w:rsidRPr="004C59BB">
        <w:rPr>
          <w:rStyle w:val="FootnoteReference"/>
          <w:color w:val="0000FF"/>
        </w:rPr>
        <w:footnoteRef/>
      </w:r>
      <w:r w:rsidRPr="0097554A">
        <w:rPr>
          <w:color w:val="0000FF"/>
        </w:rPr>
        <w:t xml:space="preserve"> </w:t>
      </w:r>
      <w:r w:rsidR="005666A3" w:rsidRPr="0097554A">
        <w:rPr>
          <w:color w:val="0000FF"/>
        </w:rPr>
        <w:t>“</w:t>
      </w:r>
      <w:r w:rsidRPr="004C59BB">
        <w:rPr>
          <w:color w:val="0000FF"/>
          <w:lang w:val="ru-RU"/>
        </w:rPr>
        <w:t>上帝为了我们而自我耗尽并降临</w:t>
      </w:r>
      <w:r w:rsidRPr="0097554A">
        <w:rPr>
          <w:color w:val="0000FF"/>
        </w:rPr>
        <w:t>；</w:t>
      </w:r>
      <w:r w:rsidRPr="004C59BB">
        <w:rPr>
          <w:color w:val="0000FF"/>
          <w:lang w:val="ru-RU"/>
        </w:rPr>
        <w:t>所谓</w:t>
      </w:r>
      <w:r w:rsidRPr="0097554A">
        <w:rPr>
          <w:color w:val="0000FF"/>
        </w:rPr>
        <w:t>‘</w:t>
      </w:r>
      <w:r w:rsidRPr="004C59BB">
        <w:rPr>
          <w:color w:val="0000FF"/>
          <w:lang w:val="ru-RU"/>
        </w:rPr>
        <w:t>耗尽</w:t>
      </w:r>
      <w:r w:rsidRPr="0097554A">
        <w:rPr>
          <w:color w:val="0000FF"/>
        </w:rPr>
        <w:t>’，</w:t>
      </w:r>
      <w:r w:rsidRPr="004C59BB">
        <w:rPr>
          <w:color w:val="0000FF"/>
          <w:lang w:val="ru-RU"/>
        </w:rPr>
        <w:t>我指的是一种仿佛是荣耀的减弱与</w:t>
      </w:r>
      <w:r w:rsidR="005666A3" w:rsidRPr="004C59BB">
        <w:rPr>
          <w:color w:val="0000FF"/>
          <w:lang w:val="ru-RU"/>
        </w:rPr>
        <w:t>削减</w:t>
      </w:r>
      <w:r w:rsidR="005666A3" w:rsidRPr="0097554A">
        <w:rPr>
          <w:color w:val="0000FF"/>
        </w:rPr>
        <w:t>”</w:t>
      </w:r>
      <w:r w:rsidRPr="0097554A">
        <w:rPr>
          <w:color w:val="0000FF"/>
        </w:rPr>
        <w:t>（</w:t>
      </w:r>
      <w:r w:rsidRPr="004C59BB">
        <w:rPr>
          <w:color w:val="0000FF"/>
          <w:lang w:val="ru-RU"/>
        </w:rPr>
        <w:t>格里高利</w:t>
      </w:r>
      <w:r w:rsidRPr="0097554A">
        <w:rPr>
          <w:color w:val="0000FF"/>
        </w:rPr>
        <w:t>·</w:t>
      </w:r>
      <w:r w:rsidRPr="004C59BB">
        <w:rPr>
          <w:color w:val="0000FF"/>
          <w:lang w:val="ru-RU"/>
        </w:rPr>
        <w:t>神学家</w:t>
      </w:r>
      <w:r w:rsidRPr="0097554A">
        <w:rPr>
          <w:color w:val="0000FF"/>
        </w:rPr>
        <w:t>，</w:t>
      </w:r>
      <w:r w:rsidRPr="004C59BB">
        <w:rPr>
          <w:color w:val="0000FF"/>
          <w:lang w:val="ru-RU"/>
        </w:rPr>
        <w:t>《马太福音》</w:t>
      </w:r>
      <w:r w:rsidRPr="0097554A">
        <w:rPr>
          <w:color w:val="0000FF"/>
        </w:rPr>
        <w:t>19</w:t>
      </w:r>
      <w:r w:rsidRPr="004C59BB">
        <w:rPr>
          <w:color w:val="0000FF"/>
          <w:lang w:val="ru-RU"/>
        </w:rPr>
        <w:t>章词汇注释</w:t>
      </w:r>
      <w:r w:rsidRPr="0097554A">
        <w:rPr>
          <w:color w:val="0000FF"/>
        </w:rPr>
        <w:t>，</w:t>
      </w:r>
      <w:r w:rsidRPr="004C59BB">
        <w:rPr>
          <w:color w:val="0000FF"/>
        </w:rPr>
        <w:t>第一卷</w:t>
      </w:r>
      <w:r w:rsidRPr="0097554A">
        <w:rPr>
          <w:color w:val="0000FF"/>
        </w:rPr>
        <w:t>，</w:t>
      </w:r>
      <w:r w:rsidRPr="004C59BB">
        <w:rPr>
          <w:color w:val="0000FF"/>
          <w:lang w:val="ru-RU"/>
        </w:rPr>
        <w:t>载于《圣教父著作集》</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215</w:t>
      </w:r>
      <w:r w:rsidRPr="004C59BB">
        <w:rPr>
          <w:color w:val="0000FF"/>
          <w:lang w:val="ru-RU"/>
        </w:rPr>
        <w:t>页</w:t>
      </w:r>
      <w:r w:rsidRPr="0097554A">
        <w:rPr>
          <w:color w:val="0000FF"/>
        </w:rPr>
        <w:t>）</w:t>
      </w:r>
      <w:r w:rsidRPr="004C59BB">
        <w:rPr>
          <w:color w:val="0000FF"/>
          <w:lang w:val="ru-RU"/>
        </w:rPr>
        <w:t>。</w:t>
      </w:r>
      <w:r w:rsidRPr="0097554A">
        <w:rPr>
          <w:color w:val="0000FF"/>
        </w:rPr>
        <w:t xml:space="preserve"> “</w:t>
      </w:r>
      <w:r w:rsidRPr="004C59BB">
        <w:rPr>
          <w:color w:val="0000FF"/>
          <w:lang w:val="ru-RU"/>
        </w:rPr>
        <w:t>不可测度的上帝通过理性的灵魂被所容纳</w:t>
      </w:r>
      <w:r w:rsidRPr="0097554A">
        <w:rPr>
          <w:color w:val="0000FF"/>
        </w:rPr>
        <w:t>，</w:t>
      </w:r>
      <w:r w:rsidRPr="004C59BB">
        <w:rPr>
          <w:color w:val="0000FF"/>
          <w:lang w:val="ru-RU"/>
        </w:rPr>
        <w:t>这灵魂在神性与粗糙的肉体之间起中介作用</w:t>
      </w:r>
      <w:r w:rsidRPr="0097554A">
        <w:rPr>
          <w:color w:val="0000FF"/>
        </w:rPr>
        <w:t xml:space="preserve">； </w:t>
      </w:r>
      <w:r w:rsidRPr="004C59BB">
        <w:rPr>
          <w:color w:val="0000FF"/>
          <w:lang w:val="ru-RU"/>
        </w:rPr>
        <w:t>那富有的变得贫穷</w:t>
      </w:r>
      <w:r w:rsidRPr="0097554A">
        <w:rPr>
          <w:color w:val="0000FF"/>
        </w:rPr>
        <w:t>——</w:t>
      </w:r>
      <w:r w:rsidRPr="004C59BB">
        <w:rPr>
          <w:color w:val="0000FF"/>
          <w:lang w:val="ru-RU"/>
        </w:rPr>
        <w:t>贫穷到我的肉体</w:t>
      </w:r>
      <w:r w:rsidRPr="0097554A">
        <w:rPr>
          <w:color w:val="0000FF"/>
        </w:rPr>
        <w:t>，</w:t>
      </w:r>
      <w:r w:rsidRPr="004C59BB">
        <w:rPr>
          <w:color w:val="0000FF"/>
          <w:lang w:val="ru-RU"/>
        </w:rPr>
        <w:t>为要使我因祂的神性而富足。那丰盛的变得贫乏</w:t>
      </w:r>
      <w:r w:rsidRPr="0097554A">
        <w:rPr>
          <w:color w:val="0000FF"/>
        </w:rPr>
        <w:t>——</w:t>
      </w:r>
      <w:r w:rsidRPr="004C59BB">
        <w:rPr>
          <w:color w:val="0000FF"/>
          <w:lang w:val="ru-RU"/>
        </w:rPr>
        <w:t>在祂的荣耀中暂时变得贫乏</w:t>
      </w:r>
      <w:r w:rsidRPr="0097554A">
        <w:rPr>
          <w:color w:val="0000FF"/>
        </w:rPr>
        <w:t>，</w:t>
      </w:r>
      <w:r w:rsidRPr="004C59BB">
        <w:rPr>
          <w:color w:val="0000FF"/>
          <w:lang w:val="ru-RU"/>
        </w:rPr>
        <w:t>为要使我得以分享祂的</w:t>
      </w:r>
      <w:r w:rsidR="005666A3" w:rsidRPr="004C59BB">
        <w:rPr>
          <w:color w:val="0000FF"/>
          <w:lang w:val="ru-RU"/>
        </w:rPr>
        <w:t>丰盛</w:t>
      </w:r>
      <w:r w:rsidR="005666A3" w:rsidRPr="0097554A">
        <w:rPr>
          <w:color w:val="0000FF"/>
        </w:rPr>
        <w:t>”</w:t>
      </w:r>
      <w:r w:rsidRPr="0097554A">
        <w:rPr>
          <w:color w:val="0000FF"/>
        </w:rPr>
        <w:t>（</w:t>
      </w:r>
      <w:r w:rsidRPr="004C59BB">
        <w:rPr>
          <w:color w:val="0000FF"/>
          <w:lang w:val="ru-RU"/>
        </w:rPr>
        <w:t>《主显节讲道集》</w:t>
      </w:r>
      <w:r w:rsidRPr="0097554A">
        <w:rPr>
          <w:color w:val="0000FF"/>
        </w:rPr>
        <w:t>，</w:t>
      </w:r>
      <w:r w:rsidRPr="004C59BB">
        <w:rPr>
          <w:color w:val="0000FF"/>
          <w:lang w:val="ru-RU"/>
        </w:rPr>
        <w:t>同上</w:t>
      </w:r>
      <w:r w:rsidRPr="0097554A">
        <w:rPr>
          <w:color w:val="0000FF"/>
        </w:rPr>
        <w:t>，</w:t>
      </w:r>
      <w:r w:rsidRPr="004C59BB">
        <w:rPr>
          <w:color w:val="0000FF"/>
          <w:lang w:val="ru-RU"/>
        </w:rPr>
        <w:t>第</w:t>
      </w:r>
      <w:r w:rsidRPr="0097554A">
        <w:rPr>
          <w:color w:val="0000FF"/>
        </w:rPr>
        <w:t>245</w:t>
      </w:r>
      <w:r w:rsidRPr="004C59BB">
        <w:rPr>
          <w:color w:val="0000FF"/>
          <w:lang w:val="ru-RU"/>
        </w:rPr>
        <w:t>页</w:t>
      </w:r>
      <w:r w:rsidRPr="0097554A">
        <w:rPr>
          <w:color w:val="0000FF"/>
        </w:rPr>
        <w:t>）</w:t>
      </w:r>
      <w:r w:rsidRPr="004C59BB">
        <w:rPr>
          <w:color w:val="0000FF"/>
          <w:lang w:val="ru-RU"/>
        </w:rPr>
        <w:t>。</w:t>
      </w:r>
    </w:p>
  </w:footnote>
  <w:footnote w:id="343">
    <w:p w14:paraId="0C9867ED" w14:textId="77777777" w:rsidR="00951BFA" w:rsidRPr="0097554A" w:rsidRDefault="00951BFA">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祂为我们成了人。祂承受了最坏的</w:t>
      </w:r>
      <w:r w:rsidRPr="0097554A">
        <w:rPr>
          <w:color w:val="0000FF"/>
        </w:rPr>
        <w:t>，</w:t>
      </w:r>
      <w:r w:rsidRPr="004C59BB">
        <w:rPr>
          <w:color w:val="0000FF"/>
          <w:lang w:val="ru-RU"/>
        </w:rPr>
        <w:t>为要赐予我们最好的</w:t>
      </w:r>
      <w:r w:rsidRPr="0097554A">
        <w:rPr>
          <w:color w:val="0000FF"/>
        </w:rPr>
        <w:t>；</w:t>
      </w:r>
      <w:r w:rsidRPr="004C59BB">
        <w:rPr>
          <w:color w:val="0000FF"/>
          <w:lang w:val="ru-RU"/>
        </w:rPr>
        <w:t>祂变得贫穷</w:t>
      </w:r>
      <w:r w:rsidRPr="0097554A">
        <w:rPr>
          <w:color w:val="0000FF"/>
        </w:rPr>
        <w:t>，</w:t>
      </w:r>
      <w:r w:rsidRPr="004C59BB">
        <w:rPr>
          <w:color w:val="0000FF"/>
          <w:lang w:val="ru-RU"/>
        </w:rPr>
        <w:t>为要让我们因祂的贫穷而富足</w:t>
      </w:r>
      <w:r w:rsidRPr="0097554A">
        <w:rPr>
          <w:color w:val="0000FF"/>
        </w:rPr>
        <w:t>；</w:t>
      </w:r>
      <w:r w:rsidRPr="004C59BB">
        <w:rPr>
          <w:color w:val="0000FF"/>
          <w:lang w:val="ru-RU"/>
        </w:rPr>
        <w:t>祂取了奴仆的形像</w:t>
      </w:r>
      <w:r w:rsidRPr="0097554A">
        <w:rPr>
          <w:color w:val="0000FF"/>
        </w:rPr>
        <w:t>，</w:t>
      </w:r>
      <w:r w:rsidRPr="004C59BB">
        <w:rPr>
          <w:color w:val="0000FF"/>
          <w:lang w:val="ru-RU"/>
        </w:rPr>
        <w:t>为要让我们获得自由</w:t>
      </w:r>
      <w:r w:rsidRPr="0097554A">
        <w:rPr>
          <w:color w:val="0000FF"/>
        </w:rPr>
        <w:t>；</w:t>
      </w:r>
      <w:r w:rsidRPr="004C59BB">
        <w:rPr>
          <w:color w:val="0000FF"/>
          <w:lang w:val="ru-RU"/>
        </w:rPr>
        <w:t>祂降卑自己</w:t>
      </w:r>
      <w:r w:rsidRPr="0097554A">
        <w:rPr>
          <w:color w:val="0000FF"/>
        </w:rPr>
        <w:t>，</w:t>
      </w:r>
      <w:r w:rsidRPr="004C59BB">
        <w:rPr>
          <w:color w:val="0000FF"/>
          <w:lang w:val="ru-RU"/>
        </w:rPr>
        <w:t>为要让我们得以升华</w:t>
      </w:r>
      <w:r w:rsidRPr="0097554A">
        <w:rPr>
          <w:color w:val="0000FF"/>
        </w:rPr>
        <w:t>；</w:t>
      </w:r>
      <w:r w:rsidRPr="004C59BB">
        <w:rPr>
          <w:color w:val="0000FF"/>
          <w:lang w:val="ru-RU"/>
        </w:rPr>
        <w:t>祂受了试探</w:t>
      </w:r>
      <w:r w:rsidRPr="0097554A">
        <w:rPr>
          <w:color w:val="0000FF"/>
        </w:rPr>
        <w:t>，</w:t>
      </w:r>
      <w:r w:rsidRPr="004C59BB">
        <w:rPr>
          <w:color w:val="0000FF"/>
          <w:lang w:val="ru-RU"/>
        </w:rPr>
        <w:t>为要让我们得胜</w:t>
      </w:r>
      <w:r w:rsidRPr="0097554A">
        <w:rPr>
          <w:color w:val="0000FF"/>
        </w:rPr>
        <w:t xml:space="preserve">； </w:t>
      </w:r>
      <w:r w:rsidRPr="004C59BB">
        <w:rPr>
          <w:color w:val="0000FF"/>
          <w:lang w:val="ru-RU"/>
        </w:rPr>
        <w:t>忍受了羞辱</w:t>
      </w:r>
      <w:r w:rsidRPr="0097554A">
        <w:rPr>
          <w:color w:val="0000FF"/>
        </w:rPr>
        <w:t>，</w:t>
      </w:r>
      <w:r w:rsidRPr="004C59BB">
        <w:rPr>
          <w:color w:val="0000FF"/>
          <w:lang w:val="ru-RU"/>
        </w:rPr>
        <w:t>为要使我们得荣耀</w:t>
      </w:r>
      <w:r w:rsidRPr="0097554A">
        <w:rPr>
          <w:color w:val="0000FF"/>
        </w:rPr>
        <w:t>；</w:t>
      </w:r>
      <w:r w:rsidRPr="004C59BB">
        <w:rPr>
          <w:color w:val="0000FF"/>
          <w:lang w:val="ru-RU"/>
        </w:rPr>
        <w:t>他死了</w:t>
      </w:r>
      <w:r w:rsidRPr="0097554A">
        <w:rPr>
          <w:color w:val="0000FF"/>
        </w:rPr>
        <w:t>，</w:t>
      </w:r>
      <w:r w:rsidRPr="004C59BB">
        <w:rPr>
          <w:color w:val="0000FF"/>
          <w:lang w:val="ru-RU"/>
        </w:rPr>
        <w:t>为要拯救我们</w:t>
      </w:r>
      <w:r w:rsidRPr="0097554A">
        <w:rPr>
          <w:color w:val="0000FF"/>
        </w:rPr>
        <w:t>；</w:t>
      </w:r>
      <w:r w:rsidRPr="004C59BB">
        <w:rPr>
          <w:color w:val="0000FF"/>
          <w:lang w:val="ru-RU"/>
        </w:rPr>
        <w:t>他升天</w:t>
      </w:r>
      <w:r w:rsidRPr="0097554A">
        <w:rPr>
          <w:color w:val="0000FF"/>
        </w:rPr>
        <w:t>，</w:t>
      </w:r>
      <w:r w:rsidRPr="004C59BB">
        <w:rPr>
          <w:color w:val="0000FF"/>
          <w:lang w:val="ru-RU"/>
        </w:rPr>
        <w:t>为要将那些因罪堕落而倒在尘土中的人吸引到他那里</w:t>
      </w:r>
      <w:r w:rsidR="005666A3" w:rsidRPr="004C59BB">
        <w:rPr>
          <w:color w:val="0000FF"/>
          <w:lang w:val="ru-RU"/>
        </w:rPr>
        <w:t>去</w:t>
      </w:r>
      <w:r w:rsidR="005666A3" w:rsidRPr="0097554A">
        <w:rPr>
          <w:color w:val="0000FF"/>
        </w:rPr>
        <w:t>”</w:t>
      </w:r>
      <w:r w:rsidRPr="0097554A">
        <w:rPr>
          <w:color w:val="0000FF"/>
        </w:rPr>
        <w:t>（</w:t>
      </w:r>
      <w:r w:rsidRPr="004C59BB">
        <w:rPr>
          <w:color w:val="0000FF"/>
          <w:lang w:val="ru-RU"/>
        </w:rPr>
        <w:t>格里高利</w:t>
      </w:r>
      <w:r w:rsidRPr="0097554A">
        <w:rPr>
          <w:color w:val="0000FF"/>
        </w:rPr>
        <w:t>·</w:t>
      </w:r>
      <w:r w:rsidRPr="004C59BB">
        <w:rPr>
          <w:color w:val="0000FF"/>
          <w:lang w:val="ru-RU"/>
        </w:rPr>
        <w:t>神学家</w:t>
      </w:r>
      <w:r w:rsidRPr="0097554A">
        <w:rPr>
          <w:color w:val="0000FF"/>
        </w:rPr>
        <w:t>，</w:t>
      </w:r>
      <w:r w:rsidRPr="004C59BB">
        <w:rPr>
          <w:color w:val="0000FF"/>
          <w:lang w:val="ru-RU"/>
        </w:rPr>
        <w:t>《复活节讲道集》</w:t>
      </w:r>
      <w:r w:rsidRPr="0097554A">
        <w:rPr>
          <w:color w:val="0000FF"/>
        </w:rPr>
        <w:t>，</w:t>
      </w:r>
      <w:r w:rsidRPr="004C59BB">
        <w:rPr>
          <w:color w:val="0000FF"/>
          <w:lang w:val="ru-RU"/>
        </w:rPr>
        <w:t>载于《圣教父文集》第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7</w:t>
      </w:r>
      <w:r w:rsidRPr="004C59BB">
        <w:rPr>
          <w:color w:val="0000FF"/>
          <w:lang w:val="ru-RU"/>
        </w:rPr>
        <w:t>页</w:t>
      </w:r>
      <w:r w:rsidRPr="0097554A">
        <w:rPr>
          <w:color w:val="0000FF"/>
        </w:rPr>
        <w:t>）</w:t>
      </w:r>
      <w:r w:rsidRPr="004C59BB">
        <w:rPr>
          <w:color w:val="0000FF"/>
          <w:lang w:val="ru-RU"/>
        </w:rPr>
        <w:t>。</w:t>
      </w:r>
    </w:p>
  </w:footnote>
  <w:footnote w:id="344">
    <w:p w14:paraId="4DD79EE7" w14:textId="77777777" w:rsidR="00951BFA" w:rsidRPr="0097554A" w:rsidRDefault="00951BFA">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《书信</w:t>
      </w:r>
      <w:r w:rsidRPr="004C59BB">
        <w:rPr>
          <w:color w:val="0000FF"/>
          <w:lang w:val="ru-RU"/>
        </w:rPr>
        <w:t>》</w:t>
      </w:r>
      <w:r w:rsidRPr="004C59BB">
        <w:rPr>
          <w:color w:val="0000FF"/>
        </w:rPr>
        <w:t>第VII</w:t>
      </w:r>
      <w:r w:rsidRPr="004C59BB">
        <w:rPr>
          <w:color w:val="0000FF"/>
          <w:lang w:val="ru-RU"/>
        </w:rPr>
        <w:t>号。</w:t>
      </w:r>
    </w:p>
  </w:footnote>
  <w:footnote w:id="345">
    <w:p w14:paraId="63F7D96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致哥林多书信 1，第21节；参见第49节。</w:t>
      </w:r>
    </w:p>
  </w:footnote>
  <w:footnote w:id="346">
    <w:p w14:paraId="365C74A6"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致特拉勒斯书 第2节；参见《致士麦那书》第1节。</w:t>
      </w:r>
    </w:p>
  </w:footnote>
  <w:footnote w:id="347">
    <w:p w14:paraId="13F3E68A"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《致腓力书》，第1、8节，载于《Xp. Чт.》1821年，第1卷，第117、123页。</w:t>
      </w:r>
    </w:p>
  </w:footnote>
  <w:footnote w:id="348">
    <w:p w14:paraId="0EDFF4A2"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《辩护书》1，第63节；参见《与特里弗的对话》第88节。</w:t>
      </w:r>
    </w:p>
  </w:footnote>
  <w:footnote w:id="349">
    <w:p w14:paraId="40B89CAE"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《反异端》第五卷，第1章；参见第16章，第3节；第17章，第1节；第21章，第1节。</w:t>
      </w:r>
    </w:p>
  </w:footnote>
  <w:footnote w:id="350">
    <w:p w14:paraId="055F910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《反马吉安论》第三卷，第9章。</w:t>
      </w:r>
    </w:p>
  </w:footnote>
  <w:footnote w:id="351">
    <w:p w14:paraId="3E4BC73C"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《致德米特里安书》第25节，载于《教父全集》第IV卷，第564页，米涅版。</w:t>
      </w:r>
    </w:p>
  </w:footnote>
  <w:footnote w:id="352">
    <w:p w14:paraId="7C270EC7"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《福音论证》第四卷，第12章；参见第一卷，第10章；第十卷，第1章。</w:t>
      </w:r>
    </w:p>
  </w:footnote>
  <w:footnote w:id="353">
    <w:p w14:paraId="016EDB2A" w14:textId="77777777" w:rsidR="00911E4B" w:rsidRPr="004C59BB" w:rsidRDefault="00911E4B">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《神学</w:t>
      </w:r>
      <w:r w:rsidRPr="004C59BB">
        <w:rPr>
          <w:color w:val="0000FF"/>
        </w:rPr>
        <w:t>词汇</w:t>
      </w:r>
      <w:r w:rsidRPr="004C59BB">
        <w:rPr>
          <w:color w:val="0000FF"/>
          <w:lang w:val="ru-RU"/>
        </w:rPr>
        <w:t>》</w:t>
      </w:r>
      <w:r w:rsidRPr="004C59BB">
        <w:rPr>
          <w:color w:val="0000FF"/>
        </w:rPr>
        <w:t>第四</w:t>
      </w:r>
      <w:r w:rsidRPr="004C59BB">
        <w:rPr>
          <w:color w:val="0000FF"/>
          <w:lang w:val="ru-RU"/>
        </w:rPr>
        <w:t>卷</w:t>
      </w:r>
      <w:r w:rsidRPr="0097554A">
        <w:rPr>
          <w:color w:val="0000FF"/>
        </w:rPr>
        <w:t>，</w:t>
      </w:r>
      <w:r w:rsidRPr="004C59BB">
        <w:rPr>
          <w:color w:val="0000FF"/>
          <w:lang w:val="ru-RU"/>
        </w:rPr>
        <w:t>载于《圣</w:t>
      </w:r>
      <w:r w:rsidRPr="004C59BB">
        <w:rPr>
          <w:color w:val="0000FF"/>
        </w:rPr>
        <w:t>教父</w:t>
      </w:r>
      <w:r w:rsidRPr="004C59BB">
        <w:rPr>
          <w:color w:val="0000FF"/>
          <w:lang w:val="ru-RU"/>
        </w:rPr>
        <w:t>著作集</w:t>
      </w:r>
      <w:r w:rsidRPr="004C59BB">
        <w:rPr>
          <w:color w:val="0000FF"/>
        </w:rPr>
        <w:t>》第III卷，第100页。</w:t>
      </w:r>
    </w:p>
  </w:footnote>
  <w:footnote w:id="354">
    <w:p w14:paraId="14DA78E8"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《诗篇》第XXXV篇，礼仪注释，第15节。</w:t>
      </w:r>
    </w:p>
  </w:footnote>
  <w:footnote w:id="355">
    <w:p w14:paraId="1C5D1AED" w14:textId="77777777" w:rsidR="00AC34FC" w:rsidRPr="0097554A" w:rsidRDefault="00AC34FC">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《路加福音注释</w:t>
      </w:r>
      <w:r w:rsidRPr="004C59BB">
        <w:rPr>
          <w:color w:val="0000FF"/>
          <w:lang w:val="ru-RU"/>
        </w:rPr>
        <w:t>》</w:t>
      </w:r>
      <w:r w:rsidRPr="004C59BB">
        <w:rPr>
          <w:color w:val="0000FF"/>
        </w:rPr>
        <w:t>第七</w:t>
      </w:r>
      <w:r w:rsidRPr="004C59BB">
        <w:rPr>
          <w:color w:val="0000FF"/>
          <w:lang w:val="ru-RU"/>
        </w:rPr>
        <w:t>章。</w:t>
      </w:r>
    </w:p>
  </w:footnote>
  <w:footnote w:id="356">
    <w:p w14:paraId="3ADEAF62" w14:textId="77777777" w:rsidR="00AC34FC" w:rsidRPr="0097554A" w:rsidRDefault="00AC34FC">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《论救主受难》</w:t>
      </w:r>
      <w:r w:rsidRPr="0097554A">
        <w:rPr>
          <w:color w:val="0000FF"/>
        </w:rPr>
        <w:t>，</w:t>
      </w:r>
      <w:r w:rsidRPr="004C59BB">
        <w:rPr>
          <w:color w:val="0000FF"/>
          <w:lang w:val="ru-RU"/>
        </w:rPr>
        <w:t>载于《圣教父文集》</w:t>
      </w:r>
      <w:r w:rsidRPr="004C59BB">
        <w:rPr>
          <w:color w:val="0000FF"/>
        </w:rPr>
        <w:t>第十五卷</w:t>
      </w:r>
      <w:r w:rsidRPr="0097554A">
        <w:rPr>
          <w:color w:val="0000FF"/>
        </w:rPr>
        <w:t>，</w:t>
      </w:r>
      <w:r w:rsidRPr="004C59BB">
        <w:rPr>
          <w:color w:val="0000FF"/>
          <w:lang w:val="ru-RU"/>
        </w:rPr>
        <w:t>第</w:t>
      </w:r>
      <w:r w:rsidRPr="0097554A">
        <w:rPr>
          <w:color w:val="0000FF"/>
        </w:rPr>
        <w:t>243</w:t>
      </w:r>
      <w:r w:rsidRPr="004C59BB">
        <w:rPr>
          <w:color w:val="0000FF"/>
          <w:lang w:val="ru-RU"/>
        </w:rPr>
        <w:t>页。</w:t>
      </w:r>
    </w:p>
  </w:footnote>
  <w:footnote w:id="357">
    <w:p w14:paraId="0BFB040E" w14:textId="77777777" w:rsidR="00AC34FC" w:rsidRPr="0097554A" w:rsidRDefault="00AC34FC">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《诗篇讲道集》第</w:t>
      </w:r>
      <w:r w:rsidRPr="0097554A">
        <w:rPr>
          <w:color w:val="0000FF"/>
        </w:rPr>
        <w:t>48</w:t>
      </w:r>
      <w:r w:rsidRPr="004C59BB">
        <w:rPr>
          <w:color w:val="0000FF"/>
          <w:lang w:val="ru-RU"/>
        </w:rPr>
        <w:t>篇</w:t>
      </w:r>
      <w:r w:rsidRPr="0097554A">
        <w:rPr>
          <w:color w:val="0000FF"/>
        </w:rPr>
        <w:t>，</w:t>
      </w:r>
      <w:r w:rsidRPr="004C59BB">
        <w:rPr>
          <w:color w:val="0000FF"/>
          <w:lang w:val="ru-RU"/>
        </w:rPr>
        <w:t>同上</w:t>
      </w:r>
      <w:r w:rsidRPr="0097554A">
        <w:rPr>
          <w:color w:val="0000FF"/>
        </w:rPr>
        <w:t>，</w:t>
      </w:r>
      <w:r w:rsidRPr="004C59BB">
        <w:rPr>
          <w:color w:val="0000FF"/>
        </w:rPr>
        <w:t>V</w:t>
      </w:r>
      <w:r w:rsidRPr="0097554A">
        <w:rPr>
          <w:color w:val="0000FF"/>
        </w:rPr>
        <w:t>，360</w:t>
      </w:r>
      <w:r w:rsidRPr="004C59BB">
        <w:rPr>
          <w:color w:val="0000FF"/>
          <w:lang w:val="ru-RU"/>
        </w:rPr>
        <w:t>。</w:t>
      </w:r>
    </w:p>
  </w:footnote>
  <w:footnote w:id="358">
    <w:p w14:paraId="37D746C8" w14:textId="77777777" w:rsidR="00AC34FC" w:rsidRPr="0097554A" w:rsidRDefault="00AC34FC">
      <w:pPr>
        <w:pStyle w:val="FootnoteText"/>
        <w:rPr>
          <w:color w:val="0000FF"/>
          <w:lang w:val="ru-RU"/>
        </w:rPr>
      </w:pPr>
      <w:r w:rsidRPr="004C59BB">
        <w:rPr>
          <w:rStyle w:val="FootnoteReference"/>
          <w:color w:val="0000FF"/>
        </w:rPr>
        <w:footnoteRef/>
      </w:r>
      <w:r w:rsidRPr="004C59BB">
        <w:rPr>
          <w:color w:val="0000FF"/>
        </w:rPr>
        <w:t xml:space="preserve"> 《论上帝之言的道成肉身》第25节，载于《基督教周报》1838年第II卷，第145–148页。</w:t>
      </w:r>
      <w:r w:rsidRPr="004C59BB">
        <w:rPr>
          <w:color w:val="0000FF"/>
          <w:lang w:val="ru-RU"/>
        </w:rPr>
        <w:t>关于这些观点</w:t>
      </w:r>
      <w:r w:rsidRPr="0097554A">
        <w:rPr>
          <w:color w:val="0000FF"/>
        </w:rPr>
        <w:t>，</w:t>
      </w:r>
      <w:r w:rsidRPr="004C59BB">
        <w:rPr>
          <w:color w:val="0000FF"/>
          <w:lang w:val="ru-RU"/>
        </w:rPr>
        <w:t>尤其是最后两点</w:t>
      </w:r>
      <w:r w:rsidRPr="0097554A">
        <w:rPr>
          <w:color w:val="0000FF"/>
        </w:rPr>
        <w:t>，</w:t>
      </w:r>
      <w:r w:rsidRPr="004C59BB">
        <w:rPr>
          <w:color w:val="0000FF"/>
          <w:lang w:val="ru-RU"/>
        </w:rPr>
        <w:t>参见圣爱任纽</w:t>
      </w:r>
      <w:r w:rsidRPr="0097554A">
        <w:rPr>
          <w:color w:val="0000FF"/>
        </w:rPr>
        <w:t>（</w:t>
      </w:r>
      <w:r w:rsidRPr="004C59BB">
        <w:rPr>
          <w:color w:val="0000FF"/>
          <w:lang w:val="ru-RU"/>
        </w:rPr>
        <w:t>《</w:t>
      </w:r>
      <w:r w:rsidRPr="004C59BB">
        <w:rPr>
          <w:color w:val="0000FF"/>
        </w:rPr>
        <w:t>反异端</w:t>
      </w:r>
      <w:r w:rsidRPr="004C59BB">
        <w:rPr>
          <w:color w:val="0000FF"/>
          <w:lang w:val="ru-RU"/>
        </w:rPr>
        <w:t>》</w:t>
      </w:r>
      <w:r w:rsidRPr="0097554A">
        <w:rPr>
          <w:color w:val="0000FF"/>
        </w:rPr>
        <w:t xml:space="preserve"> </w:t>
      </w:r>
      <w:r w:rsidRPr="004C59BB">
        <w:rPr>
          <w:color w:val="0000FF"/>
        </w:rPr>
        <w:t>V</w:t>
      </w:r>
      <w:r w:rsidRPr="0097554A">
        <w:rPr>
          <w:color w:val="0000FF"/>
        </w:rPr>
        <w:t xml:space="preserve">, 17, </w:t>
      </w:r>
      <w:r w:rsidRPr="004C59BB">
        <w:rPr>
          <w:color w:val="0000FF"/>
        </w:rPr>
        <w:t>n</w:t>
      </w:r>
      <w:r w:rsidRPr="0097554A">
        <w:rPr>
          <w:color w:val="0000FF"/>
        </w:rPr>
        <w:t>. 4）</w:t>
      </w:r>
      <w:r w:rsidRPr="004C59BB">
        <w:rPr>
          <w:color w:val="0000FF"/>
          <w:lang w:val="ru-RU"/>
        </w:rPr>
        <w:t>、拉克坦提乌斯</w:t>
      </w:r>
      <w:r w:rsidRPr="0097554A">
        <w:rPr>
          <w:color w:val="0000FF"/>
        </w:rPr>
        <w:t>（</w:t>
      </w:r>
      <w:r w:rsidRPr="004C59BB">
        <w:rPr>
          <w:color w:val="0000FF"/>
          <w:lang w:val="ru-RU"/>
        </w:rPr>
        <w:t>《</w:t>
      </w:r>
      <w:r w:rsidRPr="004C59BB">
        <w:rPr>
          <w:color w:val="0000FF"/>
        </w:rPr>
        <w:t>神学</w:t>
      </w:r>
      <w:r w:rsidRPr="004C59BB">
        <w:rPr>
          <w:color w:val="0000FF"/>
          <w:lang w:val="ru-RU"/>
        </w:rPr>
        <w:t>入门》</w:t>
      </w:r>
      <w:r w:rsidRPr="004C59BB">
        <w:rPr>
          <w:color w:val="0000FF"/>
        </w:rPr>
        <w:t>IV</w:t>
      </w:r>
      <w:r w:rsidRPr="0097554A">
        <w:rPr>
          <w:color w:val="0000FF"/>
        </w:rPr>
        <w:t>, 26）</w:t>
      </w:r>
      <w:r w:rsidRPr="004C59BB">
        <w:rPr>
          <w:color w:val="0000FF"/>
          <w:lang w:val="ru-RU"/>
        </w:rPr>
        <w:t>、</w:t>
      </w:r>
      <w:r w:rsidRPr="004C59BB">
        <w:rPr>
          <w:color w:val="0000FF"/>
        </w:rPr>
        <w:t>圣格里高利·尼西亚（《教理讲道》第XXXII篇；《反尤诺米乌斯论》第四卷，见第II卷，第583页，Morel版 Morel.版），圣约翰·金口（《论十字架与坟墓的讲道》</w:t>
      </w:r>
      <w:r w:rsidR="00F45CFB" w:rsidRPr="004C59BB">
        <w:rPr>
          <w:b/>
          <w:color w:val="0000FF"/>
        </w:rPr>
        <w:t>1</w:t>
      </w:r>
      <w:r w:rsidRPr="004C59BB">
        <w:rPr>
          <w:color w:val="0000FF"/>
        </w:rPr>
        <w:t>,</w:t>
      </w:r>
      <w:r w:rsidR="00F45CFB" w:rsidRPr="004C59BB">
        <w:rPr>
          <w:b/>
          <w:color w:val="0000FF"/>
        </w:rPr>
        <w:t xml:space="preserve"> 11）</w:t>
      </w:r>
      <w:r w:rsidRPr="004C59BB">
        <w:rPr>
          <w:color w:val="0000FF"/>
        </w:rPr>
        <w:t>等</w:t>
      </w:r>
      <w:r w:rsidRPr="004C59BB">
        <w:rPr>
          <w:color w:val="0000FF"/>
          <w:lang w:val="ru-RU"/>
        </w:rPr>
        <w:t>。或者还有这样的论点</w:t>
      </w:r>
      <w:r w:rsidR="005666A3" w:rsidRPr="004C59BB">
        <w:rPr>
          <w:color w:val="0000FF"/>
          <w:lang w:val="ru-RU"/>
        </w:rPr>
        <w:t>：</w:t>
      </w:r>
      <w:r w:rsidRPr="004C59BB">
        <w:rPr>
          <w:color w:val="0000FF"/>
          <w:lang w:val="ru-RU"/>
        </w:rPr>
        <w:t>“既然死亡是通过树木而来的（创世记 2:3），那么生命与复活也理应通过树木而赐</w:t>
      </w:r>
      <w:r w:rsidR="005666A3" w:rsidRPr="004C59BB">
        <w:rPr>
          <w:color w:val="0000FF"/>
          <w:lang w:val="ru-RU"/>
        </w:rPr>
        <w:t>予”</w:t>
      </w:r>
      <w:r w:rsidRPr="004C59BB">
        <w:rPr>
          <w:color w:val="0000FF"/>
          <w:lang w:val="ru-RU"/>
        </w:rPr>
        <w:t xml:space="preserve"> （大马士革，《信仰论述》</w:t>
      </w:r>
      <w:r w:rsidRPr="004C59BB">
        <w:rPr>
          <w:color w:val="0000FF"/>
        </w:rPr>
        <w:t>第四卷</w:t>
      </w:r>
      <w:r w:rsidRPr="004C59BB">
        <w:rPr>
          <w:color w:val="0000FF"/>
          <w:lang w:val="ru-RU"/>
        </w:rPr>
        <w:t>，</w:t>
      </w:r>
      <w:r w:rsidRPr="004C59BB">
        <w:rPr>
          <w:color w:val="0000FF"/>
        </w:rPr>
        <w:t>第二</w:t>
      </w:r>
      <w:r w:rsidRPr="004C59BB">
        <w:rPr>
          <w:color w:val="0000FF"/>
          <w:lang w:val="ru-RU"/>
        </w:rPr>
        <w:t>章，第244页；</w:t>
      </w:r>
      <w:r w:rsidRPr="004C59BB">
        <w:rPr>
          <w:color w:val="0000FF"/>
        </w:rPr>
        <w:t>参见</w:t>
      </w:r>
      <w:r w:rsidRPr="004C59BB">
        <w:rPr>
          <w:color w:val="0000FF"/>
          <w:lang w:val="ru-RU"/>
        </w:rPr>
        <w:t>《反异端论》</w:t>
      </w:r>
      <w:r w:rsidRPr="004C59BB">
        <w:rPr>
          <w:color w:val="0000FF"/>
        </w:rPr>
        <w:t>第五卷</w:t>
      </w:r>
      <w:r w:rsidRPr="0097554A">
        <w:rPr>
          <w:color w:val="0000FF"/>
          <w:lang w:val="ru-RU"/>
        </w:rPr>
        <w:t>，16，</w:t>
      </w:r>
      <w:r w:rsidRPr="004C59BB">
        <w:rPr>
          <w:color w:val="0000FF"/>
        </w:rPr>
        <w:t>注</w:t>
      </w:r>
      <w:r w:rsidRPr="0097554A">
        <w:rPr>
          <w:color w:val="0000FF"/>
          <w:lang w:val="ru-RU"/>
        </w:rPr>
        <w:t>3；17，</w:t>
      </w:r>
      <w:r w:rsidRPr="004C59BB">
        <w:rPr>
          <w:color w:val="0000FF"/>
        </w:rPr>
        <w:t>注</w:t>
      </w:r>
      <w:r w:rsidRPr="0097554A">
        <w:rPr>
          <w:color w:val="0000FF"/>
          <w:lang w:val="ru-RU"/>
        </w:rPr>
        <w:t>4；18，</w:t>
      </w:r>
      <w:r w:rsidRPr="004C59BB">
        <w:rPr>
          <w:color w:val="0000FF"/>
        </w:rPr>
        <w:t>注</w:t>
      </w:r>
      <w:r w:rsidRPr="0097554A">
        <w:rPr>
          <w:color w:val="0000FF"/>
          <w:lang w:val="ru-RU"/>
        </w:rPr>
        <w:t>3；19，</w:t>
      </w:r>
      <w:r w:rsidRPr="004C59BB">
        <w:rPr>
          <w:color w:val="0000FF"/>
        </w:rPr>
        <w:t>注</w:t>
      </w:r>
      <w:r w:rsidRPr="0097554A">
        <w:rPr>
          <w:color w:val="0000FF"/>
          <w:lang w:val="ru-RU"/>
        </w:rPr>
        <w:t>1）</w:t>
      </w:r>
      <w:r w:rsidRPr="004C59BB">
        <w:rPr>
          <w:color w:val="0000FF"/>
        </w:rPr>
        <w:t>。</w:t>
      </w:r>
    </w:p>
  </w:footnote>
  <w:footnote w:id="359">
    <w:p w14:paraId="58C33B40" w14:textId="77777777" w:rsidR="00FF2DD0" w:rsidRPr="0097554A" w:rsidRDefault="00FF2DD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《致迪奥格涅特书》第IX节</w:t>
      </w:r>
      <w:r w:rsidRPr="0097554A">
        <w:rPr>
          <w:color w:val="0000FF"/>
          <w:lang w:val="ru-RU"/>
        </w:rPr>
        <w:t>，</w:t>
      </w:r>
      <w:r w:rsidRPr="004C59BB">
        <w:rPr>
          <w:color w:val="0000FF"/>
        </w:rPr>
        <w:t>载于《基督教读本》</w:t>
      </w:r>
      <w:r w:rsidRPr="0097554A">
        <w:rPr>
          <w:color w:val="0000FF"/>
          <w:lang w:val="ru-RU"/>
        </w:rPr>
        <w:t>1825</w:t>
      </w:r>
      <w:r w:rsidRPr="004C59BB">
        <w:rPr>
          <w:color w:val="0000FF"/>
        </w:rPr>
        <w:t>年版</w:t>
      </w:r>
      <w:r w:rsidRPr="0097554A">
        <w:rPr>
          <w:color w:val="0000FF"/>
          <w:lang w:val="ru-RU"/>
        </w:rPr>
        <w:t>，</w:t>
      </w:r>
      <w:r w:rsidRPr="004C59BB">
        <w:rPr>
          <w:color w:val="0000FF"/>
        </w:rPr>
        <w:t>第XX卷</w:t>
      </w:r>
      <w:r w:rsidRPr="0097554A">
        <w:rPr>
          <w:color w:val="0000FF"/>
          <w:lang w:val="ru-RU"/>
        </w:rPr>
        <w:t>，</w:t>
      </w:r>
      <w:r w:rsidRPr="004C59BB">
        <w:rPr>
          <w:color w:val="0000FF"/>
        </w:rPr>
        <w:t>第</w:t>
      </w:r>
      <w:r w:rsidRPr="0097554A">
        <w:rPr>
          <w:color w:val="0000FF"/>
          <w:lang w:val="ru-RU"/>
        </w:rPr>
        <w:t>156</w:t>
      </w:r>
      <w:r w:rsidRPr="004C59BB">
        <w:rPr>
          <w:color w:val="0000FF"/>
        </w:rPr>
        <w:t>页。</w:t>
      </w:r>
    </w:p>
  </w:footnote>
  <w:footnote w:id="360">
    <w:p w14:paraId="54C4E2DC" w14:textId="77777777" w:rsidR="00FF2DD0" w:rsidRPr="004C59BB" w:rsidRDefault="00FF2DD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《反异端论》第五卷</w:t>
      </w:r>
      <w:r w:rsidRPr="0097554A">
        <w:rPr>
          <w:color w:val="0000FF"/>
          <w:lang w:val="ru-RU"/>
        </w:rPr>
        <w:t>，</w:t>
      </w:r>
      <w:r w:rsidRPr="004C59BB">
        <w:rPr>
          <w:color w:val="0000FF"/>
        </w:rPr>
        <w:t>第</w:t>
      </w:r>
      <w:r w:rsidRPr="0097554A">
        <w:rPr>
          <w:color w:val="0000FF"/>
          <w:lang w:val="ru-RU"/>
        </w:rPr>
        <w:t>16</w:t>
      </w:r>
      <w:r w:rsidRPr="004C59BB">
        <w:rPr>
          <w:color w:val="0000FF"/>
        </w:rPr>
        <w:t>章</w:t>
      </w:r>
      <w:r w:rsidRPr="0097554A">
        <w:rPr>
          <w:color w:val="0000FF"/>
          <w:lang w:val="ru-RU"/>
        </w:rPr>
        <w:t>，</w:t>
      </w:r>
      <w:r w:rsidRPr="004C59BB">
        <w:rPr>
          <w:color w:val="0000FF"/>
        </w:rPr>
        <w:t>注</w:t>
      </w:r>
      <w:r w:rsidRPr="0097554A">
        <w:rPr>
          <w:color w:val="0000FF"/>
          <w:lang w:val="ru-RU"/>
        </w:rPr>
        <w:t>3</w:t>
      </w:r>
      <w:r w:rsidRPr="004C59BB">
        <w:rPr>
          <w:color w:val="0000FF"/>
        </w:rPr>
        <w:t>。以及后续：（未标注）“为我们受苦的父，我们曾得罪了他；他将我们的悖逆视为自己的顺服，并以此安慰我们，同时赐予我们那通往造物主的道路，即与祂的相交与顺服”（-第五卷，第37章，注1）。</w:t>
      </w:r>
    </w:p>
  </w:footnote>
  <w:footnote w:id="361">
    <w:p w14:paraId="203FFF3F" w14:textId="77777777" w:rsidR="009F28D2" w:rsidRPr="0097554A" w:rsidRDefault="009F28D2">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《讲道集》</w:t>
      </w:r>
      <w:r w:rsidRPr="004C59BB">
        <w:rPr>
          <w:color w:val="0000FF"/>
        </w:rPr>
        <w:t>第十三</w:t>
      </w:r>
      <w:r w:rsidRPr="004C59BB">
        <w:rPr>
          <w:color w:val="0000FF"/>
          <w:lang w:val="ru-RU"/>
        </w:rPr>
        <w:t>卷</w:t>
      </w:r>
      <w:r w:rsidRPr="0097554A">
        <w:rPr>
          <w:color w:val="0000FF"/>
        </w:rPr>
        <w:t>，</w:t>
      </w:r>
      <w:r w:rsidRPr="004C59BB">
        <w:rPr>
          <w:color w:val="0000FF"/>
          <w:lang w:val="ru-RU"/>
        </w:rPr>
        <w:t>第</w:t>
      </w:r>
      <w:r w:rsidRPr="0097554A">
        <w:rPr>
          <w:color w:val="0000FF"/>
        </w:rPr>
        <w:t>33</w:t>
      </w:r>
      <w:r w:rsidRPr="004C59BB">
        <w:rPr>
          <w:color w:val="0000FF"/>
          <w:lang w:val="ru-RU"/>
        </w:rPr>
        <w:t>条</w:t>
      </w:r>
      <w:r w:rsidRPr="0097554A">
        <w:rPr>
          <w:color w:val="0000FF"/>
        </w:rPr>
        <w:t>，</w:t>
      </w:r>
      <w:r w:rsidRPr="004C59BB">
        <w:rPr>
          <w:color w:val="0000FF"/>
          <w:lang w:val="ru-RU"/>
        </w:rPr>
        <w:t>第</w:t>
      </w:r>
      <w:r w:rsidRPr="0097554A">
        <w:rPr>
          <w:color w:val="0000FF"/>
        </w:rPr>
        <w:t>270</w:t>
      </w:r>
      <w:r w:rsidRPr="004C59BB">
        <w:rPr>
          <w:color w:val="0000FF"/>
          <w:lang w:val="ru-RU"/>
        </w:rPr>
        <w:t>页。</w:t>
      </w:r>
    </w:p>
  </w:footnote>
  <w:footnote w:id="362">
    <w:p w14:paraId="522FC7E3" w14:textId="77777777" w:rsidR="009F28D2" w:rsidRPr="0097554A" w:rsidRDefault="009F28D2">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同上</w:t>
      </w:r>
      <w:r w:rsidRPr="0097554A">
        <w:rPr>
          <w:color w:val="0000FF"/>
        </w:rPr>
        <w:t>，</w:t>
      </w:r>
      <w:r w:rsidRPr="004C59BB">
        <w:rPr>
          <w:color w:val="0000FF"/>
          <w:lang w:val="ru-RU"/>
        </w:rPr>
        <w:t>第</w:t>
      </w:r>
      <w:r w:rsidRPr="0097554A">
        <w:rPr>
          <w:color w:val="0000FF"/>
        </w:rPr>
        <w:t>2</w:t>
      </w:r>
      <w:r w:rsidRPr="004C59BB">
        <w:rPr>
          <w:color w:val="0000FF"/>
          <w:lang w:val="ru-RU"/>
        </w:rPr>
        <w:t>条</w:t>
      </w:r>
      <w:r w:rsidRPr="0097554A">
        <w:rPr>
          <w:color w:val="0000FF"/>
        </w:rPr>
        <w:t>，</w:t>
      </w:r>
      <w:r w:rsidRPr="004C59BB">
        <w:rPr>
          <w:color w:val="0000FF"/>
          <w:lang w:val="ru-RU"/>
        </w:rPr>
        <w:t>第</w:t>
      </w:r>
      <w:r w:rsidRPr="0097554A">
        <w:rPr>
          <w:color w:val="0000FF"/>
        </w:rPr>
        <w:t>239</w:t>
      </w:r>
      <w:r w:rsidRPr="004C59BB">
        <w:rPr>
          <w:color w:val="0000FF"/>
          <w:lang w:val="ru-RU"/>
        </w:rPr>
        <w:t>页。</w:t>
      </w:r>
    </w:p>
  </w:footnote>
  <w:footnote w:id="363">
    <w:p w14:paraId="0E142B8E" w14:textId="77777777" w:rsidR="009F28D2" w:rsidRPr="0097554A" w:rsidRDefault="009F28D2">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《论上帝圣言的道成</w:t>
      </w:r>
      <w:r w:rsidRPr="004C59BB">
        <w:rPr>
          <w:color w:val="0000FF"/>
          <w:lang w:val="ru-RU"/>
        </w:rPr>
        <w:t>肉身》第</w:t>
      </w:r>
      <w:r w:rsidRPr="0097554A">
        <w:rPr>
          <w:color w:val="0000FF"/>
        </w:rPr>
        <w:t>20</w:t>
      </w:r>
      <w:r w:rsidRPr="004C59BB">
        <w:rPr>
          <w:color w:val="0000FF"/>
          <w:lang w:val="ru-RU"/>
        </w:rPr>
        <w:t>条</w:t>
      </w:r>
      <w:r w:rsidRPr="0097554A">
        <w:rPr>
          <w:color w:val="0000FF"/>
        </w:rPr>
        <w:t>，</w:t>
      </w:r>
      <w:r w:rsidRPr="004C59BB">
        <w:rPr>
          <w:color w:val="0000FF"/>
          <w:lang w:val="ru-RU"/>
        </w:rPr>
        <w:t>载于《基督教读物》</w:t>
      </w:r>
      <w:r w:rsidRPr="0097554A">
        <w:rPr>
          <w:color w:val="0000FF"/>
        </w:rPr>
        <w:t>1838</w:t>
      </w:r>
      <w:r w:rsidRPr="004C59BB">
        <w:rPr>
          <w:color w:val="0000FF"/>
          <w:lang w:val="ru-RU"/>
        </w:rPr>
        <w:t>年</w:t>
      </w:r>
      <w:r w:rsidRPr="0097554A">
        <w:rPr>
          <w:color w:val="0000FF"/>
        </w:rPr>
        <w:t>，</w:t>
      </w:r>
      <w:r w:rsidRPr="004C59BB">
        <w:rPr>
          <w:color w:val="0000FF"/>
        </w:rPr>
        <w:t>第二卷</w:t>
      </w:r>
      <w:r w:rsidRPr="0097554A">
        <w:rPr>
          <w:color w:val="0000FF"/>
        </w:rPr>
        <w:t>，</w:t>
      </w:r>
      <w:r w:rsidRPr="004C59BB">
        <w:rPr>
          <w:color w:val="0000FF"/>
          <w:lang w:val="ru-RU"/>
        </w:rPr>
        <w:t>第</w:t>
      </w:r>
      <w:r w:rsidRPr="0097554A">
        <w:rPr>
          <w:color w:val="0000FF"/>
        </w:rPr>
        <w:t>133–134</w:t>
      </w:r>
      <w:r w:rsidRPr="004C59BB">
        <w:rPr>
          <w:color w:val="0000FF"/>
          <w:lang w:val="ru-RU"/>
        </w:rPr>
        <w:t>、</w:t>
      </w:r>
      <w:r w:rsidRPr="0097554A">
        <w:rPr>
          <w:color w:val="0000FF"/>
        </w:rPr>
        <w:t>135</w:t>
      </w:r>
      <w:r w:rsidRPr="004C59BB">
        <w:rPr>
          <w:color w:val="0000FF"/>
          <w:lang w:val="ru-RU"/>
        </w:rPr>
        <w:t>页。</w:t>
      </w:r>
    </w:p>
  </w:footnote>
  <w:footnote w:id="364">
    <w:p w14:paraId="36D7A321" w14:textId="77777777" w:rsidR="00372947" w:rsidRPr="004C59BB" w:rsidRDefault="00372947">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《箴言》</w:t>
      </w:r>
      <w:r w:rsidRPr="0097554A">
        <w:rPr>
          <w:color w:val="0000FF"/>
        </w:rPr>
        <w:t>3，</w:t>
      </w:r>
      <w:r w:rsidRPr="004C59BB">
        <w:rPr>
          <w:color w:val="0000FF"/>
          <w:lang w:val="ru-RU"/>
        </w:rPr>
        <w:t>载于《圣教父著作集》</w:t>
      </w:r>
      <w:r w:rsidRPr="0097554A">
        <w:rPr>
          <w:color w:val="0000FF"/>
        </w:rPr>
        <w:t>1，31</w:t>
      </w:r>
      <w:r w:rsidRPr="004C59BB">
        <w:rPr>
          <w:color w:val="0000FF"/>
          <w:lang w:val="ru-RU"/>
        </w:rPr>
        <w:t>、</w:t>
      </w:r>
      <w:r w:rsidRPr="004C59BB">
        <w:rPr>
          <w:color w:val="0000FF"/>
        </w:rPr>
        <w:t>32。</w:t>
      </w:r>
    </w:p>
  </w:footnote>
  <w:footnote w:id="365">
    <w:p w14:paraId="0999F9D7"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《致外邦人书》第XI章。</w:t>
      </w:r>
    </w:p>
  </w:footnote>
  <w:footnote w:id="366">
    <w:p w14:paraId="7312603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《书信集》第LXXVIÏ封：“主耶稣的宝血是我们得救的代价……”</w:t>
      </w:r>
    </w:p>
  </w:footnote>
  <w:footnote w:id="367">
    <w:p w14:paraId="2301A673"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《论主显》第454页，第III卷，莫雷尔版。</w:t>
      </w:r>
    </w:p>
  </w:footnote>
  <w:footnote w:id="368">
    <w:p w14:paraId="115B517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《论十字架与盗贼的讲道》第1篇，第1节。</w:t>
      </w:r>
    </w:p>
  </w:footnote>
  <w:footnote w:id="369">
    <w:p w14:paraId="7751D55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《论三位一体》第XIII卷，第15章：在救赎中，基督的宝血仿佛是为我们付出的赎价。</w:t>
      </w:r>
    </w:p>
  </w:footnote>
  <w:footnote w:id="370">
    <w:p w14:paraId="1973506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优西比乌《论福音的证明》第一卷，第10章；第四卷，第12章；第十卷，第1章；迪迪莫《论三位一体》第三卷，第12章；西里尔《约翰福音注释》第七卷，第30章；提奥多雷特《以赛亚书注释》第五十三章，第5节。</w:t>
      </w:r>
    </w:p>
  </w:footnote>
  <w:footnote w:id="371">
    <w:p w14:paraId="77DFCCB0" w14:textId="77777777" w:rsidR="00372947" w:rsidRPr="0097554A" w:rsidRDefault="00372947">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讲道</w:t>
      </w:r>
      <w:r w:rsidRPr="004C59BB">
        <w:rPr>
          <w:color w:val="0000FF"/>
        </w:rPr>
        <w:t>集》</w:t>
      </w:r>
      <w:r w:rsidRPr="004C59BB">
        <w:rPr>
          <w:color w:val="0000FF"/>
          <w:lang w:val="ru-RU"/>
        </w:rPr>
        <w:t>第</w:t>
      </w:r>
      <w:r w:rsidRPr="004C59BB">
        <w:rPr>
          <w:color w:val="0000FF"/>
        </w:rPr>
        <w:t>XIII</w:t>
      </w:r>
      <w:r w:rsidRPr="004C59BB">
        <w:rPr>
          <w:color w:val="0000FF"/>
          <w:lang w:val="ru-RU"/>
        </w:rPr>
        <w:t>卷</w:t>
      </w:r>
      <w:r w:rsidRPr="0097554A">
        <w:rPr>
          <w:color w:val="0000FF"/>
        </w:rPr>
        <w:t>，</w:t>
      </w:r>
      <w:r w:rsidRPr="004C59BB">
        <w:rPr>
          <w:color w:val="0000FF"/>
          <w:lang w:val="ru-RU"/>
        </w:rPr>
        <w:t>第</w:t>
      </w:r>
      <w:r w:rsidRPr="0097554A">
        <w:rPr>
          <w:color w:val="0000FF"/>
        </w:rPr>
        <w:t>33</w:t>
      </w:r>
      <w:r w:rsidRPr="004C59BB">
        <w:rPr>
          <w:color w:val="0000FF"/>
          <w:lang w:val="ru-RU"/>
        </w:rPr>
        <w:t>节</w:t>
      </w:r>
      <w:r w:rsidRPr="0097554A">
        <w:rPr>
          <w:color w:val="0000FF"/>
        </w:rPr>
        <w:t>，</w:t>
      </w:r>
      <w:r w:rsidRPr="004C59BB">
        <w:rPr>
          <w:color w:val="0000FF"/>
          <w:lang w:val="ru-RU"/>
        </w:rPr>
        <w:t>第</w:t>
      </w:r>
      <w:r w:rsidRPr="0097554A">
        <w:rPr>
          <w:color w:val="0000FF"/>
        </w:rPr>
        <w:t>270</w:t>
      </w:r>
      <w:r w:rsidRPr="004C59BB">
        <w:rPr>
          <w:color w:val="0000FF"/>
          <w:lang w:val="ru-RU"/>
        </w:rPr>
        <w:t>页。</w:t>
      </w:r>
    </w:p>
  </w:footnote>
  <w:footnote w:id="372">
    <w:p w14:paraId="5FBC7D43" w14:textId="77777777" w:rsidR="00372947" w:rsidRPr="0097554A" w:rsidRDefault="00372947">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《罗马书注释》</w:t>
      </w:r>
      <w:r w:rsidRPr="004C59BB">
        <w:rPr>
          <w:color w:val="0000FF"/>
        </w:rPr>
        <w:t>第十</w:t>
      </w:r>
      <w:r w:rsidRPr="004C59BB">
        <w:rPr>
          <w:color w:val="0000FF"/>
          <w:lang w:val="ru-RU"/>
        </w:rPr>
        <w:t>篇</w:t>
      </w:r>
      <w:r w:rsidRPr="0097554A">
        <w:rPr>
          <w:color w:val="0000FF"/>
        </w:rPr>
        <w:t>，</w:t>
      </w:r>
      <w:r w:rsidRPr="004C59BB">
        <w:rPr>
          <w:color w:val="0000FF"/>
          <w:lang w:val="ru-RU"/>
        </w:rPr>
        <w:t>第</w:t>
      </w:r>
      <w:r w:rsidRPr="0097554A">
        <w:rPr>
          <w:color w:val="0000FF"/>
        </w:rPr>
        <w:t>2</w:t>
      </w:r>
      <w:r w:rsidRPr="004C59BB">
        <w:rPr>
          <w:color w:val="0000FF"/>
          <w:lang w:val="ru-RU"/>
        </w:rPr>
        <w:t>节</w:t>
      </w:r>
      <w:r w:rsidRPr="0097554A">
        <w:rPr>
          <w:color w:val="0000FF"/>
        </w:rPr>
        <w:t>，</w:t>
      </w:r>
      <w:r w:rsidRPr="004C59BB">
        <w:rPr>
          <w:color w:val="0000FF"/>
          <w:lang w:val="ru-RU"/>
        </w:rPr>
        <w:t>第</w:t>
      </w:r>
      <w:r w:rsidRPr="0097554A">
        <w:rPr>
          <w:color w:val="0000FF"/>
        </w:rPr>
        <w:t>211–212</w:t>
      </w:r>
      <w:r w:rsidRPr="004C59BB">
        <w:rPr>
          <w:color w:val="0000FF"/>
          <w:lang w:val="ru-RU"/>
        </w:rPr>
        <w:t>页</w:t>
      </w:r>
      <w:r w:rsidRPr="0097554A">
        <w:rPr>
          <w:color w:val="0000FF"/>
        </w:rPr>
        <w:t>，</w:t>
      </w:r>
      <w:r w:rsidRPr="004C59BB">
        <w:rPr>
          <w:color w:val="0000FF"/>
          <w:lang w:val="ru-RU"/>
        </w:rPr>
        <w:t>根据</w:t>
      </w:r>
      <w:r w:rsidRPr="0097554A">
        <w:rPr>
          <w:color w:val="0000FF"/>
        </w:rPr>
        <w:t>1844</w:t>
      </w:r>
      <w:r w:rsidRPr="004C59BB">
        <w:rPr>
          <w:color w:val="0000FF"/>
          <w:lang w:val="ru-RU"/>
        </w:rPr>
        <w:t>年莫斯科出版的俄文译本。</w:t>
      </w:r>
    </w:p>
  </w:footnote>
  <w:footnote w:id="373">
    <w:p w14:paraId="5D1E60F5" w14:textId="77777777" w:rsidR="00372947" w:rsidRPr="0097554A" w:rsidRDefault="00372947">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这赎价是为谁而献上的</w:t>
      </w:r>
      <w:r w:rsidRPr="0097554A">
        <w:rPr>
          <w:color w:val="0000FF"/>
        </w:rPr>
        <w:t>？</w:t>
      </w:r>
      <w:r w:rsidRPr="004C59BB">
        <w:rPr>
          <w:color w:val="0000FF"/>
          <w:lang w:val="ru-RU"/>
        </w:rPr>
        <w:t>有些人认为</w:t>
      </w:r>
      <w:r w:rsidRPr="0097554A">
        <w:rPr>
          <w:color w:val="0000FF"/>
        </w:rPr>
        <w:t>，</w:t>
      </w:r>
      <w:r w:rsidRPr="004C59BB">
        <w:rPr>
          <w:color w:val="0000FF"/>
          <w:lang w:val="ru-RU"/>
        </w:rPr>
        <w:t>它是献给这世界之王</w:t>
      </w:r>
      <w:r w:rsidRPr="0097554A">
        <w:rPr>
          <w:color w:val="0000FF"/>
        </w:rPr>
        <w:t>——</w:t>
      </w:r>
      <w:r w:rsidRPr="004C59BB">
        <w:rPr>
          <w:color w:val="0000FF"/>
          <w:lang w:val="ru-RU"/>
        </w:rPr>
        <w:t>魔鬼的</w:t>
      </w:r>
      <w:r w:rsidRPr="004C59BB">
        <w:rPr>
          <w:color w:val="0000FF"/>
        </w:rPr>
        <w:t>，</w:t>
      </w:r>
      <w:r w:rsidRPr="004C59BB">
        <w:rPr>
          <w:color w:val="0000FF"/>
          <w:lang w:val="ru-RU"/>
        </w:rPr>
        <w:t>我们所有人都在他的捆绑之下</w:t>
      </w:r>
      <w:r w:rsidRPr="0097554A">
        <w:rPr>
          <w:color w:val="0000FF"/>
        </w:rPr>
        <w:t>（</w:t>
      </w:r>
      <w:r w:rsidRPr="004C59BB">
        <w:rPr>
          <w:color w:val="0000FF"/>
        </w:rPr>
        <w:t>奥利金《马太福音注释</w:t>
      </w:r>
      <w:r w:rsidRPr="004C59BB">
        <w:rPr>
          <w:color w:val="0000FF"/>
          <w:lang w:val="ru-RU"/>
        </w:rPr>
        <w:t>》</w:t>
      </w:r>
      <w:r w:rsidRPr="004C59BB">
        <w:rPr>
          <w:color w:val="0000FF"/>
        </w:rPr>
        <w:t>第XYΙ卷，第8节；格雷戈里·尼西阿斯《教理问答》第XII章及后续； 安布罗斯《书信》第LXXII封，第8节；耶罗尼莫《书信注释》第1章、第7节）。然而，圣格里高利和圣</w:t>
      </w:r>
      <w:r w:rsidRPr="004C59BB">
        <w:rPr>
          <w:color w:val="0000FF"/>
          <w:lang w:val="ru-RU"/>
        </w:rPr>
        <w:t>约翰</w:t>
      </w:r>
      <w:r w:rsidRPr="0097554A">
        <w:rPr>
          <w:color w:val="0000FF"/>
        </w:rPr>
        <w:t>·</w:t>
      </w:r>
      <w:r w:rsidRPr="004C59BB">
        <w:rPr>
          <w:color w:val="0000FF"/>
          <w:lang w:val="ru-RU"/>
        </w:rPr>
        <w:t>达马斯库斯明确指出了这种观点的不合理之处。</w:t>
      </w:r>
      <w:r w:rsidRPr="0097554A">
        <w:rPr>
          <w:color w:val="0000FF"/>
        </w:rPr>
        <w:t xml:space="preserve"> </w:t>
      </w:r>
      <w:r w:rsidRPr="004C59BB">
        <w:rPr>
          <w:color w:val="0000FF"/>
          <w:lang w:val="ru-RU"/>
        </w:rPr>
        <w:t>前者如此论证道</w:t>
      </w:r>
      <w:r w:rsidRPr="0097554A">
        <w:rPr>
          <w:color w:val="0000FF"/>
        </w:rPr>
        <w:t>：“</w:t>
      </w:r>
      <w:r w:rsidRPr="004C59BB">
        <w:rPr>
          <w:color w:val="0000FF"/>
          <w:lang w:val="ru-RU"/>
        </w:rPr>
        <w:t>这为我们倾洒的、来自上帝、大祭司和牺牲者的伟大而荣耀的宝血</w:t>
      </w:r>
      <w:r w:rsidRPr="0097554A">
        <w:rPr>
          <w:color w:val="0000FF"/>
        </w:rPr>
        <w:t>，</w:t>
      </w:r>
      <w:r w:rsidRPr="004C59BB">
        <w:rPr>
          <w:color w:val="0000FF"/>
          <w:lang w:val="ru-RU"/>
        </w:rPr>
        <w:t>究竟是为谁、又为了什么而流的</w:t>
      </w:r>
      <w:r w:rsidRPr="0097554A">
        <w:rPr>
          <w:color w:val="0000FF"/>
        </w:rPr>
        <w:t>？</w:t>
      </w:r>
      <w:r w:rsidRPr="004C59BB">
        <w:rPr>
          <w:color w:val="0000FF"/>
          <w:lang w:val="ru-RU"/>
        </w:rPr>
        <w:t>我们曾受恶者的辖制</w:t>
      </w:r>
      <w:r w:rsidRPr="0097554A">
        <w:rPr>
          <w:color w:val="0000FF"/>
        </w:rPr>
        <w:t>，</w:t>
      </w:r>
      <w:r w:rsidRPr="004C59BB">
        <w:rPr>
          <w:color w:val="0000FF"/>
          <w:lang w:val="ru-RU"/>
        </w:rPr>
        <w:t>被罪恶出卖</w:t>
      </w:r>
      <w:r w:rsidRPr="0097554A">
        <w:rPr>
          <w:color w:val="0000FF"/>
        </w:rPr>
        <w:t>，</w:t>
      </w:r>
      <w:r w:rsidRPr="004C59BB">
        <w:rPr>
          <w:color w:val="0000FF"/>
          <w:lang w:val="ru-RU"/>
        </w:rPr>
        <w:t>又因贪图情欲而自取毁灭。</w:t>
      </w:r>
      <w:r w:rsidRPr="0097554A">
        <w:rPr>
          <w:color w:val="0000FF"/>
        </w:rPr>
        <w:t xml:space="preserve"> </w:t>
      </w:r>
      <w:r w:rsidRPr="004C59BB">
        <w:rPr>
          <w:color w:val="0000FF"/>
          <w:lang w:val="ru-RU"/>
        </w:rPr>
        <w:t>倘若赎价所付的对象正是那位掌权者</w:t>
      </w:r>
      <w:r w:rsidRPr="0097554A">
        <w:rPr>
          <w:color w:val="0000FF"/>
        </w:rPr>
        <w:t>，</w:t>
      </w:r>
      <w:r w:rsidRPr="004C59BB">
        <w:rPr>
          <w:color w:val="0000FF"/>
          <w:lang w:val="ru-RU"/>
        </w:rPr>
        <w:t>那么我问</w:t>
      </w:r>
      <w:r w:rsidRPr="0097554A">
        <w:rPr>
          <w:color w:val="0000FF"/>
        </w:rPr>
        <w:t>：</w:t>
      </w:r>
      <w:r w:rsidRPr="004C59BB">
        <w:rPr>
          <w:color w:val="0000FF"/>
          <w:lang w:val="ru-RU"/>
        </w:rPr>
        <w:t>这赎价究竟是为谁、出于何种缘由而献上的</w:t>
      </w:r>
      <w:r w:rsidRPr="0097554A">
        <w:rPr>
          <w:color w:val="0000FF"/>
        </w:rPr>
        <w:t>？</w:t>
      </w:r>
      <w:r w:rsidRPr="004C59BB">
        <w:rPr>
          <w:color w:val="0000FF"/>
          <w:lang w:val="ru-RU"/>
        </w:rPr>
        <w:t>若是为那恶者</w:t>
      </w:r>
      <w:r w:rsidRPr="0097554A">
        <w:rPr>
          <w:color w:val="0000FF"/>
        </w:rPr>
        <w:t>，</w:t>
      </w:r>
      <w:r w:rsidRPr="004C59BB">
        <w:rPr>
          <w:color w:val="0000FF"/>
          <w:lang w:val="ru-RU"/>
        </w:rPr>
        <w:t>那该是何等冒犯</w:t>
      </w:r>
      <w:r w:rsidRPr="0097554A">
        <w:rPr>
          <w:color w:val="0000FF"/>
        </w:rPr>
        <w:t>！</w:t>
      </w:r>
      <w:r w:rsidRPr="004C59BB">
        <w:rPr>
          <w:color w:val="0000FF"/>
          <w:lang w:val="ru-RU"/>
        </w:rPr>
        <w:t>强盗竟获得赎价</w:t>
      </w:r>
      <w:r w:rsidRPr="0097554A">
        <w:rPr>
          <w:color w:val="0000FF"/>
        </w:rPr>
        <w:t>，</w:t>
      </w:r>
      <w:r w:rsidRPr="004C59BB">
        <w:rPr>
          <w:color w:val="0000FF"/>
          <w:lang w:val="ru-RU"/>
        </w:rPr>
        <w:t>不仅从上帝那里获得</w:t>
      </w:r>
      <w:r w:rsidRPr="0097554A">
        <w:rPr>
          <w:color w:val="0000FF"/>
        </w:rPr>
        <w:t>，</w:t>
      </w:r>
      <w:r w:rsidRPr="004C59BB">
        <w:rPr>
          <w:color w:val="0000FF"/>
          <w:lang w:val="ru-RU"/>
        </w:rPr>
        <w:t>甚至获得上帝本人</w:t>
      </w:r>
      <w:r w:rsidRPr="0097554A">
        <w:rPr>
          <w:color w:val="0000FF"/>
        </w:rPr>
        <w:t>；</w:t>
      </w:r>
      <w:r w:rsidRPr="004C59BB">
        <w:rPr>
          <w:color w:val="0000FF"/>
          <w:lang w:val="ru-RU"/>
        </w:rPr>
        <w:t>他因自己的受难而收取如此巨大的报酬</w:t>
      </w:r>
      <w:r w:rsidRPr="0097554A">
        <w:rPr>
          <w:color w:val="0000FF"/>
        </w:rPr>
        <w:t>，</w:t>
      </w:r>
      <w:r w:rsidRPr="004C59BB">
        <w:rPr>
          <w:color w:val="0000FF"/>
          <w:lang w:val="ru-RU"/>
        </w:rPr>
        <w:t>以至于凭此本应宽恕我们才对</w:t>
      </w:r>
      <w:r w:rsidRPr="0097554A">
        <w:rPr>
          <w:color w:val="0000FF"/>
        </w:rPr>
        <w:t xml:space="preserve">！ </w:t>
      </w:r>
      <w:r w:rsidRPr="004C59BB">
        <w:rPr>
          <w:color w:val="0000FF"/>
          <w:lang w:val="ru-RU"/>
        </w:rPr>
        <w:t>倘若赎价是给父的</w:t>
      </w:r>
      <w:r w:rsidRPr="0097554A">
        <w:rPr>
          <w:color w:val="0000FF"/>
        </w:rPr>
        <w:t>：</w:t>
      </w:r>
      <w:r w:rsidRPr="004C59BB">
        <w:rPr>
          <w:color w:val="0000FF"/>
          <w:lang w:val="ru-RU"/>
        </w:rPr>
        <w:t>首先</w:t>
      </w:r>
      <w:r w:rsidRPr="0097554A">
        <w:rPr>
          <w:color w:val="0000FF"/>
        </w:rPr>
        <w:t>，</w:t>
      </w:r>
      <w:r w:rsidRPr="004C59BB">
        <w:rPr>
          <w:color w:val="0000FF"/>
          <w:lang w:val="ru-RU"/>
        </w:rPr>
        <w:t>这究竟是如何发生的</w:t>
      </w:r>
      <w:r w:rsidRPr="0097554A">
        <w:rPr>
          <w:color w:val="0000FF"/>
        </w:rPr>
        <w:t>？</w:t>
      </w:r>
      <w:r w:rsidRPr="004C59BB">
        <w:rPr>
          <w:color w:val="0000FF"/>
          <w:lang w:val="ru-RU"/>
        </w:rPr>
        <w:t>我们并非被祂囚禁。其次，出于何种缘由，独生子的宝血能蒙父喜悦？那位父甚至没有接受以撒——他本是被父亲献上的——而是用一只公羊代替了祭物，以物代言。 难道由此可见，圣父之所以接纳，并非因为祂有所要求或有所需要，而是出于家业的建立，并且因为人类需要借着神的人性得以成圣，好叫祂亲自拯救我们，以大能战胜那折磨者， 并通过作为中保、掌管万事的圣子将我们提升到祂那里，以此荣耀圣父——圣子在一切事上都顺服于圣父</w:t>
      </w:r>
      <w:r w:rsidR="005666A3" w:rsidRPr="004C59BB">
        <w:rPr>
          <w:color w:val="0000FF"/>
          <w:lang w:val="ru-RU"/>
        </w:rPr>
        <w:t>”</w:t>
      </w:r>
      <w:r w:rsidRPr="004C59BB">
        <w:rPr>
          <w:color w:val="0000FF"/>
          <w:lang w:val="ru-RU"/>
        </w:rPr>
        <w:t>（复活节讲道，载于《圣父著作</w:t>
      </w:r>
      <w:r w:rsidRPr="004C59BB">
        <w:rPr>
          <w:color w:val="0000FF"/>
        </w:rPr>
        <w:t>集》第四卷</w:t>
      </w:r>
      <w:r w:rsidRPr="0097554A">
        <w:rPr>
          <w:color w:val="0000FF"/>
          <w:lang w:val="ru-RU"/>
        </w:rPr>
        <w:t>，175–177</w:t>
      </w:r>
      <w:r w:rsidRPr="004C59BB">
        <w:rPr>
          <w:color w:val="0000FF"/>
        </w:rPr>
        <w:t>页</w:t>
      </w:r>
      <w:r w:rsidRPr="0097554A">
        <w:rPr>
          <w:color w:val="0000FF"/>
          <w:lang w:val="ru-RU"/>
        </w:rPr>
        <w:t>）</w:t>
      </w:r>
      <w:r w:rsidRPr="004C59BB">
        <w:rPr>
          <w:color w:val="0000FF"/>
        </w:rPr>
        <w:t>。</w:t>
      </w:r>
    </w:p>
  </w:footnote>
  <w:footnote w:id="374">
    <w:p w14:paraId="717A8D3D" w14:textId="77777777" w:rsidR="00372947" w:rsidRPr="0097554A" w:rsidRDefault="00372947">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克莱门特《致科林斯人书》第一卷</w:t>
      </w:r>
      <w:r w:rsidRPr="0097554A">
        <w:rPr>
          <w:color w:val="0000FF"/>
          <w:lang w:val="ru-RU"/>
        </w:rPr>
        <w:t>，</w:t>
      </w:r>
      <w:r w:rsidRPr="004C59BB">
        <w:rPr>
          <w:color w:val="0000FF"/>
        </w:rPr>
        <w:t>第</w:t>
      </w:r>
      <w:r w:rsidRPr="0097554A">
        <w:rPr>
          <w:color w:val="0000FF"/>
          <w:lang w:val="ru-RU"/>
        </w:rPr>
        <w:t>7</w:t>
      </w:r>
      <w:r w:rsidRPr="004C59BB">
        <w:rPr>
          <w:color w:val="0000FF"/>
        </w:rPr>
        <w:t>节</w:t>
      </w:r>
      <w:r w:rsidRPr="0097554A">
        <w:rPr>
          <w:color w:val="0000FF"/>
          <w:lang w:val="ru-RU"/>
        </w:rPr>
        <w:t>；</w:t>
      </w:r>
      <w:r w:rsidRPr="004C59BB">
        <w:rPr>
          <w:color w:val="0000FF"/>
        </w:rPr>
        <w:t>贾斯汀《与特里丰的对话》</w:t>
      </w:r>
      <w:r w:rsidRPr="0097554A">
        <w:rPr>
          <w:color w:val="0000FF"/>
          <w:lang w:val="ru-RU"/>
        </w:rPr>
        <w:t>，</w:t>
      </w:r>
      <w:r w:rsidRPr="004C59BB">
        <w:rPr>
          <w:color w:val="0000FF"/>
        </w:rPr>
        <w:t>第</w:t>
      </w:r>
      <w:r w:rsidRPr="0097554A">
        <w:rPr>
          <w:color w:val="0000FF"/>
          <w:lang w:val="ru-RU"/>
        </w:rPr>
        <w:t>88</w:t>
      </w:r>
      <w:r w:rsidRPr="004C59BB">
        <w:rPr>
          <w:color w:val="0000FF"/>
        </w:rPr>
        <w:t>节</w:t>
      </w:r>
      <w:r w:rsidRPr="0097554A">
        <w:rPr>
          <w:color w:val="0000FF"/>
          <w:lang w:val="ru-RU"/>
        </w:rPr>
        <w:t>；</w:t>
      </w:r>
      <w:r w:rsidRPr="004C59BB">
        <w:rPr>
          <w:color w:val="0000FF"/>
        </w:rPr>
        <w:t>亚历山大</w:t>
      </w:r>
      <w:r w:rsidRPr="0097554A">
        <w:rPr>
          <w:color w:val="0000FF"/>
          <w:lang w:val="ru-RU"/>
        </w:rPr>
        <w:t>·</w:t>
      </w:r>
      <w:r w:rsidRPr="004C59BB">
        <w:rPr>
          <w:color w:val="0000FF"/>
        </w:rPr>
        <w:t>克莱门特《杂论》第七卷</w:t>
      </w:r>
      <w:r w:rsidRPr="0097554A">
        <w:rPr>
          <w:color w:val="0000FF"/>
          <w:lang w:val="ru-RU"/>
        </w:rPr>
        <w:t>，</w:t>
      </w:r>
      <w:r w:rsidRPr="004C59BB">
        <w:rPr>
          <w:color w:val="0000FF"/>
        </w:rPr>
        <w:t>第</w:t>
      </w:r>
      <w:r w:rsidRPr="0097554A">
        <w:rPr>
          <w:color w:val="0000FF"/>
          <w:lang w:val="ru-RU"/>
        </w:rPr>
        <w:t>2</w:t>
      </w:r>
      <w:r w:rsidRPr="004C59BB">
        <w:rPr>
          <w:color w:val="0000FF"/>
        </w:rPr>
        <w:t>节</w:t>
      </w:r>
      <w:r w:rsidRPr="0097554A">
        <w:rPr>
          <w:color w:val="0000FF"/>
          <w:lang w:val="ru-RU"/>
        </w:rPr>
        <w:t>；</w:t>
      </w:r>
      <w:r w:rsidRPr="004C59BB">
        <w:rPr>
          <w:color w:val="0000FF"/>
        </w:rPr>
        <w:t>优西比乌《诗篇注释》第九十七篇</w:t>
      </w:r>
      <w:r w:rsidRPr="0097554A">
        <w:rPr>
          <w:color w:val="0000FF"/>
          <w:lang w:val="ru-RU"/>
        </w:rPr>
        <w:t>，</w:t>
      </w:r>
      <w:r w:rsidRPr="004C59BB">
        <w:rPr>
          <w:color w:val="0000FF"/>
        </w:rPr>
        <w:t>第</w:t>
      </w:r>
      <w:r w:rsidRPr="0097554A">
        <w:rPr>
          <w:color w:val="0000FF"/>
          <w:lang w:val="ru-RU"/>
        </w:rPr>
        <w:t>1</w:t>
      </w:r>
      <w:r w:rsidRPr="004C59BB">
        <w:rPr>
          <w:color w:val="0000FF"/>
        </w:rPr>
        <w:t>节。</w:t>
      </w:r>
    </w:p>
  </w:footnote>
  <w:footnote w:id="375">
    <w:p w14:paraId="05894F21" w14:textId="77777777" w:rsidR="008225CB" w:rsidRPr="0097554A" w:rsidRDefault="008225CB">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因为他为众人而死。《希伯来书讲道集》第四篇</w:t>
      </w:r>
      <w:r w:rsidRPr="0097554A">
        <w:rPr>
          <w:color w:val="0000FF"/>
          <w:lang w:val="ru-RU"/>
        </w:rPr>
        <w:t>，</w:t>
      </w:r>
      <w:r w:rsidRPr="004C59BB">
        <w:rPr>
          <w:color w:val="0000FF"/>
        </w:rPr>
        <w:t>第</w:t>
      </w:r>
      <w:r w:rsidRPr="0097554A">
        <w:rPr>
          <w:color w:val="0000FF"/>
          <w:lang w:val="ru-RU"/>
        </w:rPr>
        <w:t>2</w:t>
      </w:r>
      <w:r w:rsidRPr="004C59BB">
        <w:rPr>
          <w:color w:val="0000FF"/>
        </w:rPr>
        <w:t>节。</w:t>
      </w:r>
    </w:p>
  </w:footnote>
  <w:footnote w:id="376">
    <w:p w14:paraId="7FAD631A" w14:textId="77777777" w:rsidR="008225CB" w:rsidRPr="0097554A" w:rsidRDefault="008225CB">
      <w:pPr>
        <w:pStyle w:val="FootnoteText"/>
        <w:rPr>
          <w:color w:val="0000FF"/>
          <w:lang w:val="ru-RU"/>
        </w:rPr>
      </w:pPr>
      <w:r w:rsidRPr="004C59BB">
        <w:rPr>
          <w:rStyle w:val="FootnoteReference"/>
          <w:color w:val="0000FF"/>
        </w:rPr>
        <w:footnoteRef/>
      </w:r>
      <w:r w:rsidRPr="004C59BB">
        <w:rPr>
          <w:color w:val="0000FF"/>
          <w:lang w:val="ru-RU"/>
        </w:rPr>
        <w:t xml:space="preserve"> 格里高利·神学家，《论神学》</w:t>
      </w:r>
      <w:r w:rsidRPr="004C59BB">
        <w:rPr>
          <w:color w:val="0000FF"/>
        </w:rPr>
        <w:t>第四</w:t>
      </w:r>
      <w:r w:rsidRPr="004C59BB">
        <w:rPr>
          <w:color w:val="0000FF"/>
          <w:lang w:val="ru-RU"/>
        </w:rPr>
        <w:t>篇，载于《圣教父文集》</w:t>
      </w:r>
      <w:r w:rsidRPr="004C59BB">
        <w:rPr>
          <w:color w:val="0000FF"/>
        </w:rPr>
        <w:t>第三</w:t>
      </w:r>
      <w:r w:rsidRPr="004C59BB">
        <w:rPr>
          <w:color w:val="0000FF"/>
          <w:lang w:val="ru-RU"/>
        </w:rPr>
        <w:t>卷，第100页；注释</w:t>
      </w:r>
      <w:r w:rsidRPr="004C59BB">
        <w:rPr>
          <w:color w:val="0000FF"/>
        </w:rPr>
        <w:t>第四卷</w:t>
      </w:r>
      <w:r w:rsidRPr="004C59BB">
        <w:rPr>
          <w:color w:val="0000FF"/>
          <w:lang w:val="ru-RU"/>
        </w:rPr>
        <w:t>，第165页； 大巴西尔，《诗篇》第48篇讲道，载于《圣教父文集》</w:t>
      </w:r>
      <w:r w:rsidRPr="004C59BB">
        <w:rPr>
          <w:color w:val="0000FF"/>
        </w:rPr>
        <w:t>第五</w:t>
      </w:r>
      <w:r w:rsidRPr="004C59BB">
        <w:rPr>
          <w:color w:val="0000FF"/>
          <w:lang w:val="ru-RU"/>
        </w:rPr>
        <w:t>卷，360页；《诗篇》第59篇讲道，同上，381页；</w:t>
      </w:r>
      <w:r w:rsidRPr="004C59BB">
        <w:rPr>
          <w:color w:val="0000FF"/>
        </w:rPr>
        <w:t>安布罗斯</w:t>
      </w:r>
      <w:r w:rsidRPr="004C59BB">
        <w:rPr>
          <w:color w:val="0000FF"/>
          <w:lang w:val="ru-RU"/>
        </w:rPr>
        <w:t>，</w:t>
      </w:r>
      <w:r w:rsidRPr="004C59BB">
        <w:rPr>
          <w:color w:val="0000FF"/>
        </w:rPr>
        <w:t>《</w:t>
      </w:r>
      <w:r w:rsidRPr="004C59BB">
        <w:rPr>
          <w:color w:val="0000FF"/>
          <w:lang w:val="ru-RU"/>
        </w:rPr>
        <w:t>论以撒</w:t>
      </w:r>
      <w:r w:rsidRPr="004C59BB">
        <w:rPr>
          <w:color w:val="0000FF"/>
        </w:rPr>
        <w:t>与灵魂</w:t>
      </w:r>
      <w:r w:rsidRPr="004C59BB">
        <w:rPr>
          <w:color w:val="0000FF"/>
          <w:lang w:val="ru-RU"/>
        </w:rPr>
        <w:t>》</w:t>
      </w:r>
      <w:r w:rsidRPr="004C59BB">
        <w:rPr>
          <w:color w:val="0000FF"/>
        </w:rPr>
        <w:t>第三章</w:t>
      </w:r>
      <w:r w:rsidRPr="004C59BB">
        <w:rPr>
          <w:color w:val="0000FF"/>
          <w:lang w:val="ru-RU"/>
        </w:rPr>
        <w:t>，第9节；</w:t>
      </w:r>
      <w:r w:rsidRPr="004C59BB">
        <w:rPr>
          <w:color w:val="0000FF"/>
        </w:rPr>
        <w:t>佩卢斯</w:t>
      </w:r>
      <w:r w:rsidRPr="004C59BB">
        <w:rPr>
          <w:color w:val="0000FF"/>
          <w:lang w:val="ru-RU"/>
        </w:rPr>
        <w:t>，《</w:t>
      </w:r>
      <w:r w:rsidRPr="004C59BB">
        <w:rPr>
          <w:color w:val="0000FF"/>
        </w:rPr>
        <w:t>书信集</w:t>
      </w:r>
      <w:r w:rsidRPr="004C59BB">
        <w:rPr>
          <w:color w:val="0000FF"/>
          <w:lang w:val="ru-RU"/>
        </w:rPr>
        <w:t>》</w:t>
      </w:r>
      <w:r w:rsidRPr="004C59BB">
        <w:rPr>
          <w:color w:val="0000FF"/>
        </w:rPr>
        <w:t>第四卷</w:t>
      </w:r>
      <w:r w:rsidRPr="0097554A">
        <w:rPr>
          <w:color w:val="0000FF"/>
          <w:lang w:val="ru-RU"/>
        </w:rPr>
        <w:t>，</w:t>
      </w:r>
      <w:r w:rsidRPr="004C59BB">
        <w:rPr>
          <w:color w:val="0000FF"/>
          <w:lang w:val="el-GR"/>
        </w:rPr>
        <w:t>第</w:t>
      </w:r>
      <w:r w:rsidRPr="0097554A">
        <w:rPr>
          <w:color w:val="0000FF"/>
          <w:lang w:val="ru-RU"/>
        </w:rPr>
        <w:t>100</w:t>
      </w:r>
      <w:r w:rsidRPr="004C59BB">
        <w:rPr>
          <w:color w:val="0000FF"/>
          <w:lang w:val="el-GR"/>
        </w:rPr>
        <w:t>封书信。</w:t>
      </w:r>
    </w:p>
  </w:footnote>
  <w:footnote w:id="377">
    <w:p w14:paraId="39BFCC8A" w14:textId="77777777" w:rsidR="008225CB" w:rsidRPr="0097554A" w:rsidRDefault="008225CB">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为全人类献上了至圣且救赎的牺牲。</w:t>
      </w:r>
      <w:r w:rsidRPr="0097554A">
        <w:rPr>
          <w:color w:val="0000FF"/>
          <w:lang w:val="ru-RU"/>
        </w:rPr>
        <w:t>”</w:t>
      </w:r>
      <w:r w:rsidRPr="004C59BB">
        <w:rPr>
          <w:color w:val="0000FF"/>
        </w:rPr>
        <w:t>埃拉尼乌斯《对话录》第二卷</w:t>
      </w:r>
      <w:r w:rsidRPr="0097554A">
        <w:rPr>
          <w:color w:val="0000FF"/>
          <w:lang w:val="ru-RU"/>
        </w:rPr>
        <w:t>，</w:t>
      </w:r>
      <w:r w:rsidRPr="004C59BB">
        <w:rPr>
          <w:color w:val="0000FF"/>
        </w:rPr>
        <w:t>载于《基督教读本》</w:t>
      </w:r>
      <w:r w:rsidRPr="0097554A">
        <w:rPr>
          <w:color w:val="0000FF"/>
          <w:lang w:val="ru-RU"/>
        </w:rPr>
        <w:t>1846</w:t>
      </w:r>
      <w:r w:rsidRPr="004C59BB">
        <w:rPr>
          <w:color w:val="0000FF"/>
        </w:rPr>
        <w:t>年版</w:t>
      </w:r>
      <w:r w:rsidRPr="0097554A">
        <w:rPr>
          <w:color w:val="0000FF"/>
          <w:lang w:val="ru-RU"/>
        </w:rPr>
        <w:t>，</w:t>
      </w:r>
      <w:r w:rsidRPr="004C59BB">
        <w:rPr>
          <w:color w:val="0000FF"/>
        </w:rPr>
        <w:t>第一卷</w:t>
      </w:r>
      <w:r w:rsidRPr="0097554A">
        <w:rPr>
          <w:color w:val="0000FF"/>
          <w:lang w:val="ru-RU"/>
        </w:rPr>
        <w:t>，</w:t>
      </w:r>
      <w:r w:rsidRPr="004C59BB">
        <w:rPr>
          <w:color w:val="0000FF"/>
        </w:rPr>
        <w:t>第</w:t>
      </w:r>
      <w:r w:rsidRPr="0097554A">
        <w:rPr>
          <w:color w:val="0000FF"/>
          <w:lang w:val="ru-RU"/>
        </w:rPr>
        <w:t>362</w:t>
      </w:r>
      <w:r w:rsidRPr="004C59BB">
        <w:rPr>
          <w:color w:val="0000FF"/>
        </w:rPr>
        <w:t>页。</w:t>
      </w:r>
    </w:p>
  </w:footnote>
  <w:footnote w:id="378">
    <w:p w14:paraId="0E1699C9" w14:textId="77777777" w:rsidR="008225CB" w:rsidRPr="0097554A" w:rsidRDefault="008225CB">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奥古斯丁</w:t>
      </w:r>
      <w:r w:rsidRPr="0097554A">
        <w:rPr>
          <w:color w:val="0000FF"/>
          <w:lang w:val="ru-RU"/>
        </w:rPr>
        <w:t>，</w:t>
      </w:r>
      <w:r w:rsidRPr="004C59BB">
        <w:rPr>
          <w:color w:val="0000FF"/>
        </w:rPr>
        <w:t>《上帝之城》第</w:t>
      </w:r>
      <w:r w:rsidRPr="0097554A">
        <w:rPr>
          <w:color w:val="0000FF"/>
          <w:lang w:val="ru-RU"/>
        </w:rPr>
        <w:t>20</w:t>
      </w:r>
      <w:r w:rsidRPr="004C59BB">
        <w:rPr>
          <w:color w:val="0000FF"/>
        </w:rPr>
        <w:t>卷</w:t>
      </w:r>
      <w:r w:rsidRPr="0097554A">
        <w:rPr>
          <w:color w:val="0000FF"/>
          <w:lang w:val="ru-RU"/>
        </w:rPr>
        <w:t>，</w:t>
      </w:r>
      <w:r w:rsidRPr="004C59BB">
        <w:rPr>
          <w:color w:val="0000FF"/>
        </w:rPr>
        <w:t>第</w:t>
      </w:r>
      <w:r w:rsidRPr="0097554A">
        <w:rPr>
          <w:color w:val="0000FF"/>
          <w:lang w:val="ru-RU"/>
        </w:rPr>
        <w:t>6</w:t>
      </w:r>
      <w:r w:rsidRPr="004C59BB">
        <w:rPr>
          <w:color w:val="0000FF"/>
        </w:rPr>
        <w:t>章</w:t>
      </w:r>
      <w:r w:rsidRPr="0097554A">
        <w:rPr>
          <w:color w:val="0000FF"/>
          <w:lang w:val="ru-RU"/>
        </w:rPr>
        <w:t>；</w:t>
      </w:r>
      <w:r w:rsidRPr="004C59BB">
        <w:rPr>
          <w:color w:val="0000FF"/>
        </w:rPr>
        <w:t>耶罗尼姆</w:t>
      </w:r>
      <w:r w:rsidRPr="0097554A">
        <w:rPr>
          <w:color w:val="0000FF"/>
          <w:lang w:val="ru-RU"/>
        </w:rPr>
        <w:t>，</w:t>
      </w:r>
      <w:r w:rsidRPr="004C59BB">
        <w:rPr>
          <w:color w:val="0000FF"/>
        </w:rPr>
        <w:t>《书信集》第</w:t>
      </w:r>
      <w:r w:rsidRPr="0097554A">
        <w:rPr>
          <w:color w:val="0000FF"/>
          <w:lang w:val="ru-RU"/>
        </w:rPr>
        <w:t>92</w:t>
      </w:r>
      <w:r w:rsidRPr="004C59BB">
        <w:rPr>
          <w:color w:val="0000FF"/>
        </w:rPr>
        <w:t>封</w:t>
      </w:r>
      <w:r w:rsidRPr="0097554A">
        <w:rPr>
          <w:color w:val="0000FF"/>
          <w:lang w:val="ru-RU"/>
        </w:rPr>
        <w:t>，</w:t>
      </w:r>
      <w:r w:rsidRPr="004C59BB">
        <w:rPr>
          <w:color w:val="0000FF"/>
        </w:rPr>
        <w:t>第</w:t>
      </w:r>
      <w:r w:rsidRPr="0097554A">
        <w:rPr>
          <w:color w:val="0000FF"/>
          <w:lang w:val="ru-RU"/>
        </w:rPr>
        <w:t>4</w:t>
      </w:r>
      <w:r w:rsidRPr="004C59BB">
        <w:rPr>
          <w:color w:val="0000FF"/>
        </w:rPr>
        <w:t>段致朱利安</w:t>
      </w:r>
      <w:r w:rsidRPr="0097554A">
        <w:rPr>
          <w:color w:val="0000FF"/>
          <w:lang w:val="ru-RU"/>
        </w:rPr>
        <w:t>；</w:t>
      </w:r>
      <w:r w:rsidRPr="004C59BB">
        <w:rPr>
          <w:color w:val="0000FF"/>
        </w:rPr>
        <w:t>亚历山大的西里尔</w:t>
      </w:r>
      <w:r w:rsidRPr="0097554A">
        <w:rPr>
          <w:color w:val="0000FF"/>
          <w:lang w:val="ru-RU"/>
        </w:rPr>
        <w:t>，</w:t>
      </w:r>
      <w:r w:rsidRPr="004C59BB">
        <w:rPr>
          <w:color w:val="0000FF"/>
        </w:rPr>
        <w:t>《反人类论》第</w:t>
      </w:r>
      <w:r w:rsidRPr="0097554A">
        <w:rPr>
          <w:color w:val="0000FF"/>
          <w:lang w:val="ru-RU"/>
        </w:rPr>
        <w:t>8</w:t>
      </w:r>
      <w:r w:rsidRPr="004C59BB">
        <w:rPr>
          <w:color w:val="0000FF"/>
        </w:rPr>
        <w:t>章。</w:t>
      </w:r>
    </w:p>
  </w:footnote>
  <w:footnote w:id="379">
    <w:p w14:paraId="14166AB8" w14:textId="77777777" w:rsidR="008225CB" w:rsidRPr="0097554A" w:rsidRDefault="008225CB">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《讲道集》第</w:t>
      </w:r>
      <w:r w:rsidRPr="0097554A">
        <w:rPr>
          <w:color w:val="0000FF"/>
          <w:lang w:val="ru-RU"/>
        </w:rPr>
        <w:t>24</w:t>
      </w:r>
      <w:r w:rsidRPr="004C59BB">
        <w:rPr>
          <w:color w:val="0000FF"/>
        </w:rPr>
        <w:t>篇</w:t>
      </w:r>
      <w:r w:rsidRPr="0097554A">
        <w:rPr>
          <w:color w:val="0000FF"/>
          <w:lang w:val="ru-RU"/>
        </w:rPr>
        <w:t>……</w:t>
      </w:r>
      <w:r w:rsidRPr="004C59BB">
        <w:rPr>
          <w:color w:val="0000FF"/>
        </w:rPr>
        <w:t>为众人受难。</w:t>
      </w:r>
    </w:p>
  </w:footnote>
  <w:footnote w:id="380">
    <w:p w14:paraId="3B08DF40" w14:textId="77777777" w:rsidR="008225CB" w:rsidRPr="0097554A" w:rsidRDefault="008225CB">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《论主复活的讲道》</w:t>
      </w:r>
      <w:r w:rsidRPr="0097554A">
        <w:rPr>
          <w:color w:val="0000FF"/>
          <w:lang w:val="ru-RU"/>
        </w:rPr>
        <w:t>，</w:t>
      </w:r>
      <w:r w:rsidRPr="004C59BB">
        <w:rPr>
          <w:color w:val="0000FF"/>
        </w:rPr>
        <w:t>载于第III卷</w:t>
      </w:r>
      <w:r w:rsidRPr="0097554A">
        <w:rPr>
          <w:color w:val="0000FF"/>
          <w:lang w:val="ru-RU"/>
        </w:rPr>
        <w:t>，</w:t>
      </w:r>
      <w:r w:rsidRPr="004C59BB">
        <w:rPr>
          <w:color w:val="0000FF"/>
        </w:rPr>
        <w:t>第</w:t>
      </w:r>
      <w:r w:rsidRPr="0097554A">
        <w:rPr>
          <w:color w:val="0000FF"/>
          <w:lang w:val="ru-RU"/>
        </w:rPr>
        <w:t>454</w:t>
      </w:r>
      <w:r w:rsidRPr="004C59BB">
        <w:rPr>
          <w:color w:val="0000FF"/>
        </w:rPr>
        <w:t>页。</w:t>
      </w:r>
    </w:p>
  </w:footnote>
  <w:footnote w:id="381">
    <w:p w14:paraId="5E695BE3" w14:textId="77777777" w:rsidR="008225CB" w:rsidRPr="0097554A" w:rsidRDefault="008225CB">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《论信仰讲道集》第</w:t>
      </w:r>
      <w:r w:rsidRPr="0097554A">
        <w:rPr>
          <w:color w:val="0000FF"/>
          <w:lang w:val="ru-RU"/>
        </w:rPr>
        <w:t>13</w:t>
      </w:r>
      <w:r w:rsidRPr="004C59BB">
        <w:rPr>
          <w:color w:val="0000FF"/>
        </w:rPr>
        <w:t>段</w:t>
      </w:r>
      <w:r w:rsidRPr="0097554A">
        <w:rPr>
          <w:color w:val="0000FF"/>
          <w:lang w:val="ru-RU"/>
        </w:rPr>
        <w:t>（</w:t>
      </w:r>
      <w:r w:rsidRPr="004C59BB">
        <w:rPr>
          <w:color w:val="0000FF"/>
        </w:rPr>
        <w:t>见加兰德版</w:t>
      </w:r>
      <w:r w:rsidRPr="0097554A">
        <w:rPr>
          <w:color w:val="0000FF"/>
          <w:lang w:val="ru-RU"/>
        </w:rPr>
        <w:t>，</w:t>
      </w:r>
      <w:r w:rsidRPr="004C59BB">
        <w:rPr>
          <w:color w:val="0000FF"/>
        </w:rPr>
        <w:t>第V卷</w:t>
      </w:r>
      <w:r w:rsidRPr="0097554A">
        <w:rPr>
          <w:color w:val="0000FF"/>
          <w:lang w:val="ru-RU"/>
        </w:rPr>
        <w:t>，</w:t>
      </w:r>
      <w:r w:rsidRPr="004C59BB">
        <w:rPr>
          <w:color w:val="0000FF"/>
        </w:rPr>
        <w:t>第</w:t>
      </w:r>
      <w:r w:rsidRPr="0097554A">
        <w:rPr>
          <w:color w:val="0000FF"/>
          <w:lang w:val="ru-RU"/>
        </w:rPr>
        <w:t>163</w:t>
      </w:r>
      <w:r w:rsidRPr="004C59BB">
        <w:rPr>
          <w:color w:val="0000FF"/>
        </w:rPr>
        <w:t>页</w:t>
      </w:r>
      <w:r w:rsidRPr="0097554A">
        <w:rPr>
          <w:color w:val="0000FF"/>
          <w:lang w:val="ru-RU"/>
        </w:rPr>
        <w:t>）；</w:t>
      </w:r>
      <w:r w:rsidRPr="004C59BB">
        <w:rPr>
          <w:color w:val="0000FF"/>
        </w:rPr>
        <w:t>参见《论道成肉身讲道集》第</w:t>
      </w:r>
      <w:r w:rsidRPr="0097554A">
        <w:rPr>
          <w:color w:val="0000FF"/>
          <w:lang w:val="ru-RU"/>
        </w:rPr>
        <w:t>20</w:t>
      </w:r>
      <w:r w:rsidRPr="004C59BB">
        <w:rPr>
          <w:color w:val="0000FF"/>
        </w:rPr>
        <w:t>段。</w:t>
      </w:r>
    </w:p>
  </w:footnote>
  <w:footnote w:id="382">
    <w:p w14:paraId="0AF6F1CE" w14:textId="77777777" w:rsidR="008225CB" w:rsidRPr="0097554A" w:rsidRDefault="008225CB">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《希伯来书讲道集》第十七篇</w:t>
      </w:r>
      <w:r w:rsidRPr="0097554A">
        <w:rPr>
          <w:color w:val="0000FF"/>
          <w:lang w:val="ru-RU"/>
        </w:rPr>
        <w:t>，</w:t>
      </w:r>
      <w:r w:rsidRPr="004C59BB">
        <w:rPr>
          <w:color w:val="0000FF"/>
        </w:rPr>
        <w:t>第</w:t>
      </w:r>
      <w:r w:rsidRPr="0097554A">
        <w:rPr>
          <w:color w:val="0000FF"/>
          <w:lang w:val="ru-RU"/>
        </w:rPr>
        <w:t>2</w:t>
      </w:r>
      <w:r w:rsidRPr="004C59BB">
        <w:rPr>
          <w:color w:val="0000FF"/>
        </w:rPr>
        <w:t>节。</w:t>
      </w:r>
      <w:r w:rsidRPr="004C59BB">
        <w:rPr>
          <w:color w:val="0000FF"/>
          <w:lang w:val="ru-RU"/>
        </w:rPr>
        <w:t>同样</w:t>
      </w:r>
      <w:r w:rsidRPr="0097554A">
        <w:rPr>
          <w:color w:val="0000FF"/>
        </w:rPr>
        <w:t>，</w:t>
      </w:r>
      <w:r w:rsidRPr="004C59BB">
        <w:rPr>
          <w:color w:val="0000FF"/>
          <w:lang w:val="ru-RU"/>
        </w:rPr>
        <w:t>福者狄奥多里特在阐释</w:t>
      </w:r>
      <w:r w:rsidRPr="0097554A">
        <w:rPr>
          <w:color w:val="0000FF"/>
        </w:rPr>
        <w:t>“</w:t>
      </w:r>
      <w:r w:rsidRPr="004C59BB">
        <w:rPr>
          <w:color w:val="0000FF"/>
          <w:lang w:val="ru-RU"/>
        </w:rPr>
        <w:t>因那一位义人的顺服</w:t>
      </w:r>
      <w:r w:rsidRPr="0097554A">
        <w:rPr>
          <w:color w:val="0000FF"/>
        </w:rPr>
        <w:t>，</w:t>
      </w:r>
      <w:r w:rsidRPr="004C59BB">
        <w:rPr>
          <w:color w:val="0000FF"/>
          <w:lang w:val="ru-RU"/>
        </w:rPr>
        <w:t>许多人便成为义人</w:t>
      </w:r>
      <w:r w:rsidRPr="0097554A">
        <w:rPr>
          <w:color w:val="0000FF"/>
        </w:rPr>
        <w:t>”（</w:t>
      </w:r>
      <w:r w:rsidRPr="004C59BB">
        <w:rPr>
          <w:color w:val="0000FF"/>
          <w:lang w:val="ru-RU"/>
        </w:rPr>
        <w:t>罗</w:t>
      </w:r>
      <w:r w:rsidRPr="0097554A">
        <w:rPr>
          <w:color w:val="0000FF"/>
        </w:rPr>
        <w:t>5:19）</w:t>
      </w:r>
      <w:r w:rsidRPr="004C59BB">
        <w:rPr>
          <w:color w:val="0000FF"/>
          <w:lang w:val="ru-RU"/>
        </w:rPr>
        <w:t>这句话时</w:t>
      </w:r>
      <w:r w:rsidRPr="0097554A">
        <w:rPr>
          <w:color w:val="0000FF"/>
        </w:rPr>
        <w:t>，</w:t>
      </w:r>
      <w:r w:rsidRPr="004C59BB">
        <w:rPr>
          <w:color w:val="0000FF"/>
          <w:lang w:val="ru-RU"/>
        </w:rPr>
        <w:t>说道</w:t>
      </w:r>
      <w:r w:rsidRPr="0097554A">
        <w:rPr>
          <w:color w:val="0000FF"/>
        </w:rPr>
        <w:t>：“</w:t>
      </w:r>
      <w:r w:rsidRPr="004C59BB">
        <w:rPr>
          <w:color w:val="0000FF"/>
          <w:lang w:val="ru-RU"/>
        </w:rPr>
        <w:t>使徒在此使用</w:t>
      </w:r>
      <w:r w:rsidRPr="0097554A">
        <w:rPr>
          <w:color w:val="0000FF"/>
        </w:rPr>
        <w:t>‘</w:t>
      </w:r>
      <w:r w:rsidRPr="004C59BB">
        <w:rPr>
          <w:color w:val="0000FF"/>
          <w:lang w:val="ru-RU"/>
        </w:rPr>
        <w:t>许多人</w:t>
      </w:r>
      <w:r w:rsidRPr="0097554A">
        <w:rPr>
          <w:color w:val="0000FF"/>
        </w:rPr>
        <w:t>’</w:t>
      </w:r>
      <w:r w:rsidRPr="004C59BB">
        <w:rPr>
          <w:color w:val="0000FF"/>
          <w:lang w:val="ru-RU"/>
        </w:rPr>
        <w:t>一词</w:t>
      </w:r>
      <w:r w:rsidRPr="0097554A">
        <w:rPr>
          <w:color w:val="0000FF"/>
        </w:rPr>
        <w:t>，</w:t>
      </w:r>
      <w:r w:rsidRPr="004C59BB">
        <w:rPr>
          <w:color w:val="0000FF"/>
          <w:lang w:val="ru-RU"/>
        </w:rPr>
        <w:t>可谓恰如其分。</w:t>
      </w:r>
      <w:r w:rsidRPr="0097554A">
        <w:rPr>
          <w:color w:val="0000FF"/>
        </w:rPr>
        <w:t xml:space="preserve"> </w:t>
      </w:r>
      <w:r w:rsidRPr="004C59BB">
        <w:rPr>
          <w:color w:val="0000FF"/>
          <w:lang w:val="ru-RU"/>
        </w:rPr>
        <w:t>因为在救主降临之后</w:t>
      </w:r>
      <w:r w:rsidRPr="0097554A">
        <w:rPr>
          <w:color w:val="0000FF"/>
        </w:rPr>
        <w:t>，</w:t>
      </w:r>
      <w:r w:rsidRPr="004C59BB">
        <w:rPr>
          <w:color w:val="0000FF"/>
          <w:lang w:val="ru-RU"/>
        </w:rPr>
        <w:t>并非所有人都能获得救赎</w:t>
      </w:r>
      <w:r w:rsidRPr="0097554A">
        <w:rPr>
          <w:color w:val="0000FF"/>
        </w:rPr>
        <w:t>，</w:t>
      </w:r>
      <w:r w:rsidRPr="004C59BB">
        <w:rPr>
          <w:color w:val="0000FF"/>
          <w:lang w:val="ru-RU"/>
        </w:rPr>
        <w:t>而是只有信靠祂并遵行祂神圣律法的人</w:t>
      </w:r>
      <w:r w:rsidR="005666A3" w:rsidRPr="004C59BB">
        <w:rPr>
          <w:color w:val="0000FF"/>
          <w:lang w:val="ru-RU"/>
        </w:rPr>
        <w:t>才能得救</w:t>
      </w:r>
      <w:r w:rsidR="005666A3" w:rsidRPr="0097554A">
        <w:rPr>
          <w:color w:val="0000FF"/>
        </w:rPr>
        <w:t>”</w:t>
      </w:r>
      <w:r w:rsidRPr="0097554A">
        <w:rPr>
          <w:color w:val="0000FF"/>
        </w:rPr>
        <w:t>（</w:t>
      </w:r>
      <w:r w:rsidRPr="004C59BB">
        <w:rPr>
          <w:color w:val="0000FF"/>
          <w:lang w:val="ru-RU"/>
        </w:rPr>
        <w:t>《神学教义简明概论》</w:t>
      </w:r>
      <w:r w:rsidRPr="004C59BB">
        <w:rPr>
          <w:color w:val="0000FF"/>
        </w:rPr>
        <w:t>第二</w:t>
      </w:r>
      <w:r w:rsidRPr="004C59BB">
        <w:rPr>
          <w:color w:val="0000FF"/>
          <w:lang w:val="ru-RU"/>
        </w:rPr>
        <w:t>章</w:t>
      </w:r>
      <w:r w:rsidRPr="0097554A">
        <w:rPr>
          <w:color w:val="0000FF"/>
        </w:rPr>
        <w:t>，</w:t>
      </w:r>
      <w:r w:rsidRPr="004C59BB">
        <w:rPr>
          <w:color w:val="0000FF"/>
          <w:lang w:val="ru-RU"/>
        </w:rPr>
        <w:t>载于《基督教读物》</w:t>
      </w:r>
      <w:r w:rsidRPr="0097554A">
        <w:rPr>
          <w:color w:val="0000FF"/>
        </w:rPr>
        <w:t>1844</w:t>
      </w:r>
      <w:r w:rsidRPr="004C59BB">
        <w:rPr>
          <w:color w:val="0000FF"/>
          <w:lang w:val="ru-RU"/>
        </w:rPr>
        <w:t>年版</w:t>
      </w:r>
      <w:r w:rsidRPr="0097554A">
        <w:rPr>
          <w:color w:val="0000FF"/>
        </w:rPr>
        <w:t>，</w:t>
      </w:r>
      <w:r w:rsidRPr="004C59BB">
        <w:rPr>
          <w:color w:val="0000FF"/>
        </w:rPr>
        <w:t>第四</w:t>
      </w:r>
      <w:r w:rsidRPr="004C59BB">
        <w:rPr>
          <w:color w:val="0000FF"/>
          <w:lang w:val="ru-RU"/>
        </w:rPr>
        <w:t>卷</w:t>
      </w:r>
      <w:r w:rsidRPr="0097554A">
        <w:rPr>
          <w:color w:val="0000FF"/>
        </w:rPr>
        <w:t>，</w:t>
      </w:r>
      <w:r w:rsidRPr="004C59BB">
        <w:rPr>
          <w:color w:val="0000FF"/>
          <w:lang w:val="ru-RU"/>
        </w:rPr>
        <w:t>第</w:t>
      </w:r>
      <w:r w:rsidRPr="0097554A">
        <w:rPr>
          <w:color w:val="0000FF"/>
        </w:rPr>
        <w:t>318</w:t>
      </w:r>
      <w:r w:rsidRPr="004C59BB">
        <w:rPr>
          <w:color w:val="0000FF"/>
          <w:lang w:val="ru-RU"/>
        </w:rPr>
        <w:t>页</w:t>
      </w:r>
      <w:r w:rsidRPr="0097554A">
        <w:rPr>
          <w:color w:val="0000FF"/>
        </w:rPr>
        <w:t>）</w:t>
      </w:r>
      <w:r w:rsidRPr="004C59BB">
        <w:rPr>
          <w:color w:val="0000FF"/>
          <w:lang w:val="ru-RU"/>
        </w:rPr>
        <w:t>。</w:t>
      </w:r>
    </w:p>
  </w:footnote>
  <w:footnote w:id="383">
    <w:p w14:paraId="3EA71340" w14:textId="77777777" w:rsidR="00457DD3" w:rsidRPr="004C59BB" w:rsidRDefault="00457DD3">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见《罗马书讲道集》</w:t>
      </w:r>
      <w:r w:rsidRPr="004C59BB">
        <w:rPr>
          <w:color w:val="0000FF"/>
        </w:rPr>
        <w:t>第十</w:t>
      </w:r>
      <w:r w:rsidRPr="004C59BB">
        <w:rPr>
          <w:color w:val="0000FF"/>
          <w:lang w:val="ru-RU"/>
        </w:rPr>
        <w:t>卷</w:t>
      </w:r>
      <w:r w:rsidRPr="0097554A">
        <w:rPr>
          <w:color w:val="0000FF"/>
        </w:rPr>
        <w:t>，</w:t>
      </w:r>
      <w:r w:rsidRPr="004C59BB">
        <w:rPr>
          <w:color w:val="0000FF"/>
          <w:lang w:val="ru-RU"/>
        </w:rPr>
        <w:t>第</w:t>
      </w:r>
      <w:r w:rsidRPr="0097554A">
        <w:rPr>
          <w:color w:val="0000FF"/>
        </w:rPr>
        <w:t>2</w:t>
      </w:r>
      <w:r w:rsidRPr="004C59BB">
        <w:rPr>
          <w:color w:val="0000FF"/>
          <w:lang w:val="ru-RU"/>
        </w:rPr>
        <w:t>节</w:t>
      </w:r>
      <w:r w:rsidRPr="0097554A">
        <w:rPr>
          <w:color w:val="0000FF"/>
        </w:rPr>
        <w:t>，</w:t>
      </w:r>
      <w:r w:rsidRPr="004C59BB">
        <w:rPr>
          <w:color w:val="0000FF"/>
          <w:lang w:val="ru-RU"/>
        </w:rPr>
        <w:t>俄文译本第</w:t>
      </w:r>
      <w:r w:rsidRPr="0097554A">
        <w:rPr>
          <w:color w:val="0000FF"/>
        </w:rPr>
        <w:t>210</w:t>
      </w:r>
      <w:r w:rsidRPr="004C59BB">
        <w:rPr>
          <w:color w:val="0000FF"/>
          <w:lang w:val="ru-RU"/>
        </w:rPr>
        <w:t>页。此外还写道：“因此，使徒没有说‘恩典’，而是说‘丰盛的恩典’。赐予我们的恩典之礼，不仅是为了消灭罪，更是远不止于此。 我们既已脱离刑罚，洗净了一切恶行，从上头重生， 在旧人被埋葬后复活，蒙赎、蒙圣化、被接纳为神的儿女、被称义，成为独生子的弟兄，与祂同为后嗣，与祂合而为一，成为祂的肢体，如同身体与</w:t>
      </w:r>
      <w:r w:rsidR="005666A3" w:rsidRPr="004C59BB">
        <w:rPr>
          <w:color w:val="0000FF"/>
          <w:lang w:val="ru-RU"/>
        </w:rPr>
        <w:t>头一般</w:t>
      </w:r>
      <w:r w:rsidRPr="004C59BB">
        <w:rPr>
          <w:color w:val="0000FF"/>
          <w:lang w:val="ru-RU"/>
        </w:rPr>
        <w:t>与祂联合</w:t>
      </w:r>
      <w:r w:rsidR="005666A3" w:rsidRPr="004C59BB">
        <w:rPr>
          <w:color w:val="0000FF"/>
          <w:lang w:val="ru-RU"/>
        </w:rPr>
        <w:t>”</w:t>
      </w:r>
      <w:r w:rsidRPr="004C59BB">
        <w:rPr>
          <w:color w:val="0000FF"/>
          <w:lang w:val="ru-RU"/>
        </w:rPr>
        <w:t xml:space="preserve"> （第211页）。</w:t>
      </w:r>
    </w:p>
  </w:footnote>
  <w:footnote w:id="384">
    <w:p w14:paraId="2A9A468F"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见《诗篇</w:t>
      </w:r>
      <w:r w:rsidRPr="004C59BB">
        <w:rPr>
          <w:color w:val="0000FF"/>
          <w:lang w:val="ru-RU"/>
        </w:rPr>
        <w:t>》第XXIX篇，</w:t>
      </w:r>
      <w:r w:rsidRPr="004C59BB">
        <w:rPr>
          <w:color w:val="0000FF"/>
        </w:rPr>
        <w:t>第II节</w:t>
      </w:r>
      <w:r w:rsidRPr="004C59BB">
        <w:rPr>
          <w:color w:val="0000FF"/>
          <w:lang w:val="ru-RU"/>
        </w:rPr>
        <w:t>。</w:t>
      </w:r>
    </w:p>
  </w:footnote>
  <w:footnote w:id="385">
    <w:p w14:paraId="7B919A49" w14:textId="77777777" w:rsidR="00C52321" w:rsidRPr="0097554A" w:rsidRDefault="00C52321">
      <w:pPr>
        <w:pStyle w:val="FootnoteText"/>
        <w:rPr>
          <w:color w:val="0000FF"/>
          <w:lang w:val="ru-RU"/>
        </w:rPr>
      </w:pPr>
      <w:r w:rsidRPr="004C59BB">
        <w:rPr>
          <w:rStyle w:val="FootnoteReference"/>
          <w:color w:val="0000FF"/>
        </w:rPr>
        <w:footnoteRef/>
      </w:r>
      <w:r w:rsidRPr="004C59BB">
        <w:rPr>
          <w:color w:val="0000FF"/>
          <w:lang w:val="ru-RU"/>
        </w:rPr>
        <w:t xml:space="preserve"> 《神学词汇》</w:t>
      </w:r>
      <w:r w:rsidRPr="004C59BB">
        <w:rPr>
          <w:color w:val="0000FF"/>
        </w:rPr>
        <w:t>第四卷</w:t>
      </w:r>
      <w:r w:rsidRPr="004C59BB">
        <w:rPr>
          <w:color w:val="0000FF"/>
          <w:lang w:val="ru-RU"/>
        </w:rPr>
        <w:t>，载于《圣</w:t>
      </w:r>
      <w:r w:rsidRPr="004C59BB">
        <w:rPr>
          <w:color w:val="0000FF"/>
        </w:rPr>
        <w:t>教父</w:t>
      </w:r>
      <w:r w:rsidRPr="004C59BB">
        <w:rPr>
          <w:color w:val="0000FF"/>
          <w:lang w:val="ru-RU"/>
        </w:rPr>
        <w:t>著作集</w:t>
      </w:r>
      <w:r w:rsidRPr="004C59BB">
        <w:rPr>
          <w:color w:val="0000FF"/>
        </w:rPr>
        <w:t>》第三卷</w:t>
      </w:r>
      <w:r w:rsidRPr="0097554A">
        <w:rPr>
          <w:color w:val="0000FF"/>
          <w:lang w:val="ru-RU"/>
        </w:rPr>
        <w:t>，</w:t>
      </w:r>
      <w:r w:rsidRPr="004C59BB">
        <w:rPr>
          <w:color w:val="0000FF"/>
        </w:rPr>
        <w:t>第</w:t>
      </w:r>
      <w:r w:rsidRPr="0097554A">
        <w:rPr>
          <w:color w:val="0000FF"/>
          <w:lang w:val="ru-RU"/>
        </w:rPr>
        <w:t>93</w:t>
      </w:r>
      <w:r w:rsidRPr="004C59BB">
        <w:rPr>
          <w:color w:val="0000FF"/>
        </w:rPr>
        <w:t>页。</w:t>
      </w:r>
    </w:p>
  </w:footnote>
  <w:footnote w:id="386">
    <w:p w14:paraId="1BD8E785" w14:textId="77777777" w:rsidR="00C52321" w:rsidRPr="0097554A" w:rsidRDefault="00C52321">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《致罗马人书》第八章。</w:t>
      </w:r>
    </w:p>
  </w:footnote>
  <w:footnote w:id="387">
    <w:p w14:paraId="6B369CAD" w14:textId="77777777" w:rsidR="00C52321" w:rsidRPr="0097554A" w:rsidRDefault="00C52321">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贾斯汀</w:t>
      </w:r>
      <w:r w:rsidRPr="0097554A">
        <w:rPr>
          <w:color w:val="0000FF"/>
          <w:lang w:val="ru-RU"/>
        </w:rPr>
        <w:t>，</w:t>
      </w:r>
      <w:r w:rsidRPr="004C59BB">
        <w:rPr>
          <w:color w:val="0000FF"/>
        </w:rPr>
        <w:t>《护教辞》第一卷</w:t>
      </w:r>
      <w:r w:rsidRPr="0097554A">
        <w:rPr>
          <w:color w:val="0000FF"/>
          <w:lang w:val="ru-RU"/>
        </w:rPr>
        <w:t>，28；</w:t>
      </w:r>
      <w:r w:rsidRPr="004C59BB">
        <w:rPr>
          <w:color w:val="0000FF"/>
        </w:rPr>
        <w:t>第二卷</w:t>
      </w:r>
      <w:r w:rsidRPr="0097554A">
        <w:rPr>
          <w:color w:val="0000FF"/>
          <w:lang w:val="ru-RU"/>
        </w:rPr>
        <w:t>，8；</w:t>
      </w:r>
      <w:r w:rsidRPr="004C59BB">
        <w:rPr>
          <w:color w:val="0000FF"/>
        </w:rPr>
        <w:t>爱任纽</w:t>
      </w:r>
      <w:r w:rsidRPr="0097554A">
        <w:rPr>
          <w:color w:val="0000FF"/>
          <w:lang w:val="ru-RU"/>
        </w:rPr>
        <w:t>，</w:t>
      </w:r>
      <w:r w:rsidRPr="004C59BB">
        <w:rPr>
          <w:color w:val="0000FF"/>
        </w:rPr>
        <w:t>《反异端》第一卷</w:t>
      </w:r>
      <w:r w:rsidRPr="0097554A">
        <w:rPr>
          <w:color w:val="0000FF"/>
          <w:lang w:val="ru-RU"/>
        </w:rPr>
        <w:t>，10；</w:t>
      </w:r>
      <w:r w:rsidRPr="004C59BB">
        <w:rPr>
          <w:color w:val="0000FF"/>
        </w:rPr>
        <w:t>涅梅西乌斯</w:t>
      </w:r>
      <w:r w:rsidRPr="0097554A">
        <w:rPr>
          <w:color w:val="0000FF"/>
          <w:lang w:val="ru-RU"/>
        </w:rPr>
        <w:t>，</w:t>
      </w:r>
      <w:r w:rsidRPr="004C59BB">
        <w:rPr>
          <w:color w:val="0000FF"/>
        </w:rPr>
        <w:t>《论人的本性》第一章</w:t>
      </w:r>
      <w:r w:rsidRPr="0097554A">
        <w:rPr>
          <w:color w:val="0000FF"/>
          <w:lang w:val="ru-RU"/>
        </w:rPr>
        <w:t>；</w:t>
      </w:r>
      <w:r w:rsidRPr="004C59BB">
        <w:rPr>
          <w:color w:val="0000FF"/>
        </w:rPr>
        <w:t>希拉里</w:t>
      </w:r>
      <w:r w:rsidRPr="0097554A">
        <w:rPr>
          <w:color w:val="0000FF"/>
          <w:lang w:val="ru-RU"/>
        </w:rPr>
        <w:t>，</w:t>
      </w:r>
      <w:r w:rsidRPr="004C59BB">
        <w:rPr>
          <w:color w:val="0000FF"/>
        </w:rPr>
        <w:t>《诗篇注释》第CXLVIII篇</w:t>
      </w:r>
      <w:r w:rsidRPr="0097554A">
        <w:rPr>
          <w:color w:val="0000FF"/>
          <w:lang w:val="ru-RU"/>
        </w:rPr>
        <w:t>，</w:t>
      </w:r>
      <w:r w:rsidRPr="004C59BB">
        <w:rPr>
          <w:color w:val="0000FF"/>
        </w:rPr>
        <w:t>注</w:t>
      </w:r>
      <w:r w:rsidRPr="0097554A">
        <w:rPr>
          <w:color w:val="0000FF"/>
          <w:lang w:val="ru-RU"/>
        </w:rPr>
        <w:t>7；</w:t>
      </w:r>
      <w:r w:rsidRPr="004C59BB">
        <w:rPr>
          <w:color w:val="0000FF"/>
        </w:rPr>
        <w:t>奥古斯丁</w:t>
      </w:r>
      <w:r w:rsidRPr="0097554A">
        <w:rPr>
          <w:color w:val="0000FF"/>
          <w:lang w:val="ru-RU"/>
        </w:rPr>
        <w:t>，</w:t>
      </w:r>
      <w:r w:rsidRPr="004C59BB">
        <w:rPr>
          <w:color w:val="0000FF"/>
        </w:rPr>
        <w:t>《加拉太书注释》第</w:t>
      </w:r>
      <w:r w:rsidRPr="0097554A">
        <w:rPr>
          <w:color w:val="0000FF"/>
          <w:lang w:val="ru-RU"/>
        </w:rPr>
        <w:t>24</w:t>
      </w:r>
      <w:r w:rsidRPr="004C59BB">
        <w:rPr>
          <w:color w:val="0000FF"/>
        </w:rPr>
        <w:t>注</w:t>
      </w:r>
      <w:r w:rsidRPr="0097554A">
        <w:rPr>
          <w:color w:val="0000FF"/>
          <w:lang w:val="ru-RU"/>
        </w:rPr>
        <w:t>；</w:t>
      </w:r>
      <w:r w:rsidRPr="004C59BB">
        <w:rPr>
          <w:color w:val="0000FF"/>
        </w:rPr>
        <w:t>《上帝之城》</w:t>
      </w:r>
      <w:r w:rsidRPr="0097554A">
        <w:rPr>
          <w:color w:val="0000FF"/>
          <w:lang w:val="ru-RU"/>
        </w:rPr>
        <w:t xml:space="preserve"> </w:t>
      </w:r>
      <w:r w:rsidRPr="004C59BB">
        <w:rPr>
          <w:color w:val="0000FF"/>
        </w:rPr>
        <w:t>《论上帝》第十四卷</w:t>
      </w:r>
      <w:r w:rsidRPr="0097554A">
        <w:rPr>
          <w:color w:val="0000FF"/>
          <w:lang w:val="ru-RU"/>
        </w:rPr>
        <w:t>，</w:t>
      </w:r>
      <w:r w:rsidRPr="004C59BB">
        <w:rPr>
          <w:color w:val="0000FF"/>
        </w:rPr>
        <w:t>第</w:t>
      </w:r>
      <w:r w:rsidRPr="0097554A">
        <w:rPr>
          <w:color w:val="0000FF"/>
          <w:lang w:val="ru-RU"/>
        </w:rPr>
        <w:t>27</w:t>
      </w:r>
      <w:r w:rsidRPr="004C59BB">
        <w:rPr>
          <w:color w:val="0000FF"/>
        </w:rPr>
        <w:t>章</w:t>
      </w:r>
      <w:r w:rsidRPr="0097554A">
        <w:rPr>
          <w:color w:val="0000FF"/>
          <w:lang w:val="ru-RU"/>
        </w:rPr>
        <w:t>；</w:t>
      </w:r>
      <w:r w:rsidRPr="004C59BB">
        <w:rPr>
          <w:color w:val="0000FF"/>
        </w:rPr>
        <w:t>耶罗尼姆《约翰福音注》第三章</w:t>
      </w:r>
      <w:r w:rsidRPr="0097554A">
        <w:rPr>
          <w:color w:val="0000FF"/>
          <w:lang w:val="ru-RU"/>
        </w:rPr>
        <w:t>，</w:t>
      </w:r>
      <w:r w:rsidRPr="004C59BB">
        <w:rPr>
          <w:color w:val="0000FF"/>
        </w:rPr>
        <w:t>第</w:t>
      </w:r>
      <w:r w:rsidRPr="0097554A">
        <w:rPr>
          <w:color w:val="0000FF"/>
          <w:lang w:val="ru-RU"/>
        </w:rPr>
        <w:t>6</w:t>
      </w:r>
      <w:r w:rsidRPr="004C59BB">
        <w:rPr>
          <w:color w:val="0000FF"/>
        </w:rPr>
        <w:t>节</w:t>
      </w:r>
      <w:r w:rsidRPr="0097554A">
        <w:rPr>
          <w:color w:val="0000FF"/>
          <w:lang w:val="ru-RU"/>
        </w:rPr>
        <w:t>；</w:t>
      </w:r>
      <w:r w:rsidRPr="004C59BB">
        <w:rPr>
          <w:color w:val="0000FF"/>
        </w:rPr>
        <w:t>格雷戈里</w:t>
      </w:r>
      <w:r w:rsidRPr="0097554A">
        <w:rPr>
          <w:color w:val="0000FF"/>
          <w:lang w:val="ru-RU"/>
        </w:rPr>
        <w:t>·</w:t>
      </w:r>
      <w:r w:rsidRPr="004C59BB">
        <w:rPr>
          <w:color w:val="0000FF"/>
        </w:rPr>
        <w:t>马格努斯《约伯记注》第九</w:t>
      </w:r>
      <w:r w:rsidRPr="004C59BB">
        <w:rPr>
          <w:color w:val="0000FF"/>
          <w:lang w:val="ru-RU"/>
        </w:rPr>
        <w:t>章，第50节，注76；大马士革的约翰《信仰要义》</w:t>
      </w:r>
      <w:r w:rsidRPr="004C59BB">
        <w:rPr>
          <w:color w:val="0000FF"/>
        </w:rPr>
        <w:t>第二</w:t>
      </w:r>
      <w:r w:rsidRPr="004C59BB">
        <w:rPr>
          <w:color w:val="0000FF"/>
          <w:lang w:val="ru-RU"/>
        </w:rPr>
        <w:t>卷，第3、4、30章，第53</w:t>
      </w:r>
      <w:r w:rsidRPr="004C59BB">
        <w:rPr>
          <w:color w:val="0000FF"/>
        </w:rPr>
        <w:t>、</w:t>
      </w:r>
      <w:r w:rsidRPr="0097554A">
        <w:rPr>
          <w:color w:val="0000FF"/>
          <w:lang w:val="ru-RU"/>
        </w:rPr>
        <w:t>59</w:t>
      </w:r>
      <w:r w:rsidRPr="004C59BB">
        <w:rPr>
          <w:color w:val="0000FF"/>
        </w:rPr>
        <w:t>、</w:t>
      </w:r>
      <w:r w:rsidRPr="0097554A">
        <w:rPr>
          <w:color w:val="0000FF"/>
          <w:lang w:val="ru-RU"/>
        </w:rPr>
        <w:t>133</w:t>
      </w:r>
      <w:r w:rsidRPr="004C59BB">
        <w:rPr>
          <w:color w:val="0000FF"/>
        </w:rPr>
        <w:t>页。</w:t>
      </w:r>
    </w:p>
  </w:footnote>
  <w:footnote w:id="388">
    <w:p w14:paraId="29257E01" w14:textId="77777777" w:rsidR="00C52321" w:rsidRPr="0097554A" w:rsidRDefault="00C52321">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特土良《论基督的肉身》第XIV章</w:t>
      </w:r>
      <w:r w:rsidRPr="0097554A">
        <w:rPr>
          <w:color w:val="0000FF"/>
          <w:lang w:val="ru-RU"/>
        </w:rPr>
        <w:t>；</w:t>
      </w:r>
      <w:r w:rsidRPr="004C59BB">
        <w:rPr>
          <w:color w:val="0000FF"/>
        </w:rPr>
        <w:t>梅多迪乌斯《论西缅与安娜》第XIII条</w:t>
      </w:r>
      <w:r w:rsidRPr="0097554A">
        <w:rPr>
          <w:color w:val="0000FF"/>
          <w:lang w:val="ru-RU"/>
        </w:rPr>
        <w:t>；</w:t>
      </w:r>
      <w:r w:rsidRPr="004C59BB">
        <w:rPr>
          <w:color w:val="0000FF"/>
        </w:rPr>
        <w:t>耶罗尼姆《以赛亚书注》第XIV章</w:t>
      </w:r>
      <w:r w:rsidRPr="0097554A">
        <w:rPr>
          <w:color w:val="0000FF"/>
          <w:lang w:val="ru-RU"/>
        </w:rPr>
        <w:t>，20；</w:t>
      </w:r>
      <w:r w:rsidRPr="004C59BB">
        <w:rPr>
          <w:color w:val="0000FF"/>
        </w:rPr>
        <w:t>《反鲁菲努斯》第</w:t>
      </w:r>
      <w:r w:rsidRPr="0097554A">
        <w:rPr>
          <w:color w:val="0000FF"/>
          <w:lang w:val="ru-RU"/>
        </w:rPr>
        <w:t>1</w:t>
      </w:r>
      <w:r w:rsidRPr="004C59BB">
        <w:rPr>
          <w:color w:val="0000FF"/>
        </w:rPr>
        <w:t>卷</w:t>
      </w:r>
      <w:r w:rsidRPr="0097554A">
        <w:rPr>
          <w:color w:val="0000FF"/>
          <w:lang w:val="ru-RU"/>
        </w:rPr>
        <w:t>，</w:t>
      </w:r>
      <w:r w:rsidRPr="004C59BB">
        <w:rPr>
          <w:color w:val="0000FF"/>
        </w:rPr>
        <w:t>载于第IV卷</w:t>
      </w:r>
      <w:r w:rsidRPr="0097554A">
        <w:rPr>
          <w:color w:val="0000FF"/>
          <w:lang w:val="ru-RU"/>
        </w:rPr>
        <w:t>，</w:t>
      </w:r>
      <w:r w:rsidRPr="004C59BB">
        <w:rPr>
          <w:color w:val="0000FF"/>
        </w:rPr>
        <w:t>第二部分</w:t>
      </w:r>
      <w:r w:rsidRPr="0097554A">
        <w:rPr>
          <w:color w:val="0000FF"/>
          <w:lang w:val="ru-RU"/>
        </w:rPr>
        <w:t>，</w:t>
      </w:r>
      <w:r w:rsidRPr="004C59BB">
        <w:rPr>
          <w:color w:val="0000FF"/>
        </w:rPr>
        <w:t>第</w:t>
      </w:r>
      <w:r w:rsidRPr="0097554A">
        <w:rPr>
          <w:color w:val="0000FF"/>
          <w:lang w:val="ru-RU"/>
        </w:rPr>
        <w:t>379</w:t>
      </w:r>
      <w:r w:rsidRPr="004C59BB">
        <w:rPr>
          <w:color w:val="0000FF"/>
        </w:rPr>
        <w:t>页</w:t>
      </w:r>
      <w:r w:rsidRPr="0097554A">
        <w:rPr>
          <w:color w:val="0000FF"/>
          <w:lang w:val="ru-RU"/>
        </w:rPr>
        <w:t>，</w:t>
      </w:r>
      <w:r w:rsidRPr="004C59BB">
        <w:rPr>
          <w:color w:val="0000FF"/>
        </w:rPr>
        <w:t>马丁版。</w:t>
      </w:r>
    </w:p>
  </w:footnote>
  <w:footnote w:id="389">
    <w:p w14:paraId="1E5FA83C" w14:textId="77777777" w:rsidR="00C52321" w:rsidRPr="0097554A" w:rsidRDefault="00C52321">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普世大公会议《反对奥利金第五次决议》第七条。</w:t>
      </w:r>
    </w:p>
  </w:footnote>
  <w:footnote w:id="390">
    <w:p w14:paraId="56C5BE4B" w14:textId="77777777" w:rsidR="00B970C8" w:rsidRPr="0097554A" w:rsidRDefault="00B970C8">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w:t>
      </w:r>
      <w:r w:rsidRPr="004C59BB">
        <w:rPr>
          <w:color w:val="0000FF"/>
          <w:lang w:val="ru-RU"/>
        </w:rPr>
        <w:t>第1卷，第10章，第1节。殉道者尤斯丁（《</w:t>
      </w:r>
      <w:r w:rsidRPr="004C59BB">
        <w:rPr>
          <w:color w:val="0000FF"/>
        </w:rPr>
        <w:t>与特里丰的对话</w:t>
      </w:r>
      <w:r w:rsidRPr="004C59BB">
        <w:rPr>
          <w:color w:val="0000FF"/>
          <w:lang w:val="ru-RU"/>
        </w:rPr>
        <w:t>》第34、</w:t>
      </w:r>
      <w:r w:rsidRPr="0097554A">
        <w:rPr>
          <w:color w:val="0000FF"/>
          <w:lang w:val="ru-RU"/>
        </w:rPr>
        <w:t>86</w:t>
      </w:r>
      <w:r w:rsidRPr="004C59BB">
        <w:rPr>
          <w:color w:val="0000FF"/>
        </w:rPr>
        <w:t>、</w:t>
      </w:r>
      <w:r w:rsidRPr="0097554A">
        <w:rPr>
          <w:color w:val="0000FF"/>
          <w:lang w:val="ru-RU"/>
        </w:rPr>
        <w:t>118</w:t>
      </w:r>
      <w:r w:rsidRPr="004C59BB">
        <w:rPr>
          <w:color w:val="0000FF"/>
        </w:rPr>
        <w:t>节</w:t>
      </w:r>
      <w:r w:rsidRPr="0097554A">
        <w:rPr>
          <w:color w:val="0000FF"/>
          <w:lang w:val="ru-RU"/>
        </w:rPr>
        <w:t>）</w:t>
      </w:r>
      <w:r w:rsidRPr="004C59BB">
        <w:rPr>
          <w:color w:val="0000FF"/>
        </w:rPr>
        <w:t>和希波吕托斯</w:t>
      </w:r>
      <w:r w:rsidRPr="0097554A">
        <w:rPr>
          <w:color w:val="0000FF"/>
          <w:lang w:val="ru-RU"/>
        </w:rPr>
        <w:t>（</w:t>
      </w:r>
      <w:r w:rsidRPr="004C59BB">
        <w:rPr>
          <w:color w:val="0000FF"/>
        </w:rPr>
        <w:t>《论基督与敌基督》第</w:t>
      </w:r>
      <w:r w:rsidRPr="0097554A">
        <w:rPr>
          <w:color w:val="0000FF"/>
          <w:lang w:val="ru-RU"/>
        </w:rPr>
        <w:t>6</w:t>
      </w:r>
      <w:r w:rsidRPr="004C59BB">
        <w:rPr>
          <w:color w:val="0000FF"/>
        </w:rPr>
        <w:t>节</w:t>
      </w:r>
      <w:r w:rsidRPr="0097554A">
        <w:rPr>
          <w:color w:val="0000FF"/>
          <w:lang w:val="ru-RU"/>
        </w:rPr>
        <w:t>）</w:t>
      </w:r>
      <w:r w:rsidRPr="004C59BB">
        <w:rPr>
          <w:color w:val="0000FF"/>
        </w:rPr>
        <w:t>也</w:t>
      </w:r>
      <w:r w:rsidRPr="004C59BB">
        <w:rPr>
          <w:color w:val="0000FF"/>
          <w:lang w:val="ru-RU"/>
        </w:rPr>
        <w:t>作出了同样的关于耶稣基督王权的告白</w:t>
      </w:r>
      <w:r w:rsidRPr="004C59BB">
        <w:rPr>
          <w:color w:val="0000FF"/>
        </w:rPr>
        <w:t>。</w:t>
      </w:r>
    </w:p>
  </w:footnote>
  <w:footnote w:id="391">
    <w:p w14:paraId="7B221B6F" w14:textId="77777777" w:rsidR="00B970C8" w:rsidRPr="0097554A" w:rsidRDefault="00B970C8">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见拉莫斯</w:t>
      </w:r>
      <w:r w:rsidRPr="0097554A">
        <w:rPr>
          <w:color w:val="0000FF"/>
          <w:lang w:val="ru-RU"/>
        </w:rPr>
        <w:t>·</w:t>
      </w:r>
      <w:r w:rsidRPr="004C59BB">
        <w:rPr>
          <w:color w:val="0000FF"/>
        </w:rPr>
        <w:t>帕尔马尔</w:t>
      </w:r>
      <w:r w:rsidRPr="0097554A">
        <w:rPr>
          <w:color w:val="0000FF"/>
          <w:lang w:val="ru-RU"/>
        </w:rPr>
        <w:t>（</w:t>
      </w:r>
      <w:r w:rsidRPr="004C59BB">
        <w:rPr>
          <w:color w:val="0000FF"/>
        </w:rPr>
        <w:t>Ramos</w:t>
      </w:r>
      <w:r w:rsidRPr="0097554A">
        <w:rPr>
          <w:color w:val="0000FF"/>
          <w:lang w:val="ru-RU"/>
        </w:rPr>
        <w:t xml:space="preserve"> </w:t>
      </w:r>
      <w:r w:rsidRPr="004C59BB">
        <w:rPr>
          <w:color w:val="0000FF"/>
        </w:rPr>
        <w:t>Palmar</w:t>
      </w:r>
      <w:r w:rsidRPr="0097554A">
        <w:rPr>
          <w:color w:val="0000FF"/>
          <w:lang w:val="ru-RU"/>
        </w:rPr>
        <w:t>）</w:t>
      </w:r>
      <w:r w:rsidRPr="004C59BB">
        <w:rPr>
          <w:color w:val="0000FF"/>
        </w:rPr>
        <w:t>第V卷</w:t>
      </w:r>
      <w:r w:rsidRPr="0097554A">
        <w:rPr>
          <w:color w:val="0000FF"/>
          <w:lang w:val="ru-RU"/>
        </w:rPr>
        <w:t>，</w:t>
      </w:r>
      <w:r w:rsidRPr="004C59BB">
        <w:rPr>
          <w:color w:val="0000FF"/>
        </w:rPr>
        <w:t>引自加兰德</w:t>
      </w:r>
      <w:r w:rsidRPr="0097554A">
        <w:rPr>
          <w:color w:val="0000FF"/>
          <w:lang w:val="ru-RU"/>
        </w:rPr>
        <w:t>（</w:t>
      </w:r>
      <w:r w:rsidRPr="004C59BB">
        <w:rPr>
          <w:color w:val="0000FF"/>
        </w:rPr>
        <w:t>Galland</w:t>
      </w:r>
      <w:r w:rsidRPr="0097554A">
        <w:rPr>
          <w:color w:val="0000FF"/>
          <w:lang w:val="ru-RU"/>
        </w:rPr>
        <w:t>）</w:t>
      </w:r>
      <w:r w:rsidRPr="004C59BB">
        <w:rPr>
          <w:color w:val="0000FF"/>
        </w:rPr>
        <w:t>第三卷</w:t>
      </w:r>
      <w:r w:rsidRPr="0097554A">
        <w:rPr>
          <w:color w:val="0000FF"/>
          <w:lang w:val="ru-RU"/>
        </w:rPr>
        <w:t>，</w:t>
      </w:r>
      <w:r w:rsidRPr="004C59BB">
        <w:rPr>
          <w:color w:val="0000FF"/>
        </w:rPr>
        <w:t>第</w:t>
      </w:r>
      <w:r w:rsidRPr="0097554A">
        <w:rPr>
          <w:color w:val="0000FF"/>
          <w:lang w:val="ru-RU"/>
        </w:rPr>
        <w:t>823</w:t>
      </w:r>
      <w:r w:rsidRPr="004C59BB">
        <w:rPr>
          <w:color w:val="0000FF"/>
        </w:rPr>
        <w:t>页。</w:t>
      </w:r>
    </w:p>
  </w:footnote>
  <w:footnote w:id="392">
    <w:p w14:paraId="66836982" w14:textId="77777777" w:rsidR="00B970C8" w:rsidRPr="0097554A" w:rsidRDefault="00B970C8">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《论基督徒的完善形态》</w:t>
      </w:r>
      <w:r w:rsidRPr="0097554A">
        <w:rPr>
          <w:color w:val="0000FF"/>
          <w:lang w:val="ru-RU"/>
        </w:rPr>
        <w:t>，</w:t>
      </w:r>
      <w:r w:rsidRPr="004C59BB">
        <w:rPr>
          <w:color w:val="0000FF"/>
        </w:rPr>
        <w:t>载于第III卷</w:t>
      </w:r>
      <w:r w:rsidRPr="0097554A">
        <w:rPr>
          <w:color w:val="0000FF"/>
          <w:lang w:val="ru-RU"/>
        </w:rPr>
        <w:t>，</w:t>
      </w:r>
      <w:r w:rsidRPr="004C59BB">
        <w:rPr>
          <w:color w:val="0000FF"/>
        </w:rPr>
        <w:t>第</w:t>
      </w:r>
      <w:r w:rsidRPr="0097554A">
        <w:rPr>
          <w:color w:val="0000FF"/>
          <w:lang w:val="ru-RU"/>
        </w:rPr>
        <w:t>227</w:t>
      </w:r>
      <w:r w:rsidRPr="004C59BB">
        <w:rPr>
          <w:color w:val="0000FF"/>
        </w:rPr>
        <w:t>页</w:t>
      </w:r>
      <w:r w:rsidRPr="0097554A">
        <w:rPr>
          <w:color w:val="0000FF"/>
          <w:lang w:val="ru-RU"/>
        </w:rPr>
        <w:t>，</w:t>
      </w:r>
      <w:r w:rsidRPr="004C59BB">
        <w:rPr>
          <w:color w:val="0000FF"/>
        </w:rPr>
        <w:t>莫雷尔版。</w:t>
      </w:r>
    </w:p>
  </w:footnote>
  <w:footnote w:id="393">
    <w:p w14:paraId="5A73878D" w14:textId="77777777" w:rsidR="00B970C8" w:rsidRPr="0097554A" w:rsidRDefault="00B970C8">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《论基督徒的宣誓》</w:t>
      </w:r>
      <w:r w:rsidRPr="0097554A">
        <w:rPr>
          <w:color w:val="0000FF"/>
          <w:lang w:val="ru-RU"/>
        </w:rPr>
        <w:t>，</w:t>
      </w:r>
      <w:r w:rsidRPr="004C59BB">
        <w:rPr>
          <w:color w:val="0000FF"/>
        </w:rPr>
        <w:t>同上</w:t>
      </w:r>
      <w:r w:rsidRPr="0097554A">
        <w:rPr>
          <w:color w:val="0000FF"/>
          <w:lang w:val="ru-RU"/>
        </w:rPr>
        <w:t>，</w:t>
      </w:r>
      <w:r w:rsidRPr="004C59BB">
        <w:rPr>
          <w:color w:val="0000FF"/>
        </w:rPr>
        <w:t>第</w:t>
      </w:r>
      <w:r w:rsidRPr="0097554A">
        <w:rPr>
          <w:color w:val="0000FF"/>
          <w:lang w:val="ru-RU"/>
        </w:rPr>
        <w:t>269</w:t>
      </w:r>
      <w:r w:rsidRPr="004C59BB">
        <w:rPr>
          <w:color w:val="0000FF"/>
        </w:rPr>
        <w:t>页。</w:t>
      </w:r>
    </w:p>
  </w:footnote>
  <w:footnote w:id="394">
    <w:p w14:paraId="1D241892"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以下</w:t>
      </w:r>
      <w:r w:rsidRPr="004C59BB">
        <w:rPr>
          <w:color w:val="0000FF"/>
          <w:lang w:val="ru-RU"/>
        </w:rPr>
        <w:t>经文：</w:t>
      </w:r>
      <w:r w:rsidRPr="004C59BB">
        <w:rPr>
          <w:color w:val="0000FF"/>
        </w:rPr>
        <w:t>哥林多</w:t>
      </w:r>
      <w:r w:rsidRPr="004C59BB">
        <w:rPr>
          <w:color w:val="0000FF"/>
          <w:lang w:val="ru-RU"/>
        </w:rPr>
        <w:t>前书15:24，载于《基督读本》1838年版，</w:t>
      </w:r>
      <w:r w:rsidRPr="004C59BB">
        <w:rPr>
          <w:color w:val="0000FF"/>
        </w:rPr>
        <w:t>第II</w:t>
      </w:r>
      <w:r w:rsidRPr="004C59BB">
        <w:rPr>
          <w:color w:val="0000FF"/>
          <w:lang w:val="ru-RU"/>
        </w:rPr>
        <w:t>卷，第15页。</w:t>
      </w:r>
    </w:p>
  </w:footnote>
  <w:footnote w:id="395">
    <w:p w14:paraId="0CCF658B" w14:textId="77777777" w:rsidR="00B970C8" w:rsidRPr="0097554A" w:rsidRDefault="00B970C8">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《诗篇第</w:t>
      </w:r>
      <w:r w:rsidRPr="0097554A">
        <w:rPr>
          <w:color w:val="0000FF"/>
          <w:lang w:val="ru-RU"/>
        </w:rPr>
        <w:t>149</w:t>
      </w:r>
      <w:r w:rsidRPr="004C59BB">
        <w:rPr>
          <w:color w:val="0000FF"/>
        </w:rPr>
        <w:t>篇讲道集》。</w:t>
      </w:r>
    </w:p>
  </w:footnote>
  <w:footnote w:id="396">
    <w:p w14:paraId="0B774A6F" w14:textId="77777777" w:rsidR="00B970C8" w:rsidRPr="0097554A" w:rsidRDefault="00B970C8">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《诗篇》第二篇讲道。</w:t>
      </w:r>
    </w:p>
  </w:footnote>
  <w:footnote w:id="397">
    <w:p w14:paraId="7A6F3BFE"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如今，几乎所有新教神学家都在宣扬这一思想。</w:t>
      </w:r>
    </w:p>
  </w:footnote>
  <w:footnote w:id="398">
    <w:p w14:paraId="185D7DE8" w14:textId="77777777" w:rsidR="00B970C8" w:rsidRPr="0097554A" w:rsidRDefault="00B970C8">
      <w:pPr>
        <w:pStyle w:val="FootnoteText"/>
        <w:rPr>
          <w:color w:val="0000FF"/>
          <w:lang w:val="ru-RU"/>
        </w:rPr>
      </w:pPr>
      <w:r w:rsidRPr="004C59BB">
        <w:rPr>
          <w:rStyle w:val="FootnoteReference"/>
          <w:color w:val="0000FF"/>
        </w:rPr>
        <w:footnoteRef/>
      </w:r>
      <w:r w:rsidRPr="004C59BB">
        <w:rPr>
          <w:color w:val="0000FF"/>
          <w:lang w:val="ru-RU"/>
        </w:rPr>
        <w:t xml:space="preserve"> 《教会史》</w:t>
      </w:r>
      <w:r w:rsidRPr="004C59BB">
        <w:rPr>
          <w:color w:val="0000FF"/>
        </w:rPr>
        <w:t>第一</w:t>
      </w:r>
      <w:r w:rsidRPr="004C59BB">
        <w:rPr>
          <w:color w:val="0000FF"/>
          <w:lang w:val="ru-RU"/>
        </w:rPr>
        <w:t>卷，第13章，第51、</w:t>
      </w:r>
      <w:r w:rsidRPr="0097554A">
        <w:rPr>
          <w:color w:val="0000FF"/>
          <w:lang w:val="ru-RU"/>
        </w:rPr>
        <w:t>56</w:t>
      </w:r>
      <w:r w:rsidRPr="004C59BB">
        <w:rPr>
          <w:color w:val="0000FF"/>
          <w:lang w:val="ru-RU"/>
        </w:rPr>
        <w:t>页</w:t>
      </w:r>
      <w:r w:rsidRPr="0097554A">
        <w:rPr>
          <w:color w:val="0000FF"/>
          <w:lang w:val="ru-RU"/>
        </w:rPr>
        <w:t>，1848</w:t>
      </w:r>
      <w:r w:rsidRPr="004C59BB">
        <w:rPr>
          <w:color w:val="0000FF"/>
        </w:rPr>
        <w:t>年圣彼得堡版。</w:t>
      </w:r>
    </w:p>
  </w:footnote>
  <w:footnote w:id="399">
    <w:p w14:paraId="55B3DFDB" w14:textId="77777777" w:rsidR="00EE0485" w:rsidRPr="004C59BB" w:rsidRDefault="00EE048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宾厄姆</w:t>
      </w:r>
      <w:r w:rsidRPr="0097554A">
        <w:rPr>
          <w:color w:val="0000FF"/>
          <w:lang w:val="ru-RU"/>
        </w:rPr>
        <w:t>，</w:t>
      </w:r>
      <w:r w:rsidRPr="004C59BB">
        <w:rPr>
          <w:color w:val="0000FF"/>
        </w:rPr>
        <w:t>《教会起源》</w:t>
      </w:r>
      <w:r w:rsidRPr="004C59BB">
        <w:rPr>
          <w:color w:val="0000FF"/>
          <w:lang w:val="ru-RU"/>
        </w:rPr>
        <w:t>，</w:t>
      </w:r>
      <w:r w:rsidRPr="004C59BB">
        <w:rPr>
          <w:color w:val="0000FF"/>
        </w:rPr>
        <w:t>第</w:t>
      </w:r>
      <w:r w:rsidRPr="0097554A">
        <w:rPr>
          <w:color w:val="0000FF"/>
          <w:lang w:val="ru-RU"/>
        </w:rPr>
        <w:t xml:space="preserve"> </w:t>
      </w:r>
      <w:r w:rsidRPr="004C59BB">
        <w:rPr>
          <w:color w:val="0000FF"/>
        </w:rPr>
        <w:t>X</w:t>
      </w:r>
      <w:r w:rsidRPr="0097554A">
        <w:rPr>
          <w:color w:val="0000FF"/>
          <w:lang w:val="ru-RU"/>
        </w:rPr>
        <w:t xml:space="preserve"> </w:t>
      </w:r>
      <w:r w:rsidRPr="004C59BB">
        <w:rPr>
          <w:color w:val="0000FF"/>
        </w:rPr>
        <w:t>卷</w:t>
      </w:r>
      <w:r w:rsidRPr="004C59BB">
        <w:rPr>
          <w:color w:val="0000FF"/>
          <w:lang w:val="ru-RU"/>
        </w:rPr>
        <w:t xml:space="preserve">，第 3 章，第 7 节；第 </w:t>
      </w:r>
      <w:r w:rsidRPr="004C59BB">
        <w:rPr>
          <w:color w:val="0000FF"/>
        </w:rPr>
        <w:t>IV</w:t>
      </w:r>
      <w:r w:rsidRPr="004C59BB">
        <w:rPr>
          <w:color w:val="0000FF"/>
          <w:lang w:val="ru-RU"/>
        </w:rPr>
        <w:t xml:space="preserve"> </w:t>
      </w:r>
      <w:r w:rsidRPr="004C59BB">
        <w:rPr>
          <w:color w:val="0000FF"/>
        </w:rPr>
        <w:t>章</w:t>
      </w:r>
      <w:r w:rsidRPr="004C59BB">
        <w:rPr>
          <w:color w:val="0000FF"/>
          <w:lang w:val="ru-RU"/>
        </w:rPr>
        <w:t>，第 13 节。</w:t>
      </w:r>
    </w:p>
  </w:footnote>
  <w:footnote w:id="400">
    <w:p w14:paraId="709FC5B3" w14:textId="77777777" w:rsidR="00EE0485" w:rsidRPr="0097554A" w:rsidRDefault="00EE0485">
      <w:pPr>
        <w:pStyle w:val="FootnoteText"/>
        <w:rPr>
          <w:color w:val="0000FF"/>
          <w:lang w:val="ru-RU"/>
        </w:rPr>
      </w:pPr>
      <w:r w:rsidRPr="004C59BB">
        <w:rPr>
          <w:rStyle w:val="FootnoteReference"/>
          <w:color w:val="0000FF"/>
        </w:rPr>
        <w:footnoteRef/>
      </w:r>
      <w:r w:rsidRPr="004C59BB">
        <w:rPr>
          <w:color w:val="0000FF"/>
          <w:lang w:val="ru-RU"/>
        </w:rPr>
        <w:t xml:space="preserve"> 值得注意的是，许多出现在基督教早期阶段的伪经都提到了耶稣基督下地狱的事。 </w:t>
      </w:r>
      <w:r w:rsidRPr="004C59BB">
        <w:rPr>
          <w:color w:val="0000FF"/>
        </w:rPr>
        <w:t>参见例如</w:t>
      </w:r>
      <w:r w:rsidRPr="0097554A">
        <w:rPr>
          <w:color w:val="0000FF"/>
          <w:lang w:val="ru-RU"/>
        </w:rPr>
        <w:t>：</w:t>
      </w:r>
      <w:r w:rsidRPr="004C59BB">
        <w:rPr>
          <w:color w:val="0000FF"/>
        </w:rPr>
        <w:t>《尼哥底母福音》第</w:t>
      </w:r>
      <w:r w:rsidRPr="0097554A">
        <w:rPr>
          <w:color w:val="0000FF"/>
          <w:lang w:val="ru-RU"/>
        </w:rPr>
        <w:t>18</w:t>
      </w:r>
      <w:r w:rsidRPr="004C59BB">
        <w:rPr>
          <w:color w:val="0000FF"/>
        </w:rPr>
        <w:t>节</w:t>
      </w:r>
      <w:r w:rsidRPr="0097554A">
        <w:rPr>
          <w:color w:val="0000FF"/>
          <w:lang w:val="ru-RU"/>
        </w:rPr>
        <w:t>（</w:t>
      </w:r>
      <w:r w:rsidRPr="004C59BB">
        <w:rPr>
          <w:color w:val="0000FF"/>
        </w:rPr>
        <w:t>见于Birch</w:t>
      </w:r>
      <w:r w:rsidRPr="0097554A">
        <w:rPr>
          <w:color w:val="0000FF"/>
          <w:lang w:val="ru-RU"/>
        </w:rPr>
        <w:t xml:space="preserve">. </w:t>
      </w:r>
      <w:r w:rsidRPr="004C59BB">
        <w:rPr>
          <w:color w:val="0000FF"/>
        </w:rPr>
        <w:t>Auct</w:t>
      </w:r>
      <w:r w:rsidRPr="0097554A">
        <w:rPr>
          <w:color w:val="0000FF"/>
          <w:lang w:val="ru-RU"/>
        </w:rPr>
        <w:t>. 115</w:t>
      </w:r>
      <w:r w:rsidRPr="004C59BB">
        <w:rPr>
          <w:color w:val="0000FF"/>
        </w:rPr>
        <w:t>及以下</w:t>
      </w:r>
      <w:r w:rsidRPr="0097554A">
        <w:rPr>
          <w:color w:val="0000FF"/>
          <w:lang w:val="ru-RU"/>
        </w:rPr>
        <w:t xml:space="preserve">）; </w:t>
      </w:r>
      <w:r w:rsidRPr="004C59BB">
        <w:rPr>
          <w:color w:val="0000FF"/>
        </w:rPr>
        <w:t>《多马行传》第X节</w:t>
      </w:r>
      <w:r w:rsidRPr="0097554A">
        <w:rPr>
          <w:color w:val="0000FF"/>
          <w:lang w:val="ru-RU"/>
        </w:rPr>
        <w:t>（</w:t>
      </w:r>
      <w:r w:rsidRPr="004C59BB">
        <w:rPr>
          <w:color w:val="0000FF"/>
        </w:rPr>
        <w:t>见于Thilo</w:t>
      </w:r>
      <w:r w:rsidRPr="0097554A">
        <w:rPr>
          <w:color w:val="0000FF"/>
          <w:lang w:val="ru-RU"/>
        </w:rPr>
        <w:t xml:space="preserve">. </w:t>
      </w:r>
      <w:r w:rsidRPr="004C59BB">
        <w:rPr>
          <w:color w:val="0000FF"/>
        </w:rPr>
        <w:t>Cod</w:t>
      </w:r>
      <w:r w:rsidRPr="0097554A">
        <w:rPr>
          <w:color w:val="0000FF"/>
          <w:lang w:val="ru-RU"/>
        </w:rPr>
        <w:t xml:space="preserve"> </w:t>
      </w:r>
      <w:r w:rsidRPr="004C59BB">
        <w:rPr>
          <w:color w:val="0000FF"/>
        </w:rPr>
        <w:t>apoc</w:t>
      </w:r>
      <w:r w:rsidRPr="0097554A">
        <w:rPr>
          <w:color w:val="0000FF"/>
          <w:lang w:val="ru-RU"/>
        </w:rPr>
        <w:t xml:space="preserve">. </w:t>
      </w:r>
      <w:r w:rsidRPr="004C59BB">
        <w:rPr>
          <w:color w:val="0000FF"/>
        </w:rPr>
        <w:t>第</w:t>
      </w:r>
      <w:r w:rsidRPr="0097554A">
        <w:rPr>
          <w:color w:val="0000FF"/>
          <w:lang w:val="ru-RU"/>
        </w:rPr>
        <w:t>20</w:t>
      </w:r>
      <w:r w:rsidRPr="004C59BB">
        <w:rPr>
          <w:color w:val="0000FF"/>
        </w:rPr>
        <w:t>页</w:t>
      </w:r>
      <w:r w:rsidRPr="0097554A">
        <w:rPr>
          <w:color w:val="0000FF"/>
          <w:lang w:val="ru-RU"/>
        </w:rPr>
        <w:t xml:space="preserve">）; </w:t>
      </w:r>
      <w:r w:rsidRPr="004C59BB">
        <w:rPr>
          <w:color w:val="0000FF"/>
        </w:rPr>
        <w:t>《十二位宗主教遗嘱》第IX章</w:t>
      </w:r>
      <w:r w:rsidRPr="0097554A">
        <w:rPr>
          <w:color w:val="0000FF"/>
          <w:lang w:val="ru-RU"/>
        </w:rPr>
        <w:t xml:space="preserve">; </w:t>
      </w:r>
      <w:r w:rsidRPr="004C59BB">
        <w:rPr>
          <w:color w:val="0000FF"/>
        </w:rPr>
        <w:t>《西比拉书》第VIII卷</w:t>
      </w:r>
      <w:r w:rsidRPr="0097554A">
        <w:rPr>
          <w:color w:val="0000FF"/>
          <w:lang w:val="ru-RU"/>
        </w:rPr>
        <w:t>，</w:t>
      </w:r>
      <w:r w:rsidRPr="004C59BB">
        <w:rPr>
          <w:color w:val="0000FF"/>
        </w:rPr>
        <w:t>第</w:t>
      </w:r>
      <w:r w:rsidRPr="0097554A">
        <w:rPr>
          <w:color w:val="0000FF"/>
          <w:lang w:val="ru-RU"/>
        </w:rPr>
        <w:t>743</w:t>
      </w:r>
      <w:r w:rsidRPr="004C59BB">
        <w:rPr>
          <w:color w:val="0000FF"/>
        </w:rPr>
        <w:t>节。</w:t>
      </w:r>
    </w:p>
  </w:footnote>
  <w:footnote w:id="401">
    <w:p w14:paraId="3C704882" w14:textId="77777777" w:rsidR="00EE0485" w:rsidRPr="0097554A" w:rsidRDefault="00EE048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《反异端论》第四卷</w:t>
      </w:r>
      <w:r w:rsidRPr="0097554A">
        <w:rPr>
          <w:color w:val="0000FF"/>
          <w:lang w:val="ru-RU"/>
        </w:rPr>
        <w:t>，</w:t>
      </w:r>
      <w:r w:rsidRPr="004C59BB">
        <w:rPr>
          <w:color w:val="0000FF"/>
        </w:rPr>
        <w:t>第</w:t>
      </w:r>
      <w:r w:rsidRPr="0097554A">
        <w:rPr>
          <w:color w:val="0000FF"/>
          <w:lang w:val="ru-RU"/>
        </w:rPr>
        <w:t>12</w:t>
      </w:r>
      <w:r w:rsidRPr="004C59BB">
        <w:rPr>
          <w:color w:val="0000FF"/>
        </w:rPr>
        <w:t>章</w:t>
      </w:r>
      <w:r w:rsidRPr="0097554A">
        <w:rPr>
          <w:color w:val="0000FF"/>
          <w:lang w:val="ru-RU"/>
        </w:rPr>
        <w:t>，</w:t>
      </w:r>
      <w:r w:rsidRPr="004C59BB">
        <w:rPr>
          <w:color w:val="0000FF"/>
        </w:rPr>
        <w:t>第</w:t>
      </w:r>
      <w:r w:rsidRPr="0097554A">
        <w:rPr>
          <w:color w:val="0000FF"/>
          <w:lang w:val="ru-RU"/>
        </w:rPr>
        <w:t>1</w:t>
      </w:r>
      <w:r w:rsidRPr="004C59BB">
        <w:rPr>
          <w:color w:val="0000FF"/>
        </w:rPr>
        <w:t>节</w:t>
      </w:r>
      <w:r w:rsidRPr="0097554A">
        <w:rPr>
          <w:color w:val="0000FF"/>
          <w:lang w:val="ru-RU"/>
        </w:rPr>
        <w:t>；</w:t>
      </w:r>
      <w:r w:rsidRPr="004C59BB">
        <w:rPr>
          <w:color w:val="0000FF"/>
        </w:rPr>
        <w:t>第</w:t>
      </w:r>
      <w:r w:rsidRPr="0097554A">
        <w:rPr>
          <w:color w:val="0000FF"/>
          <w:lang w:val="ru-RU"/>
        </w:rPr>
        <w:t>27</w:t>
      </w:r>
      <w:r w:rsidRPr="004C59BB">
        <w:rPr>
          <w:color w:val="0000FF"/>
        </w:rPr>
        <w:t>章</w:t>
      </w:r>
      <w:r w:rsidRPr="0097554A">
        <w:rPr>
          <w:color w:val="0000FF"/>
          <w:lang w:val="ru-RU"/>
        </w:rPr>
        <w:t>，</w:t>
      </w:r>
      <w:r w:rsidRPr="004C59BB">
        <w:rPr>
          <w:color w:val="0000FF"/>
        </w:rPr>
        <w:t>第</w:t>
      </w:r>
      <w:r w:rsidRPr="0097554A">
        <w:rPr>
          <w:color w:val="0000FF"/>
          <w:lang w:val="ru-RU"/>
        </w:rPr>
        <w:t>2</w:t>
      </w:r>
      <w:r w:rsidRPr="004C59BB">
        <w:rPr>
          <w:color w:val="0000FF"/>
        </w:rPr>
        <w:t>节。</w:t>
      </w:r>
    </w:p>
  </w:footnote>
  <w:footnote w:id="402">
    <w:p w14:paraId="3A9A6D08" w14:textId="77777777" w:rsidR="00EE0485" w:rsidRPr="0097554A" w:rsidRDefault="00EE048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同上</w:t>
      </w:r>
      <w:r w:rsidRPr="0097554A">
        <w:rPr>
          <w:color w:val="0000FF"/>
          <w:lang w:val="ru-RU"/>
        </w:rPr>
        <w:t>，</w:t>
      </w:r>
      <w:r w:rsidRPr="004C59BB">
        <w:rPr>
          <w:color w:val="0000FF"/>
        </w:rPr>
        <w:t>第五卷</w:t>
      </w:r>
      <w:r w:rsidRPr="0097554A">
        <w:rPr>
          <w:color w:val="0000FF"/>
          <w:lang w:val="ru-RU"/>
        </w:rPr>
        <w:t>，</w:t>
      </w:r>
      <w:r w:rsidRPr="004C59BB">
        <w:rPr>
          <w:color w:val="0000FF"/>
        </w:rPr>
        <w:t>第</w:t>
      </w:r>
      <w:r w:rsidRPr="0097554A">
        <w:rPr>
          <w:color w:val="0000FF"/>
          <w:lang w:val="ru-RU"/>
        </w:rPr>
        <w:t>31</w:t>
      </w:r>
      <w:r w:rsidRPr="004C59BB">
        <w:rPr>
          <w:color w:val="0000FF"/>
        </w:rPr>
        <w:t>章</w:t>
      </w:r>
      <w:r w:rsidRPr="0097554A">
        <w:rPr>
          <w:color w:val="0000FF"/>
          <w:lang w:val="ru-RU"/>
        </w:rPr>
        <w:t>，</w:t>
      </w:r>
      <w:r w:rsidRPr="004C59BB">
        <w:rPr>
          <w:color w:val="0000FF"/>
        </w:rPr>
        <w:t>注</w:t>
      </w:r>
      <w:r w:rsidRPr="0097554A">
        <w:rPr>
          <w:color w:val="0000FF"/>
          <w:lang w:val="ru-RU"/>
        </w:rPr>
        <w:t>1</w:t>
      </w:r>
      <w:r w:rsidRPr="004C59BB">
        <w:rPr>
          <w:color w:val="0000FF"/>
        </w:rPr>
        <w:t>、</w:t>
      </w:r>
      <w:r w:rsidRPr="0097554A">
        <w:rPr>
          <w:color w:val="0000FF"/>
          <w:lang w:val="ru-RU"/>
        </w:rPr>
        <w:t>2</w:t>
      </w:r>
      <w:r w:rsidRPr="004C59BB">
        <w:rPr>
          <w:color w:val="0000FF"/>
        </w:rPr>
        <w:t>。</w:t>
      </w:r>
    </w:p>
  </w:footnote>
  <w:footnote w:id="403">
    <w:p w14:paraId="5155A286" w14:textId="77777777" w:rsidR="00EE0485" w:rsidRPr="0097554A" w:rsidRDefault="00EE048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《论灵魂》第LV章</w:t>
      </w:r>
      <w:r w:rsidRPr="0097554A">
        <w:rPr>
          <w:color w:val="0000FF"/>
          <w:lang w:val="ru-RU"/>
        </w:rPr>
        <w:t>，</w:t>
      </w:r>
      <w:r w:rsidRPr="004C59BB">
        <w:rPr>
          <w:color w:val="0000FF"/>
        </w:rPr>
        <w:t>载于《教父全集》第II卷</w:t>
      </w:r>
      <w:r w:rsidRPr="0097554A">
        <w:rPr>
          <w:color w:val="0000FF"/>
          <w:lang w:val="ru-RU"/>
        </w:rPr>
        <w:t>，</w:t>
      </w:r>
      <w:r w:rsidRPr="004C59BB">
        <w:rPr>
          <w:color w:val="0000FF"/>
        </w:rPr>
        <w:t>第</w:t>
      </w:r>
      <w:r w:rsidRPr="0097554A">
        <w:rPr>
          <w:color w:val="0000FF"/>
          <w:lang w:val="ru-RU"/>
        </w:rPr>
        <w:t>742</w:t>
      </w:r>
      <w:r w:rsidRPr="004C59BB">
        <w:rPr>
          <w:color w:val="0000FF"/>
        </w:rPr>
        <w:t>页</w:t>
      </w:r>
      <w:r w:rsidRPr="0097554A">
        <w:rPr>
          <w:color w:val="0000FF"/>
          <w:lang w:val="ru-RU"/>
        </w:rPr>
        <w:t>，</w:t>
      </w:r>
      <w:r w:rsidRPr="004C59BB">
        <w:rPr>
          <w:color w:val="0000FF"/>
        </w:rPr>
        <w:t>米涅。</w:t>
      </w:r>
    </w:p>
  </w:footnote>
  <w:footnote w:id="404">
    <w:p w14:paraId="5D48C79E" w14:textId="77777777" w:rsidR="00EE0485" w:rsidRPr="0097554A" w:rsidRDefault="00EE048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《杂论》第六卷</w:t>
      </w:r>
      <w:r w:rsidRPr="0097554A">
        <w:rPr>
          <w:color w:val="0000FF"/>
          <w:lang w:val="ru-RU"/>
        </w:rPr>
        <w:t>，</w:t>
      </w:r>
      <w:r w:rsidRPr="004C59BB">
        <w:rPr>
          <w:color w:val="0000FF"/>
        </w:rPr>
        <w:t>第</w:t>
      </w:r>
      <w:r w:rsidRPr="0097554A">
        <w:rPr>
          <w:color w:val="0000FF"/>
          <w:lang w:val="ru-RU"/>
        </w:rPr>
        <w:t>6</w:t>
      </w:r>
      <w:r w:rsidRPr="004C59BB">
        <w:rPr>
          <w:color w:val="0000FF"/>
        </w:rPr>
        <w:t>章</w:t>
      </w:r>
      <w:r w:rsidRPr="0097554A">
        <w:rPr>
          <w:color w:val="0000FF"/>
          <w:lang w:val="ru-RU"/>
        </w:rPr>
        <w:t>；</w:t>
      </w:r>
      <w:r w:rsidRPr="004C59BB">
        <w:rPr>
          <w:color w:val="0000FF"/>
        </w:rPr>
        <w:t>参见第</w:t>
      </w:r>
      <w:r w:rsidRPr="0097554A">
        <w:rPr>
          <w:color w:val="0000FF"/>
          <w:lang w:val="ru-RU"/>
        </w:rPr>
        <w:t>11</w:t>
      </w:r>
      <w:r w:rsidRPr="004C59BB">
        <w:rPr>
          <w:color w:val="0000FF"/>
        </w:rPr>
        <w:t>卷</w:t>
      </w:r>
      <w:r w:rsidRPr="0097554A">
        <w:rPr>
          <w:color w:val="0000FF"/>
          <w:lang w:val="ru-RU"/>
        </w:rPr>
        <w:t>，</w:t>
      </w:r>
      <w:r w:rsidRPr="004C59BB">
        <w:rPr>
          <w:color w:val="0000FF"/>
        </w:rPr>
        <w:t>第</w:t>
      </w:r>
      <w:r w:rsidRPr="0097554A">
        <w:rPr>
          <w:color w:val="0000FF"/>
          <w:lang w:val="ru-RU"/>
        </w:rPr>
        <w:t>10</w:t>
      </w:r>
      <w:r w:rsidRPr="004C59BB">
        <w:rPr>
          <w:color w:val="0000FF"/>
        </w:rPr>
        <w:t>章。</w:t>
      </w:r>
    </w:p>
  </w:footnote>
  <w:footnote w:id="405">
    <w:p w14:paraId="4C1EE98A" w14:textId="77777777" w:rsidR="00EE0485" w:rsidRPr="0097554A" w:rsidRDefault="00EE048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《创世记讲道集》第十五篇</w:t>
      </w:r>
      <w:r w:rsidRPr="0097554A">
        <w:rPr>
          <w:color w:val="0000FF"/>
          <w:lang w:val="ru-RU"/>
        </w:rPr>
        <w:t>；</w:t>
      </w:r>
      <w:r w:rsidRPr="004C59BB">
        <w:rPr>
          <w:color w:val="0000FF"/>
        </w:rPr>
        <w:t>参见《约翰福音讲道集》第六卷</w:t>
      </w:r>
      <w:r w:rsidRPr="0097554A">
        <w:rPr>
          <w:color w:val="0000FF"/>
          <w:lang w:val="ru-RU"/>
        </w:rPr>
        <w:t>，</w:t>
      </w:r>
      <w:r w:rsidRPr="004C59BB">
        <w:rPr>
          <w:color w:val="0000FF"/>
        </w:rPr>
        <w:t>注</w:t>
      </w:r>
      <w:r w:rsidRPr="0097554A">
        <w:rPr>
          <w:color w:val="0000FF"/>
          <w:lang w:val="ru-RU"/>
        </w:rPr>
        <w:t>18</w:t>
      </w:r>
      <w:r w:rsidRPr="004C59BB">
        <w:rPr>
          <w:color w:val="0000FF"/>
        </w:rPr>
        <w:t>。</w:t>
      </w:r>
    </w:p>
  </w:footnote>
  <w:footnote w:id="406">
    <w:p w14:paraId="58F2379C" w14:textId="77777777" w:rsidR="00EE0485" w:rsidRPr="0097554A" w:rsidRDefault="00EE048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《神学原理》第四卷</w:t>
      </w:r>
      <w:r w:rsidRPr="0097554A">
        <w:rPr>
          <w:color w:val="0000FF"/>
          <w:lang w:val="ru-RU"/>
        </w:rPr>
        <w:t>，</w:t>
      </w:r>
      <w:r w:rsidRPr="004C59BB">
        <w:rPr>
          <w:color w:val="0000FF"/>
        </w:rPr>
        <w:t>第</w:t>
      </w:r>
      <w:r w:rsidRPr="0097554A">
        <w:rPr>
          <w:color w:val="0000FF"/>
          <w:lang w:val="ru-RU"/>
        </w:rPr>
        <w:t>12</w:t>
      </w:r>
      <w:r w:rsidRPr="004C59BB">
        <w:rPr>
          <w:color w:val="0000FF"/>
        </w:rPr>
        <w:t>章</w:t>
      </w:r>
      <w:r w:rsidRPr="0097554A">
        <w:rPr>
          <w:color w:val="0000FF"/>
          <w:lang w:val="ru-RU"/>
        </w:rPr>
        <w:t>，</w:t>
      </w:r>
      <w:r w:rsidRPr="004C59BB">
        <w:rPr>
          <w:color w:val="0000FF"/>
        </w:rPr>
        <w:t>第</w:t>
      </w:r>
      <w:r w:rsidRPr="0097554A">
        <w:rPr>
          <w:color w:val="0000FF"/>
          <w:lang w:val="ru-RU"/>
        </w:rPr>
        <w:t>481</w:t>
      </w:r>
      <w:r w:rsidRPr="004C59BB">
        <w:rPr>
          <w:color w:val="0000FF"/>
        </w:rPr>
        <w:t>页</w:t>
      </w:r>
      <w:r w:rsidRPr="0097554A">
        <w:rPr>
          <w:color w:val="0000FF"/>
          <w:lang w:val="ru-RU"/>
        </w:rPr>
        <w:t>，</w:t>
      </w:r>
      <w:r w:rsidRPr="004C59BB">
        <w:rPr>
          <w:color w:val="0000FF"/>
        </w:rPr>
        <w:t>载于《教父全集》第六卷</w:t>
      </w:r>
      <w:r w:rsidRPr="0097554A">
        <w:rPr>
          <w:color w:val="0000FF"/>
          <w:lang w:val="ru-RU"/>
        </w:rPr>
        <w:t>，</w:t>
      </w:r>
      <w:r w:rsidRPr="004C59BB">
        <w:rPr>
          <w:color w:val="0000FF"/>
        </w:rPr>
        <w:t>米涅版。</w:t>
      </w:r>
    </w:p>
  </w:footnote>
  <w:footnote w:id="407">
    <w:p w14:paraId="5F4C4BC3" w14:textId="77777777" w:rsidR="00EE0485" w:rsidRPr="0097554A" w:rsidRDefault="00EE048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《异端论》第</w:t>
      </w:r>
      <w:r w:rsidRPr="0097554A">
        <w:rPr>
          <w:color w:val="0000FF"/>
          <w:lang w:val="ru-RU"/>
        </w:rPr>
        <w:t>20</w:t>
      </w:r>
      <w:r w:rsidRPr="004C59BB">
        <w:rPr>
          <w:color w:val="0000FF"/>
        </w:rPr>
        <w:t>章</w:t>
      </w:r>
      <w:r w:rsidRPr="0097554A">
        <w:rPr>
          <w:color w:val="0000FF"/>
          <w:lang w:val="ru-RU"/>
        </w:rPr>
        <w:t>；</w:t>
      </w:r>
      <w:r w:rsidRPr="004C59BB">
        <w:rPr>
          <w:color w:val="0000FF"/>
        </w:rPr>
        <w:t>参见《异端论》第</w:t>
      </w:r>
      <w:r w:rsidRPr="0097554A">
        <w:rPr>
          <w:color w:val="0000FF"/>
          <w:lang w:val="ru-RU"/>
        </w:rPr>
        <w:t>69</w:t>
      </w:r>
      <w:r w:rsidRPr="004C59BB">
        <w:rPr>
          <w:color w:val="0000FF"/>
        </w:rPr>
        <w:t>章</w:t>
      </w:r>
      <w:r w:rsidRPr="0097554A">
        <w:rPr>
          <w:color w:val="0000FF"/>
          <w:lang w:val="ru-RU"/>
        </w:rPr>
        <w:t>，</w:t>
      </w:r>
      <w:r w:rsidRPr="004C59BB">
        <w:rPr>
          <w:color w:val="0000FF"/>
        </w:rPr>
        <w:t>第</w:t>
      </w:r>
      <w:r w:rsidRPr="0097554A">
        <w:rPr>
          <w:color w:val="0000FF"/>
          <w:lang w:val="ru-RU"/>
        </w:rPr>
        <w:t>62</w:t>
      </w:r>
      <w:r w:rsidRPr="004C59BB">
        <w:rPr>
          <w:color w:val="0000FF"/>
        </w:rPr>
        <w:t>节</w:t>
      </w:r>
      <w:r w:rsidRPr="0097554A">
        <w:rPr>
          <w:color w:val="0000FF"/>
          <w:lang w:val="ru-RU"/>
        </w:rPr>
        <w:t>；</w:t>
      </w:r>
      <w:r w:rsidRPr="004C59BB">
        <w:rPr>
          <w:color w:val="0000FF"/>
        </w:rPr>
        <w:t>第</w:t>
      </w:r>
      <w:r w:rsidRPr="0097554A">
        <w:rPr>
          <w:color w:val="0000FF"/>
          <w:lang w:val="ru-RU"/>
        </w:rPr>
        <w:t>77</w:t>
      </w:r>
      <w:r w:rsidRPr="004C59BB">
        <w:rPr>
          <w:color w:val="0000FF"/>
        </w:rPr>
        <w:t>章</w:t>
      </w:r>
      <w:r w:rsidRPr="0097554A">
        <w:rPr>
          <w:color w:val="0000FF"/>
          <w:lang w:val="ru-RU"/>
        </w:rPr>
        <w:t>，</w:t>
      </w:r>
      <w:r w:rsidRPr="004C59BB">
        <w:rPr>
          <w:color w:val="0000FF"/>
        </w:rPr>
        <w:t>第</w:t>
      </w:r>
      <w:r w:rsidRPr="0097554A">
        <w:rPr>
          <w:color w:val="0000FF"/>
          <w:lang w:val="ru-RU"/>
        </w:rPr>
        <w:t>8</w:t>
      </w:r>
      <w:r w:rsidRPr="004C59BB">
        <w:rPr>
          <w:color w:val="0000FF"/>
        </w:rPr>
        <w:t>节。</w:t>
      </w:r>
    </w:p>
  </w:footnote>
  <w:footnote w:id="408">
    <w:p w14:paraId="0D036DDB"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《诗篇》第48篇讲道，第16节，载于《圣教父文集》</w:t>
      </w:r>
      <w:r w:rsidRPr="004C59BB">
        <w:rPr>
          <w:color w:val="0000FF"/>
        </w:rPr>
        <w:t>第V卷</w:t>
      </w:r>
      <w:r w:rsidRPr="004C59BB">
        <w:rPr>
          <w:color w:val="0000FF"/>
          <w:lang w:val="ru-RU"/>
        </w:rPr>
        <w:t>，第371页。</w:t>
      </w:r>
    </w:p>
  </w:footnote>
  <w:footnote w:id="409">
    <w:p w14:paraId="579A2141"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《神学词汇》</w:t>
      </w:r>
      <w:r w:rsidRPr="004C59BB">
        <w:rPr>
          <w:color w:val="0000FF"/>
        </w:rPr>
        <w:t>第三卷</w:t>
      </w:r>
      <w:r w:rsidRPr="004C59BB">
        <w:rPr>
          <w:color w:val="0000FF"/>
          <w:lang w:val="ru-RU"/>
        </w:rPr>
        <w:t>，载于《圣教父文集》</w:t>
      </w:r>
      <w:r w:rsidRPr="004C59BB">
        <w:rPr>
          <w:color w:val="0000FF"/>
        </w:rPr>
        <w:t>第三卷</w:t>
      </w:r>
      <w:r w:rsidRPr="004C59BB">
        <w:rPr>
          <w:color w:val="0000FF"/>
          <w:lang w:val="ru-RU"/>
        </w:rPr>
        <w:t>，第75页。</w:t>
      </w:r>
    </w:p>
  </w:footnote>
  <w:footnote w:id="410">
    <w:p w14:paraId="4EFAAB61" w14:textId="77777777" w:rsidR="00EE0485" w:rsidRPr="0097554A" w:rsidRDefault="00EE0485">
      <w:pPr>
        <w:pStyle w:val="FootnoteText"/>
        <w:rPr>
          <w:color w:val="0000FF"/>
          <w:lang w:val="ru-RU"/>
        </w:rPr>
      </w:pPr>
      <w:r w:rsidRPr="004C59BB">
        <w:rPr>
          <w:rStyle w:val="FootnoteReference"/>
          <w:color w:val="0000FF"/>
        </w:rPr>
        <w:footnoteRef/>
      </w:r>
      <w:r w:rsidRPr="004C59BB">
        <w:rPr>
          <w:color w:val="0000FF"/>
          <w:lang w:val="ru-RU"/>
        </w:rPr>
        <w:t xml:space="preserve"> 《圣马太福音讲道集》</w:t>
      </w:r>
      <w:r w:rsidRPr="004C59BB">
        <w:rPr>
          <w:color w:val="0000FF"/>
        </w:rPr>
        <w:t>第二</w:t>
      </w:r>
      <w:r w:rsidRPr="004C59BB">
        <w:rPr>
          <w:color w:val="0000FF"/>
          <w:lang w:val="ru-RU"/>
        </w:rPr>
        <w:t>卷，第1节，</w:t>
      </w:r>
      <w:r w:rsidRPr="004C59BB">
        <w:rPr>
          <w:color w:val="0000FF"/>
        </w:rPr>
        <w:t>第I</w:t>
      </w:r>
      <w:r w:rsidRPr="004C59BB">
        <w:rPr>
          <w:color w:val="0000FF"/>
          <w:lang w:val="ru-RU"/>
        </w:rPr>
        <w:t>卷第23页（俄文译本）。第四世纪的其他神学家也持相同教义，例如</w:t>
      </w:r>
      <w:r w:rsidRPr="004C59BB">
        <w:rPr>
          <w:color w:val="0000FF"/>
        </w:rPr>
        <w:t>安提阿的</w:t>
      </w:r>
      <w:r w:rsidRPr="004C59BB">
        <w:rPr>
          <w:color w:val="0000FF"/>
          <w:lang w:val="ru-RU"/>
        </w:rPr>
        <w:t>圣</w:t>
      </w:r>
      <w:r w:rsidRPr="004C59BB">
        <w:rPr>
          <w:color w:val="0000FF"/>
        </w:rPr>
        <w:t>尤斯塔菲乌斯</w:t>
      </w:r>
      <w:r w:rsidRPr="0097554A">
        <w:rPr>
          <w:color w:val="0000FF"/>
          <w:lang w:val="ru-RU"/>
        </w:rPr>
        <w:t>（</w:t>
      </w:r>
      <w:r w:rsidRPr="004C59BB">
        <w:rPr>
          <w:color w:val="0000FF"/>
        </w:rPr>
        <w:t>《反奥利金论》</w:t>
      </w:r>
      <w:r w:rsidRPr="0097554A">
        <w:rPr>
          <w:color w:val="0000FF"/>
          <w:lang w:val="ru-RU"/>
        </w:rPr>
        <w:t>，</w:t>
      </w:r>
      <w:r w:rsidRPr="004C59BB">
        <w:rPr>
          <w:color w:val="0000FF"/>
        </w:rPr>
        <w:t>见加兰德</w:t>
      </w:r>
      <w:r w:rsidRPr="0097554A">
        <w:rPr>
          <w:color w:val="0000FF"/>
          <w:lang w:val="ru-RU"/>
        </w:rPr>
        <w:t xml:space="preserve"> </w:t>
      </w:r>
      <w:r w:rsidRPr="004C59BB">
        <w:rPr>
          <w:color w:val="0000FF"/>
        </w:rPr>
        <w:t>第IV卷</w:t>
      </w:r>
      <w:r w:rsidRPr="0097554A">
        <w:rPr>
          <w:color w:val="0000FF"/>
          <w:lang w:val="ru-RU"/>
        </w:rPr>
        <w:t>，</w:t>
      </w:r>
      <w:r w:rsidR="00F45CFB" w:rsidRPr="004C59BB">
        <w:rPr>
          <w:b/>
          <w:color w:val="0000FF"/>
        </w:rPr>
        <w:t>第</w:t>
      </w:r>
      <w:r w:rsidR="00F45CFB" w:rsidRPr="0097554A">
        <w:rPr>
          <w:b/>
          <w:color w:val="0000FF"/>
          <w:lang w:val="ru-RU"/>
        </w:rPr>
        <w:t>563</w:t>
      </w:r>
      <w:r w:rsidRPr="004C59BB">
        <w:rPr>
          <w:color w:val="0000FF"/>
        </w:rPr>
        <w:t>页</w:t>
      </w:r>
      <w:r w:rsidR="00F45CFB" w:rsidRPr="0097554A">
        <w:rPr>
          <w:b/>
          <w:color w:val="0000FF"/>
          <w:lang w:val="ru-RU"/>
        </w:rPr>
        <w:t>）</w:t>
      </w:r>
      <w:r w:rsidRPr="004C59BB">
        <w:rPr>
          <w:color w:val="0000FF"/>
          <w:lang w:val="ru-RU"/>
        </w:rPr>
        <w:t>以及圣维罗纳的齐诺，他说道： “他（耶稣基督）尝了死亡的滋味，是为了战胜死亡——降临阴间，为要从那里将死人带出来</w:t>
      </w:r>
      <w:r w:rsidR="005666A3" w:rsidRPr="004C59BB">
        <w:rPr>
          <w:color w:val="0000FF"/>
          <w:lang w:val="ru-RU"/>
        </w:rPr>
        <w:t>，使他们复活”</w:t>
      </w:r>
      <w:r w:rsidRPr="004C59BB">
        <w:rPr>
          <w:color w:val="0000FF"/>
          <w:lang w:val="ru-RU"/>
        </w:rPr>
        <w:t>（注释《哥林多前书》</w:t>
      </w:r>
      <w:r w:rsidRPr="0097554A">
        <w:rPr>
          <w:color w:val="0000FF"/>
          <w:lang w:val="ru-RU"/>
        </w:rPr>
        <w:t>15:24</w:t>
      </w:r>
      <w:r w:rsidRPr="004C59BB">
        <w:rPr>
          <w:color w:val="0000FF"/>
          <w:lang w:val="ru-RU"/>
        </w:rPr>
        <w:t>，载于</w:t>
      </w:r>
      <w:r w:rsidRPr="004C59BB">
        <w:rPr>
          <w:color w:val="0000FF"/>
        </w:rPr>
        <w:t>《</w:t>
      </w:r>
      <w:r w:rsidRPr="004C59BB">
        <w:rPr>
          <w:color w:val="0000FF"/>
          <w:lang w:val="ru-RU"/>
        </w:rPr>
        <w:t>基督教读本</w:t>
      </w:r>
      <w:r w:rsidRPr="004C59BB">
        <w:rPr>
          <w:color w:val="0000FF"/>
        </w:rPr>
        <w:t>》</w:t>
      </w:r>
      <w:r w:rsidRPr="0097554A">
        <w:rPr>
          <w:color w:val="0000FF"/>
          <w:lang w:val="ru-RU"/>
        </w:rPr>
        <w:t>1838</w:t>
      </w:r>
      <w:r w:rsidRPr="004C59BB">
        <w:rPr>
          <w:color w:val="0000FF"/>
        </w:rPr>
        <w:t>年版</w:t>
      </w:r>
      <w:r w:rsidRPr="0097554A">
        <w:rPr>
          <w:color w:val="0000FF"/>
          <w:lang w:val="ru-RU"/>
        </w:rPr>
        <w:t>，</w:t>
      </w:r>
      <w:r w:rsidRPr="004C59BB">
        <w:rPr>
          <w:color w:val="0000FF"/>
        </w:rPr>
        <w:t>第</w:t>
      </w:r>
      <w:r w:rsidRPr="0097554A">
        <w:rPr>
          <w:color w:val="0000FF"/>
          <w:lang w:val="ru-RU"/>
        </w:rPr>
        <w:t>11</w:t>
      </w:r>
      <w:r w:rsidRPr="004C59BB">
        <w:rPr>
          <w:color w:val="0000FF"/>
        </w:rPr>
        <w:t>、</w:t>
      </w:r>
      <w:r w:rsidRPr="0097554A">
        <w:rPr>
          <w:color w:val="0000FF"/>
          <w:lang w:val="ru-RU"/>
        </w:rPr>
        <w:t>15</w:t>
      </w:r>
      <w:r w:rsidRPr="004C59BB">
        <w:rPr>
          <w:color w:val="0000FF"/>
        </w:rPr>
        <w:t>页</w:t>
      </w:r>
      <w:r w:rsidRPr="0097554A">
        <w:rPr>
          <w:color w:val="0000FF"/>
          <w:lang w:val="ru-RU"/>
        </w:rPr>
        <w:t>）</w:t>
      </w:r>
      <w:r w:rsidRPr="004C59BB">
        <w:rPr>
          <w:color w:val="0000FF"/>
        </w:rPr>
        <w:t>。</w:t>
      </w:r>
    </w:p>
  </w:footnote>
  <w:footnote w:id="411">
    <w:p w14:paraId="018D903E" w14:textId="77777777" w:rsidR="00EE0485" w:rsidRPr="004C59BB" w:rsidRDefault="00EE048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亚他那修《反阿波利纳里乌斯论》</w:t>
      </w:r>
      <w:r w:rsidRPr="0097554A">
        <w:rPr>
          <w:color w:val="0000FF"/>
          <w:lang w:val="ru-RU"/>
        </w:rPr>
        <w:t>1，</w:t>
      </w:r>
      <w:r w:rsidRPr="004C59BB">
        <w:rPr>
          <w:color w:val="0000FF"/>
        </w:rPr>
        <w:t>第</w:t>
      </w:r>
      <w:r w:rsidRPr="0097554A">
        <w:rPr>
          <w:color w:val="0000FF"/>
          <w:lang w:val="ru-RU"/>
        </w:rPr>
        <w:t>13</w:t>
      </w:r>
      <w:r w:rsidRPr="004C59BB">
        <w:rPr>
          <w:color w:val="0000FF"/>
        </w:rPr>
        <w:t>、</w:t>
      </w:r>
      <w:r w:rsidRPr="0097554A">
        <w:rPr>
          <w:color w:val="0000FF"/>
          <w:lang w:val="ru-RU"/>
        </w:rPr>
        <w:t>14</w:t>
      </w:r>
      <w:r w:rsidRPr="004C59BB">
        <w:rPr>
          <w:color w:val="0000FF"/>
        </w:rPr>
        <w:t>条</w:t>
      </w:r>
      <w:r w:rsidRPr="0097554A">
        <w:rPr>
          <w:color w:val="0000FF"/>
          <w:lang w:val="ru-RU"/>
        </w:rPr>
        <w:t>；11，</w:t>
      </w:r>
      <w:r w:rsidRPr="004C59BB">
        <w:rPr>
          <w:color w:val="0000FF"/>
        </w:rPr>
        <w:t>第</w:t>
      </w:r>
      <w:r w:rsidRPr="0097554A">
        <w:rPr>
          <w:color w:val="0000FF"/>
          <w:lang w:val="ru-RU"/>
        </w:rPr>
        <w:t>17</w:t>
      </w:r>
      <w:r w:rsidRPr="004C59BB">
        <w:rPr>
          <w:color w:val="0000FF"/>
        </w:rPr>
        <w:t>条</w:t>
      </w:r>
      <w:r w:rsidRPr="0097554A">
        <w:rPr>
          <w:color w:val="0000FF"/>
          <w:lang w:val="ru-RU"/>
        </w:rPr>
        <w:t>；</w:t>
      </w:r>
      <w:r w:rsidRPr="004C59BB">
        <w:rPr>
          <w:color w:val="0000FF"/>
        </w:rPr>
        <w:t>埃皮法尼乌斯《异端驳论》LXXVII</w:t>
      </w:r>
      <w:r w:rsidRPr="0097554A">
        <w:rPr>
          <w:color w:val="0000FF"/>
          <w:lang w:val="ru-RU"/>
        </w:rPr>
        <w:t>，</w:t>
      </w:r>
      <w:r w:rsidRPr="004C59BB">
        <w:rPr>
          <w:color w:val="0000FF"/>
        </w:rPr>
        <w:t>第</w:t>
      </w:r>
      <w:r w:rsidRPr="0097554A">
        <w:rPr>
          <w:color w:val="0000FF"/>
          <w:lang w:val="ru-RU"/>
        </w:rPr>
        <w:t>7</w:t>
      </w:r>
      <w:r w:rsidRPr="004C59BB">
        <w:rPr>
          <w:color w:val="0000FF"/>
        </w:rPr>
        <w:t>、</w:t>
      </w:r>
      <w:r w:rsidRPr="004C59BB">
        <w:rPr>
          <w:color w:val="0000FF"/>
          <w:lang w:val="ru-RU"/>
        </w:rPr>
        <w:t>8、25条；</w:t>
      </w:r>
      <w:r w:rsidRPr="004C59BB">
        <w:rPr>
          <w:color w:val="0000FF"/>
        </w:rPr>
        <w:t>菲拉斯特</w:t>
      </w:r>
      <w:r w:rsidRPr="004C59BB">
        <w:rPr>
          <w:color w:val="0000FF"/>
          <w:lang w:val="ru-RU"/>
        </w:rPr>
        <w:t>《</w:t>
      </w:r>
      <w:r w:rsidRPr="004C59BB">
        <w:rPr>
          <w:color w:val="0000FF"/>
        </w:rPr>
        <w:t>异端驳论</w:t>
      </w:r>
      <w:r w:rsidRPr="004C59BB">
        <w:rPr>
          <w:color w:val="0000FF"/>
          <w:lang w:val="ru-RU"/>
        </w:rPr>
        <w:t>》</w:t>
      </w:r>
      <w:r w:rsidRPr="004C59BB">
        <w:rPr>
          <w:color w:val="0000FF"/>
        </w:rPr>
        <w:t>XL</w:t>
      </w:r>
      <w:r w:rsidRPr="004C59BB">
        <w:rPr>
          <w:color w:val="0000FF"/>
          <w:lang w:val="ru-RU"/>
        </w:rPr>
        <w:t>。</w:t>
      </w:r>
    </w:p>
  </w:footnote>
  <w:footnote w:id="412">
    <w:p w14:paraId="2EE3527F"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索克拉底</w:t>
      </w:r>
      <w:r w:rsidRPr="004C59BB">
        <w:rPr>
          <w:color w:val="0000FF"/>
          <w:lang w:val="ru-RU"/>
        </w:rPr>
        <w:t>，</w:t>
      </w:r>
      <w:r w:rsidRPr="004C59BB">
        <w:rPr>
          <w:color w:val="0000FF"/>
        </w:rPr>
        <w:t>《异端驳论</w:t>
      </w:r>
      <w:r w:rsidRPr="004C59BB">
        <w:rPr>
          <w:color w:val="0000FF"/>
          <w:lang w:val="ru-RU"/>
        </w:rPr>
        <w:t>》</w:t>
      </w:r>
      <w:r w:rsidRPr="004C59BB">
        <w:rPr>
          <w:color w:val="0000FF"/>
        </w:rPr>
        <w:t>II</w:t>
      </w:r>
      <w:r w:rsidRPr="004C59BB">
        <w:rPr>
          <w:color w:val="0000FF"/>
          <w:lang w:val="ru-RU"/>
        </w:rPr>
        <w:t>，37、41。</w:t>
      </w:r>
    </w:p>
  </w:footnote>
  <w:footnote w:id="413">
    <w:p w14:paraId="61E09FE9"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复活节用语；引自《马太福音》讲道</w:t>
      </w:r>
      <w:r w:rsidRPr="004C59BB">
        <w:rPr>
          <w:color w:val="0000FF"/>
        </w:rPr>
        <w:t>集第二</w:t>
      </w:r>
      <w:r w:rsidRPr="004C59BB">
        <w:rPr>
          <w:color w:val="0000FF"/>
          <w:lang w:val="ru-RU"/>
        </w:rPr>
        <w:t>卷，</w:t>
      </w:r>
      <w:r w:rsidRPr="004C59BB">
        <w:rPr>
          <w:color w:val="0000FF"/>
        </w:rPr>
        <w:t>第I章</w:t>
      </w:r>
      <w:r w:rsidRPr="004C59BB">
        <w:rPr>
          <w:color w:val="0000FF"/>
          <w:lang w:val="ru-RU"/>
        </w:rPr>
        <w:t>：“如果你能以应有的静默跟随我们，我们便可带你前往，向你展示：被钉在十字架上的死亡何在，被悬挂的罪孽何在，以及这场战争、这场战役中那些众多、奇妙且胜利的纪念碑何在。 你将在此看见被捆绑的折磨者，以及他身后的众多俘虏：那座堡垒，昔日被诅咒的恶魔正是从那里向四面八方发动袭击的。 你会看到强盗的藏身之处和洞穴，它们已被摧毁并暴露无遗：因为君王也曾降临那里</w:t>
      </w:r>
      <w:r w:rsidR="005666A3" w:rsidRPr="004C59BB">
        <w:rPr>
          <w:color w:val="0000FF"/>
          <w:lang w:val="ru-RU"/>
        </w:rPr>
        <w:t>”</w:t>
      </w:r>
      <w:r w:rsidRPr="004C59BB">
        <w:rPr>
          <w:color w:val="0000FF"/>
          <w:lang w:val="ru-RU"/>
        </w:rPr>
        <w:t>（——第23页，俄文译本第1卷）。</w:t>
      </w:r>
    </w:p>
  </w:footnote>
  <w:footnote w:id="414">
    <w:p w14:paraId="0163A7D2" w14:textId="77777777" w:rsidR="0082130B" w:rsidRPr="0097554A" w:rsidRDefault="0082130B">
      <w:pPr>
        <w:pStyle w:val="FootnoteText"/>
        <w:rPr>
          <w:color w:val="0000FF"/>
          <w:lang w:val="ru-RU"/>
        </w:rPr>
      </w:pPr>
      <w:r w:rsidRPr="004C59BB">
        <w:rPr>
          <w:rStyle w:val="FootnoteReference"/>
          <w:color w:val="0000FF"/>
        </w:rPr>
        <w:footnoteRef/>
      </w:r>
      <w:r w:rsidRPr="004C59BB">
        <w:rPr>
          <w:color w:val="0000FF"/>
          <w:lang w:val="ru-RU"/>
        </w:rPr>
        <w:t xml:space="preserve"> 《献给基督的颂歌》，载于《圣父</w:t>
      </w:r>
      <w:r w:rsidRPr="004C59BB">
        <w:rPr>
          <w:color w:val="0000FF"/>
        </w:rPr>
        <w:t>著作集》第四卷</w:t>
      </w:r>
      <w:r w:rsidRPr="0097554A">
        <w:rPr>
          <w:color w:val="0000FF"/>
          <w:lang w:val="ru-RU"/>
        </w:rPr>
        <w:t>，358</w:t>
      </w:r>
      <w:r w:rsidRPr="004C59BB">
        <w:rPr>
          <w:color w:val="0000FF"/>
        </w:rPr>
        <w:t>页。</w:t>
      </w:r>
    </w:p>
  </w:footnote>
  <w:footnote w:id="415">
    <w:p w14:paraId="6729C9F3" w14:textId="77777777" w:rsidR="0082130B" w:rsidRPr="004C59BB" w:rsidRDefault="0082130B">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《福音论证》第十卷</w:t>
      </w:r>
      <w:r w:rsidRPr="0097554A">
        <w:rPr>
          <w:color w:val="0000FF"/>
          <w:lang w:val="ru-RU"/>
        </w:rPr>
        <w:t>，</w:t>
      </w:r>
      <w:r w:rsidRPr="004C59BB">
        <w:rPr>
          <w:color w:val="0000FF"/>
        </w:rPr>
        <w:t>论《诗篇</w:t>
      </w:r>
      <w:r w:rsidRPr="004C59BB">
        <w:rPr>
          <w:color w:val="0000FF"/>
          <w:lang w:val="ru-RU"/>
        </w:rPr>
        <w:t>》第16篇。</w:t>
      </w:r>
    </w:p>
  </w:footnote>
  <w:footnote w:id="416">
    <w:p w14:paraId="493564F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参见上文注释401、403。</w:t>
      </w:r>
    </w:p>
  </w:footnote>
  <w:footnote w:id="417">
    <w:p w14:paraId="207030ED"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《讲道集》第四卷，</w:t>
      </w:r>
      <w:r w:rsidRPr="004C59BB">
        <w:rPr>
          <w:color w:val="0000FF"/>
        </w:rPr>
        <w:t>第二</w:t>
      </w:r>
      <w:r w:rsidRPr="004C59BB">
        <w:rPr>
          <w:color w:val="0000FF"/>
          <w:lang w:val="ru-RU"/>
        </w:rPr>
        <w:t>章，第64–65页；《</w:t>
      </w:r>
      <w:r w:rsidRPr="004C59BB">
        <w:rPr>
          <w:color w:val="0000FF"/>
        </w:rPr>
        <w:t>论述</w:t>
      </w:r>
      <w:r w:rsidRPr="004C59BB">
        <w:rPr>
          <w:color w:val="0000FF"/>
          <w:lang w:val="ru-RU"/>
        </w:rPr>
        <w:t>》第十四卷，第19节。“死亡惊恐万分，因看见有位新来者降临阴间，他并未被死亡的枷锁所束缚。你们这些阴间的守门人，为何一见祂便惊骇万分？究竟是何等非凡的恐惧掌控了你们？ 死亡逃走了，而这种逃窜暴露了它的恐惧。众先知、立法者摩西、亚伯拉罕、以撒、雅各、大卫、撒母耳、以赛亚，以及施洗约翰都聚集在一起，施洗约翰作见证时曾说：‘你就是那位要来的，还是我们要等候另一个人？’ （马太福音 11:3）。所有被死亡吞噬的义人都已得蒙救赎。因为那位被预言的君王，本该是那些良善先驱者的救</w:t>
      </w:r>
      <w:r w:rsidR="005666A3" w:rsidRPr="004C59BB">
        <w:rPr>
          <w:color w:val="0000FF"/>
          <w:lang w:val="ru-RU"/>
        </w:rPr>
        <w:t>赎主”</w:t>
      </w:r>
      <w:r w:rsidRPr="004C59BB">
        <w:rPr>
          <w:color w:val="0000FF"/>
          <w:lang w:val="ru-RU"/>
        </w:rPr>
        <w:t>（第295页）。</w:t>
      </w:r>
    </w:p>
  </w:footnote>
  <w:footnote w:id="418">
    <w:p w14:paraId="0B11C6F9" w14:textId="77777777" w:rsidR="0082130B" w:rsidRPr="0097554A" w:rsidRDefault="0082130B">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φημί</w:t>
      </w:r>
      <w:r w:rsidRPr="0097554A">
        <w:rPr>
          <w:color w:val="0000FF"/>
          <w:lang w:val="ru-RU"/>
        </w:rPr>
        <w:t>，</w:t>
      </w:r>
      <w:r w:rsidRPr="004C59BB">
        <w:rPr>
          <w:color w:val="0000FF"/>
          <w:lang w:val="el-GR"/>
        </w:rPr>
        <w:t>关于圣先祖们。</w:t>
      </w:r>
      <w:r w:rsidRPr="004C59BB">
        <w:rPr>
          <w:color w:val="0000FF"/>
        </w:rPr>
        <w:t>Na</w:t>
      </w:r>
      <w:r w:rsidRPr="0097554A">
        <w:rPr>
          <w:color w:val="0000FF"/>
          <w:lang w:val="ru-RU"/>
        </w:rPr>
        <w:t>ë</w:t>
      </w:r>
      <w:r w:rsidRPr="004C59BB">
        <w:rPr>
          <w:color w:val="0000FF"/>
        </w:rPr>
        <w:t>res</w:t>
      </w:r>
      <w:r w:rsidRPr="0097554A">
        <w:rPr>
          <w:color w:val="0000FF"/>
          <w:lang w:val="ru-RU"/>
        </w:rPr>
        <w:t xml:space="preserve">. </w:t>
      </w:r>
      <w:r w:rsidRPr="004C59BB">
        <w:rPr>
          <w:color w:val="0000FF"/>
        </w:rPr>
        <w:t>LXIX</w:t>
      </w:r>
      <w:r w:rsidRPr="0097554A">
        <w:rPr>
          <w:color w:val="0000FF"/>
          <w:lang w:val="ru-RU"/>
        </w:rPr>
        <w:t xml:space="preserve">, </w:t>
      </w:r>
      <w:r w:rsidRPr="004C59BB">
        <w:rPr>
          <w:color w:val="0000FF"/>
        </w:rPr>
        <w:t>n</w:t>
      </w:r>
      <w:r w:rsidRPr="0097554A">
        <w:rPr>
          <w:color w:val="0000FF"/>
          <w:lang w:val="ru-RU"/>
        </w:rPr>
        <w:t>. 62</w:t>
      </w:r>
      <w:r w:rsidRPr="004C59BB">
        <w:rPr>
          <w:color w:val="0000FF"/>
        </w:rPr>
        <w:t>。</w:t>
      </w:r>
    </w:p>
  </w:footnote>
  <w:footnote w:id="419">
    <w:p w14:paraId="440AEDE3" w14:textId="77777777" w:rsidR="0082130B" w:rsidRPr="0097554A" w:rsidRDefault="0082130B">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《修道院制度》第三卷</w:t>
      </w:r>
      <w:r w:rsidRPr="0097554A">
        <w:rPr>
          <w:color w:val="0000FF"/>
          <w:lang w:val="ru-RU"/>
        </w:rPr>
        <w:t>，</w:t>
      </w:r>
      <w:r w:rsidRPr="004C59BB">
        <w:rPr>
          <w:color w:val="0000FF"/>
        </w:rPr>
        <w:t>第</w:t>
      </w:r>
      <w:r w:rsidRPr="0097554A">
        <w:rPr>
          <w:color w:val="0000FF"/>
          <w:lang w:val="ru-RU"/>
        </w:rPr>
        <w:t>3</w:t>
      </w:r>
      <w:r w:rsidRPr="004C59BB">
        <w:rPr>
          <w:color w:val="0000FF"/>
        </w:rPr>
        <w:t>章。</w:t>
      </w:r>
    </w:p>
  </w:footnote>
  <w:footnote w:id="420">
    <w:p w14:paraId="7254F67A" w14:textId="77777777" w:rsidR="0082130B" w:rsidRPr="004C59BB" w:rsidRDefault="0082130B">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《道德论》第十二卷</w:t>
      </w:r>
      <w:r w:rsidRPr="0097554A">
        <w:rPr>
          <w:color w:val="0000FF"/>
          <w:lang w:val="ru-RU"/>
        </w:rPr>
        <w:t>，</w:t>
      </w:r>
      <w:r w:rsidRPr="004C59BB">
        <w:rPr>
          <w:color w:val="0000FF"/>
        </w:rPr>
        <w:t>第</w:t>
      </w:r>
      <w:r w:rsidRPr="0097554A">
        <w:rPr>
          <w:color w:val="0000FF"/>
          <w:lang w:val="ru-RU"/>
        </w:rPr>
        <w:t>7</w:t>
      </w:r>
      <w:r w:rsidRPr="004C59BB">
        <w:rPr>
          <w:color w:val="0000FF"/>
        </w:rPr>
        <w:t>章。另见：你们除了天主教会所教导的真信仰之外，切勿持守其他任何教义，因为主降临阴间时，仅将那些生前因祂的恩宠而坚守信仰并行善之人，从阴间的牢笼中解救出来（第七卷，第15封书信）； 参见：希波吕托斯《论基督与敌基督》第26章；优西比乌《路加福音注》第14章第25节；金口若望《反犹太人与外邦人论：论基督即上帝》第5节。</w:t>
      </w:r>
    </w:p>
  </w:footnote>
  <w:footnote w:id="421">
    <w:p w14:paraId="40809E6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亚历山大的克莱门特，《杂论》第六卷，第461页；安布罗斯，《论复活节》第3、</w:t>
      </w:r>
      <w:r w:rsidRPr="0097554A">
        <w:rPr>
          <w:color w:val="0000FF"/>
        </w:rPr>
        <w:t>4</w:t>
      </w:r>
      <w:r w:rsidRPr="004C59BB">
        <w:rPr>
          <w:color w:val="0000FF"/>
          <w:lang w:val="ru-RU"/>
        </w:rPr>
        <w:t>章。参见上文注释401、408和414。</w:t>
      </w:r>
    </w:p>
  </w:footnote>
  <w:footnote w:id="422">
    <w:p w14:paraId="214AC265" w14:textId="77777777" w:rsidR="00542EA8" w:rsidRPr="0097554A" w:rsidRDefault="00542EA8">
      <w:pPr>
        <w:pStyle w:val="FootnoteText"/>
        <w:rPr>
          <w:color w:val="0000FF"/>
          <w:lang w:val="ru-RU"/>
        </w:rPr>
      </w:pPr>
      <w:r w:rsidRPr="004C59BB">
        <w:rPr>
          <w:rStyle w:val="FootnoteReference"/>
          <w:color w:val="0000FF"/>
        </w:rPr>
        <w:footnoteRef/>
      </w:r>
      <w:r w:rsidRPr="004C59BB">
        <w:rPr>
          <w:color w:val="0000FF"/>
          <w:lang w:val="ru-RU"/>
        </w:rPr>
        <w:t xml:space="preserve"> 教会的导师们也宣讲了同样的教义：a) 圣亚他那修：“主建立祂的教会，其特殊目的在于彰显祂肉身的复活；祂愿借此向众人显明战胜死亡的征兆，并使众人确信：借着祂，朽坏已被消灭</w:t>
      </w:r>
      <w:r w:rsidR="005666A3" w:rsidRPr="004C59BB">
        <w:rPr>
          <w:color w:val="0000FF"/>
          <w:lang w:val="ru-RU"/>
        </w:rPr>
        <w:t>，不朽已被赐予世人”</w:t>
      </w:r>
      <w:r w:rsidRPr="004C59BB">
        <w:rPr>
          <w:color w:val="0000FF"/>
          <w:lang w:val="ru-RU"/>
        </w:rPr>
        <w:t xml:space="preserve"> （</w:t>
      </w:r>
      <w:r w:rsidRPr="004C59BB">
        <w:rPr>
          <w:color w:val="0000FF"/>
        </w:rPr>
        <w:t>《论上帝圣言的</w:t>
      </w:r>
      <w:r w:rsidRPr="004C59BB">
        <w:rPr>
          <w:color w:val="0000FF"/>
          <w:lang w:val="ru-RU"/>
        </w:rPr>
        <w:t>道成</w:t>
      </w:r>
      <w:r w:rsidRPr="004C59BB">
        <w:rPr>
          <w:color w:val="0000FF"/>
        </w:rPr>
        <w:t>肉身</w:t>
      </w:r>
      <w:r w:rsidRPr="004C59BB">
        <w:rPr>
          <w:color w:val="0000FF"/>
          <w:lang w:val="ru-RU"/>
        </w:rPr>
        <w:t>》第22节，载于《基督教读本》1838年</w:t>
      </w:r>
      <w:r w:rsidRPr="004C59BB">
        <w:rPr>
          <w:color w:val="0000FF"/>
        </w:rPr>
        <w:t>版</w:t>
      </w:r>
      <w:r w:rsidRPr="004C59BB">
        <w:rPr>
          <w:color w:val="0000FF"/>
          <w:lang w:val="ru-RU"/>
        </w:rPr>
        <w:t>，</w:t>
      </w:r>
      <w:r w:rsidRPr="004C59BB">
        <w:rPr>
          <w:color w:val="0000FF"/>
        </w:rPr>
        <w:t>第二</w:t>
      </w:r>
      <w:r w:rsidRPr="004C59BB">
        <w:rPr>
          <w:color w:val="0000FF"/>
          <w:lang w:val="ru-RU"/>
        </w:rPr>
        <w:t>卷，第140页）；b) 圣基里尔·耶路撒冷：“那死人复活了，祂在死人中是拯救者（《诗篇》87:</w:t>
      </w:r>
      <w:r w:rsidR="00F45CFB" w:rsidRPr="004C59BB">
        <w:rPr>
          <w:color w:val="0000FF"/>
          <w:lang w:val="ru-RU"/>
        </w:rPr>
        <w:t>6）</w:t>
      </w:r>
      <w:r w:rsidRPr="004C59BB">
        <w:rPr>
          <w:color w:val="0000FF"/>
          <w:lang w:val="ru-RU"/>
        </w:rPr>
        <w:t>，也是死人的救赎主。 那位因祂的长久忍耐，曾被加冕以荆棘冠冕以受羞辱者，如今复活了，戴上了战胜死亡的胜利</w:t>
      </w:r>
      <w:r w:rsidR="005666A3" w:rsidRPr="004C59BB">
        <w:rPr>
          <w:color w:val="0000FF"/>
          <w:lang w:val="ru-RU"/>
        </w:rPr>
        <w:t xml:space="preserve">双冠” </w:t>
      </w:r>
      <w:r w:rsidRPr="004C59BB">
        <w:rPr>
          <w:color w:val="0000FF"/>
          <w:lang w:val="ru-RU"/>
        </w:rPr>
        <w:t>(《教义讲义》</w:t>
      </w:r>
      <w:r w:rsidRPr="004C59BB">
        <w:rPr>
          <w:color w:val="0000FF"/>
        </w:rPr>
        <w:t>第十四卷</w:t>
      </w:r>
      <w:r w:rsidRPr="004C59BB">
        <w:rPr>
          <w:color w:val="0000FF"/>
          <w:lang w:val="ru-RU"/>
        </w:rPr>
        <w:t>，</w:t>
      </w:r>
      <w:r w:rsidRPr="004C59BB">
        <w:rPr>
          <w:color w:val="0000FF"/>
        </w:rPr>
        <w:t>第I</w:t>
      </w:r>
      <w:r w:rsidRPr="004C59BB">
        <w:rPr>
          <w:color w:val="0000FF"/>
          <w:lang w:val="ru-RU"/>
        </w:rPr>
        <w:t xml:space="preserve">章，第279页)，——以及其他人（例如亚历山大的西里尔关于《论主道成肉身》 </w:t>
      </w:r>
      <w:r w:rsidRPr="004C59BB">
        <w:rPr>
          <w:color w:val="0000FF"/>
        </w:rPr>
        <w:t>第</w:t>
      </w:r>
      <w:r w:rsidRPr="0097554A">
        <w:rPr>
          <w:color w:val="0000FF"/>
          <w:lang w:val="ru-RU"/>
        </w:rPr>
        <w:t>27</w:t>
      </w:r>
      <w:r w:rsidRPr="004C59BB">
        <w:rPr>
          <w:color w:val="0000FF"/>
        </w:rPr>
        <w:t>章</w:t>
      </w:r>
      <w:r w:rsidRPr="0097554A">
        <w:rPr>
          <w:color w:val="0000FF"/>
          <w:lang w:val="ru-RU"/>
        </w:rPr>
        <w:t>，</w:t>
      </w:r>
      <w:r w:rsidRPr="004C59BB">
        <w:rPr>
          <w:color w:val="0000FF"/>
        </w:rPr>
        <w:t>载于《基督教读本》</w:t>
      </w:r>
      <w:r w:rsidRPr="0097554A">
        <w:rPr>
          <w:color w:val="0000FF"/>
          <w:lang w:val="ru-RU"/>
        </w:rPr>
        <w:t>，1847</w:t>
      </w:r>
      <w:r w:rsidRPr="004C59BB">
        <w:rPr>
          <w:color w:val="0000FF"/>
        </w:rPr>
        <w:t>年</w:t>
      </w:r>
      <w:r w:rsidRPr="0097554A">
        <w:rPr>
          <w:color w:val="0000FF"/>
          <w:lang w:val="ru-RU"/>
        </w:rPr>
        <w:t>，</w:t>
      </w:r>
      <w:r w:rsidRPr="004C59BB">
        <w:rPr>
          <w:color w:val="0000FF"/>
        </w:rPr>
        <w:t>第三卷</w:t>
      </w:r>
      <w:r w:rsidRPr="0097554A">
        <w:rPr>
          <w:color w:val="0000FF"/>
          <w:lang w:val="ru-RU"/>
        </w:rPr>
        <w:t>，</w:t>
      </w:r>
      <w:r w:rsidRPr="004C59BB">
        <w:rPr>
          <w:color w:val="0000FF"/>
        </w:rPr>
        <w:t>第</w:t>
      </w:r>
      <w:r w:rsidRPr="0097554A">
        <w:rPr>
          <w:color w:val="0000FF"/>
          <w:lang w:val="ru-RU"/>
        </w:rPr>
        <w:t>227</w:t>
      </w:r>
      <w:r w:rsidRPr="004C59BB">
        <w:rPr>
          <w:color w:val="0000FF"/>
        </w:rPr>
        <w:t>页</w:t>
      </w:r>
      <w:r w:rsidRPr="0097554A">
        <w:rPr>
          <w:color w:val="0000FF"/>
          <w:lang w:val="ru-RU"/>
        </w:rPr>
        <w:t>）</w:t>
      </w:r>
      <w:r w:rsidRPr="004C59BB">
        <w:rPr>
          <w:color w:val="0000FF"/>
        </w:rPr>
        <w:t>。</w:t>
      </w:r>
    </w:p>
  </w:footnote>
  <w:footnote w:id="423">
    <w:p w14:paraId="4C106DC3" w14:textId="77777777" w:rsidR="009E2745" w:rsidRPr="004C59BB" w:rsidRDefault="009E2745">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克莱门特</w:t>
      </w:r>
      <w:r w:rsidRPr="0097554A">
        <w:rPr>
          <w:color w:val="0000FF"/>
          <w:lang w:val="ru-RU"/>
        </w:rPr>
        <w:t>·</w:t>
      </w:r>
      <w:r w:rsidRPr="004C59BB">
        <w:rPr>
          <w:color w:val="0000FF"/>
        </w:rPr>
        <w:t>罗马《致哥林多书》</w:t>
      </w:r>
      <w:r w:rsidRPr="0097554A">
        <w:rPr>
          <w:color w:val="0000FF"/>
          <w:lang w:val="ru-RU"/>
        </w:rPr>
        <w:t>1，</w:t>
      </w:r>
      <w:r w:rsidRPr="004C59BB">
        <w:rPr>
          <w:color w:val="0000FF"/>
        </w:rPr>
        <w:t>第</w:t>
      </w:r>
      <w:r w:rsidRPr="0097554A">
        <w:rPr>
          <w:color w:val="0000FF"/>
          <w:lang w:val="ru-RU"/>
        </w:rPr>
        <w:t>24</w:t>
      </w:r>
      <w:r w:rsidRPr="004C59BB">
        <w:rPr>
          <w:color w:val="0000FF"/>
        </w:rPr>
        <w:t>节</w:t>
      </w:r>
      <w:r w:rsidRPr="0097554A">
        <w:rPr>
          <w:color w:val="0000FF"/>
          <w:lang w:val="ru-RU"/>
        </w:rPr>
        <w:t xml:space="preserve">； </w:t>
      </w:r>
      <w:r w:rsidRPr="004C59BB">
        <w:rPr>
          <w:color w:val="0000FF"/>
        </w:rPr>
        <w:t>伊格纳提乌斯《致士麦那书》第I、II、III节</w:t>
      </w:r>
      <w:r w:rsidRPr="0097554A">
        <w:rPr>
          <w:color w:val="0000FF"/>
          <w:lang w:val="ru-RU"/>
        </w:rPr>
        <w:t>；</w:t>
      </w:r>
      <w:r w:rsidRPr="004C59BB">
        <w:rPr>
          <w:color w:val="0000FF"/>
        </w:rPr>
        <w:t>波利卡普《致腓立比书》第IX节</w:t>
      </w:r>
      <w:r w:rsidRPr="0097554A">
        <w:rPr>
          <w:color w:val="0000FF"/>
          <w:lang w:val="ru-RU"/>
        </w:rPr>
        <w:t>；</w:t>
      </w:r>
      <w:r w:rsidRPr="004C59BB">
        <w:rPr>
          <w:color w:val="0000FF"/>
        </w:rPr>
        <w:t>爱任纽《反异端》第</w:t>
      </w:r>
      <w:r w:rsidRPr="0097554A">
        <w:rPr>
          <w:color w:val="0000FF"/>
          <w:lang w:val="ru-RU"/>
        </w:rPr>
        <w:t>1</w:t>
      </w:r>
      <w:r w:rsidRPr="004C59BB">
        <w:rPr>
          <w:color w:val="0000FF"/>
        </w:rPr>
        <w:t>卷第</w:t>
      </w:r>
      <w:r w:rsidRPr="0097554A">
        <w:rPr>
          <w:color w:val="0000FF"/>
          <w:lang w:val="ru-RU"/>
        </w:rPr>
        <w:t>10</w:t>
      </w:r>
      <w:r w:rsidRPr="004C59BB">
        <w:rPr>
          <w:color w:val="0000FF"/>
        </w:rPr>
        <w:t>章</w:t>
      </w:r>
      <w:r w:rsidRPr="0097554A">
        <w:rPr>
          <w:color w:val="0000FF"/>
          <w:lang w:val="ru-RU"/>
        </w:rPr>
        <w:t>；</w:t>
      </w:r>
      <w:r w:rsidRPr="004C59BB">
        <w:rPr>
          <w:color w:val="0000FF"/>
        </w:rPr>
        <w:t>耶路撒冷的西里尔</w:t>
      </w:r>
      <w:r w:rsidRPr="004C59BB">
        <w:rPr>
          <w:color w:val="0000FF"/>
          <w:lang w:val="ru-RU"/>
        </w:rPr>
        <w:t>《慕道者教义》</w:t>
      </w:r>
      <w:r w:rsidRPr="004C59BB">
        <w:rPr>
          <w:color w:val="0000FF"/>
        </w:rPr>
        <w:t>第IV卷</w:t>
      </w:r>
      <w:r w:rsidRPr="004C59BB">
        <w:rPr>
          <w:color w:val="0000FF"/>
          <w:lang w:val="ru-RU"/>
        </w:rPr>
        <w:t>，第12节；约翰·金口《马太福音讲道集》第90篇。</w:t>
      </w:r>
    </w:p>
  </w:footnote>
  <w:footnote w:id="424">
    <w:p w14:paraId="2D4FC036" w14:textId="77777777" w:rsidR="003069B3" w:rsidRPr="004C59BB" w:rsidRDefault="003069B3">
      <w:pPr>
        <w:pStyle w:val="FootnoteText"/>
        <w:rPr>
          <w:color w:val="0000FF"/>
          <w:lang w:val="ru-RU"/>
        </w:rPr>
      </w:pPr>
      <w:r w:rsidRPr="004C59BB">
        <w:rPr>
          <w:rStyle w:val="FootnoteReference"/>
          <w:color w:val="0000FF"/>
        </w:rPr>
        <w:footnoteRef/>
      </w:r>
      <w:r w:rsidRPr="004C59BB">
        <w:rPr>
          <w:color w:val="0000FF"/>
          <w:lang w:val="ru-RU"/>
        </w:rPr>
        <w:t xml:space="preserve"> 《神学词汇》</w:t>
      </w:r>
      <w:r w:rsidRPr="004C59BB">
        <w:rPr>
          <w:color w:val="0000FF"/>
        </w:rPr>
        <w:t>第四卷</w:t>
      </w:r>
      <w:r w:rsidRPr="004C59BB">
        <w:rPr>
          <w:color w:val="0000FF"/>
          <w:lang w:val="ru-RU"/>
        </w:rPr>
        <w:t>，载于《圣教父著作集》</w:t>
      </w:r>
      <w:r w:rsidRPr="004C59BB">
        <w:rPr>
          <w:color w:val="0000FF"/>
        </w:rPr>
        <w:t>第三卷</w:t>
      </w:r>
      <w:r w:rsidRPr="004C59BB">
        <w:rPr>
          <w:color w:val="0000FF"/>
          <w:lang w:val="ru-RU"/>
        </w:rPr>
        <w:t>，第81–82页。</w:t>
      </w:r>
    </w:p>
  </w:footnote>
  <w:footnote w:id="425">
    <w:p w14:paraId="678DA072" w14:textId="77777777" w:rsidR="003069B3" w:rsidRPr="0097554A" w:rsidRDefault="003069B3">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《致哥林多前书注释》第</w:t>
      </w:r>
      <w:r w:rsidRPr="0097554A">
        <w:rPr>
          <w:color w:val="0000FF"/>
          <w:lang w:val="ru-RU"/>
        </w:rPr>
        <w:t>1</w:t>
      </w:r>
      <w:r w:rsidRPr="004C59BB">
        <w:rPr>
          <w:color w:val="0000FF"/>
        </w:rPr>
        <w:t>卷</w:t>
      </w:r>
      <w:r w:rsidRPr="0097554A">
        <w:rPr>
          <w:color w:val="0000FF"/>
          <w:lang w:val="ru-RU"/>
        </w:rPr>
        <w:t>，</w:t>
      </w:r>
      <w:r w:rsidRPr="004C59BB">
        <w:rPr>
          <w:color w:val="0000FF"/>
        </w:rPr>
        <w:t>第XV章</w:t>
      </w:r>
      <w:r w:rsidRPr="0097554A">
        <w:rPr>
          <w:color w:val="0000FF"/>
          <w:lang w:val="ru-RU"/>
        </w:rPr>
        <w:t>，</w:t>
      </w:r>
      <w:r w:rsidRPr="004C59BB">
        <w:rPr>
          <w:color w:val="0000FF"/>
        </w:rPr>
        <w:t>第</w:t>
      </w:r>
      <w:r w:rsidRPr="0097554A">
        <w:rPr>
          <w:color w:val="0000FF"/>
          <w:lang w:val="ru-RU"/>
        </w:rPr>
        <w:t>24</w:t>
      </w:r>
      <w:r w:rsidRPr="004C59BB">
        <w:rPr>
          <w:color w:val="0000FF"/>
        </w:rPr>
        <w:t>节</w:t>
      </w:r>
      <w:r w:rsidRPr="0097554A">
        <w:rPr>
          <w:color w:val="0000FF"/>
          <w:lang w:val="ru-RU"/>
        </w:rPr>
        <w:t>；</w:t>
      </w:r>
      <w:r w:rsidRPr="004C59BB">
        <w:rPr>
          <w:color w:val="0000FF"/>
        </w:rPr>
        <w:t>《讲道集》第XXXIX篇。</w:t>
      </w:r>
    </w:p>
  </w:footnote>
  <w:footnote w:id="426">
    <w:p w14:paraId="3F512488" w14:textId="77777777" w:rsidR="003069B3" w:rsidRPr="0097554A" w:rsidRDefault="003069B3">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关于《哥林多前书》</w:t>
      </w:r>
      <w:r w:rsidRPr="0097554A">
        <w:rPr>
          <w:color w:val="0000FF"/>
          <w:lang w:val="ru-RU"/>
        </w:rPr>
        <w:t>15</w:t>
      </w:r>
      <w:r w:rsidRPr="004C59BB">
        <w:rPr>
          <w:color w:val="0000FF"/>
        </w:rPr>
        <w:t>章</w:t>
      </w:r>
      <w:r w:rsidRPr="0097554A">
        <w:rPr>
          <w:color w:val="0000FF"/>
          <w:lang w:val="ru-RU"/>
        </w:rPr>
        <w:t>24</w:t>
      </w:r>
      <w:r w:rsidRPr="004C59BB">
        <w:rPr>
          <w:color w:val="0000FF"/>
        </w:rPr>
        <w:t>节的</w:t>
      </w:r>
      <w:r w:rsidRPr="004C59BB">
        <w:rPr>
          <w:color w:val="0000FF"/>
          <w:lang w:val="ru-RU"/>
        </w:rPr>
        <w:t>讲解，载于</w:t>
      </w:r>
      <w:r w:rsidRPr="004C59BB">
        <w:rPr>
          <w:color w:val="0000FF"/>
        </w:rPr>
        <w:t>《</w:t>
      </w:r>
      <w:r w:rsidRPr="0097554A">
        <w:rPr>
          <w:color w:val="0000FF"/>
          <w:lang w:val="ru-RU"/>
        </w:rPr>
        <w:t>1838</w:t>
      </w:r>
      <w:r w:rsidRPr="004C59BB">
        <w:rPr>
          <w:color w:val="0000FF"/>
        </w:rPr>
        <w:t>年</w:t>
      </w:r>
      <w:r w:rsidRPr="004C59BB">
        <w:rPr>
          <w:color w:val="0000FF"/>
          <w:lang w:val="ru-RU"/>
        </w:rPr>
        <w:t>基督</w:t>
      </w:r>
      <w:r w:rsidRPr="004C59BB">
        <w:rPr>
          <w:color w:val="0000FF"/>
        </w:rPr>
        <w:t>读本》</w:t>
      </w:r>
      <w:r w:rsidRPr="0097554A">
        <w:rPr>
          <w:color w:val="0000FF"/>
          <w:lang w:val="ru-RU"/>
        </w:rPr>
        <w:t>，</w:t>
      </w:r>
      <w:r w:rsidRPr="004C59BB">
        <w:rPr>
          <w:color w:val="0000FF"/>
        </w:rPr>
        <w:t>第II</w:t>
      </w:r>
      <w:r w:rsidRPr="004C59BB">
        <w:rPr>
          <w:color w:val="0000FF"/>
          <w:lang w:val="ru-RU"/>
        </w:rPr>
        <w:t>卷</w:t>
      </w:r>
      <w:r w:rsidRPr="0097554A">
        <w:rPr>
          <w:color w:val="0000FF"/>
          <w:lang w:val="ru-RU"/>
        </w:rPr>
        <w:t>，</w:t>
      </w:r>
      <w:r w:rsidRPr="004C59BB">
        <w:rPr>
          <w:color w:val="0000FF"/>
        </w:rPr>
        <w:t>第</w:t>
      </w:r>
      <w:r w:rsidRPr="0097554A">
        <w:rPr>
          <w:color w:val="0000FF"/>
          <w:lang w:val="ru-RU"/>
        </w:rPr>
        <w:t>18</w:t>
      </w:r>
      <w:r w:rsidRPr="004C59BB">
        <w:rPr>
          <w:color w:val="0000FF"/>
        </w:rPr>
        <w:t>页。</w:t>
      </w:r>
    </w:p>
  </w:footnote>
  <w:footnote w:id="427">
    <w:p w14:paraId="26F35D8F" w14:textId="77777777" w:rsidR="003069B3" w:rsidRPr="0097554A" w:rsidRDefault="003069B3">
      <w:pPr>
        <w:pStyle w:val="FootnoteText"/>
        <w:rPr>
          <w:color w:val="0000FF"/>
          <w:lang w:val="ru-RU"/>
        </w:rPr>
      </w:pPr>
      <w:r w:rsidRPr="004C59BB">
        <w:rPr>
          <w:rStyle w:val="FootnoteReference"/>
          <w:color w:val="0000FF"/>
        </w:rPr>
        <w:footnoteRef/>
      </w:r>
      <w:r w:rsidRPr="004C59BB">
        <w:rPr>
          <w:color w:val="0000FF"/>
          <w:lang w:val="ru-RU"/>
        </w:rPr>
        <w:t xml:space="preserve"> “既然我们蒙受了更美、更完美的教导，既然上帝在末世不是通过先知，而是通过祂的儿子向我们说话，那么我们就应当过一种远比从前更美好、更配得我们所蒙之恩的生活。因为当上帝如此降尊纡贵，不再通过祂的仆人，而是亲自与我们说话时： 那么，如果我们与古时的以色列人相比，丝毫没有表现得更好，那便是不合宜的。他们有摩西为师，而我们却有摩西的主亲自作我们的导师。因此，我们应当展现出与这至高荣耀相称的智慧，与尘世毫无瓜葛。 </w:t>
      </w:r>
      <w:r w:rsidR="005666A3" w:rsidRPr="004C59BB">
        <w:rPr>
          <w:color w:val="0000FF"/>
          <w:lang w:val="ru-RU"/>
        </w:rPr>
        <w:t>“</w:t>
      </w:r>
      <w:r w:rsidRPr="004C59BB">
        <w:rPr>
          <w:color w:val="0000FF"/>
          <w:lang w:val="ru-RU"/>
        </w:rPr>
        <w:t>因为祂正是为了这个目的，才从天上将教义赐给我们，好让我们在思想上升入那里，并尽我们所能效法我们的导师</w:t>
      </w:r>
      <w:r w:rsidR="005666A3" w:rsidRPr="004C59BB">
        <w:rPr>
          <w:color w:val="0000FF"/>
          <w:lang w:val="ru-RU"/>
        </w:rPr>
        <w:t>。</w:t>
      </w:r>
      <w:r w:rsidRPr="004C59BB">
        <w:rPr>
          <w:color w:val="0000FF"/>
          <w:lang w:val="ru-RU"/>
        </w:rPr>
        <w:t>”（金口若望《约翰</w:t>
      </w:r>
      <w:r w:rsidRPr="004C59BB">
        <w:rPr>
          <w:color w:val="0000FF"/>
          <w:lang w:val="el-GR"/>
        </w:rPr>
        <w:t>福音讲道集》</w:t>
      </w:r>
      <w:r w:rsidRPr="004C59BB">
        <w:rPr>
          <w:color w:val="0000FF"/>
        </w:rPr>
        <w:t>第十四</w:t>
      </w:r>
      <w:r w:rsidRPr="004C59BB">
        <w:rPr>
          <w:color w:val="0000FF"/>
          <w:lang w:val="ru-RU"/>
        </w:rPr>
        <w:t>篇，载于</w:t>
      </w:r>
      <w:r w:rsidRPr="004C59BB">
        <w:rPr>
          <w:color w:val="0000FF"/>
          <w:lang w:val="el-GR"/>
        </w:rPr>
        <w:t>《</w:t>
      </w:r>
      <w:r w:rsidRPr="004C59BB">
        <w:rPr>
          <w:color w:val="0000FF"/>
          <w:lang w:val="ru-RU"/>
        </w:rPr>
        <w:t>基督教读本</w:t>
      </w:r>
      <w:r w:rsidRPr="004C59BB">
        <w:rPr>
          <w:color w:val="0000FF"/>
          <w:lang w:val="el-GR"/>
        </w:rPr>
        <w:t>》</w:t>
      </w:r>
      <w:r w:rsidRPr="0097554A">
        <w:rPr>
          <w:color w:val="0000FF"/>
          <w:lang w:val="ru-RU"/>
        </w:rPr>
        <w:t>1837</w:t>
      </w:r>
      <w:r w:rsidRPr="004C59BB">
        <w:rPr>
          <w:color w:val="0000FF"/>
          <w:lang w:val="el-GR"/>
        </w:rPr>
        <w:t>年版</w:t>
      </w:r>
      <w:r w:rsidRPr="0097554A">
        <w:rPr>
          <w:color w:val="0000FF"/>
          <w:lang w:val="ru-RU"/>
        </w:rPr>
        <w:t>，</w:t>
      </w:r>
      <w:r w:rsidRPr="004C59BB">
        <w:rPr>
          <w:color w:val="0000FF"/>
        </w:rPr>
        <w:t>第三</w:t>
      </w:r>
      <w:r w:rsidRPr="004C59BB">
        <w:rPr>
          <w:color w:val="0000FF"/>
          <w:lang w:val="el-GR"/>
        </w:rPr>
        <w:t>卷</w:t>
      </w:r>
      <w:r w:rsidRPr="0097554A">
        <w:rPr>
          <w:color w:val="0000FF"/>
          <w:lang w:val="ru-RU"/>
        </w:rPr>
        <w:t>，15–16</w:t>
      </w:r>
      <w:r w:rsidRPr="004C59BB">
        <w:rPr>
          <w:color w:val="0000FF"/>
          <w:lang w:val="el-GR"/>
        </w:rPr>
        <w:t>页</w:t>
      </w:r>
      <w:r w:rsidRPr="0097554A">
        <w:rPr>
          <w:color w:val="0000FF"/>
          <w:lang w:val="ru-RU"/>
        </w:rPr>
        <w:t>）</w:t>
      </w:r>
      <w:r w:rsidRPr="004C59BB">
        <w:rPr>
          <w:color w:val="0000FF"/>
          <w:lang w:val="el-GR"/>
        </w:rPr>
        <w:t>。</w:t>
      </w:r>
    </w:p>
  </w:footnote>
  <w:footnote w:id="428">
    <w:p w14:paraId="07FA37A3" w14:textId="77777777" w:rsidR="00BE1885" w:rsidRPr="0097554A" w:rsidRDefault="00BE1885" w:rsidP="00BE1885">
      <w:pPr>
        <w:pStyle w:val="FootnoteText"/>
        <w:rPr>
          <w:color w:val="0000FF"/>
          <w:lang w:val="el-GR"/>
        </w:rPr>
      </w:pPr>
      <w:r w:rsidRPr="004C59BB">
        <w:rPr>
          <w:rStyle w:val="FootnoteReference"/>
          <w:color w:val="0000FF"/>
        </w:rPr>
        <w:footnoteRef/>
      </w:r>
      <w:r w:rsidRPr="0097554A">
        <w:rPr>
          <w:color w:val="0000FF"/>
          <w:lang w:val="ru-RU"/>
        </w:rPr>
        <w:t xml:space="preserve"> “</w:t>
      </w:r>
      <w:r w:rsidRPr="004C59BB">
        <w:rPr>
          <w:color w:val="0000FF"/>
          <w:lang w:val="el-GR"/>
        </w:rPr>
        <w:t>你可曾看见我们得救之要义</w:t>
      </w:r>
      <w:r w:rsidRPr="0097554A">
        <w:rPr>
          <w:color w:val="0000FF"/>
          <w:lang w:val="ru-RU"/>
        </w:rPr>
        <w:t>——</w:t>
      </w:r>
      <w:r w:rsidRPr="004C59BB">
        <w:rPr>
          <w:color w:val="0000FF"/>
          <w:lang w:val="el-GR"/>
        </w:rPr>
        <w:t>圣化</w:t>
      </w:r>
      <w:r w:rsidRPr="0097554A">
        <w:rPr>
          <w:color w:val="0000FF"/>
          <w:lang w:val="ru-RU"/>
        </w:rPr>
        <w:t>？</w:t>
      </w:r>
      <w:r w:rsidRPr="004C59BB">
        <w:rPr>
          <w:color w:val="0000FF"/>
          <w:lang w:val="el-GR"/>
        </w:rPr>
        <w:t>若无圣化</w:t>
      </w:r>
      <w:r w:rsidRPr="0097554A">
        <w:rPr>
          <w:color w:val="0000FF"/>
          <w:lang w:val="ru-RU"/>
        </w:rPr>
        <w:t>，</w:t>
      </w:r>
      <w:r w:rsidRPr="004C59BB">
        <w:rPr>
          <w:color w:val="0000FF"/>
          <w:lang w:val="el-GR"/>
        </w:rPr>
        <w:t>圣礼便无法完成。</w:t>
      </w:r>
      <w:r w:rsidRPr="0097554A">
        <w:rPr>
          <w:color w:val="0000FF"/>
          <w:lang w:val="el-GR"/>
        </w:rPr>
        <w:t>”</w:t>
      </w:r>
      <w:r w:rsidRPr="004C59BB">
        <w:rPr>
          <w:color w:val="0000FF"/>
        </w:rPr>
        <w:t>塞维里安《论世界的创造》</w:t>
      </w:r>
      <w:r w:rsidRPr="0097554A">
        <w:rPr>
          <w:color w:val="0000FF"/>
          <w:lang w:val="el-GR"/>
        </w:rPr>
        <w:t>，</w:t>
      </w:r>
      <w:r w:rsidRPr="004C59BB">
        <w:rPr>
          <w:color w:val="0000FF"/>
        </w:rPr>
        <w:t>第二篇讲道</w:t>
      </w:r>
      <w:r w:rsidRPr="0097554A">
        <w:rPr>
          <w:color w:val="0000FF"/>
          <w:lang w:val="el-GR"/>
        </w:rPr>
        <w:t>，</w:t>
      </w:r>
      <w:r w:rsidRPr="004C59BB">
        <w:rPr>
          <w:color w:val="0000FF"/>
        </w:rPr>
        <w:t>第</w:t>
      </w:r>
      <w:r w:rsidRPr="0097554A">
        <w:rPr>
          <w:color w:val="0000FF"/>
          <w:lang w:val="el-GR"/>
        </w:rPr>
        <w:t>6</w:t>
      </w:r>
      <w:r w:rsidRPr="004C59BB">
        <w:rPr>
          <w:color w:val="0000FF"/>
        </w:rPr>
        <w:t>节</w:t>
      </w:r>
      <w:r w:rsidRPr="0097554A">
        <w:rPr>
          <w:color w:val="0000FF"/>
          <w:lang w:val="el-GR"/>
        </w:rPr>
        <w:t>（</w:t>
      </w:r>
      <w:r w:rsidRPr="004C59BB">
        <w:rPr>
          <w:color w:val="0000FF"/>
        </w:rPr>
        <w:t>见金口若望《讲道集》第六卷</w:t>
      </w:r>
      <w:r w:rsidRPr="0097554A">
        <w:rPr>
          <w:color w:val="0000FF"/>
          <w:lang w:val="el-GR"/>
        </w:rPr>
        <w:t>，</w:t>
      </w:r>
      <w:r w:rsidRPr="004C59BB">
        <w:rPr>
          <w:color w:val="0000FF"/>
        </w:rPr>
        <w:t>第</w:t>
      </w:r>
      <w:r w:rsidRPr="0097554A">
        <w:rPr>
          <w:color w:val="0000FF"/>
          <w:lang w:val="el-GR"/>
        </w:rPr>
        <w:t>453</w:t>
      </w:r>
      <w:r w:rsidRPr="004C59BB">
        <w:rPr>
          <w:color w:val="0000FF"/>
        </w:rPr>
        <w:t>页</w:t>
      </w:r>
      <w:r w:rsidRPr="0097554A">
        <w:rPr>
          <w:color w:val="0000FF"/>
          <w:lang w:val="el-GR"/>
        </w:rPr>
        <w:t>，</w:t>
      </w:r>
      <w:r w:rsidRPr="004C59BB">
        <w:rPr>
          <w:color w:val="0000FF"/>
        </w:rPr>
        <w:t>蒙福克版</w:t>
      </w:r>
      <w:r w:rsidRPr="0097554A">
        <w:rPr>
          <w:color w:val="0000FF"/>
          <w:lang w:val="el-GR"/>
        </w:rPr>
        <w:t>）</w:t>
      </w:r>
      <w:r w:rsidRPr="004C59BB">
        <w:rPr>
          <w:color w:val="0000FF"/>
        </w:rPr>
        <w:t>。</w:t>
      </w:r>
      <w:r w:rsidRPr="0097554A">
        <w:rPr>
          <w:color w:val="0000FF"/>
          <w:lang w:val="el-GR"/>
        </w:rPr>
        <w:t xml:space="preserve"> </w:t>
      </w:r>
      <w:r w:rsidRPr="004C59BB">
        <w:rPr>
          <w:color w:val="0000FF"/>
        </w:rPr>
        <w:t>参见《普世教会论》中《致帖撒罗尼迦人书》第一卷</w:t>
      </w:r>
      <w:r w:rsidRPr="0097554A">
        <w:rPr>
          <w:color w:val="0000FF"/>
          <w:lang w:val="el-GR"/>
        </w:rPr>
        <w:t>，</w:t>
      </w:r>
      <w:r w:rsidRPr="004C59BB">
        <w:rPr>
          <w:color w:val="0000FF"/>
        </w:rPr>
        <w:t>第三章</w:t>
      </w:r>
      <w:r w:rsidRPr="0097554A">
        <w:rPr>
          <w:color w:val="0000FF"/>
          <w:lang w:val="el-GR"/>
        </w:rPr>
        <w:t>，</w:t>
      </w:r>
      <w:r w:rsidRPr="004C59BB">
        <w:rPr>
          <w:color w:val="0000FF"/>
          <w:lang w:val="ru-RU"/>
        </w:rPr>
        <w:t>第</w:t>
      </w:r>
      <w:r w:rsidRPr="0097554A">
        <w:rPr>
          <w:color w:val="0000FF"/>
          <w:lang w:val="el-GR"/>
        </w:rPr>
        <w:t>13</w:t>
      </w:r>
      <w:r w:rsidRPr="004C59BB">
        <w:rPr>
          <w:color w:val="0000FF"/>
        </w:rPr>
        <w:t>节</w:t>
      </w:r>
      <w:r w:rsidRPr="004C59BB">
        <w:rPr>
          <w:color w:val="0000FF"/>
          <w:lang w:val="ru-RU"/>
        </w:rPr>
        <w:t>。</w:t>
      </w:r>
    </w:p>
  </w:footnote>
  <w:footnote w:id="429">
    <w:p w14:paraId="253523B6" w14:textId="77777777" w:rsidR="00BE1885" w:rsidRPr="0097554A" w:rsidRDefault="00BE1885" w:rsidP="00BE1885">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巴克</w:t>
      </w:r>
      <w:r w:rsidRPr="0097554A">
        <w:rPr>
          <w:color w:val="0000FF"/>
          <w:lang w:val="el-GR"/>
        </w:rPr>
        <w:t>（</w:t>
      </w:r>
      <w:r w:rsidRPr="004C59BB">
        <w:rPr>
          <w:color w:val="0000FF"/>
          <w:lang w:val="ru-RU"/>
        </w:rPr>
        <w:t>Bac</w:t>
      </w:r>
      <w:r w:rsidRPr="0097554A">
        <w:rPr>
          <w:color w:val="0000FF"/>
          <w:lang w:val="el-GR"/>
        </w:rPr>
        <w:t>.）</w:t>
      </w:r>
      <w:r w:rsidRPr="004C59BB">
        <w:rPr>
          <w:color w:val="0000FF"/>
        </w:rPr>
        <w:t>论</w:t>
      </w:r>
      <w:r w:rsidRPr="004C59BB">
        <w:rPr>
          <w:color w:val="0000FF"/>
          <w:lang w:val="ru-RU"/>
        </w:rPr>
        <w:t>圣灵</w:t>
      </w:r>
      <w:r w:rsidRPr="0097554A">
        <w:rPr>
          <w:color w:val="0000FF"/>
          <w:lang w:val="el-GR"/>
        </w:rPr>
        <w:t>，</w:t>
      </w:r>
      <w:r w:rsidRPr="004C59BB">
        <w:rPr>
          <w:color w:val="0000FF"/>
          <w:lang w:val="ru-RU"/>
        </w:rPr>
        <w:t>第</w:t>
      </w:r>
      <w:r w:rsidRPr="0097554A">
        <w:rPr>
          <w:color w:val="0000FF"/>
          <w:lang w:val="el-GR"/>
        </w:rPr>
        <w:t>9</w:t>
      </w:r>
      <w:r w:rsidRPr="004C59BB">
        <w:rPr>
          <w:color w:val="0000FF"/>
          <w:lang w:val="ru-RU"/>
        </w:rPr>
        <w:t>章</w:t>
      </w:r>
      <w:r w:rsidRPr="0097554A">
        <w:rPr>
          <w:color w:val="0000FF"/>
          <w:lang w:val="el-GR"/>
        </w:rPr>
        <w:t>，</w:t>
      </w:r>
      <w:r w:rsidRPr="004C59BB">
        <w:rPr>
          <w:color w:val="0000FF"/>
          <w:lang w:val="ru-RU"/>
        </w:rPr>
        <w:t>载于《圣教父文集》</w:t>
      </w:r>
      <w:r w:rsidRPr="004C59BB">
        <w:rPr>
          <w:color w:val="0000FF"/>
        </w:rPr>
        <w:t>第七卷</w:t>
      </w:r>
      <w:r w:rsidRPr="0097554A">
        <w:rPr>
          <w:color w:val="0000FF"/>
          <w:lang w:val="el-GR"/>
        </w:rPr>
        <w:t>，</w:t>
      </w:r>
      <w:r w:rsidRPr="004C59BB">
        <w:rPr>
          <w:color w:val="0000FF"/>
          <w:lang w:val="ru-RU"/>
        </w:rPr>
        <w:t>第</w:t>
      </w:r>
      <w:r w:rsidRPr="0097554A">
        <w:rPr>
          <w:color w:val="0000FF"/>
          <w:lang w:val="el-GR"/>
        </w:rPr>
        <w:t>265–267</w:t>
      </w:r>
      <w:r w:rsidRPr="004C59BB">
        <w:rPr>
          <w:color w:val="0000FF"/>
          <w:lang w:val="ru-RU"/>
        </w:rPr>
        <w:t>页。</w:t>
      </w:r>
    </w:p>
  </w:footnote>
  <w:footnote w:id="430">
    <w:p w14:paraId="1D6129E4" w14:textId="0D60C0EF"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《反埃夫诺米乌斯》第</w:t>
      </w:r>
      <w:r w:rsidRPr="0097554A">
        <w:rPr>
          <w:color w:val="0000FF"/>
          <w:lang w:val="el-GR"/>
        </w:rPr>
        <w:t>5</w:t>
      </w:r>
      <w:r w:rsidRPr="004C59BB">
        <w:rPr>
          <w:color w:val="0000FF"/>
          <w:lang w:val="ru-RU"/>
        </w:rPr>
        <w:t>卷</w:t>
      </w:r>
      <w:r w:rsidRPr="0097554A">
        <w:rPr>
          <w:color w:val="0000FF"/>
          <w:lang w:val="el-GR"/>
        </w:rPr>
        <w:t>，</w:t>
      </w:r>
      <w:r w:rsidRPr="004C59BB">
        <w:rPr>
          <w:color w:val="0000FF"/>
          <w:lang w:val="ru-RU"/>
        </w:rPr>
        <w:t>载于《圣教父文集》</w:t>
      </w:r>
      <w:r w:rsidRPr="004C59BB">
        <w:rPr>
          <w:color w:val="0000FF"/>
        </w:rPr>
        <w:t>第VII</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220</w:t>
      </w:r>
      <w:r w:rsidRPr="004C59BB">
        <w:rPr>
          <w:color w:val="0000FF"/>
          <w:lang w:val="ru-RU"/>
        </w:rPr>
        <w:t>页。</w:t>
      </w:r>
    </w:p>
  </w:footnote>
  <w:footnote w:id="431">
    <w:p w14:paraId="63C20508" w14:textId="6590AE3E"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《论圣灵》第</w:t>
      </w:r>
      <w:r w:rsidRPr="0097554A">
        <w:rPr>
          <w:color w:val="0000FF"/>
          <w:lang w:val="el-GR"/>
        </w:rPr>
        <w:t>16</w:t>
      </w:r>
      <w:r w:rsidRPr="004C59BB">
        <w:rPr>
          <w:color w:val="0000FF"/>
          <w:lang w:val="ru-RU"/>
        </w:rPr>
        <w:t>章</w:t>
      </w:r>
      <w:r w:rsidRPr="0097554A">
        <w:rPr>
          <w:color w:val="0000FF"/>
          <w:lang w:val="el-GR"/>
        </w:rPr>
        <w:t>；</w:t>
      </w:r>
      <w:r w:rsidRPr="004C59BB">
        <w:rPr>
          <w:color w:val="0000FF"/>
          <w:lang w:val="ru-RU"/>
        </w:rPr>
        <w:t>同上</w:t>
      </w:r>
      <w:r w:rsidRPr="0097554A">
        <w:rPr>
          <w:color w:val="0000FF"/>
          <w:lang w:val="el-GR"/>
        </w:rPr>
        <w:t>，</w:t>
      </w:r>
      <w:r w:rsidRPr="004C59BB">
        <w:rPr>
          <w:color w:val="0000FF"/>
          <w:lang w:val="ru-RU"/>
        </w:rPr>
        <w:t>第</w:t>
      </w:r>
      <w:r w:rsidRPr="0097554A">
        <w:rPr>
          <w:color w:val="0000FF"/>
          <w:lang w:val="el-GR"/>
        </w:rPr>
        <w:t>286–287</w:t>
      </w:r>
      <w:r w:rsidRPr="004C59BB">
        <w:rPr>
          <w:color w:val="0000FF"/>
          <w:lang w:val="ru-RU"/>
        </w:rPr>
        <w:t>页。</w:t>
      </w:r>
    </w:p>
  </w:footnote>
  <w:footnote w:id="432">
    <w:p w14:paraId="59A4BDB0" w14:textId="169168DD"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el-GR"/>
        </w:rPr>
        <w:t xml:space="preserve"> </w:t>
      </w:r>
      <w:r w:rsidRPr="004C59BB">
        <w:rPr>
          <w:color w:val="0000FF"/>
          <w:lang w:val="ru-RU"/>
        </w:rPr>
        <w:t>《</w:t>
      </w:r>
      <w:r w:rsidRPr="004C59BB">
        <w:rPr>
          <w:color w:val="0000FF"/>
        </w:rPr>
        <w:t>致塞拉皮翁书</w:t>
      </w:r>
      <w:r w:rsidRPr="004C59BB">
        <w:rPr>
          <w:color w:val="0000FF"/>
          <w:lang w:val="ru-RU"/>
        </w:rPr>
        <w:t>》第</w:t>
      </w:r>
      <w:r w:rsidRPr="0097554A">
        <w:rPr>
          <w:color w:val="0000FF"/>
          <w:lang w:val="el-GR"/>
        </w:rPr>
        <w:t>1</w:t>
      </w:r>
      <w:r w:rsidRPr="004C59BB">
        <w:rPr>
          <w:color w:val="0000FF"/>
        </w:rPr>
        <w:t>封</w:t>
      </w:r>
      <w:r w:rsidRPr="0097554A">
        <w:rPr>
          <w:color w:val="0000FF"/>
          <w:lang w:val="el-GR"/>
        </w:rPr>
        <w:t>，</w:t>
      </w:r>
      <w:r w:rsidRPr="004C59BB">
        <w:rPr>
          <w:color w:val="0000FF"/>
          <w:lang w:val="ru-RU"/>
        </w:rPr>
        <w:t>第</w:t>
      </w:r>
      <w:r w:rsidRPr="0097554A">
        <w:rPr>
          <w:color w:val="0000FF"/>
          <w:lang w:val="el-GR"/>
        </w:rPr>
        <w:t>30</w:t>
      </w:r>
      <w:r w:rsidRPr="004C59BB">
        <w:rPr>
          <w:color w:val="0000FF"/>
          <w:lang w:val="ru-RU"/>
        </w:rPr>
        <w:t>节。这一思想也在教会圣歌中得到体现，例如以下这段： “圣父、圣子与圣灵的恩典本为一体，赐予那些真诚渴望接受神圣洗礼之人，使他们因蒙受儿子的身份而得以呼求：‘上帝，你受赞美’”（</w:t>
      </w:r>
      <w:r w:rsidRPr="004C59BB">
        <w:rPr>
          <w:color w:val="0000FF"/>
        </w:rPr>
        <w:t>《</w:t>
      </w:r>
      <w:r w:rsidRPr="004C59BB">
        <w:rPr>
          <w:color w:val="0000FF"/>
          <w:lang w:val="ru-RU"/>
        </w:rPr>
        <w:t>亨利礼仪书》，第44页背面，莫斯科，1837年）。</w:t>
      </w:r>
    </w:p>
  </w:footnote>
  <w:footnote w:id="433">
    <w:p w14:paraId="46129523" w14:textId="23ECBB1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瓦西里大主教关于圣灵的论著第16章，载于《圣教父著作集》</w:t>
      </w:r>
      <w:r w:rsidRPr="004C59BB">
        <w:rPr>
          <w:color w:val="0000FF"/>
        </w:rPr>
        <w:t>第七</w:t>
      </w:r>
      <w:r w:rsidRPr="004C59BB">
        <w:rPr>
          <w:color w:val="0000FF"/>
          <w:lang w:val="ru-RU"/>
        </w:rPr>
        <w:t>卷，第287页：“从使徒在此（林前12:4–6, 11）首先提及圣灵、其次提及圣子、第三 论及上帝与圣父，绝不应因此断定他的论述顺序有误。使徒首先从与我们的关系切入；因为我们这些领受恩赐的人，首先会想到施予者，接着会想到差遣者，然后才将思绪提升至恩典的源头与赐予者。”</w:t>
      </w:r>
    </w:p>
  </w:footnote>
  <w:footnote w:id="434">
    <w:p w14:paraId="11BE83A7" w14:textId="708234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Αγιάζει</w:t>
      </w:r>
      <w:r w:rsidRPr="0097554A">
        <w:rPr>
          <w:color w:val="0000FF"/>
          <w:lang w:val="ru-RU"/>
        </w:rPr>
        <w:t xml:space="preserve"> </w:t>
      </w:r>
      <w:r w:rsidRPr="004C59BB">
        <w:rPr>
          <w:color w:val="0000FF"/>
        </w:rPr>
        <w:t>γάρ</w:t>
      </w:r>
      <w:r w:rsidRPr="0097554A">
        <w:rPr>
          <w:color w:val="0000FF"/>
          <w:lang w:val="ru-RU"/>
        </w:rPr>
        <w:t xml:space="preserve"> </w:t>
      </w:r>
      <w:r w:rsidRPr="004C59BB">
        <w:rPr>
          <w:color w:val="0000FF"/>
        </w:rPr>
        <w:t>δ᾿</w:t>
      </w:r>
      <w:r w:rsidRPr="0097554A">
        <w:rPr>
          <w:color w:val="0000FF"/>
          <w:lang w:val="ru-RU"/>
        </w:rPr>
        <w:t xml:space="preserve"> </w:t>
      </w:r>
      <w:r w:rsidRPr="004C59BB">
        <w:rPr>
          <w:color w:val="0000FF"/>
        </w:rPr>
        <w:t>αύτοΰ</w:t>
      </w:r>
      <w:r w:rsidRPr="0097554A">
        <w:rPr>
          <w:color w:val="0000FF"/>
          <w:lang w:val="ru-RU"/>
        </w:rPr>
        <w:t xml:space="preserve"> </w:t>
      </w:r>
      <w:r w:rsidRPr="004C59BB">
        <w:rPr>
          <w:color w:val="0000FF"/>
        </w:rPr>
        <w:t>τό</w:t>
      </w:r>
      <w:r w:rsidRPr="0097554A">
        <w:rPr>
          <w:color w:val="0000FF"/>
          <w:lang w:val="ru-RU"/>
        </w:rPr>
        <w:t xml:space="preserve"> </w:t>
      </w:r>
      <w:r w:rsidRPr="004C59BB">
        <w:rPr>
          <w:color w:val="0000FF"/>
        </w:rPr>
        <w:t>άγιάζεσθαι</w:t>
      </w:r>
      <w:r w:rsidRPr="0097554A">
        <w:rPr>
          <w:color w:val="0000FF"/>
          <w:lang w:val="ru-RU"/>
        </w:rPr>
        <w:t xml:space="preserve"> </w:t>
      </w:r>
      <w:r w:rsidRPr="004C59BB">
        <w:rPr>
          <w:color w:val="0000FF"/>
        </w:rPr>
        <w:t>πεφυκος</w:t>
      </w:r>
      <w:r w:rsidRPr="0097554A">
        <w:rPr>
          <w:color w:val="0000FF"/>
          <w:lang w:val="ru-RU"/>
        </w:rPr>
        <w:t xml:space="preserve"> </w:t>
      </w:r>
      <w:r w:rsidRPr="004C59BB">
        <w:rPr>
          <w:color w:val="0000FF"/>
        </w:rPr>
        <w:t>καί</w:t>
      </w:r>
      <w:r w:rsidRPr="0097554A">
        <w:rPr>
          <w:color w:val="0000FF"/>
          <w:lang w:val="ru-RU"/>
        </w:rPr>
        <w:t xml:space="preserve"> </w:t>
      </w:r>
      <w:r w:rsidRPr="004C59BB">
        <w:rPr>
          <w:color w:val="0000FF"/>
        </w:rPr>
        <w:t>πατήρ</w:t>
      </w:r>
      <w:r w:rsidRPr="004C59BB">
        <w:rPr>
          <w:color w:val="0000FF"/>
          <w:lang w:val="ru-RU"/>
        </w:rPr>
        <w:t>（</w:t>
      </w:r>
      <w:r w:rsidRPr="004C59BB">
        <w:rPr>
          <w:color w:val="0000FF"/>
        </w:rPr>
        <w:t>亚历山大的西里尔</w:t>
      </w:r>
      <w:r w:rsidRPr="004C59BB">
        <w:rPr>
          <w:color w:val="0000FF"/>
          <w:lang w:val="ru-RU"/>
        </w:rPr>
        <w:t>《</w:t>
      </w:r>
      <w:r w:rsidRPr="004C59BB">
        <w:rPr>
          <w:color w:val="0000FF"/>
        </w:rPr>
        <w:t>反朱利安论</w:t>
      </w:r>
      <w:r w:rsidRPr="004C59BB">
        <w:rPr>
          <w:color w:val="0000FF"/>
          <w:lang w:val="ru-RU"/>
        </w:rPr>
        <w:t>》第1卷）。 以下圣人亦有此教导：大巴西勒（论圣灵，第9章第16节）、大亚他那修（《反</w:t>
      </w:r>
      <w:r w:rsidRPr="004C59BB">
        <w:rPr>
          <w:color w:val="0000FF"/>
        </w:rPr>
        <w:t>阿里乌斯论</w:t>
      </w:r>
      <w:r w:rsidRPr="004C59BB">
        <w:rPr>
          <w:color w:val="0000FF"/>
          <w:lang w:val="ru-RU"/>
        </w:rPr>
        <w:t>》，</w:t>
      </w:r>
      <w:r w:rsidRPr="004C59BB">
        <w:rPr>
          <w:color w:val="0000FF"/>
        </w:rPr>
        <w:t>第</w:t>
      </w:r>
      <w:r w:rsidRPr="004C59BB">
        <w:rPr>
          <w:color w:val="0000FF"/>
          <w:lang w:val="ru-RU"/>
        </w:rPr>
        <w:t>11篇，第18节）、优西比乌（</w:t>
      </w:r>
      <w:r w:rsidRPr="004C59BB">
        <w:rPr>
          <w:color w:val="0000FF"/>
        </w:rPr>
        <w:t>《诗篇</w:t>
      </w:r>
      <w:r w:rsidRPr="004C59BB">
        <w:rPr>
          <w:color w:val="0000FF"/>
          <w:lang w:val="ru-RU"/>
        </w:rPr>
        <w:t>注释》第</w:t>
      </w:r>
      <w:r w:rsidRPr="0097554A">
        <w:rPr>
          <w:color w:val="0000FF"/>
          <w:lang w:val="ru-RU"/>
        </w:rPr>
        <w:t>32</w:t>
      </w:r>
      <w:r w:rsidRPr="004C59BB">
        <w:rPr>
          <w:color w:val="0000FF"/>
          <w:lang w:val="ru-RU"/>
        </w:rPr>
        <w:t>篇第6节）等人。</w:t>
      </w:r>
    </w:p>
  </w:footnote>
  <w:footnote w:id="435">
    <w:p w14:paraId="0EEBA8D9" w14:textId="1FCEB0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“圣灵被称为基督和主；因为使徒说：‘若有人没有基督的灵，他就不属于基督；若基督住在你们里面（罗马书8:9,10）’，由此可知，圣灵的内住即基督的内住” （《大主教反埃夫诺米乌斯论》</w:t>
      </w:r>
      <w:r w:rsidRPr="004C59BB">
        <w:rPr>
          <w:color w:val="0000FF"/>
        </w:rPr>
        <w:t>第五卷</w:t>
      </w:r>
      <w:r w:rsidRPr="004C59BB">
        <w:rPr>
          <w:color w:val="0000FF"/>
          <w:lang w:val="ru-RU"/>
        </w:rPr>
        <w:t>，载于《圣教父文集》</w:t>
      </w:r>
      <w:r w:rsidRPr="004C59BB">
        <w:rPr>
          <w:color w:val="0000FF"/>
        </w:rPr>
        <w:t>第七</w:t>
      </w:r>
      <w:r w:rsidRPr="004C59BB">
        <w:rPr>
          <w:color w:val="0000FF"/>
          <w:lang w:val="ru-RU"/>
        </w:rPr>
        <w:t>卷，191页）。</w:t>
      </w:r>
    </w:p>
  </w:footnote>
  <w:footnote w:id="436">
    <w:p w14:paraId="4BADCAAB" w14:textId="2263DB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“受造之物不能使受造之物成圣，而是万物都因那位独一的圣者而成圣，祂论及自己说：‘我为自己成圣’（约翰福音 17: 19）。祂正是藉着圣灵使万物成圣。因此，圣灵并非受造之物，而是上帝圣洁的形像，也是众人圣洁的源泉。 正如使徒所教导的，我们被召入圣灵的圣所（《帖撒罗尼迦后书》2:13）。祂更新我们，并再次将我们塑造成神的形像”（《瓦西里大帝》同上，第192页）。参见</w:t>
      </w:r>
      <w:r w:rsidRPr="004C59BB">
        <w:rPr>
          <w:color w:val="0000FF"/>
        </w:rPr>
        <w:t>亚历山大的西里尔《以赛亚书注释</w:t>
      </w:r>
      <w:r w:rsidRPr="004C59BB">
        <w:rPr>
          <w:color w:val="0000FF"/>
          <w:lang w:val="ru-RU"/>
        </w:rPr>
        <w:t>》</w:t>
      </w:r>
      <w:r w:rsidRPr="004C59BB">
        <w:rPr>
          <w:color w:val="0000FF"/>
        </w:rPr>
        <w:t>第四</w:t>
      </w:r>
      <w:r w:rsidRPr="004C59BB">
        <w:rPr>
          <w:color w:val="0000FF"/>
          <w:lang w:val="ru-RU"/>
        </w:rPr>
        <w:t>卷，</w:t>
      </w:r>
      <w:r w:rsidRPr="004C59BB">
        <w:rPr>
          <w:color w:val="0000FF"/>
        </w:rPr>
        <w:t>第二篇</w:t>
      </w:r>
      <w:r w:rsidRPr="004C59BB">
        <w:rPr>
          <w:color w:val="0000FF"/>
          <w:lang w:val="ru-RU"/>
        </w:rPr>
        <w:t>讲道。</w:t>
      </w:r>
    </w:p>
  </w:footnote>
  <w:footnote w:id="437">
    <w:p w14:paraId="4BF55E38" w14:textId="0CCE61D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关于“教会”（</w:t>
      </w:r>
      <w:r w:rsidRPr="004C59BB">
        <w:rPr>
          <w:color w:val="0000FF"/>
        </w:rPr>
        <w:t>εκκλησία</w:t>
      </w:r>
      <w:r w:rsidRPr="004C59BB">
        <w:rPr>
          <w:color w:val="0000FF"/>
          <w:lang w:val="ru-RU"/>
        </w:rPr>
        <w:t>）一词的词源含义，参见《东正教神学导论》第16节，注58。圣经及古代教父著作中赋予教会的其他名称包括：天国（马太福音</w:t>
      </w:r>
    </w:p>
  </w:footnote>
  <w:footnote w:id="438">
    <w:p w14:paraId="1A207873" w14:textId="52B9878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例如</w:t>
      </w:r>
      <w:r w:rsidRPr="0097554A">
        <w:rPr>
          <w:color w:val="0000FF"/>
          <w:lang w:val="ru-RU"/>
        </w:rPr>
        <w:t>，</w:t>
      </w:r>
      <w:r w:rsidRPr="004C59BB">
        <w:rPr>
          <w:color w:val="0000FF"/>
        </w:rPr>
        <w:t>在圣奥古斯丁的著作中</w:t>
      </w:r>
      <w:r w:rsidRPr="0097554A">
        <w:rPr>
          <w:color w:val="0000FF"/>
          <w:lang w:val="ru-RU"/>
        </w:rPr>
        <w:t>：</w:t>
      </w:r>
      <w:r w:rsidRPr="004C59BB">
        <w:rPr>
          <w:color w:val="0000FF"/>
        </w:rPr>
        <w:t>Templum</w:t>
      </w:r>
      <w:r w:rsidRPr="0097554A">
        <w:rPr>
          <w:color w:val="0000FF"/>
          <w:lang w:val="ru-RU"/>
        </w:rPr>
        <w:t xml:space="preserve"> </w:t>
      </w:r>
      <w:r w:rsidRPr="004C59BB">
        <w:rPr>
          <w:color w:val="0000FF"/>
        </w:rPr>
        <w:t>ergo</w:t>
      </w:r>
      <w:r w:rsidRPr="0097554A">
        <w:rPr>
          <w:color w:val="0000FF"/>
          <w:lang w:val="ru-RU"/>
        </w:rPr>
        <w:t xml:space="preserve"> </w:t>
      </w:r>
      <w:r w:rsidRPr="004C59BB">
        <w:rPr>
          <w:color w:val="0000FF"/>
        </w:rPr>
        <w:t>Dei</w:t>
      </w:r>
      <w:r w:rsidRPr="0097554A">
        <w:rPr>
          <w:color w:val="0000FF"/>
          <w:lang w:val="ru-RU"/>
        </w:rPr>
        <w:t xml:space="preserve"> </w:t>
      </w:r>
      <w:r w:rsidRPr="004C59BB">
        <w:rPr>
          <w:color w:val="0000FF"/>
        </w:rPr>
        <w:t>hoc</w:t>
      </w:r>
      <w:r w:rsidRPr="0097554A">
        <w:rPr>
          <w:color w:val="0000FF"/>
          <w:lang w:val="ru-RU"/>
        </w:rPr>
        <w:t xml:space="preserve"> </w:t>
      </w:r>
      <w:r w:rsidRPr="004C59BB">
        <w:rPr>
          <w:color w:val="0000FF"/>
        </w:rPr>
        <w:t>est</w:t>
      </w:r>
      <w:r w:rsidRPr="0097554A">
        <w:rPr>
          <w:color w:val="0000FF"/>
          <w:lang w:val="ru-RU"/>
        </w:rPr>
        <w:t xml:space="preserve"> </w:t>
      </w:r>
      <w:r w:rsidRPr="004C59BB">
        <w:rPr>
          <w:color w:val="0000FF"/>
        </w:rPr>
        <w:t>totius</w:t>
      </w:r>
      <w:r w:rsidRPr="0097554A">
        <w:rPr>
          <w:color w:val="0000FF"/>
          <w:lang w:val="ru-RU"/>
        </w:rPr>
        <w:t xml:space="preserve"> </w:t>
      </w:r>
      <w:r w:rsidRPr="004C59BB">
        <w:rPr>
          <w:color w:val="0000FF"/>
        </w:rPr>
        <w:t>summae</w:t>
      </w:r>
      <w:r w:rsidRPr="0097554A">
        <w:rPr>
          <w:color w:val="0000FF"/>
          <w:lang w:val="ru-RU"/>
        </w:rPr>
        <w:t xml:space="preserve"> </w:t>
      </w:r>
      <w:r w:rsidRPr="004C59BB">
        <w:rPr>
          <w:color w:val="0000FF"/>
        </w:rPr>
        <w:t>Trinitatis</w:t>
      </w:r>
      <w:r w:rsidRPr="0097554A">
        <w:rPr>
          <w:color w:val="0000FF"/>
          <w:lang w:val="ru-RU"/>
        </w:rPr>
        <w:t xml:space="preserve"> </w:t>
      </w:r>
      <w:r w:rsidRPr="004C59BB">
        <w:rPr>
          <w:color w:val="0000FF"/>
        </w:rPr>
        <w:t>sancta</w:t>
      </w:r>
      <w:r w:rsidRPr="0097554A">
        <w:rPr>
          <w:color w:val="0000FF"/>
          <w:lang w:val="ru-RU"/>
        </w:rPr>
        <w:t xml:space="preserve"> </w:t>
      </w:r>
      <w:r w:rsidRPr="004C59BB">
        <w:rPr>
          <w:color w:val="0000FF"/>
        </w:rPr>
        <w:t>est</w:t>
      </w:r>
      <w:r w:rsidRPr="0097554A">
        <w:rPr>
          <w:color w:val="0000FF"/>
          <w:lang w:val="ru-RU"/>
        </w:rPr>
        <w:t xml:space="preserve"> </w:t>
      </w:r>
      <w:r w:rsidRPr="004C59BB">
        <w:rPr>
          <w:color w:val="0000FF"/>
        </w:rPr>
        <w:t>ecclesia</w:t>
      </w:r>
      <w:r w:rsidRPr="0097554A">
        <w:rPr>
          <w:color w:val="0000FF"/>
          <w:lang w:val="ru-RU"/>
        </w:rPr>
        <w:t xml:space="preserve">, </w:t>
      </w:r>
      <w:r w:rsidRPr="004C59BB">
        <w:rPr>
          <w:color w:val="0000FF"/>
        </w:rPr>
        <w:t>scilicet</w:t>
      </w:r>
      <w:r w:rsidRPr="0097554A">
        <w:rPr>
          <w:color w:val="0000FF"/>
          <w:lang w:val="ru-RU"/>
        </w:rPr>
        <w:t xml:space="preserve"> </w:t>
      </w:r>
      <w:r w:rsidRPr="004C59BB">
        <w:rPr>
          <w:color w:val="0000FF"/>
        </w:rPr>
        <w:t>universa</w:t>
      </w:r>
      <w:r w:rsidRPr="0097554A">
        <w:rPr>
          <w:color w:val="0000FF"/>
          <w:lang w:val="ru-RU"/>
        </w:rPr>
        <w:t xml:space="preserve"> </w:t>
      </w:r>
      <w:r w:rsidRPr="004C59BB">
        <w:rPr>
          <w:color w:val="0000FF"/>
        </w:rPr>
        <w:t>et</w:t>
      </w:r>
      <w:r w:rsidRPr="0097554A">
        <w:rPr>
          <w:color w:val="0000FF"/>
          <w:lang w:val="ru-RU"/>
        </w:rPr>
        <w:t xml:space="preserve"> </w:t>
      </w:r>
      <w:r w:rsidRPr="004C59BB">
        <w:rPr>
          <w:color w:val="0000FF"/>
        </w:rPr>
        <w:t>in</w:t>
      </w:r>
      <w:r w:rsidRPr="0097554A">
        <w:rPr>
          <w:color w:val="0000FF"/>
          <w:lang w:val="ru-RU"/>
        </w:rPr>
        <w:t xml:space="preserve"> </w:t>
      </w:r>
      <w:r w:rsidRPr="004C59BB">
        <w:rPr>
          <w:color w:val="0000FF"/>
        </w:rPr>
        <w:t>coelo</w:t>
      </w:r>
      <w:r w:rsidRPr="0097554A">
        <w:rPr>
          <w:color w:val="0000FF"/>
          <w:lang w:val="ru-RU"/>
        </w:rPr>
        <w:t xml:space="preserve"> </w:t>
      </w:r>
      <w:r w:rsidRPr="004C59BB">
        <w:rPr>
          <w:color w:val="0000FF"/>
        </w:rPr>
        <w:t>et</w:t>
      </w:r>
      <w:r w:rsidRPr="0097554A">
        <w:rPr>
          <w:color w:val="0000FF"/>
          <w:lang w:val="ru-RU"/>
        </w:rPr>
        <w:t xml:space="preserve"> </w:t>
      </w:r>
      <w:r w:rsidRPr="004C59BB">
        <w:rPr>
          <w:color w:val="0000FF"/>
        </w:rPr>
        <w:t>in</w:t>
      </w:r>
      <w:r w:rsidRPr="0097554A">
        <w:rPr>
          <w:color w:val="0000FF"/>
          <w:lang w:val="ru-RU"/>
        </w:rPr>
        <w:t xml:space="preserve"> </w:t>
      </w:r>
      <w:r w:rsidRPr="004C59BB">
        <w:rPr>
          <w:color w:val="0000FF"/>
        </w:rPr>
        <w:t>terra</w:t>
      </w:r>
      <w:r w:rsidRPr="0097554A">
        <w:rPr>
          <w:color w:val="0000FF"/>
          <w:lang w:val="ru-RU"/>
        </w:rPr>
        <w:t>（</w:t>
      </w:r>
      <w:r w:rsidRPr="004C59BB">
        <w:rPr>
          <w:color w:val="0000FF"/>
        </w:rPr>
        <w:t>《手册》第</w:t>
      </w:r>
      <w:r w:rsidRPr="0097554A">
        <w:rPr>
          <w:color w:val="0000FF"/>
          <w:lang w:val="ru-RU"/>
        </w:rPr>
        <w:t>56</w:t>
      </w:r>
      <w:r w:rsidRPr="004C59BB">
        <w:rPr>
          <w:color w:val="0000FF"/>
        </w:rPr>
        <w:t>章</w:t>
      </w:r>
      <w:r w:rsidRPr="0097554A">
        <w:rPr>
          <w:color w:val="0000FF"/>
          <w:lang w:val="ru-RU"/>
        </w:rPr>
        <w:t>；</w:t>
      </w:r>
      <w:r w:rsidRPr="004C59BB">
        <w:rPr>
          <w:color w:val="0000FF"/>
        </w:rPr>
        <w:t>参见《上帝之城》第十卷</w:t>
      </w:r>
      <w:r w:rsidRPr="0097554A">
        <w:rPr>
          <w:color w:val="0000FF"/>
          <w:lang w:val="ru-RU"/>
        </w:rPr>
        <w:t>，</w:t>
      </w:r>
      <w:r w:rsidRPr="004C59BB">
        <w:rPr>
          <w:color w:val="0000FF"/>
        </w:rPr>
        <w:t>第</w:t>
      </w:r>
      <w:r w:rsidRPr="0097554A">
        <w:rPr>
          <w:color w:val="0000FF"/>
          <w:lang w:val="ru-RU"/>
        </w:rPr>
        <w:t>7</w:t>
      </w:r>
      <w:r w:rsidRPr="004C59BB">
        <w:rPr>
          <w:color w:val="0000FF"/>
        </w:rPr>
        <w:t>章</w:t>
      </w:r>
      <w:r w:rsidRPr="0097554A">
        <w:rPr>
          <w:color w:val="0000FF"/>
          <w:lang w:val="ru-RU"/>
        </w:rPr>
        <w:t>）</w:t>
      </w:r>
      <w:r w:rsidRPr="004C59BB">
        <w:rPr>
          <w:color w:val="0000FF"/>
        </w:rPr>
        <w:t>。</w:t>
      </w:r>
    </w:p>
  </w:footnote>
  <w:footnote w:id="439">
    <w:p w14:paraId="30B36078" w14:textId="06524CA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11</w:t>
      </w:r>
      <w:r w:rsidRPr="004C59BB">
        <w:rPr>
          <w:color w:val="0000FF"/>
        </w:rPr>
        <w:t>月</w:t>
      </w:r>
      <w:r w:rsidRPr="0097554A">
        <w:rPr>
          <w:color w:val="0000FF"/>
          <w:lang w:val="ru-RU"/>
        </w:rPr>
        <w:t>8</w:t>
      </w:r>
      <w:r w:rsidRPr="004C59BB">
        <w:rPr>
          <w:color w:val="0000FF"/>
        </w:rPr>
        <w:t>日天使礼拜中</w:t>
      </w:r>
      <w:r w:rsidRPr="0097554A">
        <w:rPr>
          <w:color w:val="0000FF"/>
          <w:lang w:val="ru-RU"/>
        </w:rPr>
        <w:t>，</w:t>
      </w:r>
      <w:r w:rsidRPr="004C59BB">
        <w:rPr>
          <w:color w:val="0000FF"/>
        </w:rPr>
        <w:t>第</w:t>
      </w:r>
      <w:r w:rsidRPr="0097554A">
        <w:rPr>
          <w:color w:val="0000FF"/>
          <w:lang w:val="ru-RU"/>
        </w:rPr>
        <w:t>9</w:t>
      </w:r>
      <w:r w:rsidRPr="004C59BB">
        <w:rPr>
          <w:color w:val="0000FF"/>
        </w:rPr>
        <w:t>首圣咏</w:t>
      </w:r>
      <w:r w:rsidRPr="0097554A">
        <w:rPr>
          <w:color w:val="0000FF"/>
          <w:lang w:val="ru-RU"/>
        </w:rPr>
        <w:t>，</w:t>
      </w:r>
      <w:r w:rsidRPr="004C59BB">
        <w:rPr>
          <w:color w:val="0000FF"/>
        </w:rPr>
        <w:t>第</w:t>
      </w:r>
      <w:r w:rsidRPr="0097554A">
        <w:rPr>
          <w:color w:val="0000FF"/>
          <w:lang w:val="ru-RU"/>
        </w:rPr>
        <w:t>2</w:t>
      </w:r>
      <w:r w:rsidRPr="004C59BB">
        <w:rPr>
          <w:color w:val="0000FF"/>
        </w:rPr>
        <w:t>节。</w:t>
      </w:r>
    </w:p>
  </w:footnote>
  <w:footnote w:id="440">
    <w:p w14:paraId="66688E76" w14:textId="2D5764B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《以弗所书讲道集》第十篇</w:t>
      </w:r>
      <w:r w:rsidRPr="0097554A">
        <w:rPr>
          <w:color w:val="0000FF"/>
          <w:lang w:val="ru-RU"/>
        </w:rPr>
        <w:t>，</w:t>
      </w:r>
      <w:r w:rsidRPr="004C59BB">
        <w:rPr>
          <w:color w:val="0000FF"/>
        </w:rPr>
        <w:t>第</w:t>
      </w:r>
      <w:r w:rsidRPr="0097554A">
        <w:rPr>
          <w:color w:val="0000FF"/>
          <w:lang w:val="ru-RU"/>
        </w:rPr>
        <w:t>1</w:t>
      </w:r>
      <w:r w:rsidRPr="004C59BB">
        <w:rPr>
          <w:color w:val="0000FF"/>
        </w:rPr>
        <w:t>节</w:t>
      </w:r>
      <w:r w:rsidRPr="0097554A">
        <w:rPr>
          <w:color w:val="0000FF"/>
          <w:lang w:val="ru-RU"/>
        </w:rPr>
        <w:t>，</w:t>
      </w:r>
      <w:r w:rsidRPr="004C59BB">
        <w:rPr>
          <w:color w:val="0000FF"/>
        </w:rPr>
        <w:t>载于《文集》第十一卷</w:t>
      </w:r>
      <w:r w:rsidRPr="0097554A">
        <w:rPr>
          <w:color w:val="0000FF"/>
          <w:lang w:val="ru-RU"/>
        </w:rPr>
        <w:t>，</w:t>
      </w:r>
      <w:r w:rsidRPr="004C59BB">
        <w:rPr>
          <w:color w:val="0000FF"/>
        </w:rPr>
        <w:t>第</w:t>
      </w:r>
      <w:r w:rsidRPr="0097554A">
        <w:rPr>
          <w:color w:val="0000FF"/>
          <w:lang w:val="ru-RU"/>
        </w:rPr>
        <w:t>75</w:t>
      </w:r>
      <w:r w:rsidRPr="004C59BB">
        <w:rPr>
          <w:color w:val="0000FF"/>
        </w:rPr>
        <w:t>页</w:t>
      </w:r>
      <w:r w:rsidRPr="0097554A">
        <w:rPr>
          <w:color w:val="0000FF"/>
          <w:lang w:val="ru-RU"/>
        </w:rPr>
        <w:t>，</w:t>
      </w:r>
      <w:r w:rsidRPr="004C59BB">
        <w:rPr>
          <w:color w:val="0000FF"/>
        </w:rPr>
        <w:t>蒙福克版。</w:t>
      </w:r>
    </w:p>
  </w:footnote>
  <w:footnote w:id="441">
    <w:p w14:paraId="2BD785B6" w14:textId="769870ED"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《论雅各与以扫》讲道集第四篇</w:t>
      </w:r>
      <w:r w:rsidRPr="0097554A">
        <w:rPr>
          <w:color w:val="0000FF"/>
          <w:lang w:val="ru-RU"/>
        </w:rPr>
        <w:t>，</w:t>
      </w:r>
      <w:r w:rsidRPr="004C59BB">
        <w:rPr>
          <w:color w:val="0000FF"/>
        </w:rPr>
        <w:t>或称第四十四篇。另见：该教会（ecclesia）自亚伯起，直至那些将要出生并信靠基督之人，即全体圣徒（见《诗篇》第92篇；参见《诗篇》第36篇及第128篇）。</w:t>
      </w:r>
    </w:p>
  </w:footnote>
  <w:footnote w:id="442">
    <w:p w14:paraId="2022A543" w14:textId="4C8952A4"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埃皮法尼乌斯《异端驳论》第1卷，第5节；“自起初便未曾显明，后才被启示……”；优西比乌《教会史》第1卷，第4章；《致斯蒂芬书》第VII问，第4节（见Mai版第1卷）；格雷戈里</w:t>
      </w:r>
      <w:r w:rsidRPr="0097554A">
        <w:rPr>
          <w:color w:val="0000FF"/>
        </w:rPr>
        <w:t>·</w:t>
      </w:r>
      <w:r w:rsidRPr="004C59BB">
        <w:rPr>
          <w:color w:val="0000FF"/>
          <w:lang w:val="ru-RU"/>
        </w:rPr>
        <w:t>马格努斯</w:t>
      </w:r>
      <w:r w:rsidRPr="004C59BB">
        <w:rPr>
          <w:color w:val="0000FF"/>
        </w:rPr>
        <w:t>《</w:t>
      </w:r>
      <w:r w:rsidRPr="004C59BB">
        <w:rPr>
          <w:color w:val="0000FF"/>
          <w:lang w:val="ru-RU"/>
        </w:rPr>
        <w:t>福音</w:t>
      </w:r>
      <w:r w:rsidRPr="004C59BB">
        <w:rPr>
          <w:color w:val="0000FF"/>
        </w:rPr>
        <w:t>讲道</w:t>
      </w:r>
      <w:r w:rsidRPr="004C59BB">
        <w:rPr>
          <w:color w:val="0000FF"/>
          <w:lang w:val="ru-RU"/>
        </w:rPr>
        <w:t>集》第</w:t>
      </w:r>
      <w:r w:rsidRPr="004C59BB">
        <w:rPr>
          <w:color w:val="0000FF"/>
        </w:rPr>
        <w:t>XIX</w:t>
      </w:r>
      <w:r w:rsidRPr="004C59BB">
        <w:rPr>
          <w:color w:val="0000FF"/>
          <w:lang w:val="ru-RU"/>
        </w:rPr>
        <w:t>篇。</w:t>
      </w:r>
    </w:p>
  </w:footnote>
  <w:footnote w:id="443">
    <w:p w14:paraId="60D8F82C" w14:textId="5C00E54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《东正教礼仪》</w:t>
      </w:r>
      <w:r w:rsidRPr="0097554A">
        <w:rPr>
          <w:color w:val="0000FF"/>
        </w:rPr>
        <w:t>，</w:t>
      </w:r>
      <w:r w:rsidRPr="004C59BB">
        <w:rPr>
          <w:color w:val="0000FF"/>
          <w:lang w:val="ru-RU"/>
        </w:rPr>
        <w:t>第</w:t>
      </w:r>
      <w:r w:rsidRPr="0097554A">
        <w:rPr>
          <w:color w:val="0000FF"/>
        </w:rPr>
        <w:t>16</w:t>
      </w:r>
      <w:r w:rsidRPr="004C59BB">
        <w:rPr>
          <w:color w:val="0000FF"/>
          <w:lang w:val="ru-RU"/>
        </w:rPr>
        <w:t>页</w:t>
      </w:r>
      <w:r w:rsidRPr="0097554A">
        <w:rPr>
          <w:color w:val="0000FF"/>
        </w:rPr>
        <w:t>，</w:t>
      </w:r>
      <w:r w:rsidRPr="004C59BB">
        <w:rPr>
          <w:color w:val="0000FF"/>
          <w:lang w:val="ru-RU"/>
        </w:rPr>
        <w:t>莫斯科</w:t>
      </w:r>
      <w:r w:rsidRPr="0097554A">
        <w:rPr>
          <w:color w:val="0000FF"/>
        </w:rPr>
        <w:t>，1820</w:t>
      </w:r>
      <w:r w:rsidRPr="004C59BB">
        <w:rPr>
          <w:color w:val="0000FF"/>
          <w:lang w:val="ru-RU"/>
        </w:rPr>
        <w:t>年。</w:t>
      </w:r>
    </w:p>
  </w:footnote>
  <w:footnote w:id="444">
    <w:p w14:paraId="2D7F88BB" w14:textId="7EBD9497"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教会虽是可见的</w:t>
      </w:r>
      <w:r w:rsidRPr="0097554A">
        <w:rPr>
          <w:color w:val="0000FF"/>
        </w:rPr>
        <w:t>——</w:t>
      </w:r>
      <w:r w:rsidRPr="004C59BB">
        <w:rPr>
          <w:color w:val="0000FF"/>
          <w:lang w:val="ru-RU"/>
        </w:rPr>
        <w:t>因为它存在于地上</w:t>
      </w:r>
      <w:r w:rsidRPr="0097554A">
        <w:rPr>
          <w:color w:val="0000FF"/>
        </w:rPr>
        <w:t>，</w:t>
      </w:r>
      <w:r w:rsidRPr="004C59BB">
        <w:rPr>
          <w:color w:val="0000FF"/>
          <w:lang w:val="ru-RU"/>
        </w:rPr>
        <w:t>且所有生活在世上的东正教基督徒都属于它</w:t>
      </w:r>
      <w:r w:rsidRPr="0097554A">
        <w:rPr>
          <w:color w:val="0000FF"/>
        </w:rPr>
        <w:t>——</w:t>
      </w:r>
      <w:r w:rsidRPr="004C59BB">
        <w:rPr>
          <w:color w:val="0000FF"/>
          <w:lang w:val="ru-RU"/>
        </w:rPr>
        <w:t>但同时也是不可见的</w:t>
      </w:r>
      <w:r w:rsidRPr="0097554A">
        <w:rPr>
          <w:color w:val="0000FF"/>
        </w:rPr>
        <w:t>——</w:t>
      </w:r>
      <w:r w:rsidRPr="004C59BB">
        <w:rPr>
          <w:color w:val="0000FF"/>
          <w:lang w:val="ru-RU"/>
        </w:rPr>
        <w:t>因为它也存在于天上</w:t>
      </w:r>
      <w:r w:rsidRPr="0097554A">
        <w:rPr>
          <w:color w:val="0000FF"/>
        </w:rPr>
        <w:t>，</w:t>
      </w:r>
      <w:r w:rsidRPr="004C59BB">
        <w:rPr>
          <w:color w:val="0000FF"/>
          <w:lang w:val="ru-RU"/>
        </w:rPr>
        <w:t>且所有在真信仰与圣洁中离世的人都属于它。” （《基督教教理问答》</w:t>
      </w:r>
      <w:r w:rsidRPr="004C59BB">
        <w:rPr>
          <w:color w:val="0000FF"/>
        </w:rPr>
        <w:t>第九条</w:t>
      </w:r>
      <w:r w:rsidRPr="004C59BB">
        <w:rPr>
          <w:color w:val="0000FF"/>
          <w:lang w:val="ru-RU"/>
        </w:rPr>
        <w:t xml:space="preserve">，第67页，莫斯科，1840年；参见第70页）。 </w:t>
      </w:r>
      <w:r w:rsidRPr="0097554A">
        <w:rPr>
          <w:color w:val="0000FF"/>
          <w:lang w:val="ru-RU"/>
        </w:rPr>
        <w:t>“</w:t>
      </w:r>
      <w:r w:rsidRPr="004C59BB">
        <w:rPr>
          <w:color w:val="0000FF"/>
        </w:rPr>
        <w:t>因为已故圣徒的灵魂并未与教会分离</w:t>
      </w:r>
      <w:r w:rsidRPr="004C59BB">
        <w:rPr>
          <w:color w:val="0000FF"/>
          <w:lang w:val="ru-RU"/>
        </w:rPr>
        <w:t>，</w:t>
      </w:r>
      <w:r w:rsidRPr="004C59BB">
        <w:rPr>
          <w:color w:val="0000FF"/>
        </w:rPr>
        <w:t>而教会如今正是基督的国度</w:t>
      </w:r>
      <w:r w:rsidRPr="004C59BB">
        <w:rPr>
          <w:color w:val="0000FF"/>
          <w:lang w:val="ru-RU"/>
        </w:rPr>
        <w:t>。</w:t>
      </w:r>
      <w:r w:rsidRPr="004C59BB">
        <w:rPr>
          <w:color w:val="0000FF"/>
        </w:rPr>
        <w:t>否则</w:t>
      </w:r>
      <w:r w:rsidRPr="0097554A">
        <w:rPr>
          <w:color w:val="0000FF"/>
          <w:lang w:val="ru-RU"/>
        </w:rPr>
        <w:t>，</w:t>
      </w:r>
      <w:r w:rsidRPr="004C59BB">
        <w:rPr>
          <w:color w:val="0000FF"/>
        </w:rPr>
        <w:t>在领受基督圣体时</w:t>
      </w:r>
      <w:r w:rsidRPr="0097554A">
        <w:rPr>
          <w:color w:val="0000FF"/>
          <w:lang w:val="ru-RU"/>
        </w:rPr>
        <w:t>，</w:t>
      </w:r>
      <w:r w:rsidRPr="004C59BB">
        <w:rPr>
          <w:color w:val="0000FF"/>
        </w:rPr>
        <w:t>就无法在神的祭坛前为他们举行追思</w:t>
      </w:r>
      <w:r w:rsidRPr="0097554A">
        <w:rPr>
          <w:color w:val="0000FF"/>
          <w:lang w:val="ru-RU"/>
        </w:rPr>
        <w:t>……</w:t>
      </w:r>
      <w:r w:rsidRPr="004C59BB">
        <w:rPr>
          <w:color w:val="0000FF"/>
        </w:rPr>
        <w:t>这些仪式之所以举行</w:t>
      </w:r>
      <w:r w:rsidRPr="0097554A">
        <w:rPr>
          <w:color w:val="0000FF"/>
          <w:lang w:val="ru-RU"/>
        </w:rPr>
        <w:t>，</w:t>
      </w:r>
      <w:r w:rsidRPr="004C59BB">
        <w:rPr>
          <w:color w:val="0000FF"/>
        </w:rPr>
        <w:t>难道不是因为信徒</w:t>
      </w:r>
      <w:r w:rsidRPr="0097554A">
        <w:rPr>
          <w:color w:val="0000FF"/>
          <w:lang w:val="ru-RU"/>
        </w:rPr>
        <w:t>——</w:t>
      </w:r>
      <w:r w:rsidRPr="004C59BB">
        <w:rPr>
          <w:color w:val="0000FF"/>
        </w:rPr>
        <w:t>即便是已故者</w:t>
      </w:r>
      <w:r w:rsidRPr="0097554A">
        <w:rPr>
          <w:color w:val="0000FF"/>
          <w:lang w:val="ru-RU"/>
        </w:rPr>
        <w:t>——</w:t>
      </w:r>
      <w:r w:rsidRPr="004C59BB">
        <w:rPr>
          <w:color w:val="0000FF"/>
        </w:rPr>
        <w:t>都是教会的肢体吗</w:t>
      </w:r>
      <w:r w:rsidRPr="0097554A">
        <w:rPr>
          <w:color w:val="0000FF"/>
          <w:lang w:val="ru-RU"/>
        </w:rPr>
        <w:t>？”（</w:t>
      </w:r>
      <w:r w:rsidRPr="004C59BB">
        <w:rPr>
          <w:color w:val="0000FF"/>
        </w:rPr>
        <w:t>奥古斯丁《上帝之城》第</w:t>
      </w:r>
      <w:r w:rsidRPr="0097554A">
        <w:rPr>
          <w:color w:val="0000FF"/>
          <w:lang w:val="ru-RU"/>
        </w:rPr>
        <w:t>20</w:t>
      </w:r>
      <w:r w:rsidRPr="004C59BB">
        <w:rPr>
          <w:color w:val="0000FF"/>
          <w:lang w:val="ru-RU"/>
        </w:rPr>
        <w:t>卷第9章第2节）。</w:t>
      </w:r>
    </w:p>
  </w:footnote>
  <w:footnote w:id="445">
    <w:p w14:paraId="360DFC5B" w14:textId="54A0A508"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东方宗主教关于信仰的信函，第18条。</w:t>
      </w:r>
      <w:r w:rsidRPr="004C59BB">
        <w:rPr>
          <w:color w:val="0000FF"/>
        </w:rPr>
        <w:t>参见</w:t>
      </w:r>
      <w:r w:rsidRPr="0097554A">
        <w:rPr>
          <w:color w:val="0000FF"/>
          <w:lang w:val="ru-RU"/>
        </w:rPr>
        <w:t>：</w:t>
      </w:r>
      <w:r w:rsidRPr="004C59BB">
        <w:rPr>
          <w:color w:val="0000FF"/>
        </w:rPr>
        <w:t>金口若望</w:t>
      </w:r>
      <w:r w:rsidRPr="0097554A">
        <w:rPr>
          <w:color w:val="0000FF"/>
          <w:lang w:val="ru-RU"/>
        </w:rPr>
        <w:t>，</w:t>
      </w:r>
      <w:r w:rsidRPr="004C59BB">
        <w:rPr>
          <w:color w:val="0000FF"/>
        </w:rPr>
        <w:t>《使徒行传讲道集》第</w:t>
      </w:r>
      <w:r w:rsidRPr="0097554A">
        <w:rPr>
          <w:color w:val="0000FF"/>
          <w:lang w:val="ru-RU"/>
        </w:rPr>
        <w:t>21</w:t>
      </w:r>
      <w:r w:rsidRPr="004C59BB">
        <w:rPr>
          <w:color w:val="0000FF"/>
        </w:rPr>
        <w:t>篇</w:t>
      </w:r>
      <w:r w:rsidRPr="0097554A">
        <w:rPr>
          <w:color w:val="0000FF"/>
          <w:lang w:val="ru-RU"/>
        </w:rPr>
        <w:t>，</w:t>
      </w:r>
      <w:r w:rsidRPr="004C59BB">
        <w:rPr>
          <w:color w:val="0000FF"/>
        </w:rPr>
        <w:t>注</w:t>
      </w:r>
      <w:r w:rsidRPr="0097554A">
        <w:rPr>
          <w:color w:val="0000FF"/>
          <w:lang w:val="ru-RU"/>
        </w:rPr>
        <w:t>4；</w:t>
      </w:r>
      <w:r w:rsidRPr="004C59BB">
        <w:rPr>
          <w:color w:val="0000FF"/>
        </w:rPr>
        <w:t>奥古斯丁</w:t>
      </w:r>
      <w:r w:rsidRPr="0097554A">
        <w:rPr>
          <w:color w:val="0000FF"/>
          <w:lang w:val="ru-RU"/>
        </w:rPr>
        <w:t>，</w:t>
      </w:r>
      <w:r w:rsidRPr="004C59BB">
        <w:rPr>
          <w:color w:val="0000FF"/>
        </w:rPr>
        <w:t>《忏悔录》第</w:t>
      </w:r>
      <w:r w:rsidRPr="0097554A">
        <w:rPr>
          <w:color w:val="0000FF"/>
          <w:lang w:val="ru-RU"/>
        </w:rPr>
        <w:t>9</w:t>
      </w:r>
      <w:r w:rsidRPr="004C59BB">
        <w:rPr>
          <w:color w:val="0000FF"/>
        </w:rPr>
        <w:t>卷</w:t>
      </w:r>
      <w:r w:rsidRPr="0097554A">
        <w:rPr>
          <w:color w:val="0000FF"/>
          <w:lang w:val="ru-RU"/>
        </w:rPr>
        <w:t>，</w:t>
      </w:r>
      <w:r w:rsidRPr="004C59BB">
        <w:rPr>
          <w:color w:val="0000FF"/>
        </w:rPr>
        <w:t>第</w:t>
      </w:r>
      <w:r w:rsidRPr="0097554A">
        <w:rPr>
          <w:color w:val="0000FF"/>
          <w:lang w:val="ru-RU"/>
        </w:rPr>
        <w:t>13</w:t>
      </w:r>
      <w:r w:rsidRPr="004C59BB">
        <w:rPr>
          <w:color w:val="0000FF"/>
        </w:rPr>
        <w:t>章</w:t>
      </w:r>
      <w:r w:rsidRPr="0097554A">
        <w:rPr>
          <w:color w:val="0000FF"/>
          <w:lang w:val="ru-RU"/>
        </w:rPr>
        <w:t>，</w:t>
      </w:r>
      <w:r w:rsidRPr="004C59BB">
        <w:rPr>
          <w:color w:val="0000FF"/>
        </w:rPr>
        <w:t>注</w:t>
      </w:r>
      <w:r w:rsidRPr="0097554A">
        <w:rPr>
          <w:color w:val="0000FF"/>
          <w:lang w:val="ru-RU"/>
        </w:rPr>
        <w:t>34</w:t>
      </w:r>
      <w:r w:rsidRPr="004C59BB">
        <w:rPr>
          <w:color w:val="0000FF"/>
        </w:rPr>
        <w:t>、</w:t>
      </w:r>
      <w:r w:rsidRPr="0097554A">
        <w:rPr>
          <w:color w:val="0000FF"/>
          <w:lang w:val="ru-RU"/>
        </w:rPr>
        <w:t>37；</w:t>
      </w:r>
      <w:r w:rsidRPr="004C59BB">
        <w:rPr>
          <w:color w:val="0000FF"/>
        </w:rPr>
        <w:t>《讲道集》</w:t>
      </w:r>
      <w:r w:rsidRPr="0097554A">
        <w:rPr>
          <w:color w:val="0000FF"/>
          <w:lang w:val="ru-RU"/>
        </w:rPr>
        <w:t xml:space="preserve"> </w:t>
      </w:r>
      <w:r w:rsidRPr="004C59BB">
        <w:rPr>
          <w:color w:val="0000FF"/>
        </w:rPr>
        <w:t>CLXXH</w:t>
      </w:r>
      <w:r w:rsidRPr="0097554A">
        <w:rPr>
          <w:color w:val="0000FF"/>
          <w:lang w:val="ru-RU"/>
        </w:rPr>
        <w:t>，</w:t>
      </w:r>
      <w:r w:rsidRPr="004C59BB">
        <w:rPr>
          <w:color w:val="0000FF"/>
        </w:rPr>
        <w:t>注</w:t>
      </w:r>
      <w:r w:rsidRPr="0097554A">
        <w:rPr>
          <w:color w:val="0000FF"/>
          <w:lang w:val="ru-RU"/>
        </w:rPr>
        <w:t>2：</w:t>
      </w:r>
      <w:r w:rsidRPr="004C59BB">
        <w:rPr>
          <w:color w:val="0000FF"/>
        </w:rPr>
        <w:t>因为整个教会都遵守教父们传承的这一传统</w:t>
      </w:r>
      <w:r w:rsidRPr="0097554A">
        <w:rPr>
          <w:color w:val="0000FF"/>
          <w:lang w:val="ru-RU"/>
        </w:rPr>
        <w:t>，</w:t>
      </w:r>
      <w:r w:rsidRPr="004C59BB">
        <w:rPr>
          <w:color w:val="0000FF"/>
        </w:rPr>
        <w:t>即为那些在领受基督圣体圣血时离世的人</w:t>
      </w:r>
      <w:r w:rsidRPr="0097554A">
        <w:rPr>
          <w:color w:val="0000FF"/>
          <w:lang w:val="ru-RU"/>
        </w:rPr>
        <w:t>，</w:t>
      </w:r>
      <w:r w:rsidRPr="004C59BB">
        <w:rPr>
          <w:color w:val="0000FF"/>
        </w:rPr>
        <w:t>当他们在圣祭中被代为纪念时</w:t>
      </w:r>
      <w:r w:rsidRPr="0097554A">
        <w:rPr>
          <w:color w:val="0000FF"/>
          <w:lang w:val="ru-RU"/>
        </w:rPr>
        <w:t>，</w:t>
      </w:r>
      <w:r w:rsidRPr="004C59BB">
        <w:rPr>
          <w:color w:val="0000FF"/>
        </w:rPr>
        <w:t>要为他们祈祷</w:t>
      </w:r>
      <w:r w:rsidRPr="0097554A">
        <w:rPr>
          <w:color w:val="0000FF"/>
          <w:lang w:val="ru-RU"/>
        </w:rPr>
        <w:t>，</w:t>
      </w:r>
      <w:r w:rsidRPr="004C59BB">
        <w:rPr>
          <w:color w:val="0000FF"/>
        </w:rPr>
        <w:t>并纪念为他们所献的祭。</w:t>
      </w:r>
    </w:p>
  </w:footnote>
  <w:footnote w:id="446">
    <w:p w14:paraId="4AAB5D2E" w14:textId="2D21CA50"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东方宗主教</w:t>
      </w:r>
      <w:r w:rsidRPr="004C59BB">
        <w:rPr>
          <w:color w:val="0000FF"/>
        </w:rPr>
        <w:t>关于</w:t>
      </w:r>
      <w:r w:rsidRPr="004C59BB">
        <w:rPr>
          <w:color w:val="0000FF"/>
          <w:lang w:val="ru-RU"/>
        </w:rPr>
        <w:t>正统信仰的通谕，第11和18条。</w:t>
      </w:r>
      <w:r w:rsidRPr="004C59BB">
        <w:rPr>
          <w:color w:val="0000FF"/>
        </w:rPr>
        <w:t>参见奥古斯丁</w:t>
      </w:r>
      <w:r w:rsidRPr="0097554A">
        <w:rPr>
          <w:color w:val="0000FF"/>
          <w:lang w:val="ru-RU"/>
        </w:rPr>
        <w:t>，</w:t>
      </w:r>
      <w:r w:rsidRPr="004C59BB">
        <w:rPr>
          <w:color w:val="0000FF"/>
        </w:rPr>
        <w:t>《讲道集》CLXXII</w:t>
      </w:r>
      <w:r w:rsidRPr="0097554A">
        <w:rPr>
          <w:color w:val="0000FF"/>
          <w:lang w:val="ru-RU"/>
        </w:rPr>
        <w:t>，</w:t>
      </w:r>
      <w:r w:rsidRPr="004C59BB">
        <w:rPr>
          <w:color w:val="0000FF"/>
        </w:rPr>
        <w:t>第</w:t>
      </w:r>
      <w:r w:rsidRPr="0097554A">
        <w:rPr>
          <w:color w:val="0000FF"/>
          <w:lang w:val="ru-RU"/>
        </w:rPr>
        <w:t>2</w:t>
      </w:r>
      <w:r w:rsidRPr="004C59BB">
        <w:rPr>
          <w:color w:val="0000FF"/>
        </w:rPr>
        <w:t>段。</w:t>
      </w:r>
    </w:p>
  </w:footnote>
  <w:footnote w:id="447">
    <w:p w14:paraId="5EAD33D4" w14:textId="3C4377CA"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《东方宗主教关于正统信仰的通谕》第10条。 </w:t>
      </w:r>
      <w:r w:rsidRPr="004C59BB">
        <w:rPr>
          <w:color w:val="0000FF"/>
        </w:rPr>
        <w:t>参见奥古斯丁《手册》第</w:t>
      </w:r>
      <w:r w:rsidRPr="0097554A">
        <w:rPr>
          <w:color w:val="0000FF"/>
          <w:lang w:val="ru-RU"/>
        </w:rPr>
        <w:t>15</w:t>
      </w:r>
      <w:r w:rsidRPr="004C59BB">
        <w:rPr>
          <w:color w:val="0000FF"/>
        </w:rPr>
        <w:t>节</w:t>
      </w:r>
      <w:r w:rsidRPr="0097554A">
        <w:rPr>
          <w:color w:val="0000FF"/>
          <w:lang w:val="ru-RU"/>
        </w:rPr>
        <w:t>：（</w:t>
      </w:r>
      <w:r w:rsidRPr="004C59BB">
        <w:rPr>
          <w:color w:val="0000FF"/>
        </w:rPr>
        <w:t>天上的教会</w:t>
      </w:r>
      <w:r w:rsidRPr="0097554A">
        <w:rPr>
          <w:color w:val="0000FF"/>
          <w:lang w:val="ru-RU"/>
        </w:rPr>
        <w:t>）</w:t>
      </w:r>
      <w:r w:rsidRPr="004C59BB">
        <w:rPr>
          <w:color w:val="0000FF"/>
        </w:rPr>
        <w:t>理应照料其流浪在世的部分</w:t>
      </w:r>
      <w:r w:rsidRPr="0097554A">
        <w:rPr>
          <w:color w:val="0000FF"/>
          <w:lang w:val="ru-RU"/>
        </w:rPr>
        <w:t>，</w:t>
      </w:r>
      <w:r w:rsidRPr="004C59BB">
        <w:rPr>
          <w:color w:val="0000FF"/>
        </w:rPr>
        <w:t>因为两者同属永恒的团契</w:t>
      </w:r>
      <w:r w:rsidRPr="0097554A">
        <w:rPr>
          <w:color w:val="0000FF"/>
          <w:lang w:val="ru-RU"/>
        </w:rPr>
        <w:t>，</w:t>
      </w:r>
      <w:r w:rsidRPr="004C59BB">
        <w:rPr>
          <w:color w:val="0000FF"/>
        </w:rPr>
        <w:t>如今又因爱的纽带合而为一</w:t>
      </w:r>
      <w:r w:rsidRPr="0097554A">
        <w:rPr>
          <w:color w:val="0000FF"/>
          <w:lang w:val="ru-RU"/>
        </w:rPr>
        <w:t>，</w:t>
      </w:r>
      <w:r w:rsidRPr="004C59BB">
        <w:rPr>
          <w:color w:val="0000FF"/>
        </w:rPr>
        <w:t>而这团契的全部宗旨在于敬拜上帝。</w:t>
      </w:r>
    </w:p>
  </w:footnote>
  <w:footnote w:id="448">
    <w:p w14:paraId="58CFF8CA" w14:textId="46208B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至于该词在《圣经》及圣父著作中被使用的其他更为具体的含义，我们将在阐述关于教会的教义时再行探讨。</w:t>
      </w:r>
    </w:p>
  </w:footnote>
  <w:footnote w:id="449">
    <w:p w14:paraId="5C33370B" w14:textId="4F0350F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这种表述见于教会圣咏和圣父们的著作中。例如：“太阳与月亮各归其位，你——长忍者——升上十字架，并将你的教会建立在我们之上”</w:t>
      </w:r>
      <w:r w:rsidRPr="0097554A">
        <w:rPr>
          <w:color w:val="0000FF"/>
          <w:lang w:val="ru-RU"/>
        </w:rPr>
        <w:t>（</w:t>
      </w:r>
      <w:r w:rsidRPr="004C59BB">
        <w:rPr>
          <w:color w:val="0000FF"/>
        </w:rPr>
        <w:t>《大斋期三旬期圣咏集》第</w:t>
      </w:r>
      <w:r w:rsidRPr="0097554A">
        <w:rPr>
          <w:color w:val="0000FF"/>
          <w:lang w:val="ru-RU"/>
        </w:rPr>
        <w:t>428</w:t>
      </w:r>
      <w:r w:rsidRPr="004C59BB">
        <w:rPr>
          <w:color w:val="0000FF"/>
        </w:rPr>
        <w:t>页</w:t>
      </w:r>
      <w:r w:rsidRPr="0097554A">
        <w:rPr>
          <w:color w:val="0000FF"/>
          <w:lang w:val="ru-RU"/>
        </w:rPr>
        <w:t>，</w:t>
      </w:r>
      <w:r w:rsidRPr="004C59BB">
        <w:rPr>
          <w:color w:val="0000FF"/>
        </w:rPr>
        <w:t>莫斯科</w:t>
      </w:r>
      <w:r w:rsidRPr="0097554A">
        <w:rPr>
          <w:color w:val="0000FF"/>
          <w:lang w:val="ru-RU"/>
        </w:rPr>
        <w:t>，1835</w:t>
      </w:r>
      <w:r w:rsidRPr="004C59BB">
        <w:rPr>
          <w:color w:val="0000FF"/>
        </w:rPr>
        <w:t>年</w:t>
      </w:r>
      <w:r w:rsidRPr="0097554A">
        <w:rPr>
          <w:color w:val="0000FF"/>
          <w:lang w:val="ru-RU"/>
        </w:rPr>
        <w:t>）</w:t>
      </w:r>
      <w:r w:rsidRPr="004C59BB">
        <w:rPr>
          <w:color w:val="0000FF"/>
        </w:rPr>
        <w:t>。又如：“正因如此，即通过谦卑，通过十字架，祂为自己建立了教会”（安布罗斯《诗篇注释》第18篇，《讲道集》第14篇，第20节，载于《教父文集》全集第XV卷，第1398页）。</w:t>
      </w:r>
    </w:p>
  </w:footnote>
  <w:footnote w:id="450">
    <w:p w14:paraId="0054D514" w14:textId="1AC42AB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《东正教神学导论》</w:t>
      </w:r>
      <w:r w:rsidRPr="004C59BB">
        <w:rPr>
          <w:color w:val="0000FF"/>
        </w:rPr>
        <w:t>A</w:t>
      </w:r>
      <w:r w:rsidRPr="0097554A">
        <w:rPr>
          <w:color w:val="0000FF"/>
        </w:rPr>
        <w:t>. M. § 17</w:t>
      </w:r>
      <w:r w:rsidRPr="004C59BB">
        <w:rPr>
          <w:color w:val="0000FF"/>
          <w:lang w:val="ru-RU"/>
        </w:rPr>
        <w:t>。</w:t>
      </w:r>
    </w:p>
  </w:footnote>
  <w:footnote w:id="451">
    <w:p w14:paraId="77BD3C81" w14:textId="1A57AC92"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因为信徒所领受的乃是外来的。</w:t>
      </w:r>
      <w:r w:rsidRPr="004C59BB">
        <w:rPr>
          <w:color w:val="0000FF"/>
        </w:rPr>
        <w:t>”金口若望，《约翰福音讲道集》第25篇，第3节。参见奥古斯丁，《约翰福音论集》第44篇，第2节。</w:t>
      </w:r>
    </w:p>
  </w:footnote>
  <w:footnote w:id="452">
    <w:p w14:paraId="06D3CD99" w14:textId="18D779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《词汇》40，载于《圣教父文集》第三卷，第286页。</w:t>
      </w:r>
    </w:p>
  </w:footnote>
  <w:footnote w:id="453">
    <w:p w14:paraId="33ABDAC8" w14:textId="4A7EF9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《关于异端教义的教令》第41条。</w:t>
      </w:r>
    </w:p>
  </w:footnote>
  <w:footnote w:id="454">
    <w:p w14:paraId="15ADFCDC" w14:textId="18553542"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所谓基督的教会似乎仅由义人和圣徒组成</w:t>
      </w:r>
      <w:r w:rsidRPr="0097554A">
        <w:rPr>
          <w:color w:val="0000FF"/>
        </w:rPr>
        <w:t>——</w:t>
      </w:r>
      <w:r w:rsidRPr="004C59BB">
        <w:rPr>
          <w:color w:val="0000FF"/>
          <w:lang w:val="ru-RU"/>
        </w:rPr>
        <w:t>在古代</w:t>
      </w:r>
      <w:r w:rsidRPr="0097554A">
        <w:rPr>
          <w:color w:val="0000FF"/>
        </w:rPr>
        <w:t>，</w:t>
      </w:r>
      <w:r w:rsidRPr="004C59BB">
        <w:rPr>
          <w:color w:val="0000FF"/>
          <w:lang w:val="ru-RU"/>
        </w:rPr>
        <w:t>这一观点主要由诺瓦蒂安派</w:t>
      </w:r>
      <w:r w:rsidRPr="0097554A">
        <w:rPr>
          <w:color w:val="0000FF"/>
        </w:rPr>
        <w:t xml:space="preserve"> （</w:t>
      </w:r>
      <w:r w:rsidRPr="004C59BB">
        <w:rPr>
          <w:color w:val="0000FF"/>
        </w:rPr>
        <w:t>西普里安</w:t>
      </w:r>
      <w:r w:rsidRPr="004C59BB">
        <w:rPr>
          <w:color w:val="0000FF"/>
          <w:lang w:val="ru-RU"/>
        </w:rPr>
        <w:t>《</w:t>
      </w:r>
      <w:r w:rsidRPr="004C59BB">
        <w:rPr>
          <w:color w:val="0000FF"/>
        </w:rPr>
        <w:t>书信</w:t>
      </w:r>
      <w:r w:rsidRPr="004C59BB">
        <w:rPr>
          <w:color w:val="0000FF"/>
          <w:lang w:val="ru-RU"/>
        </w:rPr>
        <w:t>》</w:t>
      </w:r>
      <w:r w:rsidRPr="004C59BB">
        <w:rPr>
          <w:color w:val="0000FF"/>
        </w:rPr>
        <w:t>第LXXIII封</w:t>
      </w:r>
      <w:r w:rsidRPr="0097554A">
        <w:rPr>
          <w:color w:val="0000FF"/>
        </w:rPr>
        <w:t>；</w:t>
      </w:r>
      <w:r w:rsidRPr="004C59BB">
        <w:rPr>
          <w:color w:val="0000FF"/>
        </w:rPr>
        <w:t>奥古斯丁</w:t>
      </w:r>
      <w:r w:rsidRPr="004C59BB">
        <w:rPr>
          <w:color w:val="0000FF"/>
          <w:lang w:val="ru-RU"/>
        </w:rPr>
        <w:t>《</w:t>
      </w:r>
      <w:r w:rsidRPr="004C59BB">
        <w:rPr>
          <w:color w:val="0000FF"/>
        </w:rPr>
        <w:t>异端驳论</w:t>
      </w:r>
      <w:r w:rsidRPr="004C59BB">
        <w:rPr>
          <w:color w:val="0000FF"/>
          <w:lang w:val="ru-RU"/>
        </w:rPr>
        <w:t>》</w:t>
      </w:r>
      <w:r w:rsidRPr="004C59BB">
        <w:rPr>
          <w:color w:val="0000FF"/>
        </w:rPr>
        <w:t>第XXXVIII章</w:t>
      </w:r>
      <w:r w:rsidRPr="0097554A">
        <w:rPr>
          <w:color w:val="0000FF"/>
        </w:rPr>
        <w:t>）</w:t>
      </w:r>
      <w:r w:rsidRPr="004C59BB">
        <w:rPr>
          <w:color w:val="0000FF"/>
          <w:lang w:val="ru-RU"/>
        </w:rPr>
        <w:t>以及多纳图派</w:t>
      </w:r>
      <w:r w:rsidRPr="0097554A">
        <w:rPr>
          <w:color w:val="0000FF"/>
        </w:rPr>
        <w:t>（</w:t>
      </w:r>
      <w:r w:rsidRPr="004C59BB">
        <w:rPr>
          <w:color w:val="0000FF"/>
        </w:rPr>
        <w:t>奥古斯丁</w:t>
      </w:r>
      <w:r w:rsidRPr="004C59BB">
        <w:rPr>
          <w:color w:val="0000FF"/>
          <w:lang w:val="ru-RU"/>
        </w:rPr>
        <w:t>《</w:t>
      </w:r>
      <w:r w:rsidRPr="004C59BB">
        <w:rPr>
          <w:color w:val="0000FF"/>
        </w:rPr>
        <w:t>异端驳论</w:t>
      </w:r>
      <w:r w:rsidRPr="004C59BB">
        <w:rPr>
          <w:color w:val="0000FF"/>
          <w:lang w:val="ru-RU"/>
        </w:rPr>
        <w:t>》</w:t>
      </w:r>
      <w:r w:rsidRPr="004C59BB">
        <w:rPr>
          <w:color w:val="0000FF"/>
        </w:rPr>
        <w:t>第LXI章</w:t>
      </w:r>
      <w:r w:rsidRPr="0097554A">
        <w:rPr>
          <w:color w:val="0000FF"/>
        </w:rPr>
        <w:t>）</w:t>
      </w:r>
      <w:r w:rsidRPr="004C59BB">
        <w:rPr>
          <w:color w:val="0000FF"/>
        </w:rPr>
        <w:t>；</w:t>
      </w:r>
      <w:r w:rsidRPr="004C59BB">
        <w:rPr>
          <w:color w:val="0000FF"/>
          <w:lang w:val="ru-RU"/>
        </w:rPr>
        <w:t>而如今</w:t>
      </w:r>
      <w:r w:rsidRPr="0097554A">
        <w:rPr>
          <w:color w:val="0000FF"/>
        </w:rPr>
        <w:t>，</w:t>
      </w:r>
      <w:r w:rsidRPr="004C59BB">
        <w:rPr>
          <w:color w:val="0000FF"/>
          <w:lang w:val="ru-RU"/>
        </w:rPr>
        <w:t>部分仅信奉</w:t>
      </w:r>
      <w:r w:rsidRPr="0097554A">
        <w:rPr>
          <w:color w:val="0000FF"/>
        </w:rPr>
        <w:t>“</w:t>
      </w:r>
      <w:r w:rsidRPr="004C59BB">
        <w:rPr>
          <w:color w:val="0000FF"/>
          <w:lang w:val="ru-RU"/>
        </w:rPr>
        <w:t>隐形教会</w:t>
      </w:r>
      <w:r w:rsidRPr="0097554A">
        <w:rPr>
          <w:color w:val="0000FF"/>
        </w:rPr>
        <w:t>”</w:t>
      </w:r>
      <w:r w:rsidRPr="004C59BB">
        <w:rPr>
          <w:color w:val="0000FF"/>
          <w:lang w:val="ru-RU"/>
        </w:rPr>
        <w:t>的新教徒也持此观点。</w:t>
      </w:r>
    </w:p>
  </w:footnote>
  <w:footnote w:id="455">
    <w:p w14:paraId="727610D9" w14:textId="12B7ADD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若有人说</w:t>
      </w:r>
      <w:r w:rsidRPr="0097554A">
        <w:rPr>
          <w:color w:val="0000FF"/>
        </w:rPr>
        <w:t>，</w:t>
      </w:r>
      <w:r w:rsidRPr="004C59BB">
        <w:rPr>
          <w:color w:val="0000FF"/>
          <w:lang w:val="ru-RU"/>
        </w:rPr>
        <w:t>圣徒在主祷文中祈求</w:t>
      </w:r>
      <w:r w:rsidRPr="0097554A">
        <w:rPr>
          <w:color w:val="0000FF"/>
        </w:rPr>
        <w:t>‘</w:t>
      </w:r>
      <w:r w:rsidRPr="004C59BB">
        <w:rPr>
          <w:color w:val="0000FF"/>
          <w:lang w:val="ru-RU"/>
        </w:rPr>
        <w:t>免我们的债</w:t>
      </w:r>
      <w:r w:rsidRPr="0097554A">
        <w:rPr>
          <w:color w:val="0000FF"/>
        </w:rPr>
        <w:t>’，</w:t>
      </w:r>
      <w:r w:rsidRPr="004C59BB">
        <w:rPr>
          <w:color w:val="0000FF"/>
          <w:lang w:val="ru-RU"/>
        </w:rPr>
        <w:t>并非指他们自己</w:t>
      </w:r>
      <w:r w:rsidRPr="0097554A">
        <w:rPr>
          <w:color w:val="0000FF"/>
        </w:rPr>
        <w:t>——</w:t>
      </w:r>
      <w:r w:rsidRPr="004C59BB">
        <w:rPr>
          <w:color w:val="0000FF"/>
          <w:lang w:val="ru-RU"/>
        </w:rPr>
        <w:t>因为他们已无需此项祈求</w:t>
      </w:r>
      <w:r w:rsidRPr="0097554A">
        <w:rPr>
          <w:color w:val="0000FF"/>
        </w:rPr>
        <w:t>——</w:t>
      </w:r>
      <w:r w:rsidRPr="004C59BB">
        <w:rPr>
          <w:color w:val="0000FF"/>
          <w:lang w:val="ru-RU"/>
        </w:rPr>
        <w:t>而是指他们中间的那些有罪之人</w:t>
      </w:r>
      <w:r w:rsidRPr="0097554A">
        <w:rPr>
          <w:color w:val="0000FF"/>
        </w:rPr>
        <w:t>；</w:t>
      </w:r>
      <w:r w:rsidRPr="004C59BB">
        <w:rPr>
          <w:color w:val="0000FF"/>
          <w:lang w:val="ru-RU"/>
        </w:rPr>
        <w:t>又若有人说</w:t>
      </w:r>
      <w:r w:rsidRPr="0097554A">
        <w:rPr>
          <w:color w:val="0000FF"/>
        </w:rPr>
        <w:t>，</w:t>
      </w:r>
      <w:r w:rsidRPr="004C59BB">
        <w:rPr>
          <w:color w:val="0000FF"/>
          <w:lang w:val="ru-RU"/>
        </w:rPr>
        <w:t>并非每位圣徒都单独祈求</w:t>
      </w:r>
      <w:r w:rsidRPr="0097554A">
        <w:rPr>
          <w:color w:val="0000FF"/>
        </w:rPr>
        <w:t>‘</w:t>
      </w:r>
      <w:r w:rsidRPr="004C59BB">
        <w:rPr>
          <w:color w:val="0000FF"/>
          <w:lang w:val="ru-RU"/>
        </w:rPr>
        <w:t>免我的债</w:t>
      </w:r>
      <w:r w:rsidRPr="0097554A">
        <w:rPr>
          <w:color w:val="0000FF"/>
        </w:rPr>
        <w:t xml:space="preserve">’， </w:t>
      </w:r>
      <w:r w:rsidRPr="004C59BB">
        <w:rPr>
          <w:color w:val="0000FF"/>
        </w:rPr>
        <w:t>而是</w:t>
      </w:r>
      <w:r w:rsidRPr="004C59BB">
        <w:rPr>
          <w:color w:val="0000FF"/>
          <w:lang w:val="ru-RU"/>
        </w:rPr>
        <w:t>说</w:t>
      </w:r>
      <w:r w:rsidRPr="0097554A">
        <w:rPr>
          <w:color w:val="0000FF"/>
        </w:rPr>
        <w:t>‘</w:t>
      </w:r>
      <w:r w:rsidRPr="004C59BB">
        <w:rPr>
          <w:color w:val="0000FF"/>
          <w:lang w:val="ru-RU"/>
        </w:rPr>
        <w:t>赦免我们的罪</w:t>
      </w:r>
      <w:r w:rsidRPr="0097554A">
        <w:rPr>
          <w:color w:val="0000FF"/>
        </w:rPr>
        <w:t>’，</w:t>
      </w:r>
      <w:r w:rsidRPr="004C59BB">
        <w:rPr>
          <w:color w:val="0000FF"/>
          <w:lang w:val="ru-RU"/>
        </w:rPr>
        <w:t>这样义人的这一祈求就更应被理解为是为他人而非为他自己</w:t>
      </w:r>
      <w:r w:rsidRPr="0097554A">
        <w:rPr>
          <w:color w:val="0000FF"/>
        </w:rPr>
        <w:t>：</w:t>
      </w:r>
      <w:r w:rsidRPr="004C59BB">
        <w:rPr>
          <w:color w:val="0000FF"/>
          <w:lang w:val="ru-RU"/>
        </w:rPr>
        <w:t>此人当受绝罚</w:t>
      </w:r>
      <w:r w:rsidRPr="0097554A">
        <w:rPr>
          <w:color w:val="0000FF"/>
        </w:rPr>
        <w:t>”（</w:t>
      </w:r>
      <w:r w:rsidRPr="004C59BB">
        <w:rPr>
          <w:color w:val="0000FF"/>
          <w:lang w:val="ru-RU"/>
        </w:rPr>
        <w:t>迦太基大公会议第</w:t>
      </w:r>
      <w:r w:rsidRPr="0097554A">
        <w:rPr>
          <w:color w:val="0000FF"/>
        </w:rPr>
        <w:t>129</w:t>
      </w:r>
      <w:r w:rsidRPr="004C59BB">
        <w:rPr>
          <w:color w:val="0000FF"/>
          <w:lang w:val="ru-RU"/>
        </w:rPr>
        <w:t>条</w:t>
      </w:r>
      <w:r w:rsidRPr="0097554A">
        <w:rPr>
          <w:color w:val="0000FF"/>
        </w:rPr>
        <w:t>；</w:t>
      </w:r>
      <w:r w:rsidRPr="004C59BB">
        <w:rPr>
          <w:color w:val="0000FF"/>
          <w:lang w:val="ru-RU"/>
        </w:rPr>
        <w:t>第</w:t>
      </w:r>
      <w:r w:rsidRPr="0097554A">
        <w:rPr>
          <w:color w:val="0000FF"/>
        </w:rPr>
        <w:t>130</w:t>
      </w:r>
      <w:r w:rsidRPr="004C59BB">
        <w:rPr>
          <w:color w:val="0000FF"/>
          <w:lang w:val="ru-RU"/>
        </w:rPr>
        <w:t>条补充规定</w:t>
      </w:r>
      <w:r w:rsidRPr="0097554A">
        <w:rPr>
          <w:color w:val="0000FF"/>
        </w:rPr>
        <w:t>）</w:t>
      </w:r>
      <w:r w:rsidRPr="004C59BB">
        <w:rPr>
          <w:color w:val="0000FF"/>
          <w:lang w:val="ru-RU"/>
        </w:rPr>
        <w:t>。</w:t>
      </w:r>
    </w:p>
  </w:footnote>
  <w:footnote w:id="456">
    <w:p w14:paraId="1EBBE92C" w14:textId="157B4F9C" w:rsidR="00254F25" w:rsidRPr="0097554A"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关于使徒圣约翰的这句话</w:t>
      </w:r>
      <w:r w:rsidRPr="0097554A">
        <w:rPr>
          <w:color w:val="0000FF"/>
        </w:rPr>
        <w:t>：‘</w:t>
      </w:r>
      <w:r w:rsidRPr="004C59BB">
        <w:rPr>
          <w:color w:val="0000FF"/>
          <w:lang w:val="ru-RU"/>
        </w:rPr>
        <w:t>我们若说自己没有罪</w:t>
      </w:r>
      <w:r w:rsidRPr="0097554A">
        <w:rPr>
          <w:color w:val="0000FF"/>
        </w:rPr>
        <w:t>，</w:t>
      </w:r>
      <w:r w:rsidRPr="004C59BB">
        <w:rPr>
          <w:color w:val="0000FF"/>
          <w:lang w:val="ru-RU"/>
        </w:rPr>
        <w:t>便是自欺</w:t>
      </w:r>
      <w:r w:rsidRPr="0097554A">
        <w:rPr>
          <w:color w:val="0000FF"/>
        </w:rPr>
        <w:t>，</w:t>
      </w:r>
      <w:r w:rsidRPr="004C59BB">
        <w:rPr>
          <w:color w:val="0000FF"/>
          <w:lang w:val="ru-RU"/>
        </w:rPr>
        <w:t>真理也不在我们里面</w:t>
      </w:r>
      <w:r w:rsidRPr="0097554A">
        <w:rPr>
          <w:color w:val="0000FF"/>
        </w:rPr>
        <w:t>’（</w:t>
      </w:r>
      <w:r w:rsidRPr="004C59BB">
        <w:rPr>
          <w:color w:val="0000FF"/>
          <w:lang w:val="ru-RU"/>
        </w:rPr>
        <w:t>《约翰一书》</w:t>
      </w:r>
      <w:r w:rsidRPr="0097554A">
        <w:rPr>
          <w:color w:val="0000FF"/>
        </w:rPr>
        <w:t>1:8），</w:t>
      </w:r>
      <w:r w:rsidRPr="004C59BB">
        <w:rPr>
          <w:color w:val="0000FF"/>
          <w:lang w:val="ru-RU"/>
        </w:rPr>
        <w:t>已作出如下裁定。</w:t>
      </w:r>
      <w:r w:rsidRPr="0097554A">
        <w:rPr>
          <w:color w:val="0000FF"/>
        </w:rPr>
        <w:t xml:space="preserve"> </w:t>
      </w:r>
      <w:r w:rsidRPr="004C59BB">
        <w:rPr>
          <w:color w:val="0000FF"/>
          <w:lang w:val="ru-RU"/>
        </w:rPr>
        <w:t>若有人错误地理解此话</w:t>
      </w:r>
      <w:r w:rsidRPr="0097554A">
        <w:rPr>
          <w:color w:val="0000FF"/>
        </w:rPr>
        <w:t>，</w:t>
      </w:r>
      <w:r w:rsidRPr="004C59BB">
        <w:rPr>
          <w:color w:val="0000FF"/>
          <w:lang w:val="ru-RU"/>
        </w:rPr>
        <w:t>以为</w:t>
      </w:r>
      <w:r w:rsidRPr="0097554A">
        <w:rPr>
          <w:color w:val="0000FF"/>
        </w:rPr>
        <w:t>‘</w:t>
      </w:r>
      <w:r w:rsidRPr="004C59BB">
        <w:rPr>
          <w:color w:val="0000FF"/>
          <w:lang w:val="ru-RU"/>
        </w:rPr>
        <w:t>出于谦卑</w:t>
      </w:r>
      <w:r w:rsidRPr="0097554A">
        <w:rPr>
          <w:color w:val="0000FF"/>
        </w:rPr>
        <w:t>，</w:t>
      </w:r>
      <w:r w:rsidRPr="004C59BB">
        <w:rPr>
          <w:color w:val="0000FF"/>
          <w:lang w:val="ru-RU"/>
        </w:rPr>
        <w:t>不应说我们没有罪</w:t>
      </w:r>
      <w:r w:rsidRPr="0097554A">
        <w:rPr>
          <w:color w:val="0000FF"/>
        </w:rPr>
        <w:t>’，</w:t>
      </w:r>
      <w:r w:rsidRPr="004C59BB">
        <w:rPr>
          <w:color w:val="0000FF"/>
          <w:lang w:val="ru-RU"/>
        </w:rPr>
        <w:t>而非因事实确实如此</w:t>
      </w:r>
      <w:r w:rsidRPr="0097554A">
        <w:rPr>
          <w:color w:val="0000FF"/>
        </w:rPr>
        <w:t>，</w:t>
      </w:r>
      <w:r w:rsidRPr="004C59BB">
        <w:rPr>
          <w:color w:val="0000FF"/>
          <w:lang w:val="ru-RU"/>
        </w:rPr>
        <w:t>此人当受绝罚。因为使徒接着补充道： “我们若认自己的罪，神是信实的，是公义的，必赦免我们的罪，洗净我们一切的不义”（第8节）。这里非常清楚地表明，这话并非仅出于谦卑，而是出于真理”（迦太基大公会议，</w:t>
      </w:r>
      <w:r w:rsidRPr="004C59BB">
        <w:rPr>
          <w:color w:val="0000FF"/>
        </w:rPr>
        <w:t>第</w:t>
      </w:r>
      <w:r w:rsidRPr="0097554A">
        <w:rPr>
          <w:color w:val="0000FF"/>
          <w:lang w:val="ru-RU"/>
        </w:rPr>
        <w:t>128</w:t>
      </w:r>
      <w:r w:rsidRPr="004C59BB">
        <w:rPr>
          <w:color w:val="0000FF"/>
        </w:rPr>
        <w:t>条</w:t>
      </w:r>
      <w:r w:rsidRPr="0097554A">
        <w:rPr>
          <w:color w:val="0000FF"/>
          <w:lang w:val="ru-RU"/>
        </w:rPr>
        <w:t>）</w:t>
      </w:r>
      <w:r w:rsidRPr="004C59BB">
        <w:rPr>
          <w:color w:val="0000FF"/>
        </w:rPr>
        <w:t>。</w:t>
      </w:r>
    </w:p>
  </w:footnote>
  <w:footnote w:id="457">
    <w:p w14:paraId="71A65B18" w14:textId="0030F56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我们的信心或仁爱不应受到阻碍</w:t>
      </w:r>
      <w:r w:rsidRPr="0097554A">
        <w:rPr>
          <w:color w:val="0000FF"/>
          <w:lang w:val="ru-RU"/>
        </w:rPr>
        <w:t>，</w:t>
      </w:r>
      <w:r w:rsidRPr="004C59BB">
        <w:rPr>
          <w:color w:val="0000FF"/>
        </w:rPr>
        <w:t>以致因我们看见教会中有稗子</w:t>
      </w:r>
      <w:r w:rsidRPr="0097554A">
        <w:rPr>
          <w:color w:val="0000FF"/>
          <w:lang w:val="ru-RU"/>
        </w:rPr>
        <w:t>，</w:t>
      </w:r>
      <w:r w:rsidRPr="004C59BB">
        <w:rPr>
          <w:color w:val="0000FF"/>
        </w:rPr>
        <w:t>就自己离开教会</w:t>
      </w:r>
      <w:r w:rsidRPr="0097554A">
        <w:rPr>
          <w:color w:val="0000FF"/>
          <w:lang w:val="ru-RU"/>
        </w:rPr>
        <w:t>（</w:t>
      </w:r>
      <w:r w:rsidRPr="004C59BB">
        <w:rPr>
          <w:color w:val="0000FF"/>
        </w:rPr>
        <w:t>《致马克西穆斯书》</w:t>
      </w:r>
      <w:r w:rsidRPr="0097554A">
        <w:rPr>
          <w:color w:val="0000FF"/>
          <w:lang w:val="ru-RU"/>
        </w:rPr>
        <w:t>）</w:t>
      </w:r>
      <w:r w:rsidRPr="004C59BB">
        <w:rPr>
          <w:color w:val="0000FF"/>
        </w:rPr>
        <w:t>。</w:t>
      </w:r>
    </w:p>
  </w:footnote>
  <w:footnote w:id="458">
    <w:p w14:paraId="7109234C" w14:textId="45C9910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教会不希望将顽固者排除在外</w:t>
      </w:r>
      <w:r w:rsidRPr="0097554A">
        <w:rPr>
          <w:color w:val="0000FF"/>
          <w:lang w:val="ru-RU"/>
        </w:rPr>
        <w:t>，</w:t>
      </w:r>
      <w:r w:rsidRPr="004C59BB">
        <w:rPr>
          <w:color w:val="0000FF"/>
        </w:rPr>
        <w:t>而是希望软化他们</w:t>
      </w:r>
      <w:r w:rsidRPr="0097554A">
        <w:rPr>
          <w:color w:val="0000FF"/>
          <w:lang w:val="ru-RU"/>
        </w:rPr>
        <w:t>（</w:t>
      </w:r>
      <w:r w:rsidRPr="004C59BB">
        <w:rPr>
          <w:color w:val="0000FF"/>
        </w:rPr>
        <w:t>《论复活》第二卷</w:t>
      </w:r>
      <w:r w:rsidRPr="0097554A">
        <w:rPr>
          <w:color w:val="0000FF"/>
          <w:lang w:val="ru-RU"/>
        </w:rPr>
        <w:t>，</w:t>
      </w:r>
      <w:r w:rsidRPr="004C59BB">
        <w:rPr>
          <w:color w:val="0000FF"/>
        </w:rPr>
        <w:t>第</w:t>
      </w:r>
      <w:r w:rsidRPr="0097554A">
        <w:rPr>
          <w:color w:val="0000FF"/>
          <w:lang w:val="ru-RU"/>
        </w:rPr>
        <w:t>118</w:t>
      </w:r>
      <w:r w:rsidRPr="004C59BB">
        <w:rPr>
          <w:color w:val="0000FF"/>
        </w:rPr>
        <w:t>节</w:t>
      </w:r>
      <w:r w:rsidRPr="0097554A">
        <w:rPr>
          <w:color w:val="0000FF"/>
          <w:lang w:val="ru-RU"/>
        </w:rPr>
        <w:t>）</w:t>
      </w:r>
      <w:r w:rsidRPr="004C59BB">
        <w:rPr>
          <w:color w:val="0000FF"/>
        </w:rPr>
        <w:t>。</w:t>
      </w:r>
    </w:p>
  </w:footnote>
  <w:footnote w:id="459">
    <w:p w14:paraId="6FC885CF" w14:textId="6B99511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《诗篇》第</w:t>
      </w:r>
      <w:r w:rsidRPr="0097554A">
        <w:rPr>
          <w:color w:val="0000FF"/>
          <w:lang w:val="ru-RU"/>
        </w:rPr>
        <w:t>39</w:t>
      </w:r>
      <w:r w:rsidRPr="004C59BB">
        <w:rPr>
          <w:color w:val="0000FF"/>
        </w:rPr>
        <w:t>篇</w:t>
      </w:r>
      <w:r w:rsidRPr="0097554A">
        <w:rPr>
          <w:color w:val="0000FF"/>
          <w:lang w:val="ru-RU"/>
        </w:rPr>
        <w:t>13</w:t>
      </w:r>
      <w:r w:rsidRPr="004C59BB">
        <w:rPr>
          <w:color w:val="0000FF"/>
        </w:rPr>
        <w:t>节。</w:t>
      </w:r>
    </w:p>
  </w:footnote>
  <w:footnote w:id="460">
    <w:p w14:paraId="6FE8D595" w14:textId="4E58F1A1"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《反路西弗》</w:t>
      </w:r>
      <w:r w:rsidRPr="0097554A">
        <w:rPr>
          <w:color w:val="0000FF"/>
          <w:lang w:val="ru-RU"/>
        </w:rPr>
        <w:t>，</w:t>
      </w:r>
      <w:r w:rsidRPr="004C59BB">
        <w:rPr>
          <w:color w:val="0000FF"/>
        </w:rPr>
        <w:t>第</w:t>
      </w:r>
      <w:r w:rsidRPr="0097554A">
        <w:rPr>
          <w:color w:val="0000FF"/>
          <w:lang w:val="ru-RU"/>
        </w:rPr>
        <w:t>302</w:t>
      </w:r>
      <w:r w:rsidRPr="004C59BB">
        <w:rPr>
          <w:color w:val="0000FF"/>
        </w:rPr>
        <w:t>页</w:t>
      </w:r>
      <w:r w:rsidRPr="0097554A">
        <w:rPr>
          <w:color w:val="0000FF"/>
          <w:lang w:val="ru-RU"/>
        </w:rPr>
        <w:t>，</w:t>
      </w:r>
      <w:r w:rsidRPr="004C59BB">
        <w:rPr>
          <w:color w:val="0000FF"/>
        </w:rPr>
        <w:t>第IV卷</w:t>
      </w:r>
      <w:r w:rsidRPr="0097554A">
        <w:rPr>
          <w:color w:val="0000FF"/>
          <w:lang w:val="ru-RU"/>
        </w:rPr>
        <w:t>，</w:t>
      </w:r>
      <w:r w:rsidRPr="004C59BB">
        <w:rPr>
          <w:color w:val="0000FF"/>
        </w:rPr>
        <w:t>第II卷</w:t>
      </w:r>
      <w:r w:rsidRPr="0097554A">
        <w:rPr>
          <w:color w:val="0000FF"/>
          <w:lang w:val="ru-RU"/>
        </w:rPr>
        <w:t>，</w:t>
      </w:r>
      <w:r w:rsidRPr="004C59BB">
        <w:rPr>
          <w:color w:val="0000FF"/>
        </w:rPr>
        <w:t>Mari版。参见《传道书》II，7。</w:t>
      </w:r>
    </w:p>
  </w:footnote>
  <w:footnote w:id="461">
    <w:p w14:paraId="7D0F47E7" w14:textId="250C56D3" w:rsidR="00254F25" w:rsidRPr="0097554A" w:rsidRDefault="00000000">
      <w:pPr>
        <w:pStyle w:val="FootnoteText"/>
        <w:rPr>
          <w:color w:val="0000FF"/>
          <w:lang w:val="ru-RU"/>
        </w:rPr>
      </w:pPr>
      <w:r w:rsidRPr="004C59BB">
        <w:rPr>
          <w:rStyle w:val="FootnoteReference"/>
          <w:color w:val="0000FF"/>
        </w:rPr>
        <w:footnoteRef/>
      </w:r>
      <w:r w:rsidRPr="004C59BB">
        <w:rPr>
          <w:color w:val="0000FF"/>
        </w:rPr>
        <w:t xml:space="preserve"> 《约翰福音注释》第四卷，第2节</w:t>
      </w:r>
      <w:r w:rsidRPr="004C59BB">
        <w:rPr>
          <w:color w:val="0000FF"/>
          <w:lang w:val="ru-RU"/>
        </w:rPr>
        <w:t>。总体</w:t>
      </w:r>
      <w:r w:rsidRPr="004C59BB">
        <w:rPr>
          <w:color w:val="0000FF"/>
        </w:rPr>
        <w:t>而言</w:t>
      </w:r>
      <w:r w:rsidRPr="004C59BB">
        <w:rPr>
          <w:color w:val="0000FF"/>
          <w:lang w:val="ru-RU"/>
        </w:rPr>
        <w:t>，圣奥古斯丁对这一教义进行了非常详尽的阐述，特别是在反对多纳图斯派的著作中。参见其全部著作索引中</w:t>
      </w:r>
      <w:r w:rsidRPr="0097554A">
        <w:rPr>
          <w:color w:val="0000FF"/>
          <w:lang w:val="ru-RU"/>
        </w:rPr>
        <w:t>“</w:t>
      </w:r>
      <w:r w:rsidRPr="004C59BB">
        <w:rPr>
          <w:color w:val="0000FF"/>
        </w:rPr>
        <w:t>Ecclesia</w:t>
      </w:r>
      <w:r w:rsidRPr="004C59BB">
        <w:rPr>
          <w:color w:val="0000FF"/>
          <w:lang w:val="ru-RU"/>
        </w:rPr>
        <w:t>”条目（</w:t>
      </w:r>
      <w:r w:rsidRPr="004C59BB">
        <w:rPr>
          <w:color w:val="0000FF"/>
        </w:rPr>
        <w:t>见</w:t>
      </w:r>
      <w:r w:rsidRPr="004C59BB">
        <w:rPr>
          <w:color w:val="0000FF"/>
          <w:lang w:val="ru-RU"/>
        </w:rPr>
        <w:t>《教父</w:t>
      </w:r>
      <w:r w:rsidRPr="004C59BB">
        <w:rPr>
          <w:color w:val="0000FF"/>
        </w:rPr>
        <w:t>全集</w:t>
      </w:r>
      <w:r w:rsidRPr="004C59BB">
        <w:rPr>
          <w:color w:val="0000FF"/>
          <w:lang w:val="ru-RU"/>
        </w:rPr>
        <w:t>》</w:t>
      </w:r>
      <w:r w:rsidRPr="004C59BB">
        <w:rPr>
          <w:color w:val="0000FF"/>
        </w:rPr>
        <w:t>第XLVI卷</w:t>
      </w:r>
      <w:r w:rsidRPr="0097554A">
        <w:rPr>
          <w:color w:val="0000FF"/>
          <w:lang w:val="ru-RU"/>
        </w:rPr>
        <w:t>）</w:t>
      </w:r>
      <w:r w:rsidRPr="004C59BB">
        <w:rPr>
          <w:color w:val="0000FF"/>
        </w:rPr>
        <w:t>。</w:t>
      </w:r>
    </w:p>
  </w:footnote>
  <w:footnote w:id="462">
    <w:p w14:paraId="277F0FFF" w14:textId="0FB704D3"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奥利金</w:t>
      </w:r>
      <w:r w:rsidRPr="0097554A">
        <w:rPr>
          <w:color w:val="0000FF"/>
          <w:lang w:val="ru-RU"/>
        </w:rPr>
        <w:t>，</w:t>
      </w:r>
      <w:r w:rsidRPr="004C59BB">
        <w:rPr>
          <w:color w:val="0000FF"/>
        </w:rPr>
        <w:t>《约翰福音注释》第X卷</w:t>
      </w:r>
      <w:r w:rsidRPr="0097554A">
        <w:rPr>
          <w:color w:val="0000FF"/>
          <w:lang w:val="ru-RU"/>
        </w:rPr>
        <w:t>，</w:t>
      </w:r>
      <w:r w:rsidRPr="004C59BB">
        <w:rPr>
          <w:color w:val="0000FF"/>
        </w:rPr>
        <w:t>第</w:t>
      </w:r>
      <w:r w:rsidRPr="0097554A">
        <w:rPr>
          <w:color w:val="0000FF"/>
          <w:lang w:val="ru-RU"/>
        </w:rPr>
        <w:t>16</w:t>
      </w:r>
      <w:r w:rsidRPr="004C59BB">
        <w:rPr>
          <w:color w:val="0000FF"/>
        </w:rPr>
        <w:t>节</w:t>
      </w:r>
      <w:r w:rsidRPr="0097554A">
        <w:rPr>
          <w:color w:val="0000FF"/>
          <w:lang w:val="ru-RU"/>
        </w:rPr>
        <w:t>；</w:t>
      </w:r>
      <w:r w:rsidRPr="004C59BB">
        <w:rPr>
          <w:color w:val="0000FF"/>
        </w:rPr>
        <w:t>《利未记讲道集》第八篇</w:t>
      </w:r>
      <w:r w:rsidRPr="0097554A">
        <w:rPr>
          <w:color w:val="0000FF"/>
          <w:lang w:val="ru-RU"/>
        </w:rPr>
        <w:t>，</w:t>
      </w:r>
      <w:r w:rsidRPr="004C59BB">
        <w:rPr>
          <w:color w:val="0000FF"/>
        </w:rPr>
        <w:t>第</w:t>
      </w:r>
      <w:r w:rsidRPr="0097554A">
        <w:rPr>
          <w:color w:val="0000FF"/>
          <w:lang w:val="ru-RU"/>
        </w:rPr>
        <w:t>1</w:t>
      </w:r>
      <w:r w:rsidRPr="004C59BB">
        <w:rPr>
          <w:color w:val="0000FF"/>
        </w:rPr>
        <w:t>节</w:t>
      </w:r>
      <w:r w:rsidRPr="0097554A">
        <w:rPr>
          <w:color w:val="0000FF"/>
          <w:lang w:val="ru-RU"/>
        </w:rPr>
        <w:t>；</w:t>
      </w:r>
      <w:r w:rsidRPr="004C59BB">
        <w:rPr>
          <w:color w:val="0000FF"/>
        </w:rPr>
        <w:t>《以西结书讲道集》第一篇</w:t>
      </w:r>
      <w:r w:rsidRPr="0097554A">
        <w:rPr>
          <w:color w:val="0000FF"/>
          <w:lang w:val="ru-RU"/>
        </w:rPr>
        <w:t>，</w:t>
      </w:r>
      <w:r w:rsidRPr="004C59BB">
        <w:rPr>
          <w:color w:val="0000FF"/>
        </w:rPr>
        <w:t>第II节</w:t>
      </w:r>
      <w:r w:rsidRPr="0097554A">
        <w:rPr>
          <w:color w:val="0000FF"/>
          <w:lang w:val="ru-RU"/>
        </w:rPr>
        <w:t>；</w:t>
      </w:r>
      <w:r w:rsidRPr="004C59BB">
        <w:rPr>
          <w:color w:val="0000FF"/>
        </w:rPr>
        <w:t>帕蒂安致西姆普的书信第三封</w:t>
      </w:r>
      <w:r w:rsidRPr="0097554A">
        <w:rPr>
          <w:color w:val="0000FF"/>
          <w:lang w:val="ru-RU"/>
        </w:rPr>
        <w:t>，</w:t>
      </w:r>
      <w:r w:rsidRPr="004C59BB">
        <w:rPr>
          <w:color w:val="0000FF"/>
        </w:rPr>
        <w:t>第</w:t>
      </w:r>
      <w:r w:rsidRPr="0097554A">
        <w:rPr>
          <w:color w:val="0000FF"/>
          <w:lang w:val="ru-RU"/>
        </w:rPr>
        <w:t>21</w:t>
      </w:r>
      <w:r w:rsidRPr="004C59BB">
        <w:rPr>
          <w:color w:val="0000FF"/>
        </w:rPr>
        <w:t>节</w:t>
      </w:r>
      <w:r w:rsidRPr="0097554A">
        <w:rPr>
          <w:color w:val="0000FF"/>
          <w:lang w:val="ru-RU"/>
        </w:rPr>
        <w:t xml:space="preserve">； </w:t>
      </w:r>
      <w:r w:rsidRPr="004C59BB">
        <w:rPr>
          <w:color w:val="0000FF"/>
        </w:rPr>
        <w:t>西奥多尔</w:t>
      </w:r>
      <w:r w:rsidRPr="0097554A">
        <w:rPr>
          <w:color w:val="0000FF"/>
          <w:lang w:val="ru-RU"/>
        </w:rPr>
        <w:t>，</w:t>
      </w:r>
      <w:r w:rsidRPr="004C59BB">
        <w:rPr>
          <w:color w:val="0000FF"/>
        </w:rPr>
        <w:t>《诗篇注释》第XXXIX篇</w:t>
      </w:r>
      <w:r w:rsidRPr="0097554A">
        <w:rPr>
          <w:color w:val="0000FF"/>
          <w:lang w:val="ru-RU"/>
        </w:rPr>
        <w:t>，</w:t>
      </w:r>
      <w:r w:rsidRPr="004C59BB">
        <w:rPr>
          <w:color w:val="0000FF"/>
        </w:rPr>
        <w:t>第</w:t>
      </w:r>
      <w:r w:rsidRPr="0097554A">
        <w:rPr>
          <w:color w:val="0000FF"/>
          <w:lang w:val="ru-RU"/>
        </w:rPr>
        <w:t>13</w:t>
      </w:r>
      <w:r w:rsidRPr="004C59BB">
        <w:rPr>
          <w:color w:val="0000FF"/>
        </w:rPr>
        <w:t>节</w:t>
      </w:r>
      <w:r w:rsidRPr="0097554A">
        <w:rPr>
          <w:color w:val="0000FF"/>
          <w:lang w:val="ru-RU"/>
        </w:rPr>
        <w:t>；</w:t>
      </w:r>
      <w:r w:rsidRPr="004C59BB">
        <w:rPr>
          <w:color w:val="0000FF"/>
        </w:rPr>
        <w:t>格雷戈里</w:t>
      </w:r>
      <w:r w:rsidRPr="0097554A">
        <w:rPr>
          <w:color w:val="0000FF"/>
          <w:lang w:val="ru-RU"/>
        </w:rPr>
        <w:t>·</w:t>
      </w:r>
      <w:r w:rsidRPr="004C59BB">
        <w:rPr>
          <w:color w:val="0000FF"/>
        </w:rPr>
        <w:t>马格努斯</w:t>
      </w:r>
      <w:r w:rsidRPr="0097554A">
        <w:rPr>
          <w:color w:val="0000FF"/>
          <w:lang w:val="ru-RU"/>
        </w:rPr>
        <w:t>，</w:t>
      </w:r>
      <w:r w:rsidRPr="004C59BB">
        <w:rPr>
          <w:color w:val="0000FF"/>
        </w:rPr>
        <w:t>《福音书注释》第II卷</w:t>
      </w:r>
      <w:r w:rsidRPr="0097554A">
        <w:rPr>
          <w:color w:val="0000FF"/>
          <w:lang w:val="ru-RU"/>
        </w:rPr>
        <w:t>，</w:t>
      </w:r>
      <w:r w:rsidRPr="004C59BB">
        <w:rPr>
          <w:color w:val="0000FF"/>
        </w:rPr>
        <w:t>讲道集第XXXVIII篇</w:t>
      </w:r>
      <w:r w:rsidRPr="0097554A">
        <w:rPr>
          <w:color w:val="0000FF"/>
          <w:lang w:val="ru-RU"/>
        </w:rPr>
        <w:t>，</w:t>
      </w:r>
      <w:r w:rsidRPr="004C59BB">
        <w:rPr>
          <w:color w:val="0000FF"/>
        </w:rPr>
        <w:t>第</w:t>
      </w:r>
      <w:r w:rsidRPr="0097554A">
        <w:rPr>
          <w:color w:val="0000FF"/>
          <w:lang w:val="ru-RU"/>
        </w:rPr>
        <w:t>7</w:t>
      </w:r>
      <w:r w:rsidRPr="004C59BB">
        <w:rPr>
          <w:color w:val="0000FF"/>
        </w:rPr>
        <w:t>、</w:t>
      </w:r>
      <w:r w:rsidRPr="004C59BB">
        <w:rPr>
          <w:color w:val="0000FF"/>
          <w:lang w:val="ru-RU"/>
        </w:rPr>
        <w:t>8</w:t>
      </w:r>
      <w:r w:rsidRPr="004C59BB">
        <w:rPr>
          <w:color w:val="0000FF"/>
        </w:rPr>
        <w:t>节</w:t>
      </w:r>
      <w:r w:rsidRPr="004C59BB">
        <w:rPr>
          <w:color w:val="0000FF"/>
          <w:lang w:val="ru-RU"/>
        </w:rPr>
        <w:t>。</w:t>
      </w:r>
    </w:p>
  </w:footnote>
  <w:footnote w:id="463">
    <w:p w14:paraId="4086CADC" w14:textId="586907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《使徒规条》第62条；彼得·亚历山大的《规条》第4条和第10条。总体而言，请参阅《圣使徒、圣大公会议及圣教父规条集》索引中的词条：“背弃信仰”。</w:t>
      </w:r>
    </w:p>
  </w:footnote>
  <w:footnote w:id="464">
    <w:p w14:paraId="70530A73" w14:textId="7B69B90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爱任纽《反异端》第二卷</w:t>
      </w:r>
      <w:r w:rsidRPr="0097554A">
        <w:rPr>
          <w:color w:val="0000FF"/>
          <w:lang w:val="ru-RU"/>
        </w:rPr>
        <w:t>，</w:t>
      </w:r>
      <w:r w:rsidRPr="004C59BB">
        <w:rPr>
          <w:color w:val="0000FF"/>
        </w:rPr>
        <w:t>第</w:t>
      </w:r>
      <w:r w:rsidRPr="0097554A">
        <w:rPr>
          <w:color w:val="0000FF"/>
          <w:lang w:val="ru-RU"/>
        </w:rPr>
        <w:t>28</w:t>
      </w:r>
      <w:r w:rsidRPr="004C59BB">
        <w:rPr>
          <w:color w:val="0000FF"/>
        </w:rPr>
        <w:t>章。</w:t>
      </w:r>
    </w:p>
  </w:footnote>
  <w:footnote w:id="465">
    <w:p w14:paraId="3BDA9F97" w14:textId="6931F9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参见《规则集》索引中的词条：“异端分子”、“异端”。</w:t>
      </w:r>
    </w:p>
  </w:footnote>
  <w:footnote w:id="466">
    <w:p w14:paraId="5CA9F679" w14:textId="6C60DD5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那些所信的与基督教会所承认的相悖的人</w:t>
      </w:r>
      <w:r w:rsidRPr="0097554A">
        <w:rPr>
          <w:color w:val="0000FF"/>
          <w:lang w:val="ru-RU"/>
        </w:rPr>
        <w:t>，</w:t>
      </w:r>
      <w:r w:rsidRPr="004C59BB">
        <w:rPr>
          <w:color w:val="0000FF"/>
        </w:rPr>
        <w:t>岂不是敌基督者吗</w:t>
      </w:r>
      <w:r w:rsidRPr="0097554A">
        <w:rPr>
          <w:color w:val="0000FF"/>
          <w:lang w:val="ru-RU"/>
        </w:rPr>
        <w:t>？”（</w:t>
      </w:r>
      <w:r w:rsidRPr="004C59BB">
        <w:rPr>
          <w:color w:val="0000FF"/>
        </w:rPr>
        <w:t>迪迪莫</w:t>
      </w:r>
      <w:r w:rsidRPr="0097554A">
        <w:rPr>
          <w:color w:val="0000FF"/>
          <w:lang w:val="ru-RU"/>
        </w:rPr>
        <w:t>，</w:t>
      </w:r>
      <w:r w:rsidRPr="004C59BB">
        <w:rPr>
          <w:color w:val="0000FF"/>
        </w:rPr>
        <w:t>《约翰一书注释》第二卷</w:t>
      </w:r>
      <w:r w:rsidRPr="0097554A">
        <w:rPr>
          <w:color w:val="0000FF"/>
          <w:lang w:val="ru-RU"/>
        </w:rPr>
        <w:t>，</w:t>
      </w:r>
      <w:r w:rsidRPr="004C59BB">
        <w:rPr>
          <w:color w:val="0000FF"/>
        </w:rPr>
        <w:t>第</w:t>
      </w:r>
      <w:r w:rsidRPr="0097554A">
        <w:rPr>
          <w:color w:val="0000FF"/>
          <w:lang w:val="ru-RU"/>
        </w:rPr>
        <w:t>29</w:t>
      </w:r>
      <w:r w:rsidRPr="004C59BB">
        <w:rPr>
          <w:color w:val="0000FF"/>
        </w:rPr>
        <w:t>章</w:t>
      </w:r>
      <w:r w:rsidRPr="0097554A">
        <w:rPr>
          <w:color w:val="0000FF"/>
          <w:lang w:val="ru-RU"/>
        </w:rPr>
        <w:t>）</w:t>
      </w:r>
      <w:r w:rsidRPr="004C59BB">
        <w:rPr>
          <w:color w:val="0000FF"/>
        </w:rPr>
        <w:t>。</w:t>
      </w:r>
    </w:p>
  </w:footnote>
  <w:footnote w:id="467">
    <w:p w14:paraId="095F89A5" w14:textId="0BB27DD7"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贾斯汀</w:t>
      </w:r>
      <w:r w:rsidRPr="0097554A">
        <w:rPr>
          <w:color w:val="0000FF"/>
          <w:lang w:val="ru-RU"/>
        </w:rPr>
        <w:t>，</w:t>
      </w:r>
      <w:r w:rsidRPr="004C59BB">
        <w:rPr>
          <w:color w:val="0000FF"/>
        </w:rPr>
        <w:t>《护教辞》第一卷</w:t>
      </w:r>
      <w:r w:rsidRPr="0097554A">
        <w:rPr>
          <w:color w:val="0000FF"/>
          <w:lang w:val="ru-RU"/>
        </w:rPr>
        <w:t>，</w:t>
      </w:r>
      <w:r w:rsidRPr="004C59BB">
        <w:rPr>
          <w:color w:val="0000FF"/>
        </w:rPr>
        <w:t>第</w:t>
      </w:r>
      <w:r w:rsidRPr="0097554A">
        <w:rPr>
          <w:color w:val="0000FF"/>
          <w:lang w:val="ru-RU"/>
        </w:rPr>
        <w:t>26</w:t>
      </w:r>
      <w:r w:rsidRPr="004C59BB">
        <w:rPr>
          <w:color w:val="0000FF"/>
        </w:rPr>
        <w:t>章</w:t>
      </w:r>
      <w:r w:rsidRPr="0097554A">
        <w:rPr>
          <w:color w:val="0000FF"/>
          <w:lang w:val="ru-RU"/>
        </w:rPr>
        <w:t>；</w:t>
      </w:r>
      <w:r w:rsidRPr="004C59BB">
        <w:rPr>
          <w:color w:val="0000FF"/>
        </w:rPr>
        <w:t>《与特里弗的对话》第</w:t>
      </w:r>
      <w:r w:rsidRPr="0097554A">
        <w:rPr>
          <w:color w:val="0000FF"/>
          <w:lang w:val="ru-RU"/>
        </w:rPr>
        <w:t>35</w:t>
      </w:r>
      <w:r w:rsidRPr="004C59BB">
        <w:rPr>
          <w:color w:val="0000FF"/>
        </w:rPr>
        <w:t>、</w:t>
      </w:r>
      <w:r w:rsidRPr="0097554A">
        <w:rPr>
          <w:color w:val="0000FF"/>
          <w:lang w:val="ru-RU"/>
        </w:rPr>
        <w:t>36</w:t>
      </w:r>
      <w:r w:rsidRPr="004C59BB">
        <w:rPr>
          <w:color w:val="0000FF"/>
        </w:rPr>
        <w:t>、</w:t>
      </w:r>
      <w:r w:rsidRPr="0097554A">
        <w:rPr>
          <w:color w:val="0000FF"/>
          <w:lang w:val="ru-RU"/>
        </w:rPr>
        <w:t>80</w:t>
      </w:r>
      <w:r w:rsidRPr="004C59BB">
        <w:rPr>
          <w:color w:val="0000FF"/>
        </w:rPr>
        <w:t>章。西普里安，《书信》第52封；安布罗斯，《路加福音注释》第四卷，第9章：凡不承认基督一切属性的，便是否认基督。</w:t>
      </w:r>
    </w:p>
  </w:footnote>
  <w:footnote w:id="468">
    <w:p w14:paraId="5973DD32" w14:textId="7B5795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特土良，《论异端》，第37章：因为如果他们是异端，就不可能成为基督徒；西普里安，《论教会合一》：“正如魔鬼虽以基督之名自称，却并非基督；同样，不持守福音和真道的人，也不是基督徒” （《基督教读本》1837年，第1卷，第24页）；亚他那修，《反阿里乌派演说》第一篇，第2节；金口若望，《使徒行传讲道集》第三十三篇，第4节；巴西尔，《诗篇注释》第四十八篇，第7节；奥古斯丁，《论真正的宗教》第五章，第9节。</w:t>
      </w:r>
    </w:p>
  </w:footnote>
  <w:footnote w:id="469">
    <w:p w14:paraId="393DE24B" w14:textId="028F71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“他们之间难道有什么区别吗？无非是外邦人虽不信却信，而异端分子虽信却不信。”特土良《论基督的肉身》第15章；金口若望《讲道集》：关于“因为他能……”的讲道，第5节。</w:t>
      </w:r>
    </w:p>
  </w:footnote>
  <w:footnote w:id="470">
    <w:p w14:paraId="7EB3EA6C" w14:textId="08EC6DA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参见巴西尔《致安菲尔的大教规书信》</w:t>
      </w:r>
      <w:r w:rsidRPr="004C59BB">
        <w:rPr>
          <w:color w:val="0000FF"/>
        </w:rPr>
        <w:t>第一卷</w:t>
      </w:r>
      <w:r w:rsidRPr="0097554A">
        <w:rPr>
          <w:color w:val="0000FF"/>
        </w:rPr>
        <w:t>，</w:t>
      </w:r>
      <w:r w:rsidRPr="004C59BB">
        <w:rPr>
          <w:color w:val="0000FF"/>
          <w:lang w:val="ru-RU"/>
        </w:rPr>
        <w:t>第一条。</w:t>
      </w:r>
    </w:p>
  </w:footnote>
  <w:footnote w:id="471">
    <w:p w14:paraId="492D31A3" w14:textId="1630A30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不应与异端分子和背教者一同祈祷</w:t>
      </w:r>
      <w:r w:rsidRPr="0097554A">
        <w:rPr>
          <w:color w:val="0000FF"/>
        </w:rPr>
        <w:t>”</w:t>
      </w:r>
      <w:r w:rsidRPr="004C59BB">
        <w:rPr>
          <w:color w:val="0000FF"/>
          <w:lang w:val="ru-RU"/>
        </w:rPr>
        <w:t>。</w:t>
      </w:r>
    </w:p>
  </w:footnote>
  <w:footnote w:id="472">
    <w:p w14:paraId="73915845" w14:textId="30774BCC"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“应当知道，主教在教会中，教会也在主教之中；凡不与主教同在者，便不在教会之中……”</w:t>
      </w:r>
      <w:r w:rsidRPr="004C59BB">
        <w:rPr>
          <w:color w:val="0000FF"/>
          <w:lang w:val="ru-RU"/>
        </w:rPr>
        <w:t>《</w:t>
      </w:r>
      <w:r w:rsidRPr="004C59BB">
        <w:rPr>
          <w:color w:val="0000FF"/>
        </w:rPr>
        <w:t>书信</w:t>
      </w:r>
      <w:r w:rsidRPr="004C59BB">
        <w:rPr>
          <w:color w:val="0000FF"/>
          <w:lang w:val="ru-RU"/>
        </w:rPr>
        <w:t>集》</w:t>
      </w:r>
      <w:r w:rsidRPr="004C59BB">
        <w:rPr>
          <w:color w:val="0000FF"/>
        </w:rPr>
        <w:t>第LXIX</w:t>
      </w:r>
      <w:r w:rsidRPr="004C59BB">
        <w:rPr>
          <w:color w:val="0000FF"/>
          <w:lang w:val="ru-RU"/>
        </w:rPr>
        <w:t>封</w:t>
      </w:r>
      <w:r w:rsidRPr="0097554A">
        <w:rPr>
          <w:color w:val="0000FF"/>
        </w:rPr>
        <w:t>，</w:t>
      </w:r>
      <w:r w:rsidRPr="004C59BB">
        <w:rPr>
          <w:color w:val="0000FF"/>
          <w:lang w:val="ru-RU"/>
        </w:rPr>
        <w:t>第</w:t>
      </w:r>
      <w:r w:rsidRPr="0097554A">
        <w:rPr>
          <w:color w:val="0000FF"/>
        </w:rPr>
        <w:t>8</w:t>
      </w:r>
      <w:r w:rsidRPr="004C59BB">
        <w:rPr>
          <w:color w:val="0000FF"/>
          <w:lang w:val="ru-RU"/>
        </w:rPr>
        <w:t>节。</w:t>
      </w:r>
    </w:p>
  </w:footnote>
  <w:footnote w:id="473">
    <w:p w14:paraId="0D9ED067" w14:textId="74E0D8A4"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关于教会的合一</w:t>
      </w:r>
      <w:r w:rsidRPr="0097554A">
        <w:rPr>
          <w:color w:val="0000FF"/>
        </w:rPr>
        <w:t>，</w:t>
      </w:r>
      <w:r w:rsidRPr="004C59BB">
        <w:rPr>
          <w:color w:val="0000FF"/>
          <w:lang w:val="ru-RU"/>
        </w:rPr>
        <w:t>载于《基督读本》</w:t>
      </w:r>
      <w:r w:rsidRPr="0097554A">
        <w:rPr>
          <w:color w:val="0000FF"/>
        </w:rPr>
        <w:t>1837</w:t>
      </w:r>
      <w:r w:rsidRPr="004C59BB">
        <w:rPr>
          <w:color w:val="0000FF"/>
          <w:lang w:val="ru-RU"/>
        </w:rPr>
        <w:t>年第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25</w:t>
      </w:r>
      <w:r w:rsidRPr="004C59BB">
        <w:rPr>
          <w:color w:val="0000FF"/>
          <w:lang w:val="ru-RU"/>
        </w:rPr>
        <w:t>页。并进一步指出：“应当远离并避开任何脱离教会的人：这样的人已经堕落，既犯罪又自取沉沦（提多书3:11）。” 事实上，那些反抗基督的司祭之人，岂能自以为与基督同在？这岂不是将自己与祂的教职人员及信众隔绝了吗？不，他举起武器对抗教会，抵挡神圣的教会治理； 他是祭坛的仇敌，是反对基督牺牲的叛乱者，在信仰上是个背叛者，在虔诚上是个亵渎者；他是悖逆的奴仆，是狂妄的儿子，是敌视的弟兄。他蔑视主教，背弃神的祭司， 他竟胆敢设立另一个祭坛，用不被允许的言辞献上另一种祈祷，以非法的献祭玷污主真正的牺牲，甚至不愿承认：凡违背神圣秩序行事者，必因这鲁莽的狂妄而受到上帝的惩罚”（第46–47页）。</w:t>
      </w:r>
    </w:p>
  </w:footnote>
  <w:footnote w:id="474">
    <w:p w14:paraId="018B31B6" w14:textId="4DF0346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见《以弗所书讲道集》第十一讲</w:t>
      </w:r>
      <w:r w:rsidRPr="0097554A">
        <w:rPr>
          <w:color w:val="0000FF"/>
          <w:lang w:val="ru-RU"/>
        </w:rPr>
        <w:t>，</w:t>
      </w:r>
      <w:r w:rsidRPr="004C59BB">
        <w:rPr>
          <w:color w:val="0000FF"/>
        </w:rPr>
        <w:t>第</w:t>
      </w:r>
      <w:r w:rsidRPr="0097554A">
        <w:rPr>
          <w:color w:val="0000FF"/>
          <w:lang w:val="ru-RU"/>
        </w:rPr>
        <w:t>5</w:t>
      </w:r>
      <w:r w:rsidRPr="004C59BB">
        <w:rPr>
          <w:color w:val="0000FF"/>
        </w:rPr>
        <w:t>段。</w:t>
      </w:r>
    </w:p>
  </w:footnote>
  <w:footnote w:id="475">
    <w:p w14:paraId="55CB335A" w14:textId="6F4325F2"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关于神的审判，见《圣父</w:t>
      </w:r>
      <w:r w:rsidRPr="004C59BB">
        <w:rPr>
          <w:color w:val="0000FF"/>
        </w:rPr>
        <w:t>著作集》第九卷</w:t>
      </w:r>
      <w:r w:rsidRPr="0097554A">
        <w:rPr>
          <w:color w:val="0000FF"/>
          <w:lang w:val="ru-RU"/>
        </w:rPr>
        <w:t>，</w:t>
      </w:r>
      <w:r w:rsidRPr="004C59BB">
        <w:rPr>
          <w:color w:val="0000FF"/>
        </w:rPr>
        <w:t>第</w:t>
      </w:r>
      <w:r w:rsidRPr="0097554A">
        <w:rPr>
          <w:color w:val="0000FF"/>
          <w:lang w:val="ru-RU"/>
        </w:rPr>
        <w:t>12</w:t>
      </w:r>
      <w:r w:rsidRPr="004C59BB">
        <w:rPr>
          <w:color w:val="0000FF"/>
        </w:rPr>
        <w:t>章。</w:t>
      </w:r>
    </w:p>
  </w:footnote>
  <w:footnote w:id="476">
    <w:p w14:paraId="02AE71C2" w14:textId="0DAB5932"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《论洗礼的唯一性</w:t>
      </w:r>
      <w:r w:rsidRPr="0097554A">
        <w:rPr>
          <w:color w:val="0000FF"/>
          <w:lang w:val="ru-RU"/>
        </w:rPr>
        <w:t>：</w:t>
      </w:r>
      <w:r w:rsidRPr="004C59BB">
        <w:rPr>
          <w:color w:val="0000FF"/>
        </w:rPr>
        <w:t>反驳佩蒂利安》</w:t>
      </w:r>
      <w:r w:rsidRPr="004C59BB">
        <w:rPr>
          <w:color w:val="0000FF"/>
          <w:lang w:val="ru-RU"/>
        </w:rPr>
        <w:t>，第9</w:t>
      </w:r>
      <w:r w:rsidRPr="004C59BB">
        <w:rPr>
          <w:color w:val="0000FF"/>
        </w:rPr>
        <w:t>章</w:t>
      </w:r>
      <w:r w:rsidRPr="004C59BB">
        <w:rPr>
          <w:color w:val="0000FF"/>
          <w:lang w:val="ru-RU"/>
        </w:rPr>
        <w:t>。</w:t>
      </w:r>
    </w:p>
  </w:footnote>
  <w:footnote w:id="477">
    <w:p w14:paraId="010F100F" w14:textId="2F18B8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参见“正教周”的礼仪。</w:t>
      </w:r>
    </w:p>
  </w:footnote>
  <w:footnote w:id="478">
    <w:p w14:paraId="3EDA4506" w14:textId="7518A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《教规》。《使徒行传》9、10、45、65；第一大公会议 11、12、14；安基拉会议 4、5。 6、8、9；安提阿公会议 2；亚历山大彼得 4；格里高利·尼奥基福斯 8、9、10；大瓦西里 84、85 以及许多其他文献。</w:t>
      </w:r>
    </w:p>
  </w:footnote>
  <w:footnote w:id="479">
    <w:p w14:paraId="676F709E" w14:textId="17279C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致庞波尼乌斯的书信</w:t>
      </w:r>
      <w:r w:rsidRPr="004C59BB">
        <w:rPr>
          <w:color w:val="0000FF"/>
          <w:lang w:val="ru-RU"/>
        </w:rPr>
        <w:t>》</w:t>
      </w:r>
      <w:r w:rsidRPr="004C59BB">
        <w:rPr>
          <w:color w:val="0000FF"/>
        </w:rPr>
        <w:t>第LXII封</w:t>
      </w:r>
      <w:r w:rsidRPr="004C59BB">
        <w:rPr>
          <w:color w:val="0000FF"/>
          <w:lang w:val="ru-RU"/>
        </w:rPr>
        <w:t>，第4节。</w:t>
      </w:r>
    </w:p>
  </w:footnote>
  <w:footnote w:id="480">
    <w:p w14:paraId="59F2984F" w14:textId="0AD73ADA"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《以赛亚书》</w:t>
      </w:r>
      <w:r w:rsidRPr="004C59BB">
        <w:rPr>
          <w:color w:val="0000FF"/>
        </w:rPr>
        <w:t>第一章</w:t>
      </w:r>
      <w:r w:rsidRPr="004C59BB">
        <w:rPr>
          <w:color w:val="0000FF"/>
          <w:lang w:val="ru-RU"/>
        </w:rPr>
        <w:t>注释，载于《圣教父文集》</w:t>
      </w:r>
      <w:r w:rsidRPr="004C59BB">
        <w:rPr>
          <w:color w:val="0000FF"/>
        </w:rPr>
        <w:t>第六</w:t>
      </w:r>
      <w:r w:rsidRPr="004C59BB">
        <w:rPr>
          <w:color w:val="0000FF"/>
          <w:lang w:val="ru-RU"/>
        </w:rPr>
        <w:t xml:space="preserve">卷，83–84页。另有一处写道：“对于那些受常规惩罚仍不守贞洁，被逐出祷告会后仍不悔改的人，必须按照主所赐的规则来处理。 因为经上记着说：‘倘若你的弟兄得罪你，就在你和他单独的时候指正他；他若不听从你，就带一个人同去；若仍不听从，就告诉教会。 </w:t>
      </w:r>
      <w:r w:rsidRPr="0097554A">
        <w:rPr>
          <w:color w:val="0000FF"/>
          <w:lang w:val="ru-RU"/>
        </w:rPr>
        <w:t>“</w:t>
      </w:r>
      <w:r w:rsidRPr="004C59BB">
        <w:rPr>
          <w:color w:val="0000FF"/>
          <w:lang w:val="ru-RU"/>
        </w:rPr>
        <w:t>倘若连教会也不听从，你就把他当作外邦人和税吏一样</w:t>
      </w:r>
      <w:r w:rsidRPr="004C59BB">
        <w:rPr>
          <w:color w:val="0000FF"/>
        </w:rPr>
        <w:t>对待</w:t>
      </w:r>
      <w:r w:rsidRPr="0097554A">
        <w:rPr>
          <w:color w:val="0000FF"/>
          <w:lang w:val="ru-RU"/>
        </w:rPr>
        <w:t>”</w:t>
      </w:r>
      <w:r w:rsidRPr="004C59BB">
        <w:rPr>
          <w:color w:val="0000FF"/>
          <w:lang w:val="ru-RU"/>
        </w:rPr>
        <w:t>（马太福音18:15,</w:t>
      </w:r>
      <w:r w:rsidRPr="0097554A">
        <w:rPr>
          <w:color w:val="0000FF"/>
          <w:lang w:val="ru-RU"/>
        </w:rPr>
        <w:t xml:space="preserve"> 17）”（</w:t>
      </w:r>
      <w:r w:rsidRPr="004C59BB">
        <w:rPr>
          <w:color w:val="0000FF"/>
        </w:rPr>
        <w:t>同上</w:t>
      </w:r>
      <w:r w:rsidRPr="0097554A">
        <w:rPr>
          <w:color w:val="0000FF"/>
          <w:lang w:val="ru-RU"/>
        </w:rPr>
        <w:t>，</w:t>
      </w:r>
      <w:r w:rsidRPr="004C59BB">
        <w:rPr>
          <w:color w:val="0000FF"/>
        </w:rPr>
        <w:t>第</w:t>
      </w:r>
      <w:r w:rsidRPr="0097554A">
        <w:rPr>
          <w:color w:val="0000FF"/>
          <w:lang w:val="ru-RU"/>
        </w:rPr>
        <w:t>286</w:t>
      </w:r>
      <w:r w:rsidRPr="004C59BB">
        <w:rPr>
          <w:color w:val="0000FF"/>
        </w:rPr>
        <w:t>页</w:t>
      </w:r>
      <w:r w:rsidRPr="0097554A">
        <w:rPr>
          <w:color w:val="0000FF"/>
          <w:lang w:val="ru-RU"/>
        </w:rPr>
        <w:t>）</w:t>
      </w:r>
      <w:r w:rsidRPr="004C59BB">
        <w:rPr>
          <w:color w:val="0000FF"/>
        </w:rPr>
        <w:t>。</w:t>
      </w:r>
    </w:p>
  </w:footnote>
  <w:footnote w:id="481">
    <w:p w14:paraId="093299EB" w14:textId="1573CFA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见《致提多书》第</w:t>
      </w:r>
      <w:r w:rsidRPr="0097554A">
        <w:rPr>
          <w:color w:val="0000FF"/>
          <w:lang w:val="ru-RU"/>
        </w:rPr>
        <w:t>3</w:t>
      </w:r>
      <w:r w:rsidRPr="004C59BB">
        <w:rPr>
          <w:color w:val="0000FF"/>
        </w:rPr>
        <w:t>章</w:t>
      </w:r>
      <w:r w:rsidRPr="0097554A">
        <w:rPr>
          <w:color w:val="0000FF"/>
          <w:lang w:val="ru-RU"/>
        </w:rPr>
        <w:t>；</w:t>
      </w:r>
      <w:r w:rsidRPr="004C59BB">
        <w:rPr>
          <w:color w:val="0000FF"/>
        </w:rPr>
        <w:t>参见特土良《护教论》第</w:t>
      </w:r>
      <w:r w:rsidRPr="0097554A">
        <w:rPr>
          <w:color w:val="0000FF"/>
          <w:lang w:val="ru-RU"/>
        </w:rPr>
        <w:t>39</w:t>
      </w:r>
      <w:r w:rsidRPr="004C59BB">
        <w:rPr>
          <w:color w:val="0000FF"/>
        </w:rPr>
        <w:t>章</w:t>
      </w:r>
      <w:r w:rsidRPr="0097554A">
        <w:rPr>
          <w:color w:val="0000FF"/>
          <w:lang w:val="ru-RU"/>
        </w:rPr>
        <w:t>；</w:t>
      </w:r>
      <w:r w:rsidRPr="004C59BB">
        <w:rPr>
          <w:color w:val="0000FF"/>
        </w:rPr>
        <w:t>奥古斯丁《论教会合一》第</w:t>
      </w:r>
      <w:r w:rsidRPr="0097554A">
        <w:rPr>
          <w:color w:val="0000FF"/>
          <w:lang w:val="ru-RU"/>
        </w:rPr>
        <w:t>25</w:t>
      </w:r>
      <w:r w:rsidRPr="004C59BB">
        <w:rPr>
          <w:color w:val="0000FF"/>
        </w:rPr>
        <w:t>章。</w:t>
      </w:r>
    </w:p>
  </w:footnote>
  <w:footnote w:id="482">
    <w:p w14:paraId="21F22066" w14:textId="1595F8A8"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致圣安菲尔的正统书信 </w:t>
      </w:r>
      <w:r w:rsidRPr="004C59BB">
        <w:rPr>
          <w:color w:val="0000FF"/>
        </w:rPr>
        <w:t>I</w:t>
      </w:r>
      <w:r w:rsidRPr="0097554A">
        <w:rPr>
          <w:color w:val="0000FF"/>
          <w:lang w:val="ru-RU"/>
        </w:rPr>
        <w:t>，</w:t>
      </w:r>
      <w:r w:rsidRPr="004C59BB">
        <w:rPr>
          <w:color w:val="0000FF"/>
        </w:rPr>
        <w:t>第</w:t>
      </w:r>
      <w:r w:rsidRPr="0097554A">
        <w:rPr>
          <w:color w:val="0000FF"/>
          <w:lang w:val="ru-RU"/>
        </w:rPr>
        <w:t xml:space="preserve"> 1 </w:t>
      </w:r>
      <w:r w:rsidRPr="004C59BB">
        <w:rPr>
          <w:color w:val="0000FF"/>
        </w:rPr>
        <w:t>条。</w:t>
      </w:r>
    </w:p>
  </w:footnote>
  <w:footnote w:id="483">
    <w:p w14:paraId="414D9437" w14:textId="734EA31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《致提多书》第</w:t>
      </w:r>
      <w:r w:rsidRPr="0097554A">
        <w:rPr>
          <w:color w:val="0000FF"/>
          <w:lang w:val="ru-RU"/>
        </w:rPr>
        <w:t>3</w:t>
      </w:r>
      <w:r w:rsidRPr="004C59BB">
        <w:rPr>
          <w:color w:val="0000FF"/>
        </w:rPr>
        <w:t>章。</w:t>
      </w:r>
    </w:p>
  </w:footnote>
  <w:footnote w:id="484">
    <w:p w14:paraId="61BA5988" w14:textId="2257861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《论信仰与信经》第</w:t>
      </w:r>
      <w:r w:rsidRPr="0097554A">
        <w:rPr>
          <w:color w:val="0000FF"/>
          <w:lang w:val="ru-RU"/>
        </w:rPr>
        <w:t>10</w:t>
      </w:r>
      <w:r w:rsidRPr="004C59BB">
        <w:rPr>
          <w:color w:val="0000FF"/>
        </w:rPr>
        <w:t>章。</w:t>
      </w:r>
    </w:p>
  </w:footnote>
  <w:footnote w:id="485">
    <w:p w14:paraId="23D3E0CC" w14:textId="0DFB0643"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正因如此，圣奥古斯丁才说：quidam corde positi in parte Donati, praesentiam nobis exhibent corporalem, sive viri, sive feminae, carne intus, spiritu foris（《初学教理问答》第17章）。圣奥古斯丁关于异端分子的以下话语也值得注意： 关于异端分子的言论同样发人深省：“那些人虽然捍卫自己的观点——尽管是错误且乖谬的——却并不怀有顽固的敌意；尤其是当这些观点并非源于他们自身狂妄的自负，而是承袭自被引诱陷入谬误的父母时，他们仍会以审慎的关切寻求真理，并随时准备接受纠正， 一旦发现真理，绝不应被归类为异端（《书信》43，另见162；《忏悔录》第45篇论《约翰福音》，以及《论信德之益》第1章）。</w:t>
      </w:r>
    </w:p>
  </w:footnote>
  <w:footnote w:id="486">
    <w:p w14:paraId="6FF5FC49" w14:textId="0634033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在使徒保罗所列举的基督仆人之中</w:t>
      </w:r>
      <w:r w:rsidRPr="0097554A">
        <w:rPr>
          <w:color w:val="0000FF"/>
        </w:rPr>
        <w:t>（</w:t>
      </w:r>
      <w:r w:rsidRPr="004C59BB">
        <w:rPr>
          <w:color w:val="0000FF"/>
          <w:lang w:val="ru-RU"/>
        </w:rPr>
        <w:t>以弗所书</w:t>
      </w:r>
      <w:r w:rsidRPr="0097554A">
        <w:rPr>
          <w:color w:val="0000FF"/>
        </w:rPr>
        <w:t> 4，</w:t>
      </w:r>
    </w:p>
  </w:footnote>
  <w:footnote w:id="487">
    <w:p w14:paraId="19B3ADEE" w14:textId="3096744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致非拉铁非书第3章。</w:t>
      </w:r>
    </w:p>
  </w:footnote>
  <w:footnote w:id="488">
    <w:p w14:paraId="7D3575FD" w14:textId="2C6ABAAA"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《反异端》第三</w:t>
      </w:r>
      <w:r w:rsidRPr="004C59BB">
        <w:rPr>
          <w:color w:val="0000FF"/>
          <w:lang w:val="ru-RU"/>
        </w:rPr>
        <w:t>卷</w:t>
      </w:r>
      <w:r w:rsidRPr="0097554A">
        <w:rPr>
          <w:color w:val="0000FF"/>
        </w:rPr>
        <w:t>，</w:t>
      </w:r>
      <w:r w:rsidRPr="004C59BB">
        <w:rPr>
          <w:color w:val="0000FF"/>
          <w:lang w:val="ru-RU"/>
        </w:rPr>
        <w:t>第</w:t>
      </w:r>
      <w:r w:rsidRPr="0097554A">
        <w:rPr>
          <w:color w:val="0000FF"/>
        </w:rPr>
        <w:t>24</w:t>
      </w:r>
      <w:r w:rsidRPr="004C59BB">
        <w:rPr>
          <w:color w:val="0000FF"/>
          <w:lang w:val="ru-RU"/>
        </w:rPr>
        <w:t>页</w:t>
      </w:r>
      <w:r w:rsidRPr="0097554A">
        <w:rPr>
          <w:color w:val="0000FF"/>
        </w:rPr>
        <w:t>，</w:t>
      </w:r>
      <w:r w:rsidRPr="004C59BB">
        <w:rPr>
          <w:color w:val="0000FF"/>
          <w:lang w:val="ru-RU"/>
        </w:rPr>
        <w:t>载于《基督教读本》</w:t>
      </w:r>
      <w:r w:rsidRPr="0097554A">
        <w:rPr>
          <w:color w:val="0000FF"/>
        </w:rPr>
        <w:t>1838</w:t>
      </w:r>
      <w:r w:rsidRPr="004C59BB">
        <w:rPr>
          <w:color w:val="0000FF"/>
          <w:lang w:val="ru-RU"/>
        </w:rPr>
        <w:t>年版</w:t>
      </w:r>
      <w:r w:rsidRPr="0097554A">
        <w:rPr>
          <w:color w:val="0000FF"/>
        </w:rPr>
        <w:t>，</w:t>
      </w:r>
      <w:r w:rsidRPr="004C59BB">
        <w:rPr>
          <w:color w:val="0000FF"/>
        </w:rPr>
        <w:t>第一卷</w:t>
      </w:r>
      <w:r w:rsidRPr="0097554A">
        <w:rPr>
          <w:color w:val="0000FF"/>
        </w:rPr>
        <w:t>，</w:t>
      </w:r>
      <w:r w:rsidRPr="004C59BB">
        <w:rPr>
          <w:color w:val="0000FF"/>
          <w:lang w:val="ru-RU"/>
        </w:rPr>
        <w:t>第</w:t>
      </w:r>
      <w:r w:rsidRPr="0097554A">
        <w:rPr>
          <w:color w:val="0000FF"/>
        </w:rPr>
        <w:t>135–136</w:t>
      </w:r>
      <w:r w:rsidRPr="004C59BB">
        <w:rPr>
          <w:color w:val="0000FF"/>
          <w:lang w:val="ru-RU"/>
        </w:rPr>
        <w:t>页。</w:t>
      </w:r>
    </w:p>
  </w:footnote>
  <w:footnote w:id="489">
    <w:p w14:paraId="03FF6AF9" w14:textId="444F3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《反异端》第五卷，第20页，载于《基督教读物》1838年，第一卷，第143页。</w:t>
      </w:r>
    </w:p>
  </w:footnote>
  <w:footnote w:id="490">
    <w:p w14:paraId="16351161" w14:textId="06B871DC"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反奥托利安派</w:t>
      </w:r>
      <w:r w:rsidRPr="004C59BB">
        <w:rPr>
          <w:color w:val="0000FF"/>
          <w:lang w:val="ru-RU"/>
        </w:rPr>
        <w:t>》</w:t>
      </w:r>
      <w:r w:rsidRPr="004C59BB">
        <w:rPr>
          <w:color w:val="0000FF"/>
        </w:rPr>
        <w:t>第二</w:t>
      </w:r>
      <w:r w:rsidRPr="004C59BB">
        <w:rPr>
          <w:color w:val="0000FF"/>
          <w:lang w:val="ru-RU"/>
        </w:rPr>
        <w:t>卷</w:t>
      </w:r>
      <w:r w:rsidRPr="0097554A">
        <w:rPr>
          <w:color w:val="0000FF"/>
        </w:rPr>
        <w:t>，</w:t>
      </w:r>
      <w:r w:rsidRPr="004C59BB">
        <w:rPr>
          <w:color w:val="0000FF"/>
          <w:lang w:val="ru-RU"/>
        </w:rPr>
        <w:t>第</w:t>
      </w:r>
      <w:r w:rsidRPr="0097554A">
        <w:rPr>
          <w:color w:val="0000FF"/>
        </w:rPr>
        <w:t>14</w:t>
      </w:r>
      <w:r w:rsidRPr="004C59BB">
        <w:rPr>
          <w:color w:val="0000FF"/>
          <w:lang w:val="ru-RU"/>
        </w:rPr>
        <w:t>页。随后，他将异端教派比作暗礁，船只撞上暗礁便会撞毁，船员们也随之丧生。</w:t>
      </w:r>
    </w:p>
  </w:footnote>
  <w:footnote w:id="491">
    <w:p w14:paraId="49EDF77C" w14:textId="737028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《论教会的合一》，载于《基督教读本》1837年版，</w:t>
      </w:r>
      <w:r w:rsidRPr="004C59BB">
        <w:rPr>
          <w:color w:val="0000FF"/>
        </w:rPr>
        <w:t>第I卷</w:t>
      </w:r>
      <w:r w:rsidRPr="004C59BB">
        <w:rPr>
          <w:color w:val="0000FF"/>
          <w:lang w:val="ru-RU"/>
        </w:rPr>
        <w:t>，第27、40页。</w:t>
      </w:r>
    </w:p>
  </w:footnote>
  <w:footnote w:id="492">
    <w:p w14:paraId="62F4F962" w14:textId="77EAB98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《书信集》第LXXIII封。</w:t>
      </w:r>
    </w:p>
  </w:footnote>
  <w:footnote w:id="493">
    <w:p w14:paraId="33758ECB" w14:textId="60A9F28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《约珥书》第三章第</w:t>
      </w:r>
      <w:r w:rsidRPr="0097554A">
        <w:rPr>
          <w:color w:val="0000FF"/>
          <w:lang w:val="ru-RU"/>
        </w:rPr>
        <w:t>1</w:t>
      </w:r>
      <w:r w:rsidRPr="004C59BB">
        <w:rPr>
          <w:color w:val="0000FF"/>
        </w:rPr>
        <w:t>节。</w:t>
      </w:r>
    </w:p>
  </w:footnote>
  <w:footnote w:id="494">
    <w:p w14:paraId="48818C3E" w14:textId="49F5B595"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《以西结书》第七章第</w:t>
      </w:r>
      <w:r w:rsidRPr="0097554A">
        <w:rPr>
          <w:color w:val="0000FF"/>
          <w:lang w:val="ru-RU"/>
        </w:rPr>
        <w:t>15</w:t>
      </w:r>
      <w:r w:rsidRPr="004C59BB">
        <w:rPr>
          <w:color w:val="0000FF"/>
        </w:rPr>
        <w:t>节。在另一处经文中：主降雨于一座城，即持守真道之教会；却未降雨于另一座城，那城正处于异端分子的密谋之中。 前者将永远蒙受甘霖，后者则因干旱而枯萎，以致口渴之人被迫因缺乏水源而来到主的城邑，那里涌出最汩汩的泉源，将刺丛化作溪流（《阿摩司书》第四章7节）。</w:t>
      </w:r>
    </w:p>
  </w:footnote>
  <w:footnote w:id="495">
    <w:p w14:paraId="44699DA1" w14:textId="7FF440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《论合一》，教会篇第19章。</w:t>
      </w:r>
    </w:p>
  </w:footnote>
  <w:footnote w:id="496">
    <w:p w14:paraId="71AD7398" w14:textId="3F1D8E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同上，第2章。</w:t>
      </w:r>
    </w:p>
  </w:footnote>
  <w:footnote w:id="497">
    <w:p w14:paraId="215B0883" w14:textId="5C2C34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书信第CLII封。此外：在教会之外，人可以拥有一切，唯独得不到救恩。 他可能享有尊荣，可能领受圣事……，可能持守福音，可能以圣父、圣子和圣灵之名持守并宣讲信仰，但除了天主教会之外，他绝无可能找到救恩（《致凯撒市平信徒讲道集》第6号）。</w:t>
      </w:r>
    </w:p>
  </w:footnote>
  <w:footnote w:id="498">
    <w:p w14:paraId="7F15D844" w14:textId="6F44EE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见《耶稣之船》第二问。</w:t>
      </w:r>
    </w:p>
  </w:footnote>
  <w:footnote w:id="499">
    <w:p w14:paraId="517437FF" w14:textId="16FAA7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许多人自以为拥有，实则并未拥有；在教会内，人人皆有；在教会外，则无人拥有（安布罗斯《路加福音注》第X章，第39节）。</w:t>
      </w:r>
    </w:p>
  </w:footnote>
  <w:footnote w:id="500">
    <w:p w14:paraId="1DC8C5AE" w14:textId="03CF8D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希拉里《马太福音注》第XIII章，第1节；耶罗尼莫《传道书注》第X章，第15节。</w:t>
      </w:r>
    </w:p>
  </w:footnote>
  <w:footnote w:id="501">
    <w:p w14:paraId="0797A0F5" w14:textId="247243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奥古斯丁，《论真正的宗教》第V章，第9节；普罗斯珀，《诗篇注释》第CXXXI篇，第7节。</w:t>
      </w:r>
    </w:p>
  </w:footnote>
  <w:footnote w:id="502">
    <w:p w14:paraId="5F990FA6" w14:textId="41F77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奥古斯丁，《手册》第五章；彼得·克里索洛姆，《讲道集》第二十一篇。</w:t>
      </w:r>
    </w:p>
  </w:footnote>
  <w:footnote w:id="503">
    <w:p w14:paraId="5FA6CF55" w14:textId="1BD1A8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奥古斯丁，《论洗礼：反多纳图派》第三卷，17，注22；《讲道集》第七十一篇，注30。</w:t>
      </w:r>
    </w:p>
  </w:footnote>
  <w:footnote w:id="504">
    <w:p w14:paraId="3195D386" w14:textId="5AE96E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格雷戈里·纳齐安兹，《讲道集》第40篇。</w:t>
      </w:r>
    </w:p>
  </w:footnote>
  <w:footnote w:id="505">
    <w:p w14:paraId="36773779" w14:textId="138F91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耶罗尼姆，《以赛亚书注释》第LXVI章，15、16节。</w:t>
      </w:r>
    </w:p>
  </w:footnote>
  <w:footnote w:id="506">
    <w:p w14:paraId="2542C664" w14:textId="17A2A4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奥古斯丁，《诗篇注释》第XLII篇，注4。</w:t>
      </w:r>
    </w:p>
  </w:footnote>
  <w:footnote w:id="507">
    <w:p w14:paraId="673D0E5E" w14:textId="63874C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奥古斯丁，《诗篇注释》第LXXXIII篇，注6；《论洗礼：反多纳图派》第IV卷，第17章，注24。</w:t>
      </w:r>
    </w:p>
  </w:footnote>
  <w:footnote w:id="508">
    <w:p w14:paraId="1288EA6F" w14:textId="2FE4B2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帕蒂安致西姆普里乌斯的书信 II，第 7 节。</w:t>
      </w:r>
    </w:p>
  </w:footnote>
  <w:footnote w:id="509">
    <w:p w14:paraId="771D5563" w14:textId="2A4E40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金口若望，《腓立比书讲道集》第二篇，注3；《诗篇注释》第四十四篇，注12；希拉里，《诗篇注释》第十四篇，注8。</w:t>
      </w:r>
    </w:p>
  </w:footnote>
  <w:footnote w:id="510">
    <w:p w14:paraId="0162B655" w14:textId="152913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伊西多尔·佩卢斯，《书信集》第1卷，第CCXLXIX封信；耶罗尼莫，《以西结书注释》第七章，第19节。</w:t>
      </w:r>
    </w:p>
  </w:footnote>
  <w:footnote w:id="511">
    <w:p w14:paraId="01F10F2F" w14:textId="3193D0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希拉里，《诗篇》第XIV篇讲道，第8节；奥古斯丁，《论斋戒》，第7节。</w:t>
      </w:r>
    </w:p>
  </w:footnote>
  <w:footnote w:id="512">
    <w:p w14:paraId="23C4F3B4" w14:textId="1D7778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耶罗尼莫，《阿摩司书》注释，第四章，第7节。</w:t>
      </w:r>
    </w:p>
  </w:footnote>
  <w:footnote w:id="513">
    <w:p w14:paraId="7873594D" w14:textId="36BABD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安布罗斯，《论大卫的质问》第二卷第2章第9节；杰罗姆，《米迦书》第一章第14、15节。</w:t>
      </w:r>
    </w:p>
  </w:footnote>
  <w:footnote w:id="514">
    <w:p w14:paraId="723283C3" w14:textId="571327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见优西比乌《君士坦丁传》第三卷，第65节。</w:t>
      </w:r>
    </w:p>
  </w:footnote>
  <w:footnote w:id="515">
    <w:p w14:paraId="1090FFA4" w14:textId="1EAC7F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安布罗斯，《论贞洁》第一卷第5章第22节；奥古斯丁，《论信经》第六章第13节。</w:t>
      </w:r>
    </w:p>
  </w:footnote>
  <w:footnote w:id="516">
    <w:p w14:paraId="55A0CB19" w14:textId="64E4B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尼西亚的格雷戈里，《雅歌讲道集》第八篇；西里尔，《以赛亚书注释》第一卷，第二篇；耶罗尼姆，《耶利米书注释》第三十一章。</w:t>
      </w:r>
    </w:p>
  </w:footnote>
  <w:footnote w:id="517">
    <w:p w14:paraId="6B41C916" w14:textId="06A02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格雷戈里·尼萨的《雅歌讲道集》第十四篇。</w:t>
      </w:r>
    </w:p>
  </w:footnote>
  <w:footnote w:id="518">
    <w:p w14:paraId="51C88D45" w14:textId="79BAF7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优西比乌，《诗篇注释》第86篇，第4节；《以赛亚书注释》第11章，第9节。</w:t>
      </w:r>
    </w:p>
  </w:footnote>
  <w:footnote w:id="519">
    <w:p w14:paraId="36546240" w14:textId="5AE39D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爱任纽，《反异端》第三卷序言。</w:t>
      </w:r>
    </w:p>
  </w:footnote>
  <w:footnote w:id="520">
    <w:p w14:paraId="73925DBE" w14:textId="02D28B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奥古斯丁，《诗篇》第 XXI 篇注释，第 19 节。</w:t>
      </w:r>
    </w:p>
  </w:footnote>
  <w:footnote w:id="521">
    <w:p w14:paraId="212BFF25" w14:textId="3DC149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西里尔·耶路撒冷，《教理问答》第十八卷，第28节；亚历山大的西里尔，《以赛亚书》第三十五章6节注释，第三卷，第三册。</w:t>
      </w:r>
    </w:p>
  </w:footnote>
  <w:footnote w:id="522">
    <w:p w14:paraId="177F768F" w14:textId="28D23D8D"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正是那些新教徒</w:t>
      </w:r>
      <w:r w:rsidRPr="0097554A">
        <w:rPr>
          <w:color w:val="0000FF"/>
        </w:rPr>
        <w:t>，</w:t>
      </w:r>
      <w:r w:rsidRPr="004C59BB">
        <w:rPr>
          <w:color w:val="0000FF"/>
          <w:lang w:val="ru-RU"/>
        </w:rPr>
        <w:t>他们不承认基督在教会中设立了特殊的圣职或等级制度</w:t>
      </w:r>
      <w:r w:rsidRPr="0097554A">
        <w:rPr>
          <w:color w:val="0000FF"/>
        </w:rPr>
        <w:t>，</w:t>
      </w:r>
      <w:r w:rsidRPr="004C59BB">
        <w:rPr>
          <w:color w:val="0000FF"/>
          <w:lang w:val="ru-RU"/>
        </w:rPr>
        <w:t>而是主张所有信徒凭着洗礼圣事的恩典</w:t>
      </w:r>
      <w:r w:rsidRPr="0097554A">
        <w:rPr>
          <w:color w:val="0000FF"/>
        </w:rPr>
        <w:t>，</w:t>
      </w:r>
      <w:r w:rsidRPr="004C59BB">
        <w:rPr>
          <w:color w:val="0000FF"/>
          <w:lang w:val="ru-RU"/>
        </w:rPr>
        <w:t>都是至高上帝的祭司</w:t>
      </w:r>
      <w:r w:rsidRPr="0097554A">
        <w:rPr>
          <w:color w:val="0000FF"/>
        </w:rPr>
        <w:t xml:space="preserve">； </w:t>
      </w:r>
      <w:r w:rsidRPr="004C59BB">
        <w:rPr>
          <w:color w:val="0000FF"/>
          <w:lang w:val="ru-RU"/>
        </w:rPr>
        <w:t>但鉴于并非所有人都能履行司祭职责</w:t>
      </w:r>
      <w:r w:rsidRPr="0097554A">
        <w:rPr>
          <w:color w:val="0000FF"/>
        </w:rPr>
        <w:t>，</w:t>
      </w:r>
      <w:r w:rsidRPr="004C59BB">
        <w:rPr>
          <w:color w:val="0000FF"/>
          <w:lang w:val="ru-RU"/>
        </w:rPr>
        <w:t>信徒们便从自身中选出特别的人士作为代表</w:t>
      </w:r>
      <w:r w:rsidRPr="0097554A">
        <w:rPr>
          <w:color w:val="0000FF"/>
        </w:rPr>
        <w:t>，</w:t>
      </w:r>
      <w:r w:rsidRPr="004C59BB">
        <w:rPr>
          <w:color w:val="0000FF"/>
          <w:lang w:val="ru-RU"/>
        </w:rPr>
        <w:t>并赋予他们司祭权柄。</w:t>
      </w:r>
    </w:p>
  </w:footnote>
  <w:footnote w:id="523">
    <w:p w14:paraId="76BA3EF1" w14:textId="60926201"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至于此处所提及的保罗和巴拿巴</w:t>
      </w:r>
      <w:r w:rsidRPr="0097554A">
        <w:rPr>
          <w:color w:val="0000FF"/>
        </w:rPr>
        <w:t>，</w:t>
      </w:r>
      <w:r w:rsidRPr="004C59BB">
        <w:rPr>
          <w:color w:val="0000FF"/>
          <w:lang w:val="ru-RU"/>
        </w:rPr>
        <w:t>古代教会导师们也以同样的方式描述了其他圣使徒。</w:t>
      </w:r>
      <w:r w:rsidRPr="0097554A">
        <w:rPr>
          <w:color w:val="0000FF"/>
        </w:rPr>
        <w:t xml:space="preserve"> </w:t>
      </w:r>
      <w:r w:rsidRPr="004C59BB">
        <w:rPr>
          <w:color w:val="0000FF"/>
          <w:lang w:val="ru-RU"/>
        </w:rPr>
        <w:t>参见爱任纽和亚历山大的克利门特在优西比乌《教会史》</w:t>
      </w:r>
      <w:r w:rsidRPr="004C59BB">
        <w:rPr>
          <w:color w:val="0000FF"/>
        </w:rPr>
        <w:t>第三卷第23章中的</w:t>
      </w:r>
      <w:r w:rsidRPr="004C59BB">
        <w:rPr>
          <w:color w:val="0000FF"/>
          <w:lang w:val="ru-RU"/>
        </w:rPr>
        <w:t>论述</w:t>
      </w:r>
      <w:r w:rsidRPr="004C59BB">
        <w:rPr>
          <w:color w:val="0000FF"/>
        </w:rPr>
        <w:t>；另见特土良《论异端》第35章及耶罗尼莫《著名人物传》第9章。</w:t>
      </w:r>
    </w:p>
  </w:footnote>
  <w:footnote w:id="524">
    <w:p w14:paraId="32F58D76" w14:textId="348F26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《致哥林多前书》第42、44节。</w:t>
      </w:r>
    </w:p>
  </w:footnote>
  <w:footnote w:id="525">
    <w:p w14:paraId="0F3B2964" w14:textId="4FB57638"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《致马格内西亚人书》，第3、</w:t>
      </w:r>
      <w:r w:rsidRPr="0097554A">
        <w:rPr>
          <w:color w:val="0000FF"/>
        </w:rPr>
        <w:t>6</w:t>
      </w:r>
      <w:r w:rsidRPr="004C59BB">
        <w:rPr>
          <w:color w:val="0000FF"/>
          <w:lang w:val="ru-RU"/>
        </w:rPr>
        <w:t>、</w:t>
      </w:r>
      <w:r w:rsidRPr="0097554A">
        <w:rPr>
          <w:color w:val="0000FF"/>
        </w:rPr>
        <w:t>7</w:t>
      </w:r>
      <w:r w:rsidRPr="004C59BB">
        <w:rPr>
          <w:color w:val="0000FF"/>
        </w:rPr>
        <w:t>节</w:t>
      </w:r>
      <w:r w:rsidRPr="004C59BB">
        <w:rPr>
          <w:color w:val="0000FF"/>
          <w:lang w:val="ru-RU"/>
        </w:rPr>
        <w:t>。</w:t>
      </w:r>
    </w:p>
  </w:footnote>
  <w:footnote w:id="526">
    <w:p w14:paraId="1FA3084E" w14:textId="347902E7"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应当顺服那些在教会中、承继自使徒、并蒙父神恩准、与主教的传承一同领受了真实恩赐的长老</w:t>
      </w:r>
      <w:r w:rsidRPr="0097554A">
        <w:rPr>
          <w:color w:val="0000FF"/>
        </w:rPr>
        <w:t xml:space="preserve">； </w:t>
      </w:r>
      <w:r w:rsidRPr="004C59BB">
        <w:rPr>
          <w:color w:val="0000FF"/>
          <w:lang w:val="ru-RU"/>
        </w:rPr>
        <w:t>至于那些并非通过这种传承而获得长老职分、却在各地聚集的人</w:t>
      </w:r>
      <w:r w:rsidRPr="0097554A">
        <w:rPr>
          <w:color w:val="0000FF"/>
        </w:rPr>
        <w:t>，</w:t>
      </w:r>
      <w:r w:rsidRPr="004C59BB">
        <w:rPr>
          <w:color w:val="0000FF"/>
          <w:lang w:val="ru-RU"/>
        </w:rPr>
        <w:t>应视其为可疑之徒、异端分子和别有用心者</w:t>
      </w:r>
      <w:r w:rsidRPr="0097554A">
        <w:rPr>
          <w:color w:val="0000FF"/>
        </w:rPr>
        <w:t>，</w:t>
      </w:r>
      <w:r w:rsidRPr="004C59BB">
        <w:rPr>
          <w:color w:val="0000FF"/>
          <w:lang w:val="ru-RU"/>
        </w:rPr>
        <w:t>是背道者、骄傲自大者、自负者、伪善者</w:t>
      </w:r>
      <w:r w:rsidRPr="0097554A">
        <w:rPr>
          <w:color w:val="0000FF"/>
        </w:rPr>
        <w:t>，</w:t>
      </w:r>
      <w:r w:rsidRPr="004C59BB">
        <w:rPr>
          <w:color w:val="0000FF"/>
          <w:lang w:val="ru-RU"/>
        </w:rPr>
        <w:t>他们这样做是为了谋取利益或虚荣的荣耀」</w:t>
      </w:r>
      <w:r w:rsidRPr="0097554A">
        <w:rPr>
          <w:color w:val="0000FF"/>
        </w:rPr>
        <w:t>（</w:t>
      </w:r>
      <w:r w:rsidRPr="004C59BB">
        <w:rPr>
          <w:color w:val="0000FF"/>
          <w:lang w:val="ru-RU"/>
        </w:rPr>
        <w:t>《</w:t>
      </w:r>
      <w:r w:rsidRPr="004C59BB">
        <w:rPr>
          <w:color w:val="0000FF"/>
        </w:rPr>
        <w:t>反异端论</w:t>
      </w:r>
      <w:r w:rsidRPr="004C59BB">
        <w:rPr>
          <w:color w:val="0000FF"/>
          <w:lang w:val="ru-RU"/>
        </w:rPr>
        <w:t>》</w:t>
      </w:r>
      <w:r w:rsidRPr="0097554A">
        <w:rPr>
          <w:color w:val="0000FF"/>
        </w:rPr>
        <w:t xml:space="preserve"> </w:t>
      </w:r>
      <w:r w:rsidRPr="004C59BB">
        <w:rPr>
          <w:color w:val="0000FF"/>
        </w:rPr>
        <w:t>IV, 26，载于《基督教读本》1838年版，第1卷，第137–138页）。</w:t>
      </w:r>
    </w:p>
  </w:footnote>
  <w:footnote w:id="527">
    <w:p w14:paraId="2A03147A" w14:textId="16F13E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《书信集》XXV. XVII.</w:t>
      </w:r>
    </w:p>
  </w:footnote>
  <w:footnote w:id="528">
    <w:p w14:paraId="56BB687F" w14:textId="5631F384"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《教会史》 III， 4；《诗篇注释》 LXXXVIII， 35；《以赛亚书注释》 I， 27；IX， 14；XI， 6.</w:t>
      </w:r>
      <w:r w:rsidRPr="0097554A">
        <w:rPr>
          <w:color w:val="0000FF"/>
        </w:rPr>
        <w:t xml:space="preserve"> 7.</w:t>
      </w:r>
    </w:p>
  </w:footnote>
  <w:footnote w:id="529">
    <w:p w14:paraId="455A0980" w14:textId="4880424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论</w:t>
      </w:r>
      <w:r w:rsidRPr="004C59BB">
        <w:rPr>
          <w:color w:val="0000FF"/>
          <w:lang w:val="ru-RU"/>
        </w:rPr>
        <w:t>在圣父著作集中的对话中遵守秩序</w:t>
      </w:r>
      <w:r w:rsidRPr="004C59BB">
        <w:rPr>
          <w:color w:val="0000FF"/>
        </w:rPr>
        <w:t>》</w:t>
      </w:r>
      <w:r w:rsidRPr="004C59BB">
        <w:rPr>
          <w:color w:val="0000FF"/>
          <w:lang w:val="ru-RU"/>
        </w:rPr>
        <w:t>。</w:t>
      </w:r>
      <w:r w:rsidRPr="004C59BB">
        <w:rPr>
          <w:color w:val="0000FF"/>
        </w:rPr>
        <w:t>III</w:t>
      </w:r>
      <w:r w:rsidRPr="0097554A">
        <w:rPr>
          <w:color w:val="0000FF"/>
        </w:rPr>
        <w:t>，142–145</w:t>
      </w:r>
      <w:r w:rsidRPr="004C59BB">
        <w:rPr>
          <w:color w:val="0000FF"/>
          <w:lang w:val="ru-RU"/>
        </w:rPr>
        <w:t>。</w:t>
      </w:r>
    </w:p>
  </w:footnote>
  <w:footnote w:id="530">
    <w:p w14:paraId="346114B0" w14:textId="55E00F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《提摩太后书讲道集》第二篇，第2节；《哥林多后书讲道集》第十五篇，第4节；第十八篇，第3节。</w:t>
      </w:r>
    </w:p>
  </w:footnote>
  <w:footnote w:id="531">
    <w:p w14:paraId="29CD4F66" w14:textId="273FA6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《论牧职》卷二，第24章，第123节。</w:t>
      </w:r>
    </w:p>
  </w:footnote>
  <w:footnote w:id="532">
    <w:p w14:paraId="43E77C8E" w14:textId="67CB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《反路西法派论》第4章。</w:t>
      </w:r>
    </w:p>
  </w:footnote>
  <w:footnote w:id="533">
    <w:p w14:paraId="3A19774C" w14:textId="1BCC88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《反帕尔梅尼安书信》第1卷，第3章，第5节。</w:t>
      </w:r>
    </w:p>
  </w:footnote>
  <w:footnote w:id="534">
    <w:p w14:paraId="3C084754" w14:textId="164F86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《致哥林多前书》第1封，第44节。</w:t>
      </w:r>
    </w:p>
  </w:footnote>
  <w:footnote w:id="535">
    <w:p w14:paraId="0DACC8D0" w14:textId="59561AEB"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致以弗所人书，第3段，载于《基督教读本》1821年版，第1卷，第32页。</w:t>
      </w:r>
      <w:r w:rsidRPr="004C59BB">
        <w:rPr>
          <w:color w:val="0000FF"/>
          <w:lang w:val="ru-RU"/>
        </w:rPr>
        <w:t>同上</w:t>
      </w:r>
      <w:r w:rsidRPr="0097554A">
        <w:rPr>
          <w:color w:val="0000FF"/>
        </w:rPr>
        <w:t>，</w:t>
      </w:r>
      <w:r w:rsidRPr="004C59BB">
        <w:rPr>
          <w:color w:val="0000FF"/>
          <w:lang w:val="ru-RU"/>
        </w:rPr>
        <w:t>致费城人书</w:t>
      </w:r>
      <w:r w:rsidRPr="0097554A">
        <w:rPr>
          <w:color w:val="0000FF"/>
        </w:rPr>
        <w:t>，</w:t>
      </w:r>
      <w:r w:rsidRPr="004C59BB">
        <w:rPr>
          <w:color w:val="0000FF"/>
          <w:lang w:val="ru-RU"/>
        </w:rPr>
        <w:t>载于《基督教读本》</w:t>
      </w:r>
      <w:r w:rsidRPr="0097554A">
        <w:rPr>
          <w:color w:val="0000FF"/>
        </w:rPr>
        <w:t>1828</w:t>
      </w:r>
      <w:r w:rsidRPr="004C59BB">
        <w:rPr>
          <w:color w:val="0000FF"/>
          <w:lang w:val="ru-RU"/>
        </w:rPr>
        <w:t>年版</w:t>
      </w:r>
      <w:r w:rsidRPr="0097554A">
        <w:rPr>
          <w:color w:val="0000FF"/>
        </w:rPr>
        <w:t>，</w:t>
      </w:r>
      <w:r w:rsidRPr="004C59BB">
        <w:rPr>
          <w:color w:val="0000FF"/>
        </w:rPr>
        <w:t>第XXXI卷</w:t>
      </w:r>
      <w:r w:rsidRPr="0097554A">
        <w:rPr>
          <w:color w:val="0000FF"/>
        </w:rPr>
        <w:t>，</w:t>
      </w:r>
      <w:r w:rsidRPr="004C59BB">
        <w:rPr>
          <w:color w:val="0000FF"/>
          <w:lang w:val="ru-RU"/>
        </w:rPr>
        <w:t>第</w:t>
      </w:r>
      <w:r w:rsidRPr="0097554A">
        <w:rPr>
          <w:color w:val="0000FF"/>
        </w:rPr>
        <w:t>3</w:t>
      </w:r>
      <w:r w:rsidRPr="004C59BB">
        <w:rPr>
          <w:color w:val="0000FF"/>
          <w:lang w:val="ru-RU"/>
        </w:rPr>
        <w:t>、</w:t>
      </w:r>
      <w:r w:rsidRPr="0097554A">
        <w:rPr>
          <w:color w:val="0000FF"/>
        </w:rPr>
        <w:t>4</w:t>
      </w:r>
      <w:r w:rsidRPr="004C59BB">
        <w:rPr>
          <w:color w:val="0000FF"/>
          <w:lang w:val="ru-RU"/>
        </w:rPr>
        <w:t>页。</w:t>
      </w:r>
    </w:p>
  </w:footnote>
  <w:footnote w:id="536">
    <w:p w14:paraId="7AA27979" w14:textId="42E459F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反异端</w:t>
      </w:r>
      <w:r w:rsidRPr="004C59BB">
        <w:rPr>
          <w:color w:val="0000FF"/>
          <w:lang w:val="ru-RU"/>
        </w:rPr>
        <w:t>》</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3</w:t>
      </w:r>
      <w:r w:rsidRPr="004C59BB">
        <w:rPr>
          <w:color w:val="0000FF"/>
          <w:lang w:val="ru-RU"/>
        </w:rPr>
        <w:t>章</w:t>
      </w:r>
      <w:r w:rsidRPr="0097554A">
        <w:rPr>
          <w:color w:val="0000FF"/>
        </w:rPr>
        <w:t>，</w:t>
      </w:r>
      <w:r w:rsidRPr="004C59BB">
        <w:rPr>
          <w:color w:val="0000FF"/>
          <w:lang w:val="ru-RU"/>
        </w:rPr>
        <w:t>载于《基督教读物》</w:t>
      </w:r>
      <w:r w:rsidRPr="0097554A">
        <w:rPr>
          <w:color w:val="0000FF"/>
        </w:rPr>
        <w:t>1838</w:t>
      </w:r>
      <w:r w:rsidRPr="004C59BB">
        <w:rPr>
          <w:color w:val="0000FF"/>
          <w:lang w:val="ru-RU"/>
        </w:rPr>
        <w:t>年</w:t>
      </w:r>
      <w:r w:rsidRPr="0097554A">
        <w:rPr>
          <w:color w:val="0000FF"/>
        </w:rPr>
        <w:t>，</w:t>
      </w:r>
      <w:r w:rsidRPr="004C59BB">
        <w:rPr>
          <w:color w:val="0000FF"/>
        </w:rPr>
        <w:t>第II卷</w:t>
      </w:r>
      <w:r w:rsidRPr="0097554A">
        <w:rPr>
          <w:color w:val="0000FF"/>
        </w:rPr>
        <w:t>，</w:t>
      </w:r>
      <w:r w:rsidRPr="004C59BB">
        <w:rPr>
          <w:color w:val="0000FF"/>
          <w:lang w:val="ru-RU"/>
        </w:rPr>
        <w:t>第</w:t>
      </w:r>
      <w:r w:rsidRPr="0097554A">
        <w:rPr>
          <w:color w:val="0000FF"/>
        </w:rPr>
        <w:t>4–5</w:t>
      </w:r>
      <w:r w:rsidRPr="004C59BB">
        <w:rPr>
          <w:color w:val="0000FF"/>
          <w:lang w:val="ru-RU"/>
        </w:rPr>
        <w:t>页。</w:t>
      </w:r>
    </w:p>
  </w:footnote>
  <w:footnote w:id="537">
    <w:p w14:paraId="3C9B352E" w14:textId="60B33F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们继承了使徒的职分，以同样的权柄治理主的教会（参见《迦太基大公会议记录》）。另有一处写道：因此，赦免罪孽的权柄既赐给了使徒，也赐给了他们奉上帝之命所建立的教会，以及通过按立继承他们职分的主教们（《书信》第XXV封）。</w:t>
      </w:r>
    </w:p>
  </w:footnote>
  <w:footnote w:id="538">
    <w:p w14:paraId="6B3A3323" w14:textId="415C94D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主教具有基督的位格，是主的代表（《致哥林多前书注释》）。</w:t>
      </w:r>
    </w:p>
  </w:footnote>
  <w:footnote w:id="539">
    <w:p w14:paraId="4E111851" w14:textId="58BAE389"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在我们这里，主教占据着使徒的位置；而在他们（蒙塔诺派）那里，主教仅是第三位（致马塞尔的第二十七封书信</w:t>
      </w:r>
      <w:r w:rsidRPr="0097554A">
        <w:rPr>
          <w:color w:val="0000FF"/>
        </w:rPr>
        <w:t>）</w:t>
      </w:r>
      <w:r w:rsidRPr="004C59BB">
        <w:rPr>
          <w:color w:val="0000FF"/>
          <w:lang w:val="ru-RU"/>
        </w:rPr>
        <w:t>。</w:t>
      </w:r>
    </w:p>
  </w:footnote>
  <w:footnote w:id="540">
    <w:p w14:paraId="6EE91B91" w14:textId="4C991D6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最后的话</w:t>
      </w:r>
      <w:r w:rsidRPr="0097554A">
        <w:rPr>
          <w:color w:val="0000FF"/>
        </w:rPr>
        <w:t>：“</w:t>
      </w:r>
      <w:r w:rsidRPr="004C59BB">
        <w:rPr>
          <w:color w:val="0000FF"/>
          <w:lang w:val="ru-RU"/>
        </w:rPr>
        <w:t>我实在告诉你们</w:t>
      </w:r>
      <w:r w:rsidRPr="0097554A">
        <w:rPr>
          <w:color w:val="0000FF"/>
        </w:rPr>
        <w:t>：</w:t>
      </w:r>
      <w:r w:rsidRPr="004C59BB">
        <w:rPr>
          <w:color w:val="0000FF"/>
          <w:lang w:val="ru-RU"/>
        </w:rPr>
        <w:t>凡</w:t>
      </w:r>
      <w:r w:rsidRPr="0097554A">
        <w:rPr>
          <w:color w:val="0000FF"/>
        </w:rPr>
        <w:t xml:space="preserve">…… </w:t>
      </w:r>
      <w:r w:rsidRPr="004C59BB">
        <w:rPr>
          <w:color w:val="0000FF"/>
          <w:lang w:val="ru-RU"/>
        </w:rPr>
        <w:t>这直接证明</w:t>
      </w:r>
      <w:r w:rsidRPr="0097554A">
        <w:rPr>
          <w:color w:val="0000FF"/>
        </w:rPr>
        <w:t>，</w:t>
      </w:r>
      <w:r w:rsidRPr="004C59BB">
        <w:rPr>
          <w:color w:val="0000FF"/>
          <w:lang w:val="ru-RU"/>
        </w:rPr>
        <w:t>救主所说的</w:t>
      </w:r>
      <w:r w:rsidRPr="0097554A">
        <w:rPr>
          <w:color w:val="0000FF"/>
        </w:rPr>
        <w:t>“</w:t>
      </w:r>
      <w:r w:rsidRPr="004C59BB">
        <w:rPr>
          <w:color w:val="0000FF"/>
          <w:lang w:val="ru-RU"/>
        </w:rPr>
        <w:t>教会</w:t>
      </w:r>
      <w:r w:rsidRPr="0097554A">
        <w:rPr>
          <w:color w:val="0000FF"/>
        </w:rPr>
        <w:t>”</w:t>
      </w:r>
      <w:r w:rsidRPr="004C59BB">
        <w:rPr>
          <w:color w:val="0000FF"/>
          <w:lang w:val="ru-RU"/>
        </w:rPr>
        <w:t>正是指那些被祂赋予捆绑与释放权柄的人</w:t>
      </w:r>
      <w:r w:rsidRPr="0097554A">
        <w:rPr>
          <w:color w:val="0000FF"/>
        </w:rPr>
        <w:t>——</w:t>
      </w:r>
      <w:r w:rsidRPr="004C59BB">
        <w:rPr>
          <w:color w:val="0000FF"/>
          <w:lang w:val="ru-RU"/>
        </w:rPr>
        <w:t>正如在犹太人中</w:t>
      </w:r>
      <w:r w:rsidRPr="0097554A">
        <w:rPr>
          <w:color w:val="0000FF"/>
        </w:rPr>
        <w:t>，</w:t>
      </w:r>
      <w:r w:rsidRPr="004C59BB">
        <w:rPr>
          <w:color w:val="0000FF"/>
          <w:lang w:val="ru-RU"/>
        </w:rPr>
        <w:t>当涉及纠正或惩罚某人时</w:t>
      </w:r>
      <w:r w:rsidRPr="0097554A">
        <w:rPr>
          <w:color w:val="0000FF"/>
        </w:rPr>
        <w:t>，“</w:t>
      </w:r>
      <w:r w:rsidRPr="004C59BB">
        <w:rPr>
          <w:color w:val="0000FF"/>
          <w:lang w:val="ru-RU"/>
        </w:rPr>
        <w:t>教会</w:t>
      </w:r>
      <w:r w:rsidRPr="0097554A">
        <w:rPr>
          <w:color w:val="0000FF"/>
        </w:rPr>
        <w:t>”（</w:t>
      </w:r>
      <w:r w:rsidRPr="004C59BB">
        <w:rPr>
          <w:color w:val="0000FF"/>
        </w:rPr>
        <w:t xml:space="preserve">kahal </w:t>
      </w:r>
      <w:r w:rsidRPr="0097554A">
        <w:rPr>
          <w:color w:val="0000FF"/>
        </w:rPr>
        <w:t xml:space="preserve">– </w:t>
      </w:r>
      <w:r w:rsidRPr="004C59BB">
        <w:rPr>
          <w:color w:val="0000FF"/>
        </w:rPr>
        <w:t>εκκλησία</w:t>
      </w:r>
      <w:r w:rsidRPr="0097554A">
        <w:rPr>
          <w:color w:val="0000FF"/>
        </w:rPr>
        <w:t>）</w:t>
      </w:r>
      <w:r w:rsidRPr="004C59BB">
        <w:rPr>
          <w:color w:val="0000FF"/>
          <w:lang w:val="ru-RU"/>
        </w:rPr>
        <w:t>实际上指的是最高议会或公会。</w:t>
      </w:r>
      <w:r w:rsidRPr="0097554A">
        <w:rPr>
          <w:color w:val="0000FF"/>
        </w:rPr>
        <w:t xml:space="preserve"> </w:t>
      </w:r>
      <w:r w:rsidRPr="004C59BB">
        <w:rPr>
          <w:color w:val="0000FF"/>
          <w:lang w:val="ru-RU"/>
        </w:rPr>
        <w:t>正因如此</w:t>
      </w:r>
      <w:r w:rsidRPr="0097554A">
        <w:rPr>
          <w:color w:val="0000FF"/>
        </w:rPr>
        <w:t>，</w:t>
      </w:r>
      <w:r w:rsidRPr="004C59BB">
        <w:rPr>
          <w:color w:val="0000FF"/>
          <w:lang w:val="ru-RU"/>
        </w:rPr>
        <w:t>圣金口若望在解释这一段经文时</w:t>
      </w:r>
      <w:r w:rsidRPr="0097554A">
        <w:rPr>
          <w:color w:val="0000FF"/>
        </w:rPr>
        <w:t>，</w:t>
      </w:r>
      <w:r w:rsidRPr="004C59BB">
        <w:rPr>
          <w:color w:val="0000FF"/>
          <w:lang w:val="ru-RU"/>
        </w:rPr>
        <w:t>在</w:t>
      </w:r>
      <w:r w:rsidRPr="0097554A">
        <w:rPr>
          <w:color w:val="0000FF"/>
        </w:rPr>
        <w:t>“</w:t>
      </w:r>
      <w:r w:rsidRPr="004C59BB">
        <w:rPr>
          <w:color w:val="0000FF"/>
          <w:lang w:val="ru-RU"/>
        </w:rPr>
        <w:t>告诉教会</w:t>
      </w:r>
      <w:r w:rsidRPr="0097554A">
        <w:rPr>
          <w:color w:val="0000FF"/>
        </w:rPr>
        <w:t>”</w:t>
      </w:r>
      <w:r w:rsidRPr="004C59BB">
        <w:rPr>
          <w:color w:val="0000FF"/>
          <w:lang w:val="ru-RU"/>
        </w:rPr>
        <w:t>这句话之后补充道</w:t>
      </w:r>
      <w:r w:rsidRPr="0097554A">
        <w:rPr>
          <w:color w:val="0000FF"/>
        </w:rPr>
        <w:t>：“</w:t>
      </w:r>
      <w:r w:rsidRPr="004C59BB">
        <w:rPr>
          <w:color w:val="0000FF"/>
          <w:lang w:val="ru-RU"/>
        </w:rPr>
        <w:t>即她的领袖们</w:t>
      </w:r>
      <w:r w:rsidRPr="0097554A">
        <w:rPr>
          <w:color w:val="0000FF"/>
        </w:rPr>
        <w:t>”，</w:t>
      </w:r>
      <w:r w:rsidRPr="004C59BB">
        <w:rPr>
          <w:color w:val="0000FF"/>
          <w:lang w:val="ru-RU"/>
        </w:rPr>
        <w:t>并进一步将</w:t>
      </w:r>
      <w:r w:rsidRPr="0097554A">
        <w:rPr>
          <w:color w:val="0000FF"/>
        </w:rPr>
        <w:t>“</w:t>
      </w:r>
      <w:r w:rsidRPr="004C59BB">
        <w:rPr>
          <w:color w:val="0000FF"/>
          <w:lang w:val="ru-RU"/>
        </w:rPr>
        <w:t>凡你们捆绑的</w:t>
      </w:r>
      <w:r w:rsidRPr="0097554A">
        <w:rPr>
          <w:color w:val="0000FF"/>
        </w:rPr>
        <w:t>”</w:t>
      </w:r>
      <w:r w:rsidRPr="004C59BB">
        <w:rPr>
          <w:color w:val="0000FF"/>
          <w:lang w:val="ru-RU"/>
        </w:rPr>
        <w:t>这句话视为同一思想的延续</w:t>
      </w:r>
      <w:r w:rsidRPr="0097554A">
        <w:rPr>
          <w:color w:val="0000FF"/>
        </w:rPr>
        <w:t>，</w:t>
      </w:r>
      <w:r w:rsidRPr="004C59BB">
        <w:rPr>
          <w:color w:val="0000FF"/>
          <w:lang w:val="ru-RU"/>
        </w:rPr>
        <w:t>同样将其归于教会的领袖们。</w:t>
      </w:r>
      <w:r w:rsidRPr="0097554A">
        <w:rPr>
          <w:color w:val="0000FF"/>
        </w:rPr>
        <w:t xml:space="preserve"> </w:t>
      </w:r>
      <w:r w:rsidRPr="004C59BB">
        <w:rPr>
          <w:color w:val="0000FF"/>
          <w:lang w:val="ru-RU"/>
        </w:rPr>
        <w:t>《马太福音讲道集》</w:t>
      </w:r>
      <w:r w:rsidRPr="0097554A">
        <w:rPr>
          <w:color w:val="0000FF"/>
        </w:rPr>
        <w:t>（</w:t>
      </w:r>
      <w:r w:rsidRPr="004C59BB">
        <w:rPr>
          <w:color w:val="0000FF"/>
          <w:lang w:val="ru-RU"/>
        </w:rPr>
        <w:t>俄文译本</w:t>
      </w:r>
      <w:r w:rsidRPr="0097554A">
        <w:rPr>
          <w:color w:val="0000FF"/>
        </w:rPr>
        <w:t>）</w:t>
      </w:r>
      <w:r w:rsidRPr="004C59BB">
        <w:rPr>
          <w:color w:val="0000FF"/>
        </w:rPr>
        <w:t>第三卷</w:t>
      </w:r>
      <w:r w:rsidRPr="0097554A">
        <w:rPr>
          <w:color w:val="0000FF"/>
        </w:rPr>
        <w:t>，</w:t>
      </w:r>
      <w:r w:rsidRPr="004C59BB">
        <w:rPr>
          <w:color w:val="0000FF"/>
          <w:lang w:val="ru-RU"/>
        </w:rPr>
        <w:t>第</w:t>
      </w:r>
      <w:r w:rsidRPr="0097554A">
        <w:rPr>
          <w:color w:val="0000FF"/>
        </w:rPr>
        <w:t>32</w:t>
      </w:r>
      <w:r w:rsidRPr="004C59BB">
        <w:rPr>
          <w:color w:val="0000FF"/>
          <w:lang w:val="ru-RU"/>
        </w:rPr>
        <w:t>节。基普里安、奥古斯丁、狄奥菲拉克特等人均依据圣金口若望的观点解释此处经文。</w:t>
      </w:r>
    </w:p>
  </w:footnote>
  <w:footnote w:id="541">
    <w:p w14:paraId="61D07ACE" w14:textId="121E975F"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若无这些</w:t>
      </w:r>
      <w:r w:rsidRPr="0097554A">
        <w:rPr>
          <w:color w:val="0000FF"/>
        </w:rPr>
        <w:t>，</w:t>
      </w:r>
      <w:r w:rsidRPr="004C59BB">
        <w:rPr>
          <w:color w:val="0000FF"/>
          <w:lang w:val="el-GR"/>
        </w:rPr>
        <w:t>便不能称为教会。</w:t>
      </w:r>
      <w:r w:rsidRPr="004C59BB">
        <w:rPr>
          <w:color w:val="0000FF"/>
        </w:rPr>
        <w:t>”埃皮克特图斯致特拉勒斯书，第3章。</w:t>
      </w:r>
    </w:p>
  </w:footnote>
  <w:footnote w:id="542">
    <w:p w14:paraId="3EF3F68A" w14:textId="12324B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“没有主教就没有教会”（《反马吉安论》第四卷第5章；参见《论异端条例》第32章）。</w:t>
      </w:r>
    </w:p>
  </w:footnote>
  <w:footnote w:id="543">
    <w:p w14:paraId="56EB49D4" w14:textId="25F713B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因为聚会的构成源于彼此</w:t>
      </w:r>
      <w:r w:rsidRPr="0097554A">
        <w:rPr>
          <w:color w:val="0000FF"/>
        </w:rPr>
        <w:t>（</w:t>
      </w:r>
      <w:r w:rsidRPr="004C59BB">
        <w:rPr>
          <w:color w:val="0000FF"/>
        </w:rPr>
        <w:t>《论恩赐</w:t>
      </w:r>
      <w:r w:rsidRPr="004C59BB">
        <w:rPr>
          <w:color w:val="0000FF"/>
          <w:lang w:val="el-GR"/>
        </w:rPr>
        <w:t>》第</w:t>
      </w:r>
      <w:r w:rsidRPr="0097554A">
        <w:rPr>
          <w:color w:val="0000FF"/>
        </w:rPr>
        <w:t>1</w:t>
      </w:r>
      <w:r w:rsidRPr="004C59BB">
        <w:rPr>
          <w:color w:val="0000FF"/>
          <w:lang w:val="el-GR"/>
        </w:rPr>
        <w:t>节</w:t>
      </w:r>
      <w:r w:rsidRPr="0097554A">
        <w:rPr>
          <w:color w:val="0000FF"/>
        </w:rPr>
        <w:t>）</w:t>
      </w:r>
      <w:r w:rsidRPr="004C59BB">
        <w:rPr>
          <w:color w:val="0000FF"/>
          <w:lang w:val="el-GR"/>
        </w:rPr>
        <w:t>。</w:t>
      </w:r>
    </w:p>
  </w:footnote>
  <w:footnote w:id="544">
    <w:p w14:paraId="1E4AD0AF" w14:textId="57E27A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教会（即基督）由民众组成——他们聚集在祭司周围，如同羊群依附于牧人：因此……（《书信》第六十九封，第8节）。</w:t>
      </w:r>
    </w:p>
  </w:footnote>
  <w:footnote w:id="545">
    <w:p w14:paraId="1AF0FB47" w14:textId="680B38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第3节，见《圣教父著作集》第1卷，第17–18页。</w:t>
      </w:r>
    </w:p>
  </w:footnote>
  <w:footnote w:id="546">
    <w:p w14:paraId="67AD0A32" w14:textId="2B3C4E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爱任纽《反异端》第四卷，第33、43章；特土良《论异端预设》，第37章。</w:t>
      </w:r>
    </w:p>
  </w:footnote>
  <w:footnote w:id="547">
    <w:p w14:paraId="5FC1B621" w14:textId="6CB26E0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他们被称为长老派。</w:t>
      </w:r>
    </w:p>
  </w:footnote>
  <w:footnote w:id="548">
    <w:p w14:paraId="26E4D798" w14:textId="35A06CF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Ἐπίσκοπος</w:t>
      </w:r>
      <w:r w:rsidRPr="0097554A">
        <w:rPr>
          <w:color w:val="0000FF"/>
        </w:rPr>
        <w:t>”</w:t>
      </w:r>
      <w:r w:rsidRPr="004C59BB">
        <w:rPr>
          <w:color w:val="0000FF"/>
          <w:lang w:val="ru-RU"/>
        </w:rPr>
        <w:t>意为监督者、监察者</w:t>
      </w:r>
      <w:r w:rsidRPr="0097554A">
        <w:rPr>
          <w:color w:val="0000FF"/>
        </w:rPr>
        <w:t>，</w:t>
      </w:r>
      <w:r w:rsidRPr="004C59BB">
        <w:rPr>
          <w:color w:val="0000FF"/>
          <w:lang w:val="ru-RU"/>
        </w:rPr>
        <w:t>而</w:t>
      </w:r>
      <w:r w:rsidRPr="0097554A">
        <w:rPr>
          <w:color w:val="0000FF"/>
        </w:rPr>
        <w:t>“</w:t>
      </w:r>
      <w:r w:rsidRPr="004C59BB">
        <w:rPr>
          <w:color w:val="0000FF"/>
          <w:lang w:val="ru-RU"/>
        </w:rPr>
        <w:t>π</w:t>
      </w:r>
      <w:r w:rsidRPr="004C59BB">
        <w:rPr>
          <w:color w:val="0000FF"/>
        </w:rPr>
        <w:t>ρεσβύτερος</w:t>
      </w:r>
      <w:r w:rsidRPr="0097554A">
        <w:rPr>
          <w:color w:val="0000FF"/>
        </w:rPr>
        <w:t>”</w:t>
      </w:r>
      <w:r w:rsidRPr="004C59BB">
        <w:rPr>
          <w:color w:val="0000FF"/>
          <w:lang w:val="ru-RU"/>
        </w:rPr>
        <w:t>意为长者、最年长者。</w:t>
      </w:r>
    </w:p>
  </w:footnote>
  <w:footnote w:id="549">
    <w:p w14:paraId="03AB6CF1" w14:textId="17EFF252"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许多圣父都承认这一点</w:t>
      </w:r>
      <w:r w:rsidRPr="0097554A">
        <w:rPr>
          <w:color w:val="0000FF"/>
        </w:rPr>
        <w:t>：</w:t>
      </w:r>
      <w:r w:rsidRPr="004C59BB">
        <w:rPr>
          <w:color w:val="0000FF"/>
          <w:lang w:val="ru-RU"/>
        </w:rPr>
        <w:t>关于其中一些人的证言</w:t>
      </w:r>
      <w:r w:rsidRPr="0097554A">
        <w:rPr>
          <w:color w:val="0000FF"/>
        </w:rPr>
        <w:t>，</w:t>
      </w:r>
      <w:r w:rsidRPr="004C59BB">
        <w:rPr>
          <w:color w:val="0000FF"/>
          <w:lang w:val="ru-RU"/>
        </w:rPr>
        <w:t>参见</w:t>
      </w:r>
      <w:r w:rsidRPr="004C59BB">
        <w:rPr>
          <w:color w:val="0000FF"/>
        </w:rPr>
        <w:t>苏伊切里</w:t>
      </w:r>
      <w:r w:rsidRPr="004C59BB">
        <w:rPr>
          <w:color w:val="0000FF"/>
          <w:lang w:val="ru-RU"/>
        </w:rPr>
        <w:t>《</w:t>
      </w:r>
      <w:r w:rsidRPr="004C59BB">
        <w:rPr>
          <w:color w:val="0000FF"/>
        </w:rPr>
        <w:t>教会宝库</w:t>
      </w:r>
      <w:r w:rsidRPr="004C59BB">
        <w:rPr>
          <w:color w:val="0000FF"/>
          <w:lang w:val="ru-RU"/>
        </w:rPr>
        <w:t>》</w:t>
      </w:r>
      <w:r w:rsidRPr="0097554A">
        <w:rPr>
          <w:color w:val="0000FF"/>
        </w:rPr>
        <w:t>（</w:t>
      </w:r>
      <w:r w:rsidRPr="004C59BB">
        <w:rPr>
          <w:color w:val="0000FF"/>
        </w:rPr>
        <w:t>Thesaur</w:t>
      </w:r>
      <w:r w:rsidRPr="0097554A">
        <w:rPr>
          <w:color w:val="0000FF"/>
        </w:rPr>
        <w:t xml:space="preserve">. </w:t>
      </w:r>
      <w:r w:rsidRPr="004C59BB">
        <w:rPr>
          <w:color w:val="0000FF"/>
        </w:rPr>
        <w:t>Eccles</w:t>
      </w:r>
      <w:r w:rsidRPr="0097554A">
        <w:rPr>
          <w:color w:val="0000FF"/>
        </w:rPr>
        <w:t xml:space="preserve">. </w:t>
      </w:r>
      <w:r w:rsidRPr="004C59BB">
        <w:rPr>
          <w:color w:val="0000FF"/>
        </w:rPr>
        <w:t>Suiceri</w:t>
      </w:r>
      <w:r w:rsidRPr="0097554A">
        <w:rPr>
          <w:color w:val="0000FF"/>
        </w:rPr>
        <w:t>）</w:t>
      </w:r>
      <w:r w:rsidRPr="004C59BB">
        <w:rPr>
          <w:color w:val="0000FF"/>
          <w:lang w:val="ru-RU"/>
        </w:rPr>
        <w:t>中</w:t>
      </w:r>
      <w:r w:rsidRPr="0097554A">
        <w:rPr>
          <w:color w:val="0000FF"/>
        </w:rPr>
        <w:t>“</w:t>
      </w:r>
      <w:r w:rsidRPr="004C59BB">
        <w:rPr>
          <w:color w:val="0000FF"/>
          <w:lang w:val="ru-RU"/>
        </w:rPr>
        <w:t>έπίσκοπος</w:t>
      </w:r>
      <w:r w:rsidRPr="0097554A">
        <w:rPr>
          <w:color w:val="0000FF"/>
        </w:rPr>
        <w:t xml:space="preserve">– </w:t>
      </w:r>
      <w:r w:rsidRPr="004C59BB">
        <w:rPr>
          <w:color w:val="0000FF"/>
        </w:rPr>
        <w:t>n</w:t>
      </w:r>
      <w:r w:rsidRPr="0097554A">
        <w:rPr>
          <w:color w:val="0000FF"/>
        </w:rPr>
        <w:t>. II”</w:t>
      </w:r>
      <w:r w:rsidRPr="004C59BB">
        <w:rPr>
          <w:color w:val="0000FF"/>
          <w:lang w:val="ru-RU"/>
        </w:rPr>
        <w:t>条目。</w:t>
      </w:r>
    </w:p>
  </w:footnote>
  <w:footnote w:id="550">
    <w:p w14:paraId="3BCCC2CE" w14:textId="7105615D"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例如</w:t>
      </w:r>
      <w:r w:rsidRPr="0097554A">
        <w:rPr>
          <w:color w:val="0000FF"/>
        </w:rPr>
        <w:t>，</w:t>
      </w:r>
      <w:r w:rsidRPr="004C59BB">
        <w:rPr>
          <w:color w:val="0000FF"/>
          <w:lang w:val="ru-RU"/>
        </w:rPr>
        <w:t>在《使徒行传》中</w:t>
      </w:r>
      <w:r w:rsidRPr="0097554A">
        <w:rPr>
          <w:color w:val="0000FF"/>
        </w:rPr>
        <w:t>，</w:t>
      </w:r>
      <w:r w:rsidRPr="004C59BB">
        <w:rPr>
          <w:color w:val="0000FF"/>
          <w:lang w:val="ru-RU"/>
        </w:rPr>
        <w:t>我们读到圣保罗在米利都时</w:t>
      </w:r>
      <w:r w:rsidRPr="0097554A">
        <w:rPr>
          <w:color w:val="0000FF"/>
        </w:rPr>
        <w:t>，</w:t>
      </w:r>
      <w:r w:rsidRPr="004C59BB">
        <w:rPr>
          <w:color w:val="0000FF"/>
          <w:lang w:val="ru-RU"/>
        </w:rPr>
        <w:t>命令以弗所的长老们到他那里聚集</w:t>
      </w:r>
      <w:r w:rsidRPr="0097554A">
        <w:rPr>
          <w:color w:val="0000FF"/>
        </w:rPr>
        <w:t>，</w:t>
      </w:r>
      <w:r w:rsidRPr="004C59BB">
        <w:rPr>
          <w:color w:val="0000FF"/>
          <w:lang w:val="ru-RU"/>
        </w:rPr>
        <w:t>随后他亲自称他们为主教</w:t>
      </w:r>
      <w:r w:rsidRPr="0097554A">
        <w:rPr>
          <w:color w:val="0000FF"/>
        </w:rPr>
        <w:t>（</w:t>
      </w:r>
      <w:r w:rsidRPr="004C59BB">
        <w:rPr>
          <w:color w:val="0000FF"/>
          <w:lang w:val="ru-RU"/>
        </w:rPr>
        <w:t>第</w:t>
      </w:r>
      <w:r w:rsidRPr="0097554A">
        <w:rPr>
          <w:color w:val="0000FF"/>
        </w:rPr>
        <w:t>20</w:t>
      </w:r>
      <w:r w:rsidRPr="004C59BB">
        <w:rPr>
          <w:color w:val="0000FF"/>
          <w:lang w:val="ru-RU"/>
        </w:rPr>
        <w:t>章</w:t>
      </w:r>
      <w:r w:rsidRPr="0097554A">
        <w:rPr>
          <w:color w:val="0000FF"/>
        </w:rPr>
        <w:t>，17</w:t>
      </w:r>
      <w:r w:rsidRPr="004C59BB">
        <w:rPr>
          <w:color w:val="0000FF"/>
          <w:lang w:val="ru-RU"/>
        </w:rPr>
        <w:t>节</w:t>
      </w:r>
      <w:r w:rsidRPr="0097554A">
        <w:rPr>
          <w:color w:val="0000FF"/>
        </w:rPr>
        <w:t xml:space="preserve">）； </w:t>
      </w:r>
      <w:r w:rsidRPr="004C59BB">
        <w:rPr>
          <w:color w:val="0000FF"/>
          <w:lang w:val="ru-RU"/>
        </w:rPr>
        <w:t>同样</w:t>
      </w:r>
      <w:r w:rsidRPr="0097554A">
        <w:rPr>
          <w:color w:val="0000FF"/>
        </w:rPr>
        <w:t>，</w:t>
      </w:r>
      <w:r w:rsidRPr="004C59BB">
        <w:rPr>
          <w:color w:val="0000FF"/>
          <w:lang w:val="ru-RU"/>
        </w:rPr>
        <w:t>在《提多书》中</w:t>
      </w:r>
      <w:r w:rsidRPr="0097554A">
        <w:rPr>
          <w:color w:val="0000FF"/>
        </w:rPr>
        <w:t>，</w:t>
      </w:r>
      <w:r w:rsidRPr="004C59BB">
        <w:rPr>
          <w:color w:val="0000FF"/>
          <w:lang w:val="ru-RU"/>
        </w:rPr>
        <w:t>提到提多在克里特各城设立长老后</w:t>
      </w:r>
      <w:r w:rsidRPr="0097554A">
        <w:rPr>
          <w:color w:val="0000FF"/>
        </w:rPr>
        <w:t>，</w:t>
      </w:r>
      <w:r w:rsidRPr="004C59BB">
        <w:rPr>
          <w:color w:val="0000FF"/>
          <w:lang w:val="ru-RU"/>
        </w:rPr>
        <w:t>随后也称他们为主教</w:t>
      </w:r>
      <w:r w:rsidRPr="0097554A">
        <w:rPr>
          <w:color w:val="0000FF"/>
        </w:rPr>
        <w:t>（1:5–7）；</w:t>
      </w:r>
      <w:r w:rsidRPr="004C59BB">
        <w:rPr>
          <w:color w:val="0000FF"/>
          <w:lang w:val="ru-RU"/>
        </w:rPr>
        <w:t>在《腓立比书》</w:t>
      </w:r>
      <w:r w:rsidRPr="0097554A">
        <w:rPr>
          <w:color w:val="0000FF"/>
        </w:rPr>
        <w:t>（1:1）</w:t>
      </w:r>
      <w:r w:rsidRPr="004C59BB">
        <w:rPr>
          <w:color w:val="0000FF"/>
          <w:lang w:val="ru-RU"/>
        </w:rPr>
        <w:t>中</w:t>
      </w:r>
      <w:r w:rsidRPr="0097554A">
        <w:rPr>
          <w:color w:val="0000FF"/>
        </w:rPr>
        <w:t>，</w:t>
      </w:r>
      <w:r w:rsidRPr="004C59BB">
        <w:rPr>
          <w:color w:val="0000FF"/>
          <w:lang w:val="ru-RU"/>
        </w:rPr>
        <w:t>向主教和执事致意时</w:t>
      </w:r>
      <w:r w:rsidRPr="0097554A">
        <w:rPr>
          <w:color w:val="0000FF"/>
        </w:rPr>
        <w:t>，</w:t>
      </w:r>
      <w:r w:rsidRPr="004C59BB">
        <w:rPr>
          <w:color w:val="0000FF"/>
          <w:lang w:val="ru-RU"/>
        </w:rPr>
        <w:t>完全没有提及长老</w:t>
      </w:r>
      <w:r w:rsidRPr="0097554A">
        <w:rPr>
          <w:color w:val="0000FF"/>
        </w:rPr>
        <w:t xml:space="preserve">； </w:t>
      </w:r>
      <w:r w:rsidRPr="004C59BB">
        <w:rPr>
          <w:color w:val="0000FF"/>
          <w:lang w:val="ru-RU"/>
        </w:rPr>
        <w:t>在《提摩太前书》</w:t>
      </w:r>
      <w:r w:rsidRPr="0097554A">
        <w:rPr>
          <w:color w:val="0000FF"/>
        </w:rPr>
        <w:t>（</w:t>
      </w:r>
      <w:r w:rsidRPr="004C59BB">
        <w:rPr>
          <w:color w:val="0000FF"/>
          <w:lang w:val="ru-RU"/>
        </w:rPr>
        <w:t>第</w:t>
      </w:r>
      <w:r w:rsidRPr="0097554A">
        <w:rPr>
          <w:color w:val="0000FF"/>
        </w:rPr>
        <w:t>3</w:t>
      </w:r>
      <w:r w:rsidRPr="004C59BB">
        <w:rPr>
          <w:color w:val="0000FF"/>
          <w:lang w:val="ru-RU"/>
        </w:rPr>
        <w:t>章</w:t>
      </w:r>
      <w:r w:rsidRPr="0097554A">
        <w:rPr>
          <w:color w:val="0000FF"/>
        </w:rPr>
        <w:t>）</w:t>
      </w:r>
      <w:r w:rsidRPr="004C59BB">
        <w:rPr>
          <w:color w:val="0000FF"/>
          <w:lang w:val="ru-RU"/>
        </w:rPr>
        <w:t>中</w:t>
      </w:r>
      <w:r w:rsidRPr="0097554A">
        <w:rPr>
          <w:color w:val="0000FF"/>
        </w:rPr>
        <w:t>，</w:t>
      </w:r>
      <w:r w:rsidRPr="004C59BB">
        <w:rPr>
          <w:color w:val="0000FF"/>
          <w:lang w:val="ru-RU"/>
        </w:rPr>
        <w:t>仅描述了主教和执事的品格</w:t>
      </w:r>
      <w:r w:rsidRPr="0097554A">
        <w:rPr>
          <w:color w:val="0000FF"/>
        </w:rPr>
        <w:t>，</w:t>
      </w:r>
      <w:r w:rsidRPr="004C59BB">
        <w:rPr>
          <w:color w:val="0000FF"/>
          <w:lang w:val="ru-RU"/>
        </w:rPr>
        <w:t>却对长老只字未提。</w:t>
      </w:r>
      <w:r w:rsidRPr="0097554A">
        <w:rPr>
          <w:color w:val="0000FF"/>
        </w:rPr>
        <w:t xml:space="preserve"> </w:t>
      </w:r>
      <w:r w:rsidRPr="004C59BB">
        <w:rPr>
          <w:color w:val="0000FF"/>
          <w:lang w:val="ru-RU"/>
        </w:rPr>
        <w:t>关于所有这些经文的解释</w:t>
      </w:r>
      <w:r w:rsidRPr="004C59BB">
        <w:rPr>
          <w:color w:val="0000FF"/>
        </w:rPr>
        <w:t>，详见</w:t>
      </w:r>
      <w:r w:rsidRPr="004C59BB">
        <w:rPr>
          <w:color w:val="0000FF"/>
          <w:lang w:val="ru-RU"/>
        </w:rPr>
        <w:t>圣金口若望、狄奥多里特、安布罗斯、耶罗尼莫、埃皮法尼乌斯及其他</w:t>
      </w:r>
      <w:r w:rsidRPr="004C59BB">
        <w:rPr>
          <w:color w:val="0000FF"/>
        </w:rPr>
        <w:t>圣教父的论述，参见佩塔维乌斯《论教会等级制度》第二卷，第一至第九章，以及其《教会论》第一卷，第一、二章。</w:t>
      </w:r>
    </w:p>
  </w:footnote>
  <w:footnote w:id="551">
    <w:p w14:paraId="77B77B3B" w14:textId="69262D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《埃皮法尼乌斯反异端论》第三卷，第LXXV异端，第5条。</w:t>
      </w:r>
    </w:p>
  </w:footnote>
  <w:footnote w:id="552">
    <w:p w14:paraId="497A177A" w14:textId="5659B569"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《致哥林多前书》第40、</w:t>
      </w:r>
      <w:r w:rsidRPr="0097554A">
        <w:rPr>
          <w:color w:val="0000FF"/>
        </w:rPr>
        <w:t>42</w:t>
      </w:r>
      <w:r w:rsidRPr="004C59BB">
        <w:rPr>
          <w:color w:val="0000FF"/>
          <w:lang w:val="ru-RU"/>
        </w:rPr>
        <w:t>节</w:t>
      </w:r>
      <w:r w:rsidRPr="0097554A">
        <w:rPr>
          <w:color w:val="0000FF"/>
        </w:rPr>
        <w:t>，</w:t>
      </w:r>
      <w:r w:rsidRPr="004C59BB">
        <w:rPr>
          <w:color w:val="0000FF"/>
          <w:lang w:val="ru-RU"/>
        </w:rPr>
        <w:t>载于《基督教读本》</w:t>
      </w:r>
      <w:r w:rsidRPr="0097554A">
        <w:rPr>
          <w:color w:val="0000FF"/>
        </w:rPr>
        <w:t>1824</w:t>
      </w:r>
      <w:r w:rsidRPr="004C59BB">
        <w:rPr>
          <w:color w:val="0000FF"/>
          <w:lang w:val="ru-RU"/>
        </w:rPr>
        <w:t>年版</w:t>
      </w:r>
      <w:r w:rsidRPr="0097554A">
        <w:rPr>
          <w:color w:val="0000FF"/>
        </w:rPr>
        <w:t>，</w:t>
      </w:r>
      <w:r w:rsidRPr="004C59BB">
        <w:rPr>
          <w:color w:val="0000FF"/>
        </w:rPr>
        <w:t>第十四</w:t>
      </w:r>
      <w:r w:rsidRPr="004C59BB">
        <w:rPr>
          <w:color w:val="0000FF"/>
          <w:lang w:val="ru-RU"/>
        </w:rPr>
        <w:t>卷</w:t>
      </w:r>
      <w:r w:rsidRPr="0097554A">
        <w:rPr>
          <w:color w:val="0000FF"/>
        </w:rPr>
        <w:t>，</w:t>
      </w:r>
      <w:r w:rsidRPr="004C59BB">
        <w:rPr>
          <w:color w:val="0000FF"/>
          <w:lang w:val="ru-RU"/>
        </w:rPr>
        <w:t>第</w:t>
      </w:r>
      <w:r w:rsidRPr="0097554A">
        <w:rPr>
          <w:color w:val="0000FF"/>
        </w:rPr>
        <w:t>278</w:t>
      </w:r>
      <w:r w:rsidRPr="004C59BB">
        <w:rPr>
          <w:color w:val="0000FF"/>
          <w:lang w:val="ru-RU"/>
        </w:rPr>
        <w:t>、</w:t>
      </w:r>
      <w:r w:rsidRPr="0097554A">
        <w:rPr>
          <w:color w:val="0000FF"/>
        </w:rPr>
        <w:t>279–280</w:t>
      </w:r>
      <w:r w:rsidRPr="004C59BB">
        <w:rPr>
          <w:color w:val="0000FF"/>
          <w:lang w:val="ru-RU"/>
        </w:rPr>
        <w:t>页。</w:t>
      </w:r>
    </w:p>
  </w:footnote>
  <w:footnote w:id="553">
    <w:p w14:paraId="7371879E" w14:textId="4EB58A6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w:t>
      </w:r>
      <w:r w:rsidRPr="0097554A">
        <w:rPr>
          <w:color w:val="0000FF"/>
        </w:rPr>
        <w:t>535</w:t>
      </w:r>
      <w:r w:rsidRPr="004C59BB">
        <w:rPr>
          <w:color w:val="0000FF"/>
          <w:lang w:val="ru-RU"/>
        </w:rPr>
        <w:t>。</w:t>
      </w:r>
    </w:p>
  </w:footnote>
  <w:footnote w:id="554">
    <w:p w14:paraId="658FA09D" w14:textId="4FFA0638"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第</w:t>
      </w:r>
      <w:r w:rsidRPr="0097554A">
        <w:rPr>
          <w:color w:val="0000FF"/>
        </w:rPr>
        <w:t>8</w:t>
      </w:r>
      <w:r w:rsidRPr="004C59BB">
        <w:rPr>
          <w:color w:val="0000FF"/>
          <w:lang w:val="ru-RU"/>
        </w:rPr>
        <w:t>条。</w:t>
      </w:r>
    </w:p>
  </w:footnote>
  <w:footnote w:id="555">
    <w:p w14:paraId="601FF350" w14:textId="08F180B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参见第</w:t>
      </w:r>
      <w:r w:rsidRPr="0097554A">
        <w:rPr>
          <w:color w:val="0000FF"/>
        </w:rPr>
        <w:t>6</w:t>
      </w:r>
      <w:r w:rsidRPr="004C59BB">
        <w:rPr>
          <w:color w:val="0000FF"/>
          <w:lang w:val="ru-RU"/>
        </w:rPr>
        <w:t>条。</w:t>
      </w:r>
    </w:p>
  </w:footnote>
  <w:footnote w:id="556">
    <w:p w14:paraId="2EDB9361" w14:textId="17551FD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参见第</w:t>
      </w:r>
      <w:r w:rsidRPr="0097554A">
        <w:rPr>
          <w:color w:val="0000FF"/>
        </w:rPr>
        <w:t xml:space="preserve"> 12 </w:t>
      </w:r>
      <w:r w:rsidRPr="004C59BB">
        <w:rPr>
          <w:color w:val="0000FF"/>
          <w:lang w:val="ru-RU"/>
        </w:rPr>
        <w:t>条。</w:t>
      </w:r>
    </w:p>
  </w:footnote>
  <w:footnote w:id="557">
    <w:p w14:paraId="1E464A9A" w14:textId="41EFC2F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反异端论</w:t>
      </w:r>
      <w:r w:rsidRPr="004C59BB">
        <w:rPr>
          <w:color w:val="0000FF"/>
          <w:lang w:val="ru-RU"/>
        </w:rPr>
        <w:t>》</w:t>
      </w:r>
      <w:r w:rsidRPr="004C59BB">
        <w:rPr>
          <w:color w:val="0000FF"/>
        </w:rPr>
        <w:t>第五</w:t>
      </w:r>
      <w:r w:rsidRPr="004C59BB">
        <w:rPr>
          <w:color w:val="0000FF"/>
          <w:lang w:val="ru-RU"/>
        </w:rPr>
        <w:t>卷</w:t>
      </w:r>
      <w:r w:rsidRPr="0097554A">
        <w:rPr>
          <w:color w:val="0000FF"/>
        </w:rPr>
        <w:t>，</w:t>
      </w:r>
      <w:r w:rsidRPr="004C59BB">
        <w:rPr>
          <w:color w:val="0000FF"/>
          <w:lang w:val="ru-RU"/>
        </w:rPr>
        <w:t>第</w:t>
      </w:r>
      <w:r w:rsidRPr="0097554A">
        <w:rPr>
          <w:color w:val="0000FF"/>
        </w:rPr>
        <w:t>20</w:t>
      </w:r>
      <w:r w:rsidRPr="004C59BB">
        <w:rPr>
          <w:color w:val="0000FF"/>
          <w:lang w:val="ru-RU"/>
        </w:rPr>
        <w:t>章</w:t>
      </w:r>
      <w:r w:rsidRPr="0097554A">
        <w:rPr>
          <w:color w:val="0000FF"/>
        </w:rPr>
        <w:t>，</w:t>
      </w:r>
      <w:r w:rsidRPr="004C59BB">
        <w:rPr>
          <w:color w:val="0000FF"/>
          <w:lang w:val="ru-RU"/>
        </w:rPr>
        <w:t>载于《基督教读本》</w:t>
      </w:r>
      <w:r w:rsidRPr="0097554A">
        <w:rPr>
          <w:color w:val="0000FF"/>
        </w:rPr>
        <w:t>1838</w:t>
      </w:r>
      <w:r w:rsidRPr="004C59BB">
        <w:rPr>
          <w:color w:val="0000FF"/>
          <w:lang w:val="ru-RU"/>
        </w:rPr>
        <w:t>年版</w:t>
      </w:r>
      <w:r w:rsidRPr="0097554A">
        <w:rPr>
          <w:color w:val="0000FF"/>
        </w:rPr>
        <w:t>，</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142</w:t>
      </w:r>
      <w:r w:rsidRPr="004C59BB">
        <w:rPr>
          <w:color w:val="0000FF"/>
          <w:lang w:val="ru-RU"/>
        </w:rPr>
        <w:t>页。</w:t>
      </w:r>
    </w:p>
  </w:footnote>
  <w:footnote w:id="558">
    <w:p w14:paraId="344F3D9F" w14:textId="0C46E7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《论洗礼》第17章。</w:t>
      </w:r>
    </w:p>
  </w:footnote>
  <w:footnote w:id="559">
    <w:p w14:paraId="3906447F" w14:textId="2D7EF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《耶利米书讲道集》第十一卷，第3讲，Mavr. Opp. 第三卷，第189页。</w:t>
      </w:r>
    </w:p>
  </w:footnote>
  <w:footnote w:id="560">
    <w:p w14:paraId="73C5A3BC" w14:textId="2A20AA80"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此类证据不胜枚举</w:t>
      </w:r>
      <w:r w:rsidRPr="0097554A">
        <w:rPr>
          <w:color w:val="0000FF"/>
        </w:rPr>
        <w:t>，</w:t>
      </w:r>
      <w:r w:rsidRPr="004C59BB">
        <w:rPr>
          <w:color w:val="0000FF"/>
          <w:lang w:val="ru-RU"/>
        </w:rPr>
        <w:t>参见</w:t>
      </w:r>
      <w:r w:rsidRPr="0097554A">
        <w:rPr>
          <w:color w:val="0000FF"/>
        </w:rPr>
        <w:t>——</w:t>
      </w:r>
      <w:r w:rsidRPr="004C59BB">
        <w:rPr>
          <w:color w:val="0000FF"/>
          <w:lang w:val="ru-RU"/>
        </w:rPr>
        <w:t>《</w:t>
      </w:r>
      <w:r w:rsidRPr="004C59BB">
        <w:rPr>
          <w:color w:val="0000FF"/>
        </w:rPr>
        <w:t>亚历山大</w:t>
      </w:r>
      <w:r w:rsidRPr="004C59BB">
        <w:rPr>
          <w:color w:val="0000FF"/>
          <w:lang w:val="ru-RU"/>
        </w:rPr>
        <w:t>诞辰</w:t>
      </w:r>
      <w:r w:rsidRPr="004C59BB">
        <w:rPr>
          <w:color w:val="0000FF"/>
        </w:rPr>
        <w:t>论文集》第XLIV篇，第四卷；另见——维塔塞《论圣职圣事》第二部分第三节第一条，第1章及后续章节。</w:t>
      </w:r>
    </w:p>
  </w:footnote>
  <w:footnote w:id="561">
    <w:p w14:paraId="5BC3807A" w14:textId="3C690C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《反异端论》第75章，第3节；奥古斯丁《论异端》第53章。</w:t>
      </w:r>
    </w:p>
  </w:footnote>
  <w:footnote w:id="562">
    <w:p w14:paraId="16918A71" w14:textId="0FE16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《反异端论》第三卷，第3章。</w:t>
      </w:r>
    </w:p>
  </w:footnote>
  <w:footnote w:id="563">
    <w:p w14:paraId="7E389192" w14:textId="2B88B5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《论异端》，第32章。</w:t>
      </w:r>
    </w:p>
  </w:footnote>
  <w:footnote w:id="564">
    <w:p w14:paraId="11C6193C" w14:textId="17ABF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《教会史》第IV卷，第5章，第22节。</w:t>
      </w:r>
    </w:p>
  </w:footnote>
  <w:footnote w:id="565">
    <w:p w14:paraId="2A307201" w14:textId="057FB2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《致费城书》第1章。</w:t>
      </w:r>
    </w:p>
  </w:footnote>
  <w:footnote w:id="566">
    <w:p w14:paraId="5930F2B0" w14:textId="1FCB77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《反异端》第四卷，第43章；参见第一卷，第28章。</w:t>
      </w:r>
    </w:p>
  </w:footnote>
  <w:footnote w:id="567">
    <w:p w14:paraId="7F41803B" w14:textId="2B26593F"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《使徒在各省祝圣长老和主教》（参见《马太福音》第25章</w:t>
      </w:r>
      <w:r w:rsidRPr="004C59BB">
        <w:rPr>
          <w:color w:val="0000FF"/>
          <w:lang w:val="ru-RU"/>
        </w:rPr>
        <w:t>第</w:t>
      </w:r>
      <w:r w:rsidRPr="0097554A">
        <w:rPr>
          <w:color w:val="0000FF"/>
        </w:rPr>
        <w:t>26</w:t>
      </w:r>
      <w:r w:rsidRPr="004C59BB">
        <w:rPr>
          <w:color w:val="0000FF"/>
          <w:lang w:val="ru-RU"/>
        </w:rPr>
        <w:t>节</w:t>
      </w:r>
      <w:r w:rsidRPr="0097554A">
        <w:rPr>
          <w:color w:val="0000FF"/>
        </w:rPr>
        <w:t>）</w:t>
      </w:r>
      <w:r w:rsidRPr="004C59BB">
        <w:rPr>
          <w:color w:val="0000FF"/>
          <w:lang w:val="ru-RU"/>
        </w:rPr>
        <w:t>。</w:t>
      </w:r>
    </w:p>
  </w:footnote>
  <w:footnote w:id="568">
    <w:p w14:paraId="752CF938" w14:textId="46C8B14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551</w:t>
      </w:r>
      <w:r w:rsidRPr="004C59BB">
        <w:rPr>
          <w:color w:val="0000FF"/>
          <w:lang w:val="ru-RU"/>
        </w:rPr>
        <w:t>、</w:t>
      </w:r>
      <w:r w:rsidRPr="0097554A">
        <w:rPr>
          <w:color w:val="0000FF"/>
        </w:rPr>
        <w:t>552</w:t>
      </w:r>
      <w:r w:rsidRPr="004C59BB">
        <w:rPr>
          <w:color w:val="0000FF"/>
          <w:lang w:val="ru-RU"/>
        </w:rPr>
        <w:t>、</w:t>
      </w:r>
      <w:r w:rsidRPr="0097554A">
        <w:rPr>
          <w:color w:val="0000FF"/>
        </w:rPr>
        <w:t>554</w:t>
      </w:r>
      <w:r w:rsidRPr="004C59BB">
        <w:rPr>
          <w:color w:val="0000FF"/>
          <w:lang w:val="ru-RU"/>
        </w:rPr>
        <w:t>、</w:t>
      </w:r>
      <w:r w:rsidRPr="0097554A">
        <w:rPr>
          <w:color w:val="0000FF"/>
        </w:rPr>
        <w:t>555</w:t>
      </w:r>
      <w:r w:rsidRPr="004C59BB">
        <w:rPr>
          <w:color w:val="0000FF"/>
          <w:lang w:val="ru-RU"/>
        </w:rPr>
        <w:t>、</w:t>
      </w:r>
      <w:r w:rsidRPr="0097554A">
        <w:rPr>
          <w:color w:val="0000FF"/>
        </w:rPr>
        <w:t>556</w:t>
      </w:r>
      <w:r w:rsidRPr="004C59BB">
        <w:rPr>
          <w:color w:val="0000FF"/>
          <w:lang w:val="ru-RU"/>
        </w:rPr>
        <w:t>、</w:t>
      </w:r>
      <w:r w:rsidRPr="0097554A">
        <w:rPr>
          <w:color w:val="0000FF"/>
        </w:rPr>
        <w:t>558</w:t>
      </w:r>
      <w:r w:rsidRPr="004C59BB">
        <w:rPr>
          <w:color w:val="0000FF"/>
          <w:lang w:val="ru-RU"/>
        </w:rPr>
        <w:t>、</w:t>
      </w:r>
      <w:r w:rsidRPr="0097554A">
        <w:rPr>
          <w:color w:val="0000FF"/>
        </w:rPr>
        <w:t>559</w:t>
      </w:r>
      <w:r w:rsidRPr="004C59BB">
        <w:rPr>
          <w:color w:val="0000FF"/>
          <w:lang w:val="ru-RU"/>
        </w:rPr>
        <w:t>。</w:t>
      </w:r>
    </w:p>
  </w:footnote>
  <w:footnote w:id="569">
    <w:p w14:paraId="030CD800" w14:textId="61BE325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关于《使徒行传》中记载使徒们设立首批七位执事</w:t>
      </w:r>
      <w:r w:rsidRPr="0097554A">
        <w:rPr>
          <w:color w:val="0000FF"/>
        </w:rPr>
        <w:t>（6:1–7）</w:t>
      </w:r>
      <w:r w:rsidRPr="004C59BB">
        <w:rPr>
          <w:color w:val="0000FF"/>
          <w:lang w:val="ru-RU"/>
        </w:rPr>
        <w:t>的段落应如何理解</w:t>
      </w:r>
      <w:r w:rsidRPr="0097554A">
        <w:rPr>
          <w:color w:val="0000FF"/>
        </w:rPr>
        <w:t>，</w:t>
      </w:r>
      <w:r w:rsidRPr="004C59BB">
        <w:rPr>
          <w:color w:val="0000FF"/>
          <w:lang w:val="ru-RU"/>
        </w:rPr>
        <w:t>参见第六次大公会议第</w:t>
      </w:r>
      <w:r w:rsidRPr="0097554A">
        <w:rPr>
          <w:color w:val="0000FF"/>
        </w:rPr>
        <w:t>16</w:t>
      </w:r>
      <w:r w:rsidRPr="004C59BB">
        <w:rPr>
          <w:color w:val="0000FF"/>
          <w:lang w:val="ru-RU"/>
        </w:rPr>
        <w:t>条法令。</w:t>
      </w:r>
    </w:p>
  </w:footnote>
  <w:footnote w:id="570">
    <w:p w14:paraId="2A49711B" w14:textId="28E5EE6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534</w:t>
      </w:r>
      <w:r w:rsidRPr="004C59BB">
        <w:rPr>
          <w:color w:val="0000FF"/>
          <w:lang w:val="ru-RU"/>
        </w:rPr>
        <w:t>、</w:t>
      </w:r>
      <w:r w:rsidRPr="0097554A">
        <w:rPr>
          <w:color w:val="0000FF"/>
        </w:rPr>
        <w:t>552</w:t>
      </w:r>
      <w:r w:rsidRPr="004C59BB">
        <w:rPr>
          <w:color w:val="0000FF"/>
          <w:lang w:val="ru-RU"/>
        </w:rPr>
        <w:t>。</w:t>
      </w:r>
    </w:p>
  </w:footnote>
  <w:footnote w:id="571">
    <w:p w14:paraId="08E8BFD7" w14:textId="19B2A9A4"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致特拉利亚人书》</w:t>
      </w:r>
      <w:r w:rsidRPr="0097554A">
        <w:rPr>
          <w:color w:val="0000FF"/>
        </w:rPr>
        <w:t>，</w:t>
      </w:r>
      <w:r w:rsidRPr="004C59BB">
        <w:rPr>
          <w:color w:val="0000FF"/>
          <w:lang w:val="ru-RU"/>
        </w:rPr>
        <w:t>第</w:t>
      </w:r>
      <w:r w:rsidRPr="0097554A">
        <w:rPr>
          <w:color w:val="0000FF"/>
        </w:rPr>
        <w:t>2</w:t>
      </w:r>
      <w:r w:rsidRPr="004C59BB">
        <w:rPr>
          <w:color w:val="0000FF"/>
          <w:lang w:val="ru-RU"/>
        </w:rPr>
        <w:t>节</w:t>
      </w:r>
      <w:r w:rsidRPr="0097554A">
        <w:rPr>
          <w:color w:val="0000FF"/>
        </w:rPr>
        <w:t>，</w:t>
      </w:r>
      <w:r w:rsidRPr="004C59BB">
        <w:rPr>
          <w:color w:val="0000FF"/>
          <w:lang w:val="ru-RU"/>
        </w:rPr>
        <w:t>载于《基督教读本》</w:t>
      </w:r>
      <w:r w:rsidRPr="0097554A">
        <w:rPr>
          <w:color w:val="0000FF"/>
        </w:rPr>
        <w:t>1830</w:t>
      </w:r>
      <w:r w:rsidRPr="004C59BB">
        <w:rPr>
          <w:color w:val="0000FF"/>
          <w:lang w:val="ru-RU"/>
        </w:rPr>
        <w:t>年版</w:t>
      </w:r>
      <w:r w:rsidRPr="0097554A">
        <w:rPr>
          <w:color w:val="0000FF"/>
        </w:rPr>
        <w:t>，</w:t>
      </w:r>
      <w:r w:rsidRPr="004C59BB">
        <w:rPr>
          <w:color w:val="0000FF"/>
        </w:rPr>
        <w:t>第XXXVII</w:t>
      </w:r>
      <w:r w:rsidRPr="004C59BB">
        <w:rPr>
          <w:color w:val="0000FF"/>
          <w:lang w:val="ru-RU"/>
        </w:rPr>
        <w:t>卷</w:t>
      </w:r>
      <w:r w:rsidRPr="0097554A">
        <w:rPr>
          <w:color w:val="0000FF"/>
        </w:rPr>
        <w:t>，</w:t>
      </w:r>
      <w:r w:rsidRPr="004C59BB">
        <w:rPr>
          <w:color w:val="0000FF"/>
          <w:lang w:val="ru-RU"/>
        </w:rPr>
        <w:t>第</w:t>
      </w:r>
      <w:r w:rsidRPr="0097554A">
        <w:rPr>
          <w:color w:val="0000FF"/>
        </w:rPr>
        <w:t>240</w:t>
      </w:r>
      <w:r w:rsidRPr="004C59BB">
        <w:rPr>
          <w:color w:val="0000FF"/>
          <w:lang w:val="ru-RU"/>
        </w:rPr>
        <w:t>页。参见注释541、554、555。</w:t>
      </w:r>
    </w:p>
  </w:footnote>
  <w:footnote w:id="572">
    <w:p w14:paraId="38634A0A" w14:textId="54E6871B"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《致腓立比书》第5节，载于《基督教读物》1821年卷1，第120、</w:t>
      </w:r>
      <w:r w:rsidRPr="0097554A">
        <w:rPr>
          <w:color w:val="0000FF"/>
          <w:lang w:val="ru-RU"/>
        </w:rPr>
        <w:t>121</w:t>
      </w:r>
      <w:r w:rsidRPr="004C59BB">
        <w:rPr>
          <w:color w:val="0000FF"/>
        </w:rPr>
        <w:t>页。</w:t>
      </w:r>
    </w:p>
  </w:footnote>
  <w:footnote w:id="573">
    <w:p w14:paraId="021FBA63" w14:textId="4556EA8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《辩护书》第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65</w:t>
      </w:r>
      <w:r w:rsidRPr="004C59BB">
        <w:rPr>
          <w:color w:val="0000FF"/>
        </w:rPr>
        <w:t>页。</w:t>
      </w:r>
    </w:p>
  </w:footnote>
  <w:footnote w:id="574">
    <w:p w14:paraId="0991192C" w14:textId="355A731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《论异端禁令》</w:t>
      </w:r>
      <w:r w:rsidRPr="0097554A">
        <w:rPr>
          <w:color w:val="0000FF"/>
          <w:lang w:val="ru-RU"/>
        </w:rPr>
        <w:t>，</w:t>
      </w:r>
      <w:r w:rsidRPr="004C59BB">
        <w:rPr>
          <w:color w:val="0000FF"/>
        </w:rPr>
        <w:t>第</w:t>
      </w:r>
      <w:r w:rsidRPr="0097554A">
        <w:rPr>
          <w:color w:val="0000FF"/>
          <w:lang w:val="ru-RU"/>
        </w:rPr>
        <w:t>41</w:t>
      </w:r>
      <w:r w:rsidRPr="004C59BB">
        <w:rPr>
          <w:color w:val="0000FF"/>
        </w:rPr>
        <w:t>页</w:t>
      </w:r>
      <w:r w:rsidRPr="0097554A">
        <w:rPr>
          <w:color w:val="0000FF"/>
          <w:lang w:val="ru-RU"/>
        </w:rPr>
        <w:t>；</w:t>
      </w:r>
      <w:r w:rsidRPr="004C59BB">
        <w:rPr>
          <w:color w:val="0000FF"/>
        </w:rPr>
        <w:t>《论洗礼》第</w:t>
      </w:r>
      <w:r w:rsidRPr="0097554A">
        <w:rPr>
          <w:color w:val="0000FF"/>
          <w:lang w:val="ru-RU"/>
        </w:rPr>
        <w:t>17</w:t>
      </w:r>
      <w:r w:rsidRPr="004C59BB">
        <w:rPr>
          <w:color w:val="0000FF"/>
        </w:rPr>
        <w:t>章。</w:t>
      </w:r>
    </w:p>
  </w:footnote>
  <w:footnote w:id="575">
    <w:p w14:paraId="71848207" w14:textId="60ACFD5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《杂论》第六卷</w:t>
      </w:r>
      <w:r w:rsidRPr="0097554A">
        <w:rPr>
          <w:color w:val="0000FF"/>
          <w:lang w:val="ru-RU"/>
        </w:rPr>
        <w:t>，</w:t>
      </w:r>
      <w:r w:rsidRPr="004C59BB">
        <w:rPr>
          <w:color w:val="0000FF"/>
        </w:rPr>
        <w:t>第</w:t>
      </w:r>
      <w:r w:rsidRPr="0097554A">
        <w:rPr>
          <w:color w:val="0000FF"/>
          <w:lang w:val="ru-RU"/>
        </w:rPr>
        <w:t>1</w:t>
      </w:r>
      <w:r w:rsidRPr="004C59BB">
        <w:rPr>
          <w:color w:val="0000FF"/>
        </w:rPr>
        <w:t>章。</w:t>
      </w:r>
    </w:p>
  </w:footnote>
  <w:footnote w:id="576">
    <w:p w14:paraId="48E90259" w14:textId="7F5911A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执事</w:t>
      </w:r>
      <w:r w:rsidRPr="0097554A">
        <w:rPr>
          <w:color w:val="0000FF"/>
          <w:lang w:val="ru-RU"/>
        </w:rPr>
        <w:t>……</w:t>
      </w:r>
      <w:r w:rsidRPr="004C59BB">
        <w:rPr>
          <w:color w:val="0000FF"/>
        </w:rPr>
        <w:t>使徒们为自己设立了主教职位</w:t>
      </w:r>
      <w:r w:rsidRPr="0097554A">
        <w:rPr>
          <w:color w:val="0000FF"/>
          <w:lang w:val="ru-RU"/>
        </w:rPr>
        <w:t>，</w:t>
      </w:r>
      <w:r w:rsidRPr="004C59BB">
        <w:rPr>
          <w:color w:val="0000FF"/>
        </w:rPr>
        <w:t>并作为教会的仆人</w:t>
      </w:r>
      <w:r w:rsidRPr="0097554A">
        <w:rPr>
          <w:color w:val="0000FF"/>
          <w:lang w:val="ru-RU"/>
        </w:rPr>
        <w:t>”（</w:t>
      </w:r>
      <w:r w:rsidRPr="004C59BB">
        <w:rPr>
          <w:color w:val="0000FF"/>
        </w:rPr>
        <w:t>LXV</w:t>
      </w:r>
      <w:r w:rsidRPr="0097554A">
        <w:rPr>
          <w:color w:val="0000FF"/>
          <w:lang w:val="ru-RU"/>
        </w:rPr>
        <w:t>）</w:t>
      </w:r>
      <w:r w:rsidRPr="004C59BB">
        <w:rPr>
          <w:color w:val="0000FF"/>
        </w:rPr>
        <w:t>。</w:t>
      </w:r>
    </w:p>
  </w:footnote>
  <w:footnote w:id="577">
    <w:p w14:paraId="4F94FF8D" w14:textId="51C09DD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《论职务》第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50</w:t>
      </w:r>
      <w:r w:rsidRPr="004C59BB">
        <w:rPr>
          <w:color w:val="0000FF"/>
        </w:rPr>
        <w:t>章</w:t>
      </w:r>
      <w:r w:rsidRPr="0097554A">
        <w:rPr>
          <w:color w:val="0000FF"/>
          <w:lang w:val="ru-RU"/>
        </w:rPr>
        <w:t>，</w:t>
      </w:r>
      <w:r w:rsidRPr="004C59BB">
        <w:rPr>
          <w:color w:val="0000FF"/>
        </w:rPr>
        <w:t>注</w:t>
      </w:r>
      <w:r w:rsidRPr="0097554A">
        <w:rPr>
          <w:color w:val="0000FF"/>
          <w:lang w:val="ru-RU"/>
        </w:rPr>
        <w:t>255</w:t>
      </w:r>
      <w:r w:rsidRPr="004C59BB">
        <w:rPr>
          <w:color w:val="0000FF"/>
        </w:rPr>
        <w:t>。</w:t>
      </w:r>
    </w:p>
  </w:footnote>
  <w:footnote w:id="578">
    <w:p w14:paraId="39380B6F" w14:textId="0494C9C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格雷戈里</w:t>
      </w:r>
      <w:r w:rsidRPr="0097554A">
        <w:rPr>
          <w:color w:val="0000FF"/>
          <w:lang w:val="ru-RU"/>
        </w:rPr>
        <w:t>·</w:t>
      </w:r>
      <w:r w:rsidRPr="004C59BB">
        <w:rPr>
          <w:color w:val="0000FF"/>
        </w:rPr>
        <w:t>纳齐安兹《书信》CCV</w:t>
      </w:r>
      <w:r w:rsidRPr="0097554A">
        <w:rPr>
          <w:color w:val="0000FF"/>
          <w:lang w:val="ru-RU"/>
        </w:rPr>
        <w:t>；</w:t>
      </w:r>
      <w:r w:rsidRPr="004C59BB">
        <w:rPr>
          <w:color w:val="0000FF"/>
        </w:rPr>
        <w:t>杰罗姆《以西结书注释》XLIV</w:t>
      </w:r>
      <w:r w:rsidRPr="0097554A">
        <w:rPr>
          <w:color w:val="0000FF"/>
          <w:lang w:val="ru-RU"/>
        </w:rPr>
        <w:t>；</w:t>
      </w:r>
      <w:r w:rsidRPr="004C59BB">
        <w:rPr>
          <w:color w:val="0000FF"/>
        </w:rPr>
        <w:t>提奥多雷特《提摩太前书注释》III</w:t>
      </w:r>
      <w:r w:rsidRPr="0097554A">
        <w:rPr>
          <w:color w:val="0000FF"/>
          <w:lang w:val="ru-RU"/>
        </w:rPr>
        <w:t>，8</w:t>
      </w:r>
      <w:r w:rsidRPr="004C59BB">
        <w:rPr>
          <w:color w:val="0000FF"/>
        </w:rPr>
        <w:t>。</w:t>
      </w:r>
    </w:p>
  </w:footnote>
  <w:footnote w:id="579">
    <w:p w14:paraId="29EE3AA0" w14:textId="5729803A"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《致马格内西亚书》</w:t>
      </w:r>
      <w:r w:rsidRPr="0097554A">
        <w:rPr>
          <w:color w:val="0000FF"/>
          <w:lang w:val="ru-RU"/>
        </w:rPr>
        <w:t>，</w:t>
      </w:r>
      <w:r w:rsidRPr="004C59BB">
        <w:rPr>
          <w:color w:val="0000FF"/>
        </w:rPr>
        <w:t>第</w:t>
      </w:r>
      <w:r w:rsidRPr="0097554A">
        <w:rPr>
          <w:color w:val="0000FF"/>
          <w:lang w:val="ru-RU"/>
        </w:rPr>
        <w:t>2</w:t>
      </w:r>
      <w:r w:rsidRPr="004C59BB">
        <w:rPr>
          <w:color w:val="0000FF"/>
        </w:rPr>
        <w:t>章</w:t>
      </w:r>
      <w:r w:rsidRPr="0097554A">
        <w:rPr>
          <w:color w:val="0000FF"/>
          <w:lang w:val="ru-RU"/>
        </w:rPr>
        <w:t>；</w:t>
      </w:r>
      <w:r w:rsidRPr="004C59BB">
        <w:rPr>
          <w:color w:val="0000FF"/>
        </w:rPr>
        <w:t>参见第</w:t>
      </w:r>
      <w:r w:rsidRPr="0097554A">
        <w:rPr>
          <w:color w:val="0000FF"/>
          <w:lang w:val="ru-RU"/>
        </w:rPr>
        <w:t>6</w:t>
      </w:r>
      <w:r w:rsidRPr="004C59BB">
        <w:rPr>
          <w:color w:val="0000FF"/>
        </w:rPr>
        <w:t>章。另见上文注释552、554、555。</w:t>
      </w:r>
    </w:p>
  </w:footnote>
  <w:footnote w:id="580">
    <w:p w14:paraId="6BA0BF68" w14:textId="06510195"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“第三等级中的执事如何？第二等级中被任命为司铎的长老又如何？他们正是所有人的首领和领袖……主教”（《多纳图斯派分裂》1, 13）。关于特土良和奥利金类似的证词，参见上文注释</w:t>
      </w:r>
      <w:r w:rsidRPr="0097554A">
        <w:rPr>
          <w:color w:val="0000FF"/>
        </w:rPr>
        <w:t>558</w:t>
      </w:r>
      <w:r w:rsidRPr="004C59BB">
        <w:rPr>
          <w:color w:val="0000FF"/>
          <w:lang w:val="ru-RU"/>
        </w:rPr>
        <w:t>、</w:t>
      </w:r>
      <w:r w:rsidRPr="0097554A">
        <w:rPr>
          <w:color w:val="0000FF"/>
        </w:rPr>
        <w:t>559</w:t>
      </w:r>
      <w:r w:rsidRPr="004C59BB">
        <w:rPr>
          <w:color w:val="0000FF"/>
          <w:lang w:val="ru-RU"/>
        </w:rPr>
        <w:t>。</w:t>
      </w:r>
    </w:p>
  </w:footnote>
  <w:footnote w:id="581">
    <w:p w14:paraId="3F7960B8" w14:textId="583822A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486</w:t>
      </w:r>
      <w:r w:rsidRPr="004C59BB">
        <w:rPr>
          <w:color w:val="0000FF"/>
          <w:lang w:val="ru-RU"/>
        </w:rPr>
        <w:t>。</w:t>
      </w:r>
    </w:p>
  </w:footnote>
  <w:footnote w:id="582">
    <w:p w14:paraId="540B927E" w14:textId="13070B8D" w:rsidR="00254F25" w:rsidRPr="004C59BB" w:rsidRDefault="00000000">
      <w:pPr>
        <w:pStyle w:val="FootnoteText"/>
        <w:rPr>
          <w:color w:val="0000FF"/>
          <w:lang w:val="el-GR"/>
        </w:rPr>
      </w:pPr>
      <w:r w:rsidRPr="004C59BB">
        <w:rPr>
          <w:rStyle w:val="FootnoteReference"/>
          <w:color w:val="0000FF"/>
        </w:rPr>
        <w:footnoteRef/>
      </w:r>
      <w:r w:rsidRPr="0097554A">
        <w:rPr>
          <w:color w:val="0000FF"/>
        </w:rPr>
        <w:t xml:space="preserve"> </w:t>
      </w:r>
      <w:r w:rsidRPr="004C59BB">
        <w:rPr>
          <w:color w:val="0000FF"/>
          <w:lang w:val="ru-RU"/>
        </w:rPr>
        <w:t>参见致费城书信的斯拉夫语译本</w:t>
      </w:r>
      <w:r w:rsidRPr="0097554A">
        <w:rPr>
          <w:color w:val="0000FF"/>
        </w:rPr>
        <w:t>，</w:t>
      </w:r>
      <w:r w:rsidRPr="004C59BB">
        <w:rPr>
          <w:color w:val="0000FF"/>
          <w:lang w:val="ru-RU"/>
        </w:rPr>
        <w:t>第</w:t>
      </w:r>
      <w:r w:rsidRPr="0097554A">
        <w:rPr>
          <w:color w:val="0000FF"/>
        </w:rPr>
        <w:t>19</w:t>
      </w:r>
      <w:r w:rsidRPr="004C59BB">
        <w:rPr>
          <w:color w:val="0000FF"/>
          <w:lang w:val="ru-RU"/>
        </w:rPr>
        <w:t>页</w:t>
      </w:r>
      <w:r w:rsidRPr="004C59BB">
        <w:rPr>
          <w:color w:val="0000FF"/>
        </w:rPr>
        <w:t>背面</w:t>
      </w:r>
      <w:r w:rsidRPr="004C59BB">
        <w:rPr>
          <w:color w:val="0000FF"/>
          <w:lang w:val="el-GR"/>
        </w:rPr>
        <w:t>。</w:t>
      </w:r>
      <w:r w:rsidRPr="004C59BB">
        <w:rPr>
          <w:color w:val="0000FF"/>
        </w:rPr>
        <w:t>参见注释</w:t>
      </w:r>
      <w:r w:rsidRPr="004C59BB">
        <w:rPr>
          <w:color w:val="0000FF"/>
          <w:lang w:val="el-GR"/>
        </w:rPr>
        <w:t>554、555。</w:t>
      </w:r>
    </w:p>
  </w:footnote>
  <w:footnote w:id="583">
    <w:p w14:paraId="7B22BEE5" w14:textId="5D1A58A6"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“因为在这里，主教、长老和执事在教会中的表现，我认为是天使荣耀的写照。</w:t>
      </w:r>
      <w:r w:rsidRPr="0097554A">
        <w:rPr>
          <w:color w:val="0000FF"/>
          <w:lang w:val="el-GR"/>
        </w:rPr>
        <w:t>”</w:t>
      </w:r>
      <w:r w:rsidRPr="004C59BB">
        <w:rPr>
          <w:color w:val="0000FF"/>
        </w:rPr>
        <w:t>《教义集》第六卷</w:t>
      </w:r>
      <w:r w:rsidRPr="0097554A">
        <w:rPr>
          <w:color w:val="0000FF"/>
          <w:lang w:val="el-GR"/>
        </w:rPr>
        <w:t>，</w:t>
      </w:r>
      <w:r w:rsidRPr="004C59BB">
        <w:rPr>
          <w:color w:val="0000FF"/>
        </w:rPr>
        <w:t>第</w:t>
      </w:r>
      <w:r w:rsidRPr="0097554A">
        <w:rPr>
          <w:color w:val="0000FF"/>
          <w:lang w:val="el-GR"/>
        </w:rPr>
        <w:t>13</w:t>
      </w:r>
      <w:r w:rsidRPr="004C59BB">
        <w:rPr>
          <w:color w:val="0000FF"/>
        </w:rPr>
        <w:t>章。</w:t>
      </w:r>
    </w:p>
  </w:footnote>
  <w:footnote w:id="584">
    <w:p w14:paraId="424DD6C0" w14:textId="0F19960F"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《致罗马人书》第二卷</w:t>
      </w:r>
      <w:r w:rsidRPr="0097554A">
        <w:rPr>
          <w:color w:val="0000FF"/>
          <w:lang w:val="el-GR"/>
        </w:rPr>
        <w:t>，</w:t>
      </w:r>
      <w:r w:rsidRPr="004C59BB">
        <w:rPr>
          <w:color w:val="0000FF"/>
        </w:rPr>
        <w:t>巴黎</w:t>
      </w:r>
      <w:r w:rsidRPr="0097554A">
        <w:rPr>
          <w:color w:val="0000FF"/>
          <w:lang w:val="el-GR"/>
        </w:rPr>
        <w:t>1582</w:t>
      </w:r>
      <w:r w:rsidRPr="004C59BB">
        <w:rPr>
          <w:color w:val="0000FF"/>
        </w:rPr>
        <w:t>年版</w:t>
      </w:r>
      <w:r w:rsidRPr="0097554A">
        <w:rPr>
          <w:color w:val="0000FF"/>
          <w:lang w:val="el-GR"/>
        </w:rPr>
        <w:t>，</w:t>
      </w:r>
      <w:r w:rsidRPr="004C59BB">
        <w:rPr>
          <w:color w:val="0000FF"/>
        </w:rPr>
        <w:t>第二部分</w:t>
      </w:r>
      <w:r w:rsidRPr="004C59BB">
        <w:rPr>
          <w:color w:val="0000FF"/>
          <w:lang w:val="el-GR"/>
        </w:rPr>
        <w:t>，第304</w:t>
      </w:r>
      <w:r w:rsidRPr="004C59BB">
        <w:rPr>
          <w:color w:val="0000FF"/>
        </w:rPr>
        <w:t>页</w:t>
      </w:r>
      <w:r w:rsidRPr="004C59BB">
        <w:rPr>
          <w:color w:val="0000FF"/>
          <w:lang w:val="el-GR"/>
        </w:rPr>
        <w:t>。</w:t>
      </w:r>
    </w:p>
  </w:footnote>
  <w:footnote w:id="585">
    <w:p w14:paraId="23253DB7" w14:textId="5717FAD3"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共有三类职分：第一类是主席阶层，第二类是长老，第三类则是执事。</w:t>
      </w:r>
      <w:r w:rsidRPr="004C59BB">
        <w:rPr>
          <w:color w:val="0000FF"/>
        </w:rPr>
        <w:t>见《耶稣会文集》第十九卷</w:t>
      </w:r>
      <w:r w:rsidRPr="0097554A">
        <w:rPr>
          <w:color w:val="0000FF"/>
          <w:lang w:val="el-GR"/>
        </w:rPr>
        <w:t>，</w:t>
      </w:r>
      <w:r w:rsidRPr="004C59BB">
        <w:rPr>
          <w:color w:val="0000FF"/>
        </w:rPr>
        <w:t>第</w:t>
      </w:r>
      <w:r w:rsidRPr="0097554A">
        <w:rPr>
          <w:color w:val="0000FF"/>
          <w:lang w:val="el-GR"/>
        </w:rPr>
        <w:t>18</w:t>
      </w:r>
      <w:r w:rsidRPr="004C59BB">
        <w:rPr>
          <w:color w:val="0000FF"/>
        </w:rPr>
        <w:t>号。</w:t>
      </w:r>
    </w:p>
  </w:footnote>
  <w:footnote w:id="586">
    <w:p w14:paraId="52ECE6DC" w14:textId="6C2D810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然而</w:t>
      </w:r>
      <w:r w:rsidRPr="0097554A">
        <w:rPr>
          <w:color w:val="0000FF"/>
          <w:lang w:val="el-GR"/>
        </w:rPr>
        <w:t>，</w:t>
      </w:r>
      <w:r w:rsidRPr="004C59BB">
        <w:rPr>
          <w:color w:val="0000FF"/>
        </w:rPr>
        <w:t>既然这些作者</w:t>
      </w:r>
      <w:r w:rsidRPr="0097554A">
        <w:rPr>
          <w:color w:val="0000FF"/>
          <w:lang w:val="el-GR"/>
        </w:rPr>
        <w:t>——</w:t>
      </w:r>
      <w:r w:rsidRPr="004C59BB">
        <w:rPr>
          <w:color w:val="0000FF"/>
        </w:rPr>
        <w:t>即执事、长老和主教们</w:t>
      </w:r>
      <w:r w:rsidRPr="0097554A">
        <w:rPr>
          <w:color w:val="0000FF"/>
          <w:lang w:val="el-GR"/>
        </w:rPr>
        <w:t>——</w:t>
      </w:r>
      <w:r w:rsidRPr="004C59BB">
        <w:rPr>
          <w:color w:val="0000FF"/>
        </w:rPr>
        <w:t>自己都在逃亡</w:t>
      </w:r>
      <w:r w:rsidRPr="0097554A">
        <w:rPr>
          <w:color w:val="0000FF"/>
          <w:lang w:val="el-GR"/>
        </w:rPr>
        <w:t>，</w:t>
      </w:r>
      <w:r w:rsidRPr="004C59BB">
        <w:rPr>
          <w:color w:val="0000FF"/>
        </w:rPr>
        <w:t>平信徒又如何能理解</w:t>
      </w:r>
      <w:r w:rsidRPr="0097554A">
        <w:rPr>
          <w:color w:val="0000FF"/>
          <w:lang w:val="el-GR"/>
        </w:rPr>
        <w:t>“</w:t>
      </w:r>
      <w:r w:rsidRPr="004C59BB">
        <w:rPr>
          <w:color w:val="0000FF"/>
        </w:rPr>
        <w:t>你们要从这城逃往那城</w:t>
      </w:r>
      <w:r w:rsidRPr="0097554A">
        <w:rPr>
          <w:color w:val="0000FF"/>
          <w:lang w:val="el-GR"/>
        </w:rPr>
        <w:t>”（</w:t>
      </w:r>
      <w:r w:rsidRPr="004C59BB">
        <w:rPr>
          <w:color w:val="0000FF"/>
        </w:rPr>
        <w:t>《马太福音》第</w:t>
      </w:r>
      <w:r w:rsidRPr="0097554A">
        <w:rPr>
          <w:color w:val="0000FF"/>
          <w:lang w:val="el-GR"/>
        </w:rPr>
        <w:t>10</w:t>
      </w:r>
      <w:r w:rsidRPr="004C59BB">
        <w:rPr>
          <w:color w:val="0000FF"/>
        </w:rPr>
        <w:t>章第</w:t>
      </w:r>
      <w:r w:rsidRPr="0097554A">
        <w:rPr>
          <w:color w:val="0000FF"/>
          <w:lang w:val="el-GR"/>
        </w:rPr>
        <w:t>23</w:t>
      </w:r>
      <w:r w:rsidRPr="004C59BB">
        <w:rPr>
          <w:color w:val="0000FF"/>
        </w:rPr>
        <w:t>节</w:t>
      </w:r>
      <w:r w:rsidRPr="0097554A">
        <w:rPr>
          <w:color w:val="0000FF"/>
          <w:lang w:val="el-GR"/>
        </w:rPr>
        <w:t>）</w:t>
      </w:r>
      <w:r w:rsidRPr="004C59BB">
        <w:rPr>
          <w:color w:val="0000FF"/>
        </w:rPr>
        <w:t>这句话的含义呢</w:t>
      </w:r>
      <w:r w:rsidRPr="0097554A">
        <w:rPr>
          <w:color w:val="0000FF"/>
          <w:lang w:val="el-GR"/>
        </w:rPr>
        <w:t xml:space="preserve">？ </w:t>
      </w:r>
      <w:r w:rsidRPr="004C59BB">
        <w:rPr>
          <w:color w:val="0000FF"/>
        </w:rPr>
        <w:t>因此</w:t>
      </w:r>
      <w:r w:rsidRPr="0097554A">
        <w:rPr>
          <w:color w:val="0000FF"/>
          <w:lang w:val="el-GR"/>
        </w:rPr>
        <w:t>，</w:t>
      </w:r>
      <w:r w:rsidRPr="004C59BB">
        <w:rPr>
          <w:color w:val="0000FF"/>
        </w:rPr>
        <w:t>当领袖们逃亡时</w:t>
      </w:r>
      <w:r w:rsidRPr="0097554A">
        <w:rPr>
          <w:color w:val="0000FF"/>
          <w:lang w:val="el-GR"/>
        </w:rPr>
        <w:t>，</w:t>
      </w:r>
      <w:r w:rsidRPr="004C59BB">
        <w:rPr>
          <w:color w:val="0000FF"/>
        </w:rPr>
        <w:t>羊群中还有谁能听从那些劝说他们站在阵列中的呼吁呢</w:t>
      </w:r>
      <w:r w:rsidRPr="0097554A">
        <w:rPr>
          <w:color w:val="0000FF"/>
          <w:lang w:val="el-GR"/>
        </w:rPr>
        <w:t>？（</w:t>
      </w:r>
      <w:r w:rsidRPr="004C59BB">
        <w:rPr>
          <w:color w:val="0000FF"/>
        </w:rPr>
        <w:t>《论迫害中的逃亡</w:t>
      </w:r>
      <w:r w:rsidRPr="004C59BB">
        <w:rPr>
          <w:color w:val="0000FF"/>
          <w:lang w:val="ru-RU"/>
        </w:rPr>
        <w:t>》</w:t>
      </w:r>
      <w:r w:rsidRPr="004C59BB">
        <w:rPr>
          <w:color w:val="0000FF"/>
        </w:rPr>
        <w:t>第十一</w:t>
      </w:r>
      <w:r w:rsidRPr="004C59BB">
        <w:rPr>
          <w:color w:val="0000FF"/>
          <w:lang w:val="ru-RU"/>
        </w:rPr>
        <w:t>章</w:t>
      </w:r>
      <w:r w:rsidRPr="0097554A">
        <w:rPr>
          <w:color w:val="0000FF"/>
          <w:lang w:val="el-GR"/>
        </w:rPr>
        <w:t>）</w:t>
      </w:r>
      <w:r w:rsidRPr="004C59BB">
        <w:rPr>
          <w:color w:val="0000FF"/>
          <w:lang w:val="ru-RU"/>
        </w:rPr>
        <w:t>。</w:t>
      </w:r>
    </w:p>
  </w:footnote>
  <w:footnote w:id="587">
    <w:p w14:paraId="7A9BFC34" w14:textId="48C696ED"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参见上文注</w:t>
      </w:r>
      <w:r w:rsidRPr="0097554A">
        <w:rPr>
          <w:color w:val="0000FF"/>
          <w:lang w:val="el-GR"/>
        </w:rPr>
        <w:t>543</w:t>
      </w:r>
      <w:r w:rsidRPr="004C59BB">
        <w:rPr>
          <w:color w:val="0000FF"/>
          <w:lang w:val="ru-RU"/>
        </w:rPr>
        <w:t>及其所指的原文。</w:t>
      </w:r>
    </w:p>
  </w:footnote>
  <w:footnote w:id="588">
    <w:p w14:paraId="497DD424" w14:textId="2A79D9D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参</w:t>
      </w:r>
      <w:r w:rsidRPr="004C59BB">
        <w:rPr>
          <w:color w:val="0000FF"/>
        </w:rPr>
        <w:t>见上文注</w:t>
      </w:r>
      <w:r w:rsidRPr="004C59BB">
        <w:rPr>
          <w:color w:val="0000FF"/>
          <w:lang w:val="el-GR"/>
        </w:rPr>
        <w:t>580。</w:t>
      </w:r>
    </w:p>
  </w:footnote>
  <w:footnote w:id="589">
    <w:p w14:paraId="2694F27D" w14:textId="04391FC2"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主教宝座、长老的尊荣、为上帝子民服务的执事职。</w:t>
      </w:r>
      <w:r w:rsidRPr="004C59BB">
        <w:rPr>
          <w:color w:val="0000FF"/>
        </w:rPr>
        <w:t>见《马太福音》第</w:t>
      </w:r>
      <w:r w:rsidRPr="0097554A">
        <w:rPr>
          <w:color w:val="0000FF"/>
          <w:lang w:val="el-GR"/>
        </w:rPr>
        <w:t>10</w:t>
      </w:r>
      <w:r w:rsidRPr="004C59BB">
        <w:rPr>
          <w:color w:val="0000FF"/>
        </w:rPr>
        <w:t>章第</w:t>
      </w:r>
      <w:r w:rsidRPr="0097554A">
        <w:rPr>
          <w:color w:val="0000FF"/>
          <w:lang w:val="el-GR"/>
        </w:rPr>
        <w:t>15</w:t>
      </w:r>
      <w:r w:rsidRPr="004C59BB">
        <w:rPr>
          <w:color w:val="0000FF"/>
        </w:rPr>
        <w:t>节</w:t>
      </w:r>
      <w:r w:rsidRPr="0097554A">
        <w:rPr>
          <w:color w:val="0000FF"/>
          <w:lang w:val="el-GR"/>
        </w:rPr>
        <w:t>，</w:t>
      </w:r>
      <w:r w:rsidRPr="004C59BB">
        <w:rPr>
          <w:color w:val="0000FF"/>
        </w:rPr>
        <w:t>注</w:t>
      </w:r>
      <w:r w:rsidRPr="0097554A">
        <w:rPr>
          <w:color w:val="0000FF"/>
          <w:lang w:val="el-GR"/>
        </w:rPr>
        <w:t>26</w:t>
      </w:r>
      <w:r w:rsidRPr="004C59BB">
        <w:rPr>
          <w:color w:val="0000FF"/>
        </w:rPr>
        <w:t>。</w:t>
      </w:r>
    </w:p>
  </w:footnote>
  <w:footnote w:id="590">
    <w:p w14:paraId="47F378D1" w14:textId="4039B6DE"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主教及其同工的长老和执事</w:t>
      </w:r>
      <w:r w:rsidRPr="0097554A">
        <w:rPr>
          <w:color w:val="0000FF"/>
          <w:lang w:val="el-GR"/>
        </w:rPr>
        <w:t>……（</w:t>
      </w:r>
      <w:r w:rsidRPr="004C59BB">
        <w:rPr>
          <w:color w:val="0000FF"/>
        </w:rPr>
        <w:t>见《耶利米书》X</w:t>
      </w:r>
      <w:r w:rsidRPr="0097554A">
        <w:rPr>
          <w:color w:val="0000FF"/>
          <w:lang w:val="el-GR"/>
        </w:rPr>
        <w:t>.</w:t>
      </w:r>
      <w:r w:rsidRPr="004C59BB">
        <w:rPr>
          <w:color w:val="0000FF"/>
        </w:rPr>
        <w:t>XII</w:t>
      </w:r>
      <w:r w:rsidRPr="0097554A">
        <w:rPr>
          <w:color w:val="0000FF"/>
          <w:lang w:val="el-GR"/>
        </w:rPr>
        <w:t>），</w:t>
      </w:r>
      <w:r w:rsidRPr="004C59BB">
        <w:rPr>
          <w:color w:val="0000FF"/>
        </w:rPr>
        <w:t>教会的五个等级</w:t>
      </w:r>
      <w:r w:rsidRPr="0097554A">
        <w:rPr>
          <w:color w:val="0000FF"/>
          <w:lang w:val="el-GR"/>
        </w:rPr>
        <w:t>：</w:t>
      </w:r>
      <w:r w:rsidRPr="004C59BB">
        <w:rPr>
          <w:color w:val="0000FF"/>
        </w:rPr>
        <w:t>主教、长老、执事、信徒、慕道者</w:t>
      </w:r>
      <w:r w:rsidRPr="0097554A">
        <w:rPr>
          <w:color w:val="0000FF"/>
          <w:lang w:val="el-GR"/>
        </w:rPr>
        <w:t>……（</w:t>
      </w:r>
      <w:r w:rsidRPr="004C59BB">
        <w:rPr>
          <w:color w:val="0000FF"/>
        </w:rPr>
        <w:t>见</w:t>
      </w:r>
      <w:r w:rsidRPr="004C59BB">
        <w:rPr>
          <w:color w:val="0000FF"/>
          <w:lang w:val="ru-RU"/>
        </w:rPr>
        <w:t>《以赛亚书》</w:t>
      </w:r>
      <w:r w:rsidRPr="004C59BB">
        <w:rPr>
          <w:color w:val="0000FF"/>
        </w:rPr>
        <w:t>XX</w:t>
      </w:r>
      <w:r w:rsidRPr="0097554A">
        <w:rPr>
          <w:color w:val="0000FF"/>
          <w:lang w:val="el-GR"/>
        </w:rPr>
        <w:t>）</w:t>
      </w:r>
      <w:r w:rsidRPr="004C59BB">
        <w:rPr>
          <w:color w:val="0000FF"/>
          <w:lang w:val="ru-RU"/>
        </w:rPr>
        <w:t>。</w:t>
      </w:r>
    </w:p>
  </w:footnote>
  <w:footnote w:id="591">
    <w:p w14:paraId="7D726D1E" w14:textId="5632E847"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主教</w:t>
      </w:r>
      <w:r w:rsidRPr="0097554A">
        <w:rPr>
          <w:color w:val="0000FF"/>
          <w:lang w:val="el-GR"/>
        </w:rPr>
        <w:t>”</w:t>
      </w:r>
      <w:r w:rsidRPr="004C59BB">
        <w:rPr>
          <w:color w:val="0000FF"/>
          <w:lang w:val="ru-RU"/>
        </w:rPr>
        <w:t>这一称谓极为古老</w:t>
      </w:r>
      <w:r w:rsidRPr="0097554A">
        <w:rPr>
          <w:color w:val="0000FF"/>
          <w:lang w:val="el-GR"/>
        </w:rPr>
        <w:t>：</w:t>
      </w:r>
      <w:r w:rsidRPr="004C59BB">
        <w:rPr>
          <w:color w:val="0000FF"/>
          <w:lang w:val="ru-RU"/>
        </w:rPr>
        <w:t>早在圣伊格纳提乌斯</w:t>
      </w:r>
      <w:r w:rsidRPr="0097554A">
        <w:rPr>
          <w:color w:val="0000FF"/>
          <w:lang w:val="el-GR"/>
        </w:rPr>
        <w:t>·</w:t>
      </w:r>
      <w:r w:rsidRPr="004C59BB">
        <w:rPr>
          <w:color w:val="0000FF"/>
          <w:lang w:val="ru-RU"/>
        </w:rPr>
        <w:t>神载者</w:t>
      </w:r>
      <w:r w:rsidRPr="0097554A">
        <w:rPr>
          <w:color w:val="0000FF"/>
          <w:lang w:val="el-GR"/>
        </w:rPr>
        <w:t>（</w:t>
      </w:r>
      <w:r w:rsidRPr="004C59BB">
        <w:rPr>
          <w:color w:val="0000FF"/>
        </w:rPr>
        <w:t>致特拉勒斯</w:t>
      </w:r>
      <w:r w:rsidRPr="004C59BB">
        <w:rPr>
          <w:color w:val="0000FF"/>
          <w:lang w:val="ru-RU"/>
        </w:rPr>
        <w:t>书第</w:t>
      </w:r>
      <w:r w:rsidRPr="0097554A">
        <w:rPr>
          <w:color w:val="0000FF"/>
          <w:lang w:val="el-GR"/>
        </w:rPr>
        <w:t>2</w:t>
      </w:r>
      <w:r w:rsidRPr="004C59BB">
        <w:rPr>
          <w:color w:val="0000FF"/>
          <w:lang w:val="ru-RU"/>
        </w:rPr>
        <w:t>章第</w:t>
      </w:r>
      <w:r w:rsidRPr="0097554A">
        <w:rPr>
          <w:color w:val="0000FF"/>
          <w:lang w:val="el-GR"/>
        </w:rPr>
        <w:t>3</w:t>
      </w:r>
      <w:r w:rsidRPr="004C59BB">
        <w:rPr>
          <w:color w:val="0000FF"/>
          <w:lang w:val="ru-RU"/>
        </w:rPr>
        <w:t>节</w:t>
      </w:r>
      <w:r w:rsidRPr="0097554A">
        <w:rPr>
          <w:color w:val="0000FF"/>
          <w:lang w:val="el-GR"/>
        </w:rPr>
        <w:t>；</w:t>
      </w:r>
      <w:r w:rsidRPr="004C59BB">
        <w:rPr>
          <w:color w:val="0000FF"/>
        </w:rPr>
        <w:t>致士麦那</w:t>
      </w:r>
      <w:r w:rsidRPr="004C59BB">
        <w:rPr>
          <w:color w:val="0000FF"/>
          <w:lang w:val="ru-RU"/>
        </w:rPr>
        <w:t>书第</w:t>
      </w:r>
      <w:r w:rsidRPr="0097554A">
        <w:rPr>
          <w:color w:val="0000FF"/>
          <w:lang w:val="el-GR"/>
        </w:rPr>
        <w:t>9</w:t>
      </w:r>
      <w:r w:rsidRPr="004C59BB">
        <w:rPr>
          <w:color w:val="0000FF"/>
          <w:lang w:val="ru-RU"/>
        </w:rPr>
        <w:t>节</w:t>
      </w:r>
      <w:r w:rsidRPr="0097554A">
        <w:rPr>
          <w:color w:val="0000FF"/>
          <w:lang w:val="el-GR"/>
        </w:rPr>
        <w:t>；</w:t>
      </w:r>
      <w:r w:rsidRPr="004C59BB">
        <w:rPr>
          <w:color w:val="0000FF"/>
        </w:rPr>
        <w:t>致</w:t>
      </w:r>
      <w:r w:rsidRPr="004C59BB">
        <w:rPr>
          <w:color w:val="0000FF"/>
          <w:lang w:val="ru-RU"/>
        </w:rPr>
        <w:t>罗马书第</w:t>
      </w:r>
      <w:r w:rsidRPr="0097554A">
        <w:rPr>
          <w:color w:val="0000FF"/>
          <w:lang w:val="el-GR"/>
        </w:rPr>
        <w:t>9</w:t>
      </w:r>
      <w:r w:rsidRPr="004C59BB">
        <w:rPr>
          <w:color w:val="0000FF"/>
          <w:lang w:val="ru-RU"/>
        </w:rPr>
        <w:t>节</w:t>
      </w:r>
      <w:r w:rsidRPr="0097554A">
        <w:rPr>
          <w:color w:val="0000FF"/>
          <w:lang w:val="el-GR"/>
        </w:rPr>
        <w:t>；</w:t>
      </w:r>
      <w:r w:rsidRPr="004C59BB">
        <w:rPr>
          <w:color w:val="0000FF"/>
        </w:rPr>
        <w:t>致</w:t>
      </w:r>
      <w:r w:rsidRPr="004C59BB">
        <w:rPr>
          <w:color w:val="0000FF"/>
          <w:lang w:val="ru-RU"/>
        </w:rPr>
        <w:t>以弗所书第</w:t>
      </w:r>
      <w:r w:rsidRPr="0097554A">
        <w:rPr>
          <w:color w:val="0000FF"/>
          <w:lang w:val="el-GR"/>
        </w:rPr>
        <w:t>4</w:t>
      </w:r>
      <w:r w:rsidRPr="004C59BB">
        <w:rPr>
          <w:color w:val="0000FF"/>
          <w:lang w:val="ru-RU"/>
        </w:rPr>
        <w:t>节</w:t>
      </w:r>
      <w:r w:rsidRPr="0097554A">
        <w:rPr>
          <w:color w:val="0000FF"/>
          <w:lang w:val="el-GR"/>
        </w:rPr>
        <w:t>）</w:t>
      </w:r>
      <w:r w:rsidRPr="004C59BB">
        <w:rPr>
          <w:color w:val="0000FF"/>
          <w:lang w:val="ru-RU"/>
        </w:rPr>
        <w:t>的书信中</w:t>
      </w:r>
      <w:r w:rsidRPr="0097554A">
        <w:rPr>
          <w:color w:val="0000FF"/>
          <w:lang w:val="el-GR"/>
        </w:rPr>
        <w:t>，</w:t>
      </w:r>
      <w:r w:rsidRPr="004C59BB">
        <w:rPr>
          <w:color w:val="0000FF"/>
          <w:lang w:val="ru-RU"/>
        </w:rPr>
        <w:t>以及《使徒宪章》</w:t>
      </w:r>
      <w:r w:rsidRPr="0097554A">
        <w:rPr>
          <w:color w:val="0000FF"/>
          <w:lang w:val="el-GR"/>
        </w:rPr>
        <w:t>（</w:t>
      </w:r>
      <w:r w:rsidRPr="004C59BB">
        <w:rPr>
          <w:color w:val="0000FF"/>
        </w:rPr>
        <w:t>Constit</w:t>
      </w:r>
      <w:r w:rsidRPr="0097554A">
        <w:rPr>
          <w:color w:val="0000FF"/>
          <w:lang w:val="el-GR"/>
        </w:rPr>
        <w:t xml:space="preserve">. </w:t>
      </w:r>
      <w:r w:rsidRPr="004C59BB">
        <w:rPr>
          <w:color w:val="0000FF"/>
        </w:rPr>
        <w:t>Apost</w:t>
      </w:r>
      <w:r w:rsidRPr="0097554A">
        <w:rPr>
          <w:color w:val="0000FF"/>
          <w:lang w:val="el-GR"/>
        </w:rPr>
        <w:t xml:space="preserve">. </w:t>
      </w:r>
      <w:r w:rsidRPr="004C59BB">
        <w:rPr>
          <w:color w:val="0000FF"/>
        </w:rPr>
        <w:t>II</w:t>
      </w:r>
      <w:r w:rsidRPr="0097554A">
        <w:rPr>
          <w:color w:val="0000FF"/>
          <w:lang w:val="el-GR"/>
        </w:rPr>
        <w:t>, 26）</w:t>
      </w:r>
      <w:r w:rsidRPr="004C59BB">
        <w:rPr>
          <w:color w:val="0000FF"/>
          <w:lang w:val="ru-RU"/>
        </w:rPr>
        <w:t>中便已出现。</w:t>
      </w:r>
    </w:p>
  </w:footnote>
  <w:footnote w:id="592">
    <w:p w14:paraId="6A8FEB75" w14:textId="595B68F1"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这一称谓自古以来便被主教们所采用。</w:t>
      </w:r>
      <w:r w:rsidRPr="004C59BB">
        <w:rPr>
          <w:color w:val="0000FF"/>
        </w:rPr>
        <w:t>赫尔梅斯《年鉴》第三卷</w:t>
      </w:r>
      <w:r w:rsidRPr="0097554A">
        <w:rPr>
          <w:color w:val="0000FF"/>
          <w:lang w:val="el-GR"/>
        </w:rPr>
        <w:t>，</w:t>
      </w:r>
      <w:r w:rsidRPr="004C59BB">
        <w:rPr>
          <w:color w:val="0000FF"/>
        </w:rPr>
        <w:t>西蒙第九章</w:t>
      </w:r>
      <w:r w:rsidRPr="0097554A">
        <w:rPr>
          <w:color w:val="0000FF"/>
          <w:lang w:val="el-GR"/>
        </w:rPr>
        <w:t>，</w:t>
      </w:r>
      <w:r w:rsidRPr="004C59BB">
        <w:rPr>
          <w:color w:val="0000FF"/>
        </w:rPr>
        <w:t>第</w:t>
      </w:r>
      <w:r w:rsidRPr="0097554A">
        <w:rPr>
          <w:color w:val="0000FF"/>
          <w:lang w:val="el-GR"/>
        </w:rPr>
        <w:t>27</w:t>
      </w:r>
      <w:r w:rsidRPr="004C59BB">
        <w:rPr>
          <w:color w:val="0000FF"/>
        </w:rPr>
        <w:t>节</w:t>
      </w:r>
      <w:r w:rsidRPr="0097554A">
        <w:rPr>
          <w:color w:val="0000FF"/>
          <w:lang w:val="el-GR"/>
        </w:rPr>
        <w:t>；</w:t>
      </w:r>
      <w:r w:rsidRPr="004C59BB">
        <w:rPr>
          <w:color w:val="0000FF"/>
        </w:rPr>
        <w:t>奥利金《路加福音讲道集》第三十四篇</w:t>
      </w:r>
      <w:r w:rsidRPr="0097554A">
        <w:rPr>
          <w:color w:val="0000FF"/>
          <w:lang w:val="el-GR"/>
        </w:rPr>
        <w:t>；</w:t>
      </w:r>
      <w:r w:rsidRPr="004C59BB">
        <w:rPr>
          <w:color w:val="0000FF"/>
        </w:rPr>
        <w:t>基普良《论教会合一》第</w:t>
      </w:r>
      <w:r w:rsidRPr="0097554A">
        <w:rPr>
          <w:color w:val="0000FF"/>
          <w:lang w:val="el-GR"/>
        </w:rPr>
        <w:t>397</w:t>
      </w:r>
      <w:r w:rsidRPr="004C59BB">
        <w:rPr>
          <w:color w:val="0000FF"/>
        </w:rPr>
        <w:t>页</w:t>
      </w:r>
      <w:r w:rsidRPr="0097554A">
        <w:rPr>
          <w:color w:val="0000FF"/>
          <w:lang w:val="el-GR"/>
        </w:rPr>
        <w:t>，</w:t>
      </w:r>
      <w:r w:rsidRPr="004C59BB">
        <w:rPr>
          <w:color w:val="0000FF"/>
        </w:rPr>
        <w:t>巴尔版。</w:t>
      </w:r>
    </w:p>
  </w:footnote>
  <w:footnote w:id="593">
    <w:p w14:paraId="6B88DC98" w14:textId="6022BBD5"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卷二</w:t>
      </w:r>
      <w:r w:rsidRPr="0097554A">
        <w:rPr>
          <w:color w:val="0000FF"/>
          <w:lang w:val="el-GR"/>
        </w:rPr>
        <w:t>，</w:t>
      </w:r>
      <w:r w:rsidRPr="004C59BB">
        <w:rPr>
          <w:color w:val="0000FF"/>
        </w:rPr>
        <w:t>第</w:t>
      </w:r>
      <w:r w:rsidRPr="0097554A">
        <w:rPr>
          <w:color w:val="0000FF"/>
          <w:lang w:val="el-GR"/>
        </w:rPr>
        <w:t>26</w:t>
      </w:r>
      <w:r w:rsidRPr="004C59BB">
        <w:rPr>
          <w:color w:val="0000FF"/>
        </w:rPr>
        <w:t>页。</w:t>
      </w:r>
    </w:p>
  </w:footnote>
  <w:footnote w:id="594">
    <w:p w14:paraId="7A1EA9C0" w14:textId="5E1E688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爱任纽《反异端》第三卷</w:t>
      </w:r>
      <w:r w:rsidRPr="0097554A">
        <w:rPr>
          <w:color w:val="0000FF"/>
          <w:lang w:val="el-GR"/>
        </w:rPr>
        <w:t>，</w:t>
      </w:r>
      <w:r w:rsidRPr="004C59BB">
        <w:rPr>
          <w:color w:val="0000FF"/>
        </w:rPr>
        <w:t>第</w:t>
      </w:r>
      <w:r w:rsidRPr="0097554A">
        <w:rPr>
          <w:color w:val="0000FF"/>
          <w:lang w:val="el-GR"/>
        </w:rPr>
        <w:t>3</w:t>
      </w:r>
      <w:r w:rsidRPr="004C59BB">
        <w:rPr>
          <w:color w:val="0000FF"/>
        </w:rPr>
        <w:t>章</w:t>
      </w:r>
      <w:r w:rsidRPr="0097554A">
        <w:rPr>
          <w:color w:val="0000FF"/>
          <w:lang w:val="el-GR"/>
        </w:rPr>
        <w:t>；</w:t>
      </w:r>
      <w:r w:rsidRPr="004C59BB">
        <w:rPr>
          <w:color w:val="0000FF"/>
        </w:rPr>
        <w:t>特土良《论异端》第</w:t>
      </w:r>
      <w:r w:rsidRPr="0097554A">
        <w:rPr>
          <w:color w:val="0000FF"/>
          <w:lang w:val="el-GR"/>
        </w:rPr>
        <w:t>32</w:t>
      </w:r>
      <w:r w:rsidRPr="004C59BB">
        <w:rPr>
          <w:color w:val="0000FF"/>
        </w:rPr>
        <w:t>章。</w:t>
      </w:r>
    </w:p>
  </w:footnote>
  <w:footnote w:id="595">
    <w:p w14:paraId="381F6D38" w14:textId="176D21CA"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总体而言</w:t>
      </w:r>
      <w:r w:rsidRPr="0097554A">
        <w:rPr>
          <w:color w:val="0000FF"/>
          <w:lang w:val="el-GR"/>
        </w:rPr>
        <w:t>，</w:t>
      </w:r>
      <w:r w:rsidRPr="004C59BB">
        <w:rPr>
          <w:color w:val="0000FF"/>
          <w:lang w:val="ru-RU"/>
        </w:rPr>
        <w:t>根据各教父的记载</w:t>
      </w:r>
      <w:r w:rsidRPr="0097554A">
        <w:rPr>
          <w:color w:val="0000FF"/>
          <w:lang w:val="el-GR"/>
        </w:rPr>
        <w:t>（</w:t>
      </w:r>
      <w:r w:rsidRPr="004C59BB">
        <w:rPr>
          <w:color w:val="0000FF"/>
        </w:rPr>
        <w:t>安布罗斯《论圣职礼仪》第一卷</w:t>
      </w:r>
      <w:r w:rsidRPr="0097554A">
        <w:rPr>
          <w:color w:val="0000FF"/>
          <w:lang w:val="el-GR"/>
        </w:rPr>
        <w:t>，</w:t>
      </w:r>
      <w:r w:rsidRPr="004C59BB">
        <w:rPr>
          <w:color w:val="0000FF"/>
        </w:rPr>
        <w:t>第</w:t>
      </w:r>
      <w:r w:rsidRPr="0097554A">
        <w:rPr>
          <w:color w:val="0000FF"/>
          <w:lang w:val="el-GR"/>
        </w:rPr>
        <w:t>1</w:t>
      </w:r>
      <w:r w:rsidRPr="004C59BB">
        <w:rPr>
          <w:color w:val="0000FF"/>
        </w:rPr>
        <w:t>章</w:t>
      </w:r>
      <w:r w:rsidRPr="0097554A">
        <w:rPr>
          <w:color w:val="0000FF"/>
          <w:lang w:val="el-GR"/>
        </w:rPr>
        <w:t>；</w:t>
      </w:r>
      <w:r w:rsidRPr="004C59BB">
        <w:rPr>
          <w:color w:val="0000FF"/>
        </w:rPr>
        <w:t>金口若望《提摩太前书讲道集》第十篇</w:t>
      </w:r>
      <w:r w:rsidRPr="0097554A">
        <w:rPr>
          <w:color w:val="0000FF"/>
          <w:lang w:val="el-GR"/>
        </w:rPr>
        <w:t xml:space="preserve">； </w:t>
      </w:r>
      <w:r w:rsidRPr="004C59BB">
        <w:rPr>
          <w:color w:val="0000FF"/>
        </w:rPr>
        <w:t>耶罗尼姆《致奥克安书》第</w:t>
      </w:r>
      <w:r w:rsidRPr="0097554A">
        <w:rPr>
          <w:color w:val="0000FF"/>
          <w:lang w:val="el-GR"/>
        </w:rPr>
        <w:t>83</w:t>
      </w:r>
      <w:r w:rsidRPr="004C59BB">
        <w:rPr>
          <w:color w:val="0000FF"/>
        </w:rPr>
        <w:t>封</w:t>
      </w:r>
      <w:r w:rsidRPr="0097554A">
        <w:rPr>
          <w:color w:val="0000FF"/>
          <w:lang w:val="el-GR"/>
        </w:rPr>
        <w:t>），</w:t>
      </w:r>
      <w:r w:rsidRPr="004C59BB">
        <w:rPr>
          <w:color w:val="0000FF"/>
        </w:rPr>
        <w:t>以及大公会议的规则</w:t>
      </w:r>
      <w:r w:rsidRPr="0097554A">
        <w:rPr>
          <w:color w:val="0000FF"/>
          <w:lang w:val="el-GR"/>
        </w:rPr>
        <w:t>（</w:t>
      </w:r>
      <w:r w:rsidRPr="004C59BB">
        <w:rPr>
          <w:color w:val="0000FF"/>
        </w:rPr>
        <w:t>拉奥迪凯亚会议第</w:t>
      </w:r>
      <w:r w:rsidRPr="0097554A">
        <w:rPr>
          <w:color w:val="0000FF"/>
          <w:lang w:val="el-GR"/>
        </w:rPr>
        <w:t>19</w:t>
      </w:r>
      <w:r w:rsidRPr="004C59BB">
        <w:rPr>
          <w:color w:val="0000FF"/>
        </w:rPr>
        <w:t>条和特鲁尔会议第</w:t>
      </w:r>
      <w:r w:rsidRPr="0097554A">
        <w:rPr>
          <w:color w:val="0000FF"/>
          <w:lang w:val="el-GR"/>
        </w:rPr>
        <w:t>19</w:t>
      </w:r>
      <w:r w:rsidRPr="004C59BB">
        <w:rPr>
          <w:color w:val="0000FF"/>
        </w:rPr>
        <w:t>条</w:t>
      </w:r>
      <w:r w:rsidRPr="0097554A">
        <w:rPr>
          <w:color w:val="0000FF"/>
          <w:lang w:val="el-GR"/>
        </w:rPr>
        <w:t>），</w:t>
      </w:r>
      <w:r w:rsidRPr="004C59BB">
        <w:rPr>
          <w:color w:val="0000FF"/>
        </w:rPr>
        <w:t>甚至包括民法</w:t>
      </w:r>
      <w:r w:rsidRPr="0097554A">
        <w:rPr>
          <w:color w:val="0000FF"/>
          <w:lang w:val="el-GR"/>
        </w:rPr>
        <w:t>（</w:t>
      </w:r>
      <w:r w:rsidRPr="004C59BB">
        <w:rPr>
          <w:color w:val="0000FF"/>
        </w:rPr>
        <w:t>参见《狄奥多西法典》中的法律</w:t>
      </w:r>
      <w:r w:rsidRPr="0097554A">
        <w:rPr>
          <w:color w:val="0000FF"/>
          <w:lang w:val="el-GR"/>
        </w:rPr>
        <w:t>：</w:t>
      </w:r>
      <w:r w:rsidRPr="004C59BB">
        <w:rPr>
          <w:color w:val="0000FF"/>
        </w:rPr>
        <w:t>关于主教在宣讲上帝之道方面的职责</w:t>
      </w:r>
      <w:r w:rsidRPr="0097554A">
        <w:rPr>
          <w:color w:val="0000FF"/>
          <w:lang w:val="el-GR"/>
        </w:rPr>
        <w:t>），</w:t>
      </w:r>
      <w:r w:rsidRPr="004C59BB">
        <w:rPr>
          <w:color w:val="0000FF"/>
        </w:rPr>
        <w:t>宣讲福音真理的主要职责主要由主教承担。</w:t>
      </w:r>
    </w:p>
  </w:footnote>
  <w:footnote w:id="596">
    <w:p w14:paraId="245AEBC2" w14:textId="6C0A7EE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索克拉底</w:t>
      </w:r>
      <w:r w:rsidRPr="0097554A">
        <w:rPr>
          <w:color w:val="0000FF"/>
          <w:lang w:val="el-GR"/>
        </w:rPr>
        <w:t>，</w:t>
      </w:r>
      <w:r w:rsidRPr="004C59BB">
        <w:rPr>
          <w:color w:val="0000FF"/>
        </w:rPr>
        <w:t>《教会史》第</w:t>
      </w:r>
      <w:r w:rsidRPr="0097554A">
        <w:rPr>
          <w:color w:val="0000FF"/>
          <w:lang w:val="el-GR"/>
        </w:rPr>
        <w:t>5</w:t>
      </w:r>
      <w:r w:rsidRPr="004C59BB">
        <w:rPr>
          <w:color w:val="0000FF"/>
        </w:rPr>
        <w:t>卷</w:t>
      </w:r>
      <w:r w:rsidRPr="0097554A">
        <w:rPr>
          <w:color w:val="0000FF"/>
          <w:lang w:val="el-GR"/>
        </w:rPr>
        <w:t>，</w:t>
      </w:r>
      <w:r w:rsidRPr="004C59BB">
        <w:rPr>
          <w:color w:val="0000FF"/>
        </w:rPr>
        <w:t>第</w:t>
      </w:r>
      <w:r w:rsidRPr="0097554A">
        <w:rPr>
          <w:color w:val="0000FF"/>
          <w:lang w:val="el-GR"/>
        </w:rPr>
        <w:t>22</w:t>
      </w:r>
      <w:r w:rsidRPr="004C59BB">
        <w:rPr>
          <w:color w:val="0000FF"/>
        </w:rPr>
        <w:t>章</w:t>
      </w:r>
      <w:r w:rsidRPr="0097554A">
        <w:rPr>
          <w:color w:val="0000FF"/>
          <w:lang w:val="el-GR"/>
        </w:rPr>
        <w:t>；</w:t>
      </w:r>
      <w:r w:rsidRPr="004C59BB">
        <w:rPr>
          <w:color w:val="0000FF"/>
        </w:rPr>
        <w:t>索佐门</w:t>
      </w:r>
      <w:r w:rsidRPr="0097554A">
        <w:rPr>
          <w:color w:val="0000FF"/>
          <w:lang w:val="el-GR"/>
        </w:rPr>
        <w:t>，</w:t>
      </w:r>
      <w:r w:rsidRPr="004C59BB">
        <w:rPr>
          <w:color w:val="0000FF"/>
        </w:rPr>
        <w:t>《教会史》第</w:t>
      </w:r>
      <w:r w:rsidRPr="0097554A">
        <w:rPr>
          <w:color w:val="0000FF"/>
          <w:lang w:val="el-GR"/>
        </w:rPr>
        <w:t>7</w:t>
      </w:r>
      <w:r w:rsidRPr="004C59BB">
        <w:rPr>
          <w:color w:val="0000FF"/>
        </w:rPr>
        <w:t>卷</w:t>
      </w:r>
      <w:r w:rsidRPr="0097554A">
        <w:rPr>
          <w:color w:val="0000FF"/>
          <w:lang w:val="el-GR"/>
        </w:rPr>
        <w:t>，</w:t>
      </w:r>
      <w:r w:rsidRPr="004C59BB">
        <w:rPr>
          <w:color w:val="0000FF"/>
        </w:rPr>
        <w:t>第</w:t>
      </w:r>
      <w:r w:rsidRPr="0097554A">
        <w:rPr>
          <w:color w:val="0000FF"/>
          <w:lang w:val="el-GR"/>
        </w:rPr>
        <w:t>19</w:t>
      </w:r>
      <w:r w:rsidRPr="004C59BB">
        <w:rPr>
          <w:color w:val="0000FF"/>
        </w:rPr>
        <w:t>章。</w:t>
      </w:r>
    </w:p>
  </w:footnote>
  <w:footnote w:id="597">
    <w:p w14:paraId="742F516F" w14:textId="24D59C7F"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伊格纳提乌斯《致费拉德尔菲亚书》第II号</w:t>
      </w:r>
      <w:r w:rsidRPr="0097554A">
        <w:rPr>
          <w:color w:val="0000FF"/>
          <w:lang w:val="el-GR"/>
        </w:rPr>
        <w:t>；</w:t>
      </w:r>
      <w:r w:rsidRPr="004C59BB">
        <w:rPr>
          <w:color w:val="0000FF"/>
        </w:rPr>
        <w:t>西普里安《书信》第</w:t>
      </w:r>
      <w:r w:rsidRPr="0097554A">
        <w:rPr>
          <w:color w:val="0000FF"/>
          <w:lang w:val="el-GR"/>
        </w:rPr>
        <w:t>29</w:t>
      </w:r>
      <w:r w:rsidRPr="004C59BB">
        <w:rPr>
          <w:color w:val="0000FF"/>
        </w:rPr>
        <w:t>封</w:t>
      </w:r>
      <w:r w:rsidRPr="0097554A">
        <w:rPr>
          <w:color w:val="0000FF"/>
          <w:lang w:val="el-GR"/>
        </w:rPr>
        <w:t>；</w:t>
      </w:r>
      <w:r w:rsidRPr="004C59BB">
        <w:rPr>
          <w:color w:val="0000FF"/>
        </w:rPr>
        <w:t>奥利金《诗篇讲道集》第I篇</w:t>
      </w:r>
      <w:r w:rsidRPr="0097554A">
        <w:rPr>
          <w:color w:val="0000FF"/>
          <w:lang w:val="el-GR"/>
        </w:rPr>
        <w:t>（</w:t>
      </w:r>
      <w:r w:rsidRPr="004C59BB">
        <w:rPr>
          <w:color w:val="0000FF"/>
        </w:rPr>
        <w:t>第XXXVII篇</w:t>
      </w:r>
      <w:r w:rsidRPr="0097554A">
        <w:rPr>
          <w:color w:val="0000FF"/>
          <w:lang w:val="el-GR"/>
        </w:rPr>
        <w:t>）；</w:t>
      </w:r>
      <w:r w:rsidRPr="004C59BB">
        <w:rPr>
          <w:color w:val="0000FF"/>
        </w:rPr>
        <w:t>《智慧书》</w:t>
      </w:r>
      <w:r w:rsidRPr="004C59BB">
        <w:rPr>
          <w:color w:val="0000FF"/>
          <w:lang w:val="ru-RU"/>
        </w:rPr>
        <w:t>第</w:t>
      </w:r>
      <w:r w:rsidRPr="0097554A">
        <w:rPr>
          <w:color w:val="0000FF"/>
          <w:lang w:val="el-GR"/>
        </w:rPr>
        <w:t>3</w:t>
      </w:r>
      <w:r w:rsidRPr="004C59BB">
        <w:rPr>
          <w:color w:val="0000FF"/>
          <w:lang w:val="ru-RU"/>
        </w:rPr>
        <w:t>卷</w:t>
      </w:r>
      <w:r w:rsidRPr="004C59BB">
        <w:rPr>
          <w:color w:val="0000FF"/>
        </w:rPr>
        <w:t>讲道</w:t>
      </w:r>
      <w:r w:rsidRPr="004C59BB">
        <w:rPr>
          <w:color w:val="0000FF"/>
          <w:lang w:val="ru-RU"/>
        </w:rPr>
        <w:t>集</w:t>
      </w:r>
      <w:r w:rsidRPr="004C59BB">
        <w:rPr>
          <w:color w:val="0000FF"/>
        </w:rPr>
        <w:t>第XVII篇</w:t>
      </w:r>
      <w:r w:rsidRPr="004C59BB">
        <w:rPr>
          <w:color w:val="0000FF"/>
          <w:lang w:val="ru-RU"/>
        </w:rPr>
        <w:t>。</w:t>
      </w:r>
    </w:p>
  </w:footnote>
  <w:footnote w:id="598">
    <w:p w14:paraId="17627E1E" w14:textId="16F0B28D"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长老、执事及其他圣职人员应由一位主教任命</w:t>
      </w:r>
      <w:r w:rsidRPr="0097554A">
        <w:rPr>
          <w:color w:val="0000FF"/>
          <w:lang w:val="el-GR"/>
        </w:rPr>
        <w:t>”（</w:t>
      </w:r>
      <w:r w:rsidRPr="004C59BB">
        <w:rPr>
          <w:color w:val="0000FF"/>
          <w:lang w:val="ru-RU"/>
        </w:rPr>
        <w:t>《使徒规条》第</w:t>
      </w:r>
      <w:r w:rsidRPr="0097554A">
        <w:rPr>
          <w:color w:val="0000FF"/>
          <w:lang w:val="el-GR"/>
        </w:rPr>
        <w:t>2</w:t>
      </w:r>
      <w:r w:rsidRPr="004C59BB">
        <w:rPr>
          <w:color w:val="0000FF"/>
          <w:lang w:val="ru-RU"/>
        </w:rPr>
        <w:t>条</w:t>
      </w:r>
      <w:r w:rsidRPr="0097554A">
        <w:rPr>
          <w:color w:val="0000FF"/>
          <w:lang w:val="el-GR"/>
        </w:rPr>
        <w:t>；</w:t>
      </w:r>
      <w:r w:rsidRPr="004C59BB">
        <w:rPr>
          <w:color w:val="0000FF"/>
        </w:rPr>
        <w:t>参见</w:t>
      </w:r>
      <w:r w:rsidRPr="004C59BB">
        <w:rPr>
          <w:color w:val="0000FF"/>
          <w:lang w:val="ru-RU"/>
        </w:rPr>
        <w:t>《</w:t>
      </w:r>
      <w:r w:rsidRPr="004C59BB">
        <w:rPr>
          <w:color w:val="0000FF"/>
        </w:rPr>
        <w:t>使徒宪章</w:t>
      </w:r>
      <w:r w:rsidRPr="004C59BB">
        <w:rPr>
          <w:color w:val="0000FF"/>
          <w:lang w:val="ru-RU"/>
        </w:rPr>
        <w:t>》</w:t>
      </w:r>
      <w:r w:rsidRPr="004C59BB">
        <w:rPr>
          <w:color w:val="0000FF"/>
        </w:rPr>
        <w:t>第三卷</w:t>
      </w:r>
      <w:r w:rsidRPr="0097554A">
        <w:rPr>
          <w:color w:val="0000FF"/>
          <w:lang w:val="el-GR"/>
        </w:rPr>
        <w:t>，</w:t>
      </w:r>
      <w:r w:rsidRPr="004C59BB">
        <w:rPr>
          <w:color w:val="0000FF"/>
          <w:lang w:val="ru-RU"/>
        </w:rPr>
        <w:t>第</w:t>
      </w:r>
      <w:r w:rsidRPr="0097554A">
        <w:rPr>
          <w:color w:val="0000FF"/>
          <w:lang w:val="el-GR"/>
        </w:rPr>
        <w:t>2</w:t>
      </w:r>
      <w:r w:rsidRPr="004C59BB">
        <w:rPr>
          <w:color w:val="0000FF"/>
          <w:lang w:val="ru-RU"/>
        </w:rPr>
        <w:t>页</w:t>
      </w:r>
      <w:r w:rsidRPr="0097554A">
        <w:rPr>
          <w:color w:val="0000FF"/>
          <w:lang w:val="el-GR"/>
        </w:rPr>
        <w:t>）</w:t>
      </w:r>
      <w:r w:rsidRPr="004C59BB">
        <w:rPr>
          <w:color w:val="0000FF"/>
          <w:lang w:val="ru-RU"/>
        </w:rPr>
        <w:t>。</w:t>
      </w:r>
    </w:p>
  </w:footnote>
  <w:footnote w:id="599">
    <w:p w14:paraId="0427CB41" w14:textId="713C26F8"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每位主教在其教区内</w:t>
      </w:r>
      <w:r w:rsidRPr="0097554A">
        <w:rPr>
          <w:color w:val="0000FF"/>
          <w:lang w:val="el-GR"/>
        </w:rPr>
        <w:t>……</w:t>
      </w:r>
      <w:r w:rsidRPr="004C59BB">
        <w:rPr>
          <w:color w:val="0000FF"/>
          <w:lang w:val="ru-RU"/>
        </w:rPr>
        <w:t>应任命长老和执事</w:t>
      </w:r>
      <w:r w:rsidRPr="0097554A">
        <w:rPr>
          <w:color w:val="0000FF"/>
          <w:lang w:val="el-GR"/>
        </w:rPr>
        <w:t>，</w:t>
      </w:r>
      <w:r w:rsidRPr="004C59BB">
        <w:rPr>
          <w:color w:val="0000FF"/>
          <w:lang w:val="ru-RU"/>
        </w:rPr>
        <w:t>并以明智之举处理一切事务</w:t>
      </w:r>
      <w:r w:rsidRPr="0097554A">
        <w:rPr>
          <w:color w:val="0000FF"/>
          <w:lang w:val="el-GR"/>
        </w:rPr>
        <w:t>”（</w:t>
      </w:r>
      <w:r w:rsidRPr="004C59BB">
        <w:rPr>
          <w:color w:val="0000FF"/>
          <w:lang w:val="ru-RU"/>
        </w:rPr>
        <w:t>安提阿大公会议第</w:t>
      </w:r>
      <w:r w:rsidRPr="0097554A">
        <w:rPr>
          <w:color w:val="0000FF"/>
          <w:lang w:val="el-GR"/>
        </w:rPr>
        <w:t>9</w:t>
      </w:r>
      <w:r w:rsidRPr="004C59BB">
        <w:rPr>
          <w:color w:val="0000FF"/>
          <w:lang w:val="ru-RU"/>
        </w:rPr>
        <w:t>条规则</w:t>
      </w:r>
      <w:r w:rsidRPr="0097554A">
        <w:rPr>
          <w:color w:val="0000FF"/>
          <w:lang w:val="el-GR"/>
        </w:rPr>
        <w:t>）</w:t>
      </w:r>
      <w:r w:rsidRPr="004C59BB">
        <w:rPr>
          <w:color w:val="0000FF"/>
          <w:lang w:val="ru-RU"/>
        </w:rPr>
        <w:t>。</w:t>
      </w:r>
    </w:p>
  </w:footnote>
  <w:footnote w:id="600">
    <w:p w14:paraId="4F35F46D" w14:textId="5E89ACF4"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长老与主教之间的区别并不大</w:t>
      </w:r>
      <w:r w:rsidRPr="0097554A">
        <w:rPr>
          <w:color w:val="0000FF"/>
          <w:lang w:val="el-GR"/>
        </w:rPr>
        <w:t>：</w:t>
      </w:r>
      <w:r w:rsidRPr="004C59BB">
        <w:rPr>
          <w:color w:val="0000FF"/>
          <w:lang w:val="ru-RU"/>
        </w:rPr>
        <w:t>因为长老同样有责任教导并照管教会</w:t>
      </w:r>
      <w:r w:rsidRPr="0097554A">
        <w:rPr>
          <w:color w:val="0000FF"/>
          <w:lang w:val="el-GR"/>
        </w:rPr>
        <w:t>，</w:t>
      </w:r>
      <w:r w:rsidRPr="004C59BB">
        <w:rPr>
          <w:color w:val="0000FF"/>
          <w:lang w:val="ru-RU"/>
        </w:rPr>
        <w:t>而</w:t>
      </w:r>
      <w:r w:rsidRPr="0097554A">
        <w:rPr>
          <w:color w:val="0000FF"/>
          <w:lang w:val="el-GR"/>
        </w:rPr>
        <w:t>（</w:t>
      </w:r>
      <w:r w:rsidRPr="004C59BB">
        <w:rPr>
          <w:color w:val="0000FF"/>
          <w:lang w:val="ru-RU"/>
        </w:rPr>
        <w:t>使徒</w:t>
      </w:r>
      <w:r w:rsidRPr="0097554A">
        <w:rPr>
          <w:color w:val="0000FF"/>
          <w:lang w:val="el-GR"/>
        </w:rPr>
        <w:t>）</w:t>
      </w:r>
      <w:r w:rsidRPr="004C59BB">
        <w:rPr>
          <w:color w:val="0000FF"/>
          <w:lang w:val="ru-RU"/>
        </w:rPr>
        <w:t>关于主教所说的话</w:t>
      </w:r>
      <w:r w:rsidRPr="0097554A">
        <w:rPr>
          <w:color w:val="0000FF"/>
          <w:lang w:val="el-GR"/>
        </w:rPr>
        <w:t>，</w:t>
      </w:r>
      <w:r w:rsidRPr="004C59BB">
        <w:rPr>
          <w:color w:val="0000FF"/>
          <w:lang w:val="ru-RU"/>
        </w:rPr>
        <w:t>同样也适用于长老</w:t>
      </w:r>
      <w:r w:rsidRPr="0097554A">
        <w:rPr>
          <w:color w:val="0000FF"/>
          <w:lang w:val="el-GR"/>
        </w:rPr>
        <w:t xml:space="preserve">： </w:t>
      </w:r>
      <w:r w:rsidRPr="004C59BB">
        <w:rPr>
          <w:color w:val="0000FF"/>
          <w:lang w:val="ru-RU"/>
        </w:rPr>
        <w:t>主教仅凭按立的权柄</w:t>
      </w:r>
      <w:r w:rsidRPr="0097554A">
        <w:rPr>
          <w:color w:val="0000FF"/>
          <w:lang w:val="el-GR"/>
        </w:rPr>
        <w:t>（τή χειροτονία μόνη）</w:t>
      </w:r>
      <w:r w:rsidRPr="004C59BB">
        <w:rPr>
          <w:color w:val="0000FF"/>
          <w:lang w:val="ru-RU"/>
        </w:rPr>
        <w:t>而得以提升</w:t>
      </w:r>
      <w:r w:rsidRPr="0097554A">
        <w:rPr>
          <w:color w:val="0000FF"/>
          <w:lang w:val="el-GR"/>
        </w:rPr>
        <w:t>，</w:t>
      </w:r>
      <w:r w:rsidRPr="004C59BB">
        <w:rPr>
          <w:color w:val="0000FF"/>
          <w:lang w:val="ru-RU"/>
        </w:rPr>
        <w:t>似乎也仅凭这一点才优于长老」</w:t>
      </w:r>
      <w:r w:rsidRPr="0097554A">
        <w:rPr>
          <w:color w:val="0000FF"/>
          <w:lang w:val="el-GR"/>
        </w:rPr>
        <w:t>（</w:t>
      </w:r>
      <w:r w:rsidRPr="004C59BB">
        <w:rPr>
          <w:color w:val="0000FF"/>
          <w:lang w:val="ru-RU"/>
        </w:rPr>
        <w:t>金</w:t>
      </w:r>
      <w:r w:rsidRPr="004C59BB">
        <w:rPr>
          <w:color w:val="0000FF"/>
        </w:rPr>
        <w:t>口若望</w:t>
      </w:r>
      <w:r w:rsidRPr="0097554A">
        <w:rPr>
          <w:color w:val="0000FF"/>
          <w:lang w:val="el-GR"/>
        </w:rPr>
        <w:t>，</w:t>
      </w:r>
      <w:r w:rsidRPr="004C59BB">
        <w:rPr>
          <w:color w:val="0000FF"/>
          <w:lang w:val="ru-RU"/>
        </w:rPr>
        <w:t>《提摩太前书</w:t>
      </w:r>
      <w:r w:rsidRPr="004C59BB">
        <w:rPr>
          <w:color w:val="0000FF"/>
        </w:rPr>
        <w:t>第十章</w:t>
      </w:r>
      <w:r w:rsidRPr="004C59BB">
        <w:rPr>
          <w:color w:val="0000FF"/>
          <w:lang w:val="ru-RU"/>
        </w:rPr>
        <w:t>讲道集》</w:t>
      </w:r>
      <w:r w:rsidRPr="004C59BB">
        <w:rPr>
          <w:color w:val="0000FF"/>
        </w:rPr>
        <w:t>第十一篇</w:t>
      </w:r>
      <w:r w:rsidRPr="0097554A">
        <w:rPr>
          <w:color w:val="0000FF"/>
          <w:lang w:val="el-GR"/>
        </w:rPr>
        <w:t>，</w:t>
      </w:r>
      <w:r w:rsidRPr="004C59BB">
        <w:rPr>
          <w:color w:val="0000FF"/>
        </w:rPr>
        <w:t>第</w:t>
      </w:r>
      <w:r w:rsidRPr="0097554A">
        <w:rPr>
          <w:color w:val="0000FF"/>
          <w:lang w:val="el-GR"/>
        </w:rPr>
        <w:t>1</w:t>
      </w:r>
      <w:r w:rsidRPr="004C59BB">
        <w:rPr>
          <w:color w:val="0000FF"/>
        </w:rPr>
        <w:t>节</w:t>
      </w:r>
      <w:r w:rsidRPr="0097554A">
        <w:rPr>
          <w:color w:val="0000FF"/>
          <w:lang w:val="el-GR"/>
        </w:rPr>
        <w:t>）</w:t>
      </w:r>
      <w:r w:rsidRPr="004C59BB">
        <w:rPr>
          <w:color w:val="0000FF"/>
        </w:rPr>
        <w:t>。</w:t>
      </w:r>
      <w:r w:rsidRPr="0097554A">
        <w:rPr>
          <w:color w:val="0000FF"/>
          <w:lang w:val="el-GR"/>
        </w:rPr>
        <w:t xml:space="preserve"> “</w:t>
      </w:r>
      <w:r w:rsidRPr="004C59BB">
        <w:rPr>
          <w:color w:val="0000FF"/>
        </w:rPr>
        <w:t>除了按立之外</w:t>
      </w:r>
      <w:r w:rsidRPr="0097554A">
        <w:rPr>
          <w:color w:val="0000FF"/>
          <w:lang w:val="el-GR"/>
        </w:rPr>
        <w:t>，</w:t>
      </w:r>
      <w:r w:rsidRPr="004C59BB">
        <w:rPr>
          <w:color w:val="0000FF"/>
        </w:rPr>
        <w:t>主教所做的事</w:t>
      </w:r>
      <w:r w:rsidRPr="0097554A">
        <w:rPr>
          <w:color w:val="0000FF"/>
          <w:lang w:val="el-GR"/>
        </w:rPr>
        <w:t>，</w:t>
      </w:r>
      <w:r w:rsidRPr="004C59BB">
        <w:rPr>
          <w:color w:val="0000FF"/>
        </w:rPr>
        <w:t>长老难道不能做吗</w:t>
      </w:r>
      <w:r w:rsidRPr="0097554A">
        <w:rPr>
          <w:color w:val="0000FF"/>
          <w:lang w:val="el-GR"/>
        </w:rPr>
        <w:t>？”（</w:t>
      </w:r>
      <w:r w:rsidRPr="004C59BB">
        <w:rPr>
          <w:color w:val="0000FF"/>
        </w:rPr>
        <w:t>圣杰罗姆《致埃瓦格里乌斯书》第LXXXV封</w:t>
      </w:r>
      <w:r w:rsidRPr="0097554A">
        <w:rPr>
          <w:color w:val="0000FF"/>
          <w:lang w:val="el-GR"/>
        </w:rPr>
        <w:t>）</w:t>
      </w:r>
      <w:r w:rsidRPr="004C59BB">
        <w:rPr>
          <w:color w:val="0000FF"/>
        </w:rPr>
        <w:t>。</w:t>
      </w:r>
    </w:p>
  </w:footnote>
  <w:footnote w:id="601">
    <w:p w14:paraId="0765CFAC" w14:textId="190AD2B9"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埃皮法尼乌斯《异端论》第LXXV章。</w:t>
      </w:r>
    </w:p>
  </w:footnote>
  <w:footnote w:id="602">
    <w:p w14:paraId="7485D5B0" w14:textId="75A8F843"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迦太基大公会议</w:t>
      </w:r>
      <w:r w:rsidRPr="0097554A">
        <w:rPr>
          <w:color w:val="0000FF"/>
          <w:lang w:val="el-GR"/>
        </w:rPr>
        <w:t>，</w:t>
      </w:r>
      <w:r w:rsidRPr="004C59BB">
        <w:rPr>
          <w:color w:val="0000FF"/>
          <w:lang w:val="ru-RU"/>
        </w:rPr>
        <w:t>第</w:t>
      </w:r>
      <w:r w:rsidRPr="0097554A">
        <w:rPr>
          <w:color w:val="0000FF"/>
          <w:lang w:val="el-GR"/>
        </w:rPr>
        <w:t>6</w:t>
      </w:r>
      <w:r w:rsidRPr="004C59BB">
        <w:rPr>
          <w:color w:val="0000FF"/>
        </w:rPr>
        <w:t>条</w:t>
      </w:r>
      <w:r w:rsidRPr="004C59BB">
        <w:rPr>
          <w:color w:val="0000FF"/>
          <w:lang w:val="ru-RU"/>
        </w:rPr>
        <w:t>。</w:t>
      </w:r>
    </w:p>
  </w:footnote>
  <w:footnote w:id="603">
    <w:p w14:paraId="7596F278" w14:textId="778AFFEF"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《忏悔规则》</w:t>
      </w:r>
      <w:r w:rsidRPr="004C59BB">
        <w:rPr>
          <w:color w:val="0000FF"/>
        </w:rPr>
        <w:t>第一卷</w:t>
      </w:r>
      <w:r w:rsidRPr="0097554A">
        <w:rPr>
          <w:color w:val="0000FF"/>
          <w:lang w:val="el-GR"/>
        </w:rPr>
        <w:t>，</w:t>
      </w:r>
      <w:r w:rsidRPr="004C59BB">
        <w:rPr>
          <w:color w:val="0000FF"/>
          <w:lang w:val="ru-RU"/>
        </w:rPr>
        <w:t>对第</w:t>
      </w:r>
      <w:r w:rsidRPr="0097554A">
        <w:rPr>
          <w:color w:val="0000FF"/>
          <w:lang w:val="el-GR"/>
        </w:rPr>
        <w:t>105</w:t>
      </w:r>
      <w:r w:rsidRPr="004C59BB">
        <w:rPr>
          <w:color w:val="0000FF"/>
          <w:lang w:val="ru-RU"/>
        </w:rPr>
        <w:t>个问题的回答</w:t>
      </w:r>
      <w:r w:rsidRPr="0097554A">
        <w:rPr>
          <w:color w:val="0000FF"/>
          <w:lang w:val="el-GR"/>
        </w:rPr>
        <w:t>；</w:t>
      </w:r>
      <w:r w:rsidRPr="004C59BB">
        <w:rPr>
          <w:color w:val="0000FF"/>
          <w:lang w:val="ru-RU"/>
        </w:rPr>
        <w:t>东方宗主教关于正统信仰的通谕</w:t>
      </w:r>
      <w:r w:rsidRPr="0097554A">
        <w:rPr>
          <w:color w:val="0000FF"/>
          <w:lang w:val="el-GR"/>
        </w:rPr>
        <w:t>，</w:t>
      </w:r>
      <w:r w:rsidRPr="004C59BB">
        <w:rPr>
          <w:color w:val="0000FF"/>
          <w:lang w:val="ru-RU"/>
        </w:rPr>
        <w:t>第</w:t>
      </w:r>
      <w:r w:rsidRPr="0097554A">
        <w:rPr>
          <w:color w:val="0000FF"/>
          <w:lang w:val="el-GR"/>
        </w:rPr>
        <w:t>10</w:t>
      </w:r>
      <w:r w:rsidRPr="004C59BB">
        <w:rPr>
          <w:color w:val="0000FF"/>
          <w:lang w:val="ru-RU"/>
        </w:rPr>
        <w:t>条。</w:t>
      </w:r>
    </w:p>
  </w:footnote>
  <w:footnote w:id="604">
    <w:p w14:paraId="4B6B4BAE" w14:textId="55BF455D"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伊格纳提乌斯《致士麦那书</w:t>
      </w:r>
      <w:r w:rsidRPr="004C59BB">
        <w:rPr>
          <w:color w:val="0000FF"/>
          <w:lang w:val="ru-RU"/>
        </w:rPr>
        <w:t>信》第VII</w:t>
      </w:r>
      <w:r w:rsidRPr="0097554A">
        <w:rPr>
          <w:color w:val="0000FF"/>
          <w:lang w:val="el-GR"/>
        </w:rPr>
        <w:t>Ï</w:t>
      </w:r>
      <w:r w:rsidRPr="004C59BB">
        <w:rPr>
          <w:color w:val="0000FF"/>
          <w:lang w:val="ru-RU"/>
        </w:rPr>
        <w:t>号</w:t>
      </w:r>
      <w:r w:rsidRPr="0097554A">
        <w:rPr>
          <w:color w:val="0000FF"/>
          <w:lang w:val="el-GR"/>
        </w:rPr>
        <w:t>：“</w:t>
      </w:r>
      <w:r w:rsidRPr="004C59BB">
        <w:rPr>
          <w:color w:val="0000FF"/>
        </w:rPr>
        <w:t>若无主教</w:t>
      </w:r>
      <w:r w:rsidRPr="0097554A">
        <w:rPr>
          <w:color w:val="0000FF"/>
          <w:lang w:val="el-GR"/>
        </w:rPr>
        <w:t>，</w:t>
      </w:r>
      <w:r w:rsidRPr="004C59BB">
        <w:rPr>
          <w:color w:val="0000FF"/>
        </w:rPr>
        <w:t>既不可施洗</w:t>
      </w:r>
      <w:r w:rsidRPr="0097554A">
        <w:rPr>
          <w:color w:val="0000FF"/>
          <w:lang w:val="el-GR"/>
        </w:rPr>
        <w:t>，</w:t>
      </w:r>
      <w:r w:rsidRPr="004C59BB">
        <w:rPr>
          <w:color w:val="0000FF"/>
        </w:rPr>
        <w:t>亦不可行</w:t>
      </w:r>
      <w:r w:rsidRPr="004C59BB">
        <w:rPr>
          <w:color w:val="0000FF"/>
          <w:lang w:val="ru-RU"/>
        </w:rPr>
        <w:t>爱</w:t>
      </w:r>
      <w:r w:rsidRPr="0097554A">
        <w:rPr>
          <w:color w:val="0000FF"/>
          <w:lang w:val="el-GR"/>
        </w:rPr>
        <w:t xml:space="preserve">……？” </w:t>
      </w:r>
      <w:r w:rsidRPr="004C59BB">
        <w:rPr>
          <w:color w:val="0000FF"/>
        </w:rPr>
        <w:t>西普里安</w:t>
      </w:r>
      <w:r w:rsidRPr="0097554A">
        <w:rPr>
          <w:color w:val="0000FF"/>
          <w:lang w:val="el-GR"/>
        </w:rPr>
        <w:t>，</w:t>
      </w:r>
      <w:r w:rsidRPr="004C59BB">
        <w:rPr>
          <w:color w:val="0000FF"/>
        </w:rPr>
        <w:t>《致斯米尔纳人书》第XXXVIII封</w:t>
      </w:r>
      <w:r w:rsidRPr="0097554A">
        <w:rPr>
          <w:color w:val="0000FF"/>
          <w:lang w:val="el-GR"/>
        </w:rPr>
        <w:t>；</w:t>
      </w:r>
      <w:r w:rsidRPr="004C59BB">
        <w:rPr>
          <w:color w:val="0000FF"/>
        </w:rPr>
        <w:t>特土良</w:t>
      </w:r>
      <w:r w:rsidRPr="0097554A">
        <w:rPr>
          <w:color w:val="0000FF"/>
          <w:lang w:val="el-GR"/>
        </w:rPr>
        <w:t>，</w:t>
      </w:r>
      <w:r w:rsidRPr="004C59BB">
        <w:rPr>
          <w:color w:val="0000FF"/>
        </w:rPr>
        <w:t>《论一夫一妻制》第II章</w:t>
      </w:r>
      <w:r w:rsidRPr="0097554A">
        <w:rPr>
          <w:color w:val="0000FF"/>
          <w:lang w:val="el-GR"/>
        </w:rPr>
        <w:t>；</w:t>
      </w:r>
      <w:r w:rsidRPr="004C59BB">
        <w:rPr>
          <w:color w:val="0000FF"/>
        </w:rPr>
        <w:t>《论洗礼》第</w:t>
      </w:r>
      <w:r w:rsidRPr="0097554A">
        <w:rPr>
          <w:color w:val="0000FF"/>
          <w:lang w:val="el-GR"/>
        </w:rPr>
        <w:t>7</w:t>
      </w:r>
      <w:r w:rsidRPr="004C59BB">
        <w:rPr>
          <w:color w:val="0000FF"/>
        </w:rPr>
        <w:t>章第</w:t>
      </w:r>
      <w:r w:rsidRPr="0097554A">
        <w:rPr>
          <w:color w:val="0000FF"/>
          <w:lang w:val="el-GR"/>
        </w:rPr>
        <w:t>17</w:t>
      </w:r>
      <w:r w:rsidRPr="004C59BB">
        <w:rPr>
          <w:color w:val="0000FF"/>
        </w:rPr>
        <w:t>节</w:t>
      </w:r>
      <w:r w:rsidRPr="0097554A">
        <w:rPr>
          <w:color w:val="0000FF"/>
          <w:lang w:val="el-GR"/>
        </w:rPr>
        <w:t>；</w:t>
      </w:r>
      <w:r w:rsidRPr="004C59BB">
        <w:rPr>
          <w:color w:val="0000FF"/>
        </w:rPr>
        <w:t>帕蒂安</w:t>
      </w:r>
      <w:r w:rsidRPr="0097554A">
        <w:rPr>
          <w:color w:val="0000FF"/>
          <w:lang w:val="el-GR"/>
        </w:rPr>
        <w:t>，</w:t>
      </w:r>
      <w:r w:rsidRPr="004C59BB">
        <w:rPr>
          <w:color w:val="0000FF"/>
        </w:rPr>
        <w:t>《致西姆普里安书》第</w:t>
      </w:r>
      <w:r w:rsidRPr="0097554A">
        <w:rPr>
          <w:color w:val="0000FF"/>
          <w:lang w:val="el-GR"/>
        </w:rPr>
        <w:t>1</w:t>
      </w:r>
      <w:r w:rsidRPr="004C59BB">
        <w:rPr>
          <w:color w:val="0000FF"/>
        </w:rPr>
        <w:t>卷第</w:t>
      </w:r>
      <w:r w:rsidRPr="0097554A">
        <w:rPr>
          <w:color w:val="0000FF"/>
          <w:lang w:val="el-GR"/>
        </w:rPr>
        <w:t>6</w:t>
      </w:r>
      <w:r w:rsidRPr="004C59BB">
        <w:rPr>
          <w:color w:val="0000FF"/>
        </w:rPr>
        <w:t>节</w:t>
      </w:r>
      <w:r w:rsidRPr="0097554A">
        <w:rPr>
          <w:color w:val="0000FF"/>
          <w:lang w:val="el-GR"/>
        </w:rPr>
        <w:t>；</w:t>
      </w:r>
      <w:r w:rsidRPr="004C59BB">
        <w:rPr>
          <w:color w:val="0000FF"/>
        </w:rPr>
        <w:t>耶罗尼莫</w:t>
      </w:r>
      <w:r w:rsidRPr="0097554A">
        <w:rPr>
          <w:color w:val="0000FF"/>
          <w:lang w:val="el-GR"/>
        </w:rPr>
        <w:t>，</w:t>
      </w:r>
      <w:r w:rsidRPr="004C59BB">
        <w:rPr>
          <w:color w:val="0000FF"/>
        </w:rPr>
        <w:t>《反路西弗》第</w:t>
      </w:r>
      <w:r w:rsidRPr="0097554A">
        <w:rPr>
          <w:color w:val="0000FF"/>
          <w:lang w:val="el-GR"/>
        </w:rPr>
        <w:t>4</w:t>
      </w:r>
      <w:r w:rsidRPr="004C59BB">
        <w:rPr>
          <w:color w:val="0000FF"/>
        </w:rPr>
        <w:t>章。</w:t>
      </w:r>
    </w:p>
  </w:footnote>
  <w:footnote w:id="605">
    <w:p w14:paraId="1779B71A" w14:textId="09333E8F" w:rsidR="00254F25" w:rsidRPr="004C59BB" w:rsidRDefault="00000000">
      <w:pPr>
        <w:pStyle w:val="FootnoteText"/>
        <w:rPr>
          <w:color w:val="0000FF"/>
        </w:rPr>
      </w:pPr>
      <w:r w:rsidRPr="004C59BB">
        <w:rPr>
          <w:rStyle w:val="FootnoteReference"/>
          <w:color w:val="0000FF"/>
        </w:rPr>
        <w:footnoteRef/>
      </w:r>
      <w:r w:rsidRPr="0097554A">
        <w:rPr>
          <w:color w:val="0000FF"/>
          <w:lang w:val="el-GR"/>
        </w:rPr>
        <w:t xml:space="preserve"> </w:t>
      </w:r>
      <w:r w:rsidRPr="004C59BB">
        <w:rPr>
          <w:color w:val="0000FF"/>
        </w:rPr>
        <w:t>因为执事既无权献祭</w:t>
      </w:r>
      <w:r w:rsidRPr="0097554A">
        <w:rPr>
          <w:color w:val="0000FF"/>
          <w:lang w:val="el-GR"/>
        </w:rPr>
        <w:t>，</w:t>
      </w:r>
      <w:r w:rsidRPr="004C59BB">
        <w:rPr>
          <w:color w:val="0000FF"/>
        </w:rPr>
        <w:t>也无权施洗</w:t>
      </w:r>
      <w:r w:rsidRPr="0097554A">
        <w:rPr>
          <w:color w:val="0000FF"/>
          <w:lang w:val="el-GR"/>
        </w:rPr>
        <w:t>，</w:t>
      </w:r>
      <w:r w:rsidRPr="004C59BB">
        <w:rPr>
          <w:color w:val="0000FF"/>
        </w:rPr>
        <w:t>更无权施行小祝福或大祝福。《使徒宪章》第八卷，第46章。参见尼西亚大公会议第18条。</w:t>
      </w:r>
    </w:p>
  </w:footnote>
  <w:footnote w:id="606">
    <w:p w14:paraId="7FCF8FDB" w14:textId="53F0E0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《论教会等级制度》第5章。</w:t>
      </w:r>
    </w:p>
  </w:footnote>
  <w:footnote w:id="607">
    <w:p w14:paraId="3CDAC03C" w14:textId="1BDFD2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伊格纳提乌斯致马格努斯书，第6节；致波利卡普书，第7节。</w:t>
      </w:r>
    </w:p>
  </w:footnote>
  <w:footnote w:id="608">
    <w:p w14:paraId="6F267BF1" w14:textId="6401BB46"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在主升天后，使徒们任命执事为自己及教会的牧职侍者（基普里安</w:t>
      </w:r>
      <w:r w:rsidRPr="004C59BB">
        <w:rPr>
          <w:color w:val="0000FF"/>
          <w:lang w:val="ru-RU"/>
        </w:rPr>
        <w:t>《</w:t>
      </w:r>
      <w:r w:rsidRPr="004C59BB">
        <w:rPr>
          <w:color w:val="0000FF"/>
        </w:rPr>
        <w:t>书信</w:t>
      </w:r>
      <w:r w:rsidRPr="004C59BB">
        <w:rPr>
          <w:color w:val="0000FF"/>
          <w:lang w:val="ru-RU"/>
        </w:rPr>
        <w:t>》</w:t>
      </w:r>
      <w:r w:rsidRPr="004C59BB">
        <w:rPr>
          <w:color w:val="0000FF"/>
        </w:rPr>
        <w:t>第LXV封</w:t>
      </w:r>
      <w:r w:rsidRPr="0097554A">
        <w:rPr>
          <w:color w:val="0000FF"/>
        </w:rPr>
        <w:t>）</w:t>
      </w:r>
      <w:r w:rsidRPr="004C59BB">
        <w:rPr>
          <w:color w:val="0000FF"/>
          <w:lang w:val="ru-RU"/>
        </w:rPr>
        <w:t>。</w:t>
      </w:r>
    </w:p>
  </w:footnote>
  <w:footnote w:id="609">
    <w:p w14:paraId="7E0AF853" w14:textId="587282F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贾斯汀</w:t>
      </w:r>
      <w:r w:rsidRPr="0097554A">
        <w:rPr>
          <w:color w:val="0000FF"/>
        </w:rPr>
        <w:t>，</w:t>
      </w:r>
      <w:r w:rsidRPr="004C59BB">
        <w:rPr>
          <w:color w:val="0000FF"/>
          <w:lang w:val="ru-RU"/>
        </w:rPr>
        <w:t>《</w:t>
      </w:r>
      <w:r w:rsidRPr="004C59BB">
        <w:rPr>
          <w:color w:val="0000FF"/>
        </w:rPr>
        <w:t>护教辞</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85</w:t>
      </w:r>
      <w:r w:rsidRPr="004C59BB">
        <w:rPr>
          <w:color w:val="0000FF"/>
          <w:lang w:val="ru-RU"/>
        </w:rPr>
        <w:t>、</w:t>
      </w:r>
      <w:r w:rsidRPr="0097554A">
        <w:rPr>
          <w:color w:val="0000FF"/>
        </w:rPr>
        <w:t>87</w:t>
      </w:r>
      <w:r w:rsidRPr="004C59BB">
        <w:rPr>
          <w:color w:val="0000FF"/>
          <w:lang w:val="ru-RU"/>
        </w:rPr>
        <w:t>节。</w:t>
      </w:r>
    </w:p>
  </w:footnote>
  <w:footnote w:id="610">
    <w:p w14:paraId="768AEE79" w14:textId="0EF41BF2"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《使徒规条》第</w:t>
      </w:r>
      <w:r w:rsidRPr="0097554A">
        <w:rPr>
          <w:color w:val="0000FF"/>
        </w:rPr>
        <w:t>39</w:t>
      </w:r>
      <w:r w:rsidRPr="004C59BB">
        <w:rPr>
          <w:color w:val="0000FF"/>
          <w:lang w:val="ru-RU"/>
        </w:rPr>
        <w:t>条</w:t>
      </w:r>
      <w:r w:rsidRPr="0097554A">
        <w:rPr>
          <w:color w:val="0000FF"/>
        </w:rPr>
        <w:t>；</w:t>
      </w:r>
      <w:r w:rsidRPr="004C59BB">
        <w:rPr>
          <w:color w:val="0000FF"/>
          <w:lang w:val="ru-RU"/>
        </w:rPr>
        <w:t>《拉奥迪凯亚大公会议》第</w:t>
      </w:r>
      <w:r w:rsidRPr="0097554A">
        <w:rPr>
          <w:color w:val="0000FF"/>
        </w:rPr>
        <w:t>57</w:t>
      </w:r>
      <w:r w:rsidRPr="004C59BB">
        <w:rPr>
          <w:color w:val="0000FF"/>
          <w:lang w:val="ru-RU"/>
        </w:rPr>
        <w:t>条</w:t>
      </w:r>
      <w:r w:rsidRPr="0097554A">
        <w:rPr>
          <w:color w:val="0000FF"/>
        </w:rPr>
        <w:t>；</w:t>
      </w:r>
      <w:r w:rsidRPr="004C59BB">
        <w:rPr>
          <w:color w:val="0000FF"/>
          <w:lang w:val="ru-RU"/>
        </w:rPr>
        <w:t>《迦太基大公会议》第</w:t>
      </w:r>
      <w:r w:rsidRPr="0097554A">
        <w:rPr>
          <w:color w:val="0000FF"/>
        </w:rPr>
        <w:t>6</w:t>
      </w:r>
      <w:r w:rsidRPr="004C59BB">
        <w:rPr>
          <w:color w:val="0000FF"/>
          <w:lang w:val="ru-RU"/>
        </w:rPr>
        <w:t>、</w:t>
      </w:r>
      <w:r w:rsidRPr="0097554A">
        <w:rPr>
          <w:color w:val="0000FF"/>
        </w:rPr>
        <w:t>42</w:t>
      </w:r>
      <w:r w:rsidRPr="004C59BB">
        <w:rPr>
          <w:color w:val="0000FF"/>
          <w:lang w:val="ru-RU"/>
        </w:rPr>
        <w:t>、</w:t>
      </w:r>
      <w:r w:rsidRPr="0097554A">
        <w:rPr>
          <w:color w:val="0000FF"/>
        </w:rPr>
        <w:t>52</w:t>
      </w:r>
      <w:r w:rsidRPr="004C59BB">
        <w:rPr>
          <w:color w:val="0000FF"/>
          <w:lang w:val="ru-RU"/>
        </w:rPr>
        <w:t>条</w:t>
      </w:r>
      <w:r w:rsidRPr="0097554A">
        <w:rPr>
          <w:color w:val="0000FF"/>
        </w:rPr>
        <w:t>；</w:t>
      </w:r>
      <w:r w:rsidRPr="004C59BB">
        <w:rPr>
          <w:color w:val="0000FF"/>
          <w:lang w:val="ru-RU"/>
        </w:rPr>
        <w:t>《安提阿大公会议》第</w:t>
      </w:r>
      <w:r w:rsidRPr="0097554A">
        <w:rPr>
          <w:color w:val="0000FF"/>
        </w:rPr>
        <w:t>8</w:t>
      </w:r>
      <w:r w:rsidRPr="004C59BB">
        <w:rPr>
          <w:color w:val="0000FF"/>
          <w:lang w:val="ru-RU"/>
        </w:rPr>
        <w:t>、</w:t>
      </w:r>
      <w:r w:rsidRPr="0097554A">
        <w:rPr>
          <w:color w:val="0000FF"/>
        </w:rPr>
        <w:t>25</w:t>
      </w:r>
      <w:r w:rsidRPr="004C59BB">
        <w:rPr>
          <w:color w:val="0000FF"/>
          <w:lang w:val="ru-RU"/>
        </w:rPr>
        <w:t>条</w:t>
      </w:r>
      <w:r w:rsidRPr="0097554A">
        <w:rPr>
          <w:color w:val="0000FF"/>
        </w:rPr>
        <w:t>；</w:t>
      </w:r>
      <w:r w:rsidRPr="004C59BB">
        <w:rPr>
          <w:color w:val="0000FF"/>
          <w:lang w:val="ru-RU"/>
        </w:rPr>
        <w:t>《哈尔基德大公会议》第</w:t>
      </w:r>
      <w:r w:rsidRPr="0097554A">
        <w:rPr>
          <w:color w:val="0000FF"/>
        </w:rPr>
        <w:t>8</w:t>
      </w:r>
      <w:r w:rsidRPr="004C59BB">
        <w:rPr>
          <w:color w:val="0000FF"/>
          <w:lang w:val="ru-RU"/>
        </w:rPr>
        <w:t>条</w:t>
      </w:r>
      <w:r w:rsidRPr="0097554A">
        <w:rPr>
          <w:color w:val="0000FF"/>
        </w:rPr>
        <w:t>；</w:t>
      </w:r>
      <w:r w:rsidRPr="004C59BB">
        <w:rPr>
          <w:color w:val="0000FF"/>
          <w:lang w:val="ru-RU"/>
        </w:rPr>
        <w:t>《萨迪亚大公会议》第</w:t>
      </w:r>
      <w:r w:rsidRPr="0097554A">
        <w:rPr>
          <w:color w:val="0000FF"/>
        </w:rPr>
        <w:t>14</w:t>
      </w:r>
      <w:r w:rsidRPr="004C59BB">
        <w:rPr>
          <w:color w:val="0000FF"/>
          <w:lang w:val="ru-RU"/>
        </w:rPr>
        <w:t>条。</w:t>
      </w:r>
    </w:p>
  </w:footnote>
  <w:footnote w:id="611">
    <w:p w14:paraId="6F61DD5C" w14:textId="2DDF7B7F"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《使徒规条》</w:t>
      </w:r>
      <w:r w:rsidRPr="004C59BB">
        <w:rPr>
          <w:color w:val="0000FF"/>
        </w:rPr>
        <w:t>15、32、55；哈尔基德会议 18；特鲁尔会议 34。</w:t>
      </w:r>
    </w:p>
  </w:footnote>
  <w:footnote w:id="612">
    <w:p w14:paraId="376A9326" w14:textId="391359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克莱门特《致哥林多前书》注释第1卷，第51、56节；西普里安《书信》第LXIX封。</w:t>
      </w:r>
    </w:p>
  </w:footnote>
  <w:footnote w:id="613">
    <w:p w14:paraId="16F5B25E" w14:textId="302366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《使徒规条》31；卡尔法大公会议 6。</w:t>
      </w:r>
    </w:p>
  </w:footnote>
  <w:footnote w:id="614">
    <w:p w14:paraId="2012D8E9" w14:textId="0A405C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基普里安《书信》第LXXV封；特土良《论忏悔》第4章、第7节；格雷戈里·马格努斯《福音注释》第II卷，讲道第26篇，第5节等。</w:t>
      </w:r>
    </w:p>
  </w:footnote>
  <w:footnote w:id="615">
    <w:p w14:paraId="2AEC248F" w14:textId="03A004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伊格纳提乌斯《致马格内西亚人书》第4节；《致以弗所人书》第4节；《致特拉勒斯人书》第3节。</w:t>
      </w:r>
    </w:p>
  </w:footnote>
  <w:footnote w:id="616">
    <w:p w14:paraId="185A3E19" w14:textId="279E89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基普里安，《书信集》第XIII封致罗加提安书。</w:t>
      </w:r>
    </w:p>
  </w:footnote>
  <w:footnote w:id="617">
    <w:p w14:paraId="443B3025" w14:textId="5906A3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基普里安，《书信集》第三、第八、第三十五卷；特土良，《护教论》第39章；耶罗尼姆，《以赛亚书注释》第IIÏ章，且我们在教会中拥有由长老组成的议会。</w:t>
      </w:r>
    </w:p>
  </w:footnote>
  <w:footnote w:id="618">
    <w:p w14:paraId="7548FB37" w14:textId="6232CB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奥利金。《马太福音讲义》第五卷。</w:t>
      </w:r>
    </w:p>
  </w:footnote>
  <w:footnote w:id="619">
    <w:p w14:paraId="6788ED81" w14:textId="2DC5A8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《使徒宪章》第三卷，第44章；第三卷，第19章。</w:t>
      </w:r>
    </w:p>
  </w:footnote>
  <w:footnote w:id="620">
    <w:p w14:paraId="0CFCD2DE" w14:textId="2867A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奥利金，《马太福音讲义》第五卷；基普里安，《书信》第四十九封；埃皮法尼乌斯，《异端驳论》第七十九章。</w:t>
      </w:r>
    </w:p>
  </w:footnote>
  <w:footnote w:id="621">
    <w:p w14:paraId="66001ED8" w14:textId="20222C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爱任纽《反异端》第四卷，33，注8；亚历山大的克莱门特《杂论》第六卷，13；特土良《论异端》第32章；西普里安 书信 LXIX：他对使徒们说，从而也对所有通过代理按立继任使徒的领袖们说：谁听你们的话，就是听我的话……（参见书信 XLII，并参见上文注释 537）；优西比乌，《教会史》1，第 1 章； 耶罗尼姆《书信》第CXLVI封，或第LXXXV封《论福音书》：所有（主教）都是使徒的继任者（参见注539）；奥古斯丁《诗篇注释》第XLIV篇，第32节：主教是被立为使徒的代表（参见《致马达夫兄弟书》第XLII封）；</w:t>
      </w:r>
    </w:p>
  </w:footnote>
  <w:footnote w:id="622">
    <w:p w14:paraId="643C0E2F" w14:textId="75663C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基普里安，《书信》第XXVIÏ封，其中按时间顺序和继任关系阐述了主教的职责及教会的运作机制，即教会建立在主教之上，且教会的一切事务均由这些主管者治理（参见《书信》第XXVI封）； 巴西尔。《致伊诺森特主教书》第LXXXI封，载于《圣教父文集》第X卷，第196页。</w:t>
      </w:r>
    </w:p>
  </w:footnote>
  <w:footnote w:id="623">
    <w:p w14:paraId="5D3CC83F" w14:textId="5397E1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伊格纳提乌斯致以弗所人书第3节；致费拉德尔菲亚人书第4节；致特拉勒斯人书第7节。</w:t>
      </w:r>
    </w:p>
  </w:footnote>
  <w:footnote w:id="624">
    <w:p w14:paraId="553F3C84" w14:textId="3CC14FF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w:t>
      </w:r>
      <w:r w:rsidRPr="0097554A">
        <w:rPr>
          <w:color w:val="0000FF"/>
        </w:rPr>
        <w:t>544</w:t>
      </w:r>
      <w:r w:rsidRPr="004C59BB">
        <w:rPr>
          <w:color w:val="0000FF"/>
          <w:lang w:val="ru-RU"/>
        </w:rPr>
        <w:t>。</w:t>
      </w:r>
    </w:p>
  </w:footnote>
  <w:footnote w:id="625">
    <w:p w14:paraId="4EBE8977" w14:textId="27C93B62"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当然</w:t>
      </w:r>
      <w:r w:rsidRPr="0097554A">
        <w:rPr>
          <w:color w:val="0000FF"/>
        </w:rPr>
        <w:t>，</w:t>
      </w:r>
      <w:r w:rsidRPr="004C59BB">
        <w:rPr>
          <w:color w:val="0000FF"/>
          <w:lang w:val="ru-RU"/>
        </w:rPr>
        <w:t>其他使徒的情况也与使徒彼得一样</w:t>
      </w:r>
      <w:r w:rsidRPr="0097554A">
        <w:rPr>
          <w:color w:val="0000FF"/>
        </w:rPr>
        <w:t>，</w:t>
      </w:r>
      <w:r w:rsidRPr="004C59BB">
        <w:rPr>
          <w:color w:val="0000FF"/>
          <w:lang w:val="ru-RU"/>
        </w:rPr>
        <w:t>也就是说</w:t>
      </w:r>
      <w:r w:rsidRPr="0097554A">
        <w:rPr>
          <w:color w:val="0000FF"/>
        </w:rPr>
        <w:t>，</w:t>
      </w:r>
      <w:r w:rsidRPr="004C59BB">
        <w:rPr>
          <w:color w:val="0000FF"/>
          <w:lang w:val="ru-RU"/>
        </w:rPr>
        <w:t>他们享有同等的尊荣和尊严</w:t>
      </w:r>
      <w:r w:rsidRPr="0097554A">
        <w:rPr>
          <w:color w:val="0000FF"/>
        </w:rPr>
        <w:t>”（</w:t>
      </w:r>
      <w:r w:rsidRPr="004C59BB">
        <w:rPr>
          <w:color w:val="0000FF"/>
          <w:lang w:val="ru-RU"/>
        </w:rPr>
        <w:t>圣基普里安</w:t>
      </w:r>
      <w:r w:rsidRPr="0097554A">
        <w:rPr>
          <w:color w:val="0000FF"/>
        </w:rPr>
        <w:t>，</w:t>
      </w:r>
      <w:r w:rsidRPr="004C59BB">
        <w:rPr>
          <w:color w:val="0000FF"/>
          <w:lang w:val="ru-RU"/>
        </w:rPr>
        <w:t>《论教会的合一》</w:t>
      </w:r>
      <w:r w:rsidRPr="0097554A">
        <w:rPr>
          <w:color w:val="0000FF"/>
        </w:rPr>
        <w:t>，</w:t>
      </w:r>
      <w:r w:rsidRPr="004C59BB">
        <w:rPr>
          <w:color w:val="0000FF"/>
          <w:lang w:val="ru-RU"/>
        </w:rPr>
        <w:t>第三卷</w:t>
      </w:r>
      <w:r w:rsidRPr="0097554A">
        <w:rPr>
          <w:color w:val="0000FF"/>
        </w:rPr>
        <w:t>，Chr. Cht. 1837，1，25）</w:t>
      </w:r>
      <w:r w:rsidRPr="004C59BB">
        <w:rPr>
          <w:color w:val="0000FF"/>
          <w:lang w:val="ru-RU"/>
        </w:rPr>
        <w:t>。</w:t>
      </w:r>
    </w:p>
  </w:footnote>
  <w:footnote w:id="626">
    <w:p w14:paraId="79C255C2" w14:textId="59AC5E6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无论主教身在何</w:t>
      </w:r>
      <w:r w:rsidRPr="004C59BB">
        <w:rPr>
          <w:color w:val="0000FF"/>
          <w:lang w:val="ru-RU"/>
        </w:rPr>
        <w:t>处</w:t>
      </w:r>
      <w:r w:rsidRPr="0097554A">
        <w:rPr>
          <w:color w:val="0000FF"/>
        </w:rPr>
        <w:t>，</w:t>
      </w:r>
      <w:r w:rsidRPr="004C59BB">
        <w:rPr>
          <w:color w:val="0000FF"/>
        </w:rPr>
        <w:t>无论是罗马</w:t>
      </w:r>
      <w:r w:rsidRPr="004C59BB">
        <w:rPr>
          <w:color w:val="0000FF"/>
          <w:lang w:val="ru-RU"/>
        </w:rPr>
        <w:t>、</w:t>
      </w:r>
      <w:r w:rsidRPr="004C59BB">
        <w:rPr>
          <w:color w:val="0000FF"/>
        </w:rPr>
        <w:t>欧古比</w:t>
      </w:r>
      <w:r w:rsidRPr="004C59BB">
        <w:rPr>
          <w:color w:val="0000FF"/>
          <w:lang w:val="ru-RU"/>
        </w:rPr>
        <w:t>、</w:t>
      </w:r>
      <w:r w:rsidRPr="004C59BB">
        <w:rPr>
          <w:color w:val="0000FF"/>
        </w:rPr>
        <w:t>君士坦丁堡、雷吉、亚历山大</w:t>
      </w:r>
      <w:r w:rsidRPr="004C59BB">
        <w:rPr>
          <w:color w:val="0000FF"/>
          <w:lang w:val="ru-RU"/>
        </w:rPr>
        <w:t>、</w:t>
      </w:r>
      <w:r w:rsidRPr="004C59BB">
        <w:rPr>
          <w:color w:val="0000FF"/>
        </w:rPr>
        <w:t>还是塔尼斯</w:t>
      </w:r>
      <w:r w:rsidRPr="0097554A">
        <w:rPr>
          <w:color w:val="0000FF"/>
        </w:rPr>
        <w:t>，</w:t>
      </w:r>
      <w:r w:rsidRPr="004C59BB">
        <w:rPr>
          <w:color w:val="0000FF"/>
        </w:rPr>
        <w:t>其功绩与司祭职分皆相同……他们都是使徒的继任者 （圣杰罗姆，《致福音书的第146封书信》，第1节，载于《教父全集》第XXII</w:t>
      </w:r>
      <w:r w:rsidRPr="004C59BB">
        <w:rPr>
          <w:color w:val="0000FF"/>
          <w:lang w:val="ru-RU"/>
        </w:rPr>
        <w:t>卷</w:t>
      </w:r>
      <w:r w:rsidRPr="0097554A">
        <w:rPr>
          <w:color w:val="0000FF"/>
        </w:rPr>
        <w:t>，</w:t>
      </w:r>
      <w:r w:rsidRPr="004C59BB">
        <w:rPr>
          <w:color w:val="0000FF"/>
          <w:lang w:val="ru-RU"/>
        </w:rPr>
        <w:t>第</w:t>
      </w:r>
      <w:r w:rsidRPr="0097554A">
        <w:rPr>
          <w:color w:val="0000FF"/>
        </w:rPr>
        <w:t>1194</w:t>
      </w:r>
      <w:r w:rsidRPr="004C59BB">
        <w:rPr>
          <w:color w:val="0000FF"/>
          <w:lang w:val="ru-RU"/>
        </w:rPr>
        <w:t>页</w:t>
      </w:r>
      <w:r w:rsidRPr="0097554A">
        <w:rPr>
          <w:color w:val="0000FF"/>
        </w:rPr>
        <w:t>，</w:t>
      </w:r>
      <w:r w:rsidRPr="004C59BB">
        <w:rPr>
          <w:color w:val="0000FF"/>
        </w:rPr>
        <w:t>米涅</w:t>
      </w:r>
      <w:r w:rsidRPr="004C59BB">
        <w:rPr>
          <w:color w:val="0000FF"/>
          <w:lang w:val="ru-RU"/>
        </w:rPr>
        <w:t>版</w:t>
      </w:r>
      <w:r w:rsidRPr="0097554A">
        <w:rPr>
          <w:color w:val="0000FF"/>
        </w:rPr>
        <w:t>）</w:t>
      </w:r>
      <w:r w:rsidRPr="004C59BB">
        <w:rPr>
          <w:color w:val="0000FF"/>
          <w:lang w:val="ru-RU"/>
        </w:rPr>
        <w:t>。</w:t>
      </w:r>
    </w:p>
  </w:footnote>
  <w:footnote w:id="627">
    <w:p w14:paraId="25FE17EE" w14:textId="44F7FF3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《使徒规条》第</w:t>
      </w:r>
      <w:r w:rsidRPr="0097554A">
        <w:rPr>
          <w:color w:val="0000FF"/>
        </w:rPr>
        <w:t>1</w:t>
      </w:r>
      <w:r w:rsidRPr="004C59BB">
        <w:rPr>
          <w:color w:val="0000FF"/>
          <w:lang w:val="ru-RU"/>
        </w:rPr>
        <w:t>条</w:t>
      </w:r>
      <w:r w:rsidRPr="0097554A">
        <w:rPr>
          <w:color w:val="0000FF"/>
        </w:rPr>
        <w:t>；</w:t>
      </w:r>
      <w:r w:rsidRPr="004C59BB">
        <w:rPr>
          <w:color w:val="0000FF"/>
          <w:lang w:val="ru-RU"/>
        </w:rPr>
        <w:t>《尼西亚大公会议》第</w:t>
      </w:r>
      <w:r w:rsidRPr="0097554A">
        <w:rPr>
          <w:color w:val="0000FF"/>
        </w:rPr>
        <w:t>4</w:t>
      </w:r>
      <w:r w:rsidRPr="004C59BB">
        <w:rPr>
          <w:color w:val="0000FF"/>
          <w:lang w:val="ru-RU"/>
        </w:rPr>
        <w:t>条</w:t>
      </w:r>
      <w:r w:rsidRPr="0097554A">
        <w:rPr>
          <w:color w:val="0000FF"/>
        </w:rPr>
        <w:t>；</w:t>
      </w:r>
      <w:r w:rsidRPr="004C59BB">
        <w:rPr>
          <w:color w:val="0000FF"/>
          <w:lang w:val="ru-RU"/>
        </w:rPr>
        <w:t>《安提阿大公会议》第</w:t>
      </w:r>
      <w:r w:rsidRPr="0097554A">
        <w:rPr>
          <w:color w:val="0000FF"/>
        </w:rPr>
        <w:t>19</w:t>
      </w:r>
      <w:r w:rsidRPr="004C59BB">
        <w:rPr>
          <w:color w:val="0000FF"/>
          <w:lang w:val="ru-RU"/>
        </w:rPr>
        <w:t>、</w:t>
      </w:r>
      <w:r w:rsidRPr="0097554A">
        <w:rPr>
          <w:color w:val="0000FF"/>
        </w:rPr>
        <w:t>23</w:t>
      </w:r>
      <w:r w:rsidRPr="004C59BB">
        <w:rPr>
          <w:color w:val="0000FF"/>
          <w:lang w:val="ru-RU"/>
        </w:rPr>
        <w:t>条</w:t>
      </w:r>
      <w:r w:rsidRPr="0097554A">
        <w:rPr>
          <w:color w:val="0000FF"/>
        </w:rPr>
        <w:t>；</w:t>
      </w:r>
      <w:r w:rsidRPr="004C59BB">
        <w:rPr>
          <w:color w:val="0000FF"/>
          <w:lang w:val="ru-RU"/>
        </w:rPr>
        <w:t>《拉奥狄凯亚大公会议》第</w:t>
      </w:r>
      <w:r w:rsidRPr="0097554A">
        <w:rPr>
          <w:color w:val="0000FF"/>
        </w:rPr>
        <w:t>12</w:t>
      </w:r>
      <w:r w:rsidRPr="004C59BB">
        <w:rPr>
          <w:color w:val="0000FF"/>
          <w:lang w:val="ru-RU"/>
        </w:rPr>
        <w:t>条</w:t>
      </w:r>
      <w:r w:rsidRPr="0097554A">
        <w:rPr>
          <w:color w:val="0000FF"/>
        </w:rPr>
        <w:t>；</w:t>
      </w:r>
      <w:r w:rsidRPr="004C59BB">
        <w:rPr>
          <w:color w:val="0000FF"/>
          <w:lang w:val="ru-RU"/>
        </w:rPr>
        <w:t>《迦太基大公会议》第</w:t>
      </w:r>
      <w:r w:rsidRPr="0097554A">
        <w:rPr>
          <w:color w:val="0000FF"/>
        </w:rPr>
        <w:t>13</w:t>
      </w:r>
      <w:r w:rsidRPr="004C59BB">
        <w:rPr>
          <w:color w:val="0000FF"/>
          <w:lang w:val="ru-RU"/>
        </w:rPr>
        <w:t>条</w:t>
      </w:r>
      <w:r w:rsidRPr="0097554A">
        <w:rPr>
          <w:color w:val="0000FF"/>
        </w:rPr>
        <w:t>；</w:t>
      </w:r>
      <w:r w:rsidRPr="004C59BB">
        <w:rPr>
          <w:color w:val="0000FF"/>
          <w:lang w:val="ru-RU"/>
        </w:rPr>
        <w:t>《哈尔基德大公会议》第</w:t>
      </w:r>
      <w:r w:rsidRPr="0097554A">
        <w:rPr>
          <w:color w:val="0000FF"/>
        </w:rPr>
        <w:t>28</w:t>
      </w:r>
      <w:r w:rsidRPr="004C59BB">
        <w:rPr>
          <w:color w:val="0000FF"/>
          <w:lang w:val="ru-RU"/>
        </w:rPr>
        <w:t>条等。</w:t>
      </w:r>
    </w:p>
  </w:footnote>
  <w:footnote w:id="628">
    <w:p w14:paraId="380AF89A" w14:textId="36F8A8E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《使徒规条》第</w:t>
      </w:r>
      <w:r w:rsidRPr="0097554A">
        <w:rPr>
          <w:color w:val="0000FF"/>
        </w:rPr>
        <w:t>74</w:t>
      </w:r>
      <w:r w:rsidRPr="004C59BB">
        <w:rPr>
          <w:color w:val="0000FF"/>
          <w:lang w:val="ru-RU"/>
        </w:rPr>
        <w:t>条</w:t>
      </w:r>
      <w:r w:rsidRPr="0097554A">
        <w:rPr>
          <w:color w:val="0000FF"/>
        </w:rPr>
        <w:t>；</w:t>
      </w:r>
      <w:r w:rsidRPr="004C59BB">
        <w:rPr>
          <w:color w:val="0000FF"/>
          <w:lang w:val="ru-RU"/>
        </w:rPr>
        <w:t>《迦太基规条》第</w:t>
      </w:r>
      <w:r w:rsidRPr="0097554A">
        <w:rPr>
          <w:color w:val="0000FF"/>
        </w:rPr>
        <w:t>12</w:t>
      </w:r>
      <w:r w:rsidRPr="004C59BB">
        <w:rPr>
          <w:color w:val="0000FF"/>
          <w:lang w:val="ru-RU"/>
        </w:rPr>
        <w:t>、</w:t>
      </w:r>
      <w:r w:rsidRPr="0097554A">
        <w:rPr>
          <w:color w:val="0000FF"/>
        </w:rPr>
        <w:t>28</w:t>
      </w:r>
      <w:r w:rsidRPr="004C59BB">
        <w:rPr>
          <w:color w:val="0000FF"/>
          <w:lang w:val="ru-RU"/>
        </w:rPr>
        <w:t>条</w:t>
      </w:r>
      <w:r w:rsidRPr="0097554A">
        <w:rPr>
          <w:color w:val="0000FF"/>
        </w:rPr>
        <w:t>；</w:t>
      </w:r>
      <w:r w:rsidRPr="004C59BB">
        <w:rPr>
          <w:color w:val="0000FF"/>
          <w:lang w:val="ru-RU"/>
        </w:rPr>
        <w:t>《君士坦丁堡规条》第</w:t>
      </w:r>
      <w:r w:rsidRPr="0097554A">
        <w:rPr>
          <w:color w:val="0000FF"/>
        </w:rPr>
        <w:t>6</w:t>
      </w:r>
      <w:r w:rsidRPr="004C59BB">
        <w:rPr>
          <w:color w:val="0000FF"/>
          <w:lang w:val="ru-RU"/>
        </w:rPr>
        <w:t>条</w:t>
      </w:r>
      <w:r w:rsidRPr="0097554A">
        <w:rPr>
          <w:color w:val="0000FF"/>
        </w:rPr>
        <w:t>；</w:t>
      </w:r>
      <w:r w:rsidRPr="004C59BB">
        <w:rPr>
          <w:color w:val="0000FF"/>
          <w:lang w:val="ru-RU"/>
        </w:rPr>
        <w:t>《亚历山大里亚的西里尔》第</w:t>
      </w:r>
      <w:r w:rsidRPr="0097554A">
        <w:rPr>
          <w:color w:val="0000FF"/>
        </w:rPr>
        <w:t>1</w:t>
      </w:r>
      <w:r w:rsidRPr="004C59BB">
        <w:rPr>
          <w:color w:val="0000FF"/>
          <w:lang w:val="ru-RU"/>
        </w:rPr>
        <w:t>条。</w:t>
      </w:r>
    </w:p>
  </w:footnote>
  <w:footnote w:id="629">
    <w:p w14:paraId="4812ACA0" w14:textId="1AE4423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第一次普世公会议法规第</w:t>
      </w:r>
      <w:r w:rsidRPr="0097554A">
        <w:rPr>
          <w:color w:val="0000FF"/>
        </w:rPr>
        <w:t>5</w:t>
      </w:r>
      <w:r w:rsidRPr="004C59BB">
        <w:rPr>
          <w:color w:val="0000FF"/>
          <w:lang w:val="ru-RU"/>
        </w:rPr>
        <w:t>条</w:t>
      </w:r>
      <w:r w:rsidRPr="0097554A">
        <w:rPr>
          <w:color w:val="0000FF"/>
        </w:rPr>
        <w:t>；</w:t>
      </w:r>
      <w:r w:rsidRPr="004C59BB">
        <w:rPr>
          <w:color w:val="0000FF"/>
          <w:lang w:val="ru-RU"/>
        </w:rPr>
        <w:t>第二次第</w:t>
      </w:r>
      <w:r w:rsidRPr="0097554A">
        <w:rPr>
          <w:color w:val="0000FF"/>
        </w:rPr>
        <w:t>2</w:t>
      </w:r>
      <w:r w:rsidRPr="004C59BB">
        <w:rPr>
          <w:color w:val="0000FF"/>
          <w:lang w:val="ru-RU"/>
        </w:rPr>
        <w:t>条</w:t>
      </w:r>
      <w:r w:rsidRPr="0097554A">
        <w:rPr>
          <w:color w:val="0000FF"/>
        </w:rPr>
        <w:t>；</w:t>
      </w:r>
      <w:r w:rsidRPr="004C59BB">
        <w:rPr>
          <w:color w:val="0000FF"/>
          <w:lang w:val="ru-RU"/>
        </w:rPr>
        <w:t>第四次第</w:t>
      </w:r>
      <w:r w:rsidRPr="0097554A">
        <w:rPr>
          <w:color w:val="0000FF"/>
        </w:rPr>
        <w:t>19</w:t>
      </w:r>
      <w:r w:rsidRPr="004C59BB">
        <w:rPr>
          <w:color w:val="0000FF"/>
          <w:lang w:val="ru-RU"/>
        </w:rPr>
        <w:t>条</w:t>
      </w:r>
      <w:r w:rsidRPr="0097554A">
        <w:rPr>
          <w:color w:val="0000FF"/>
        </w:rPr>
        <w:t>；</w:t>
      </w:r>
      <w:r w:rsidRPr="004C59BB">
        <w:rPr>
          <w:color w:val="0000FF"/>
          <w:lang w:val="ru-RU"/>
        </w:rPr>
        <w:t>第六次第</w:t>
      </w:r>
      <w:r w:rsidRPr="0097554A">
        <w:rPr>
          <w:color w:val="0000FF"/>
        </w:rPr>
        <w:t>8</w:t>
      </w:r>
      <w:r w:rsidRPr="004C59BB">
        <w:rPr>
          <w:color w:val="0000FF"/>
          <w:lang w:val="ru-RU"/>
        </w:rPr>
        <w:t>条</w:t>
      </w:r>
      <w:r w:rsidRPr="0097554A">
        <w:rPr>
          <w:color w:val="0000FF"/>
        </w:rPr>
        <w:t>；</w:t>
      </w:r>
      <w:r w:rsidRPr="004C59BB">
        <w:rPr>
          <w:color w:val="0000FF"/>
          <w:lang w:val="ru-RU"/>
        </w:rPr>
        <w:t>安提阿第</w:t>
      </w:r>
      <w:r w:rsidRPr="0097554A">
        <w:rPr>
          <w:color w:val="0000FF"/>
        </w:rPr>
        <w:t>20</w:t>
      </w:r>
      <w:r w:rsidRPr="004C59BB">
        <w:rPr>
          <w:color w:val="0000FF"/>
          <w:lang w:val="ru-RU"/>
        </w:rPr>
        <w:t>条</w:t>
      </w:r>
      <w:r w:rsidRPr="0097554A">
        <w:rPr>
          <w:color w:val="0000FF"/>
        </w:rPr>
        <w:t>；</w:t>
      </w:r>
      <w:r w:rsidRPr="004C59BB">
        <w:rPr>
          <w:color w:val="0000FF"/>
          <w:lang w:val="ru-RU"/>
        </w:rPr>
        <w:t>迦太基第</w:t>
      </w:r>
      <w:r w:rsidRPr="0097554A">
        <w:rPr>
          <w:color w:val="0000FF"/>
        </w:rPr>
        <w:t>87</w:t>
      </w:r>
      <w:r w:rsidRPr="004C59BB">
        <w:rPr>
          <w:color w:val="0000FF"/>
          <w:lang w:val="ru-RU"/>
        </w:rPr>
        <w:t>、</w:t>
      </w:r>
      <w:r w:rsidRPr="0097554A">
        <w:rPr>
          <w:color w:val="0000FF"/>
        </w:rPr>
        <w:t>88</w:t>
      </w:r>
      <w:r w:rsidRPr="004C59BB">
        <w:rPr>
          <w:color w:val="0000FF"/>
          <w:lang w:val="ru-RU"/>
        </w:rPr>
        <w:t>条。</w:t>
      </w:r>
    </w:p>
  </w:footnote>
  <w:footnote w:id="630">
    <w:p w14:paraId="56A58E89" w14:textId="4164CFB9"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特土良《论斋戒</w:t>
      </w:r>
      <w:r w:rsidRPr="004C59BB">
        <w:rPr>
          <w:color w:val="0000FF"/>
          <w:lang w:val="ru-RU"/>
        </w:rPr>
        <w:t>》第</w:t>
      </w:r>
      <w:r w:rsidRPr="0097554A">
        <w:rPr>
          <w:color w:val="0000FF"/>
        </w:rPr>
        <w:t>13</w:t>
      </w:r>
      <w:r w:rsidRPr="004C59BB">
        <w:rPr>
          <w:color w:val="0000FF"/>
          <w:lang w:val="ru-RU"/>
        </w:rPr>
        <w:t>章</w:t>
      </w:r>
      <w:r w:rsidRPr="0097554A">
        <w:rPr>
          <w:color w:val="0000FF"/>
        </w:rPr>
        <w:t>；</w:t>
      </w:r>
      <w:r w:rsidRPr="004C59BB">
        <w:rPr>
          <w:color w:val="0000FF"/>
        </w:rPr>
        <w:t>巴西尔</w:t>
      </w:r>
      <w:r w:rsidRPr="004C59BB">
        <w:rPr>
          <w:color w:val="0000FF"/>
          <w:lang w:val="ru-RU"/>
        </w:rPr>
        <w:t>《书信》</w:t>
      </w:r>
      <w:r w:rsidRPr="004C59BB">
        <w:rPr>
          <w:color w:val="0000FF"/>
        </w:rPr>
        <w:t>CXIV</w:t>
      </w:r>
      <w:r w:rsidRPr="0097554A">
        <w:rPr>
          <w:color w:val="0000FF"/>
        </w:rPr>
        <w:t>，</w:t>
      </w:r>
      <w:r w:rsidRPr="004C59BB">
        <w:rPr>
          <w:color w:val="0000FF"/>
          <w:lang w:val="ru-RU"/>
        </w:rPr>
        <w:t>载于</w:t>
      </w:r>
      <w:r w:rsidRPr="004C59BB">
        <w:rPr>
          <w:color w:val="0000FF"/>
        </w:rPr>
        <w:t>《圣教父文集》X，257；安布罗斯《论信仰》第三卷，第15章；奥古斯丁《致扬纳里乌斯书信》LIV；利奥《致利奥·奥古斯丁书信》LXXVIII，第3章；格雷戈里·马格努斯《致君士坦丁堡的约翰书信》。</w:t>
      </w:r>
    </w:p>
  </w:footnote>
  <w:footnote w:id="631">
    <w:p w14:paraId="06344D8B" w14:textId="0882EB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《使徒规条》第34条；《安提阿规条》第9条；《第一次大公会议规条》第5条；《第四次大公会议规条》第19条；《第六次大公会议规条》第8条。</w:t>
      </w:r>
    </w:p>
  </w:footnote>
  <w:footnote w:id="632">
    <w:p w14:paraId="13081B03" w14:textId="4AF6F2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爱任纽《反异端》第三卷，第14章；西普里安《书信》第35封。</w:t>
      </w:r>
    </w:p>
  </w:footnote>
  <w:footnote w:id="633">
    <w:p w14:paraId="3E8F884B" w14:textId="1C839EC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奥利金，《马太福音讲义》第XXIV篇。</w:t>
      </w:r>
    </w:p>
  </w:footnote>
  <w:footnote w:id="634">
    <w:p w14:paraId="0511CB87" w14:textId="24A103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西普里安，《书信》第LII封。</w:t>
      </w:r>
    </w:p>
  </w:footnote>
  <w:footnote w:id="635">
    <w:p w14:paraId="55C29AAD" w14:textId="7048BE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《使徒宪章》第三卷，第67章；《塞浦路斯书信》第三卷《见证》，第84章。</w:t>
      </w:r>
    </w:p>
  </w:footnote>
  <w:footnote w:id="636">
    <w:p w14:paraId="1E0D0A53" w14:textId="1B4F726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正如教会在一系列著名的祷文中所表达的那样。</w:t>
      </w:r>
    </w:p>
  </w:footnote>
  <w:footnote w:id="637">
    <w:p w14:paraId="6D520732" w14:textId="7590062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κρατούσης</w:t>
      </w:r>
      <w:r w:rsidRPr="0097554A">
        <w:rPr>
          <w:color w:val="0000FF"/>
        </w:rPr>
        <w:t xml:space="preserve">… </w:t>
      </w:r>
      <w:r w:rsidRPr="004C59BB">
        <w:rPr>
          <w:color w:val="0000FF"/>
          <w:lang w:val="el-GR"/>
        </w:rPr>
        <w:t>τής</w:t>
      </w:r>
      <w:r w:rsidRPr="0097554A">
        <w:rPr>
          <w:color w:val="0000FF"/>
        </w:rPr>
        <w:t xml:space="preserve"> </w:t>
      </w:r>
      <w:r w:rsidRPr="004C59BB">
        <w:rPr>
          <w:color w:val="0000FF"/>
          <w:lang w:val="el-GR"/>
        </w:rPr>
        <w:t>μίας</w:t>
      </w:r>
      <w:r w:rsidRPr="0097554A">
        <w:rPr>
          <w:color w:val="0000FF"/>
        </w:rPr>
        <w:t xml:space="preserve"> </w:t>
      </w:r>
      <w:r w:rsidRPr="004C59BB">
        <w:rPr>
          <w:color w:val="0000FF"/>
          <w:lang w:val="el-GR"/>
        </w:rPr>
        <w:t>καί</w:t>
      </w:r>
      <w:r w:rsidRPr="0097554A">
        <w:rPr>
          <w:color w:val="0000FF"/>
        </w:rPr>
        <w:t xml:space="preserve"> </w:t>
      </w:r>
      <w:r w:rsidRPr="004C59BB">
        <w:rPr>
          <w:color w:val="0000FF"/>
          <w:lang w:val="el-GR"/>
        </w:rPr>
        <w:t>μόνης</w:t>
      </w:r>
      <w:r w:rsidRPr="0097554A">
        <w:rPr>
          <w:color w:val="0000FF"/>
        </w:rPr>
        <w:t xml:space="preserve"> </w:t>
      </w:r>
      <w:r w:rsidRPr="004C59BB">
        <w:rPr>
          <w:color w:val="0000FF"/>
          <w:lang w:val="el-GR"/>
        </w:rPr>
        <w:t>αληθώς</w:t>
      </w:r>
      <w:r w:rsidRPr="0097554A">
        <w:rPr>
          <w:color w:val="0000FF"/>
        </w:rPr>
        <w:t xml:space="preserve"> </w:t>
      </w:r>
      <w:r w:rsidRPr="004C59BB">
        <w:rPr>
          <w:color w:val="0000FF"/>
          <w:lang w:val="el-GR"/>
        </w:rPr>
        <w:t>κεφαλής</w:t>
      </w:r>
      <w:r w:rsidRPr="0097554A">
        <w:rPr>
          <w:color w:val="0000FF"/>
        </w:rPr>
        <w:t xml:space="preserve">, </w:t>
      </w:r>
      <w:r w:rsidRPr="004C59BB">
        <w:rPr>
          <w:color w:val="0000FF"/>
          <w:lang w:val="el-GR"/>
        </w:rPr>
        <w:t>ήτις</w:t>
      </w:r>
      <w:r w:rsidRPr="0097554A">
        <w:rPr>
          <w:color w:val="0000FF"/>
        </w:rPr>
        <w:t xml:space="preserve"> </w:t>
      </w:r>
      <w:r w:rsidRPr="004C59BB">
        <w:rPr>
          <w:color w:val="0000FF"/>
          <w:lang w:val="el-GR"/>
        </w:rPr>
        <w:t>έστίν</w:t>
      </w:r>
      <w:r w:rsidRPr="0097554A">
        <w:rPr>
          <w:color w:val="0000FF"/>
        </w:rPr>
        <w:t xml:space="preserve"> </w:t>
      </w:r>
      <w:r w:rsidRPr="004C59BB">
        <w:rPr>
          <w:color w:val="0000FF"/>
          <w:lang w:val="el-GR"/>
        </w:rPr>
        <w:t>ό</w:t>
      </w:r>
      <w:r w:rsidRPr="0097554A">
        <w:rPr>
          <w:color w:val="0000FF"/>
        </w:rPr>
        <w:t xml:space="preserve"> </w:t>
      </w:r>
      <w:r w:rsidRPr="004C59BB">
        <w:rPr>
          <w:color w:val="0000FF"/>
          <w:lang w:val="el-GR"/>
        </w:rPr>
        <w:t>Χριστός</w:t>
      </w:r>
      <w:r w:rsidRPr="0097554A">
        <w:rPr>
          <w:color w:val="0000FF"/>
        </w:rPr>
        <w:t>.</w:t>
      </w:r>
      <w:r w:rsidRPr="004C59BB">
        <w:rPr>
          <w:color w:val="0000FF"/>
        </w:rPr>
        <w:t>《论神的审判》</w:t>
      </w:r>
      <w:r w:rsidRPr="004C59BB">
        <w:rPr>
          <w:color w:val="0000FF"/>
          <w:lang w:val="el-GR"/>
        </w:rPr>
        <w:t>第</w:t>
      </w:r>
      <w:r w:rsidRPr="0097554A">
        <w:rPr>
          <w:color w:val="0000FF"/>
        </w:rPr>
        <w:t>3</w:t>
      </w:r>
      <w:r w:rsidRPr="004C59BB">
        <w:rPr>
          <w:color w:val="0000FF"/>
          <w:lang w:val="el-GR"/>
        </w:rPr>
        <w:t>节</w:t>
      </w:r>
      <w:r w:rsidRPr="004C59BB">
        <w:rPr>
          <w:color w:val="0000FF"/>
        </w:rPr>
        <w:t>，载于</w:t>
      </w:r>
      <w:r w:rsidRPr="004C59BB">
        <w:rPr>
          <w:color w:val="0000FF"/>
          <w:lang w:val="el-GR"/>
        </w:rPr>
        <w:t>《圣</w:t>
      </w:r>
      <w:r w:rsidRPr="004C59BB">
        <w:rPr>
          <w:color w:val="0000FF"/>
        </w:rPr>
        <w:t>教父文集</w:t>
      </w:r>
      <w:r w:rsidRPr="004C59BB">
        <w:rPr>
          <w:color w:val="0000FF"/>
          <w:lang w:val="el-GR"/>
        </w:rPr>
        <w:t>》</w:t>
      </w:r>
      <w:r w:rsidRPr="004C59BB">
        <w:rPr>
          <w:color w:val="0000FF"/>
        </w:rPr>
        <w:t>第九</w:t>
      </w:r>
      <w:r w:rsidRPr="004C59BB">
        <w:rPr>
          <w:color w:val="0000FF"/>
          <w:lang w:val="el-GR"/>
        </w:rPr>
        <w:t>卷</w:t>
      </w:r>
      <w:r w:rsidRPr="0097554A">
        <w:rPr>
          <w:color w:val="0000FF"/>
        </w:rPr>
        <w:t>，</w:t>
      </w:r>
      <w:r w:rsidRPr="004C59BB">
        <w:rPr>
          <w:color w:val="0000FF"/>
          <w:lang w:val="el-GR"/>
        </w:rPr>
        <w:t>第</w:t>
      </w:r>
      <w:r w:rsidRPr="0097554A">
        <w:rPr>
          <w:color w:val="0000FF"/>
        </w:rPr>
        <w:t>12</w:t>
      </w:r>
      <w:r w:rsidRPr="004C59BB">
        <w:rPr>
          <w:color w:val="0000FF"/>
          <w:lang w:val="el-GR"/>
        </w:rPr>
        <w:t>页。</w:t>
      </w:r>
    </w:p>
  </w:footnote>
  <w:footnote w:id="638">
    <w:p w14:paraId="34CB1718" w14:textId="2AE56B8F"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基督是教会唯一的元首</w:t>
      </w:r>
      <w:r w:rsidRPr="004C59BB">
        <w:rPr>
          <w:color w:val="0000FF"/>
          <w:lang w:val="ru-RU"/>
        </w:rPr>
        <w:t>。</w:t>
      </w:r>
      <w:r w:rsidRPr="0097554A">
        <w:rPr>
          <w:color w:val="0000FF"/>
        </w:rPr>
        <w:t>”</w:t>
      </w:r>
      <w:r w:rsidRPr="004C59BB">
        <w:rPr>
          <w:color w:val="0000FF"/>
          <w:lang w:val="ru-RU"/>
        </w:rPr>
        <w:t>《</w:t>
      </w:r>
      <w:r w:rsidRPr="004C59BB">
        <w:rPr>
          <w:color w:val="0000FF"/>
        </w:rPr>
        <w:t>讲道</w:t>
      </w:r>
      <w:r w:rsidRPr="004C59BB">
        <w:rPr>
          <w:color w:val="0000FF"/>
          <w:lang w:val="ru-RU"/>
        </w:rPr>
        <w:t>集》第</w:t>
      </w:r>
      <w:r w:rsidRPr="0097554A">
        <w:rPr>
          <w:color w:val="0000FF"/>
        </w:rPr>
        <w:t>31</w:t>
      </w:r>
      <w:r w:rsidRPr="004C59BB">
        <w:rPr>
          <w:color w:val="0000FF"/>
          <w:lang w:val="ru-RU"/>
        </w:rPr>
        <w:t>篇</w:t>
      </w:r>
      <w:r w:rsidRPr="0097554A">
        <w:rPr>
          <w:color w:val="0000FF"/>
        </w:rPr>
        <w:t>，</w:t>
      </w:r>
      <w:r w:rsidRPr="004C59BB">
        <w:rPr>
          <w:color w:val="0000FF"/>
          <w:lang w:val="ru-RU"/>
        </w:rPr>
        <w:t>载于《圣</w:t>
      </w:r>
      <w:r w:rsidRPr="004C59BB">
        <w:rPr>
          <w:color w:val="0000FF"/>
        </w:rPr>
        <w:t>教父文集》第III卷，第220页。</w:t>
      </w:r>
    </w:p>
  </w:footnote>
  <w:footnote w:id="639">
    <w:p w14:paraId="35713C5F" w14:textId="675B72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《以弗所书》第1章第23节。</w:t>
      </w:r>
    </w:p>
  </w:footnote>
  <w:footnote w:id="640">
    <w:p w14:paraId="2D786F89" w14:textId="47F699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格雷戈里·尼西阿斯《反尤诺米乌斯论》，第十二篇讲道，载于第二卷，第725页，莫雷尔版；狄奥菲拉克特《哥林多前书注》，第十一章第3节；第十二章第27节。</w:t>
      </w:r>
    </w:p>
  </w:footnote>
  <w:footnote w:id="641">
    <w:p w14:paraId="5123B9BB" w14:textId="0C6F8E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《致哥林多前书》1，第46节，载于《基督教读本》1824年版，第十四卷，第284页。</w:t>
      </w:r>
    </w:p>
  </w:footnote>
  <w:footnote w:id="642">
    <w:p w14:paraId="3353BE24" w14:textId="3506FB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《反异端》第1卷，第10章，第1节。</w:t>
      </w:r>
    </w:p>
  </w:footnote>
  <w:footnote w:id="643">
    <w:p w14:paraId="246BBC6E" w14:textId="53DF41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《论异端》，第XX章。</w:t>
      </w:r>
    </w:p>
  </w:footnote>
  <w:footnote w:id="644">
    <w:p w14:paraId="056820F1" w14:textId="1E8B55C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《杂论》第七卷，第17章；参见《教导》第一卷，第6章。</w:t>
      </w:r>
    </w:p>
  </w:footnote>
  <w:footnote w:id="645">
    <w:p w14:paraId="630BE3C4" w14:textId="33ED7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《论教会合一》（De unit. Ecclesiae），载于《Xp.》周刊，1837年第1期，第26页；注释见第55页。</w:t>
      </w:r>
    </w:p>
  </w:footnote>
  <w:footnote w:id="646">
    <w:p w14:paraId="687AD1A8" w14:textId="1B0C9D24"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在他教会的一个身体内</w:t>
      </w:r>
      <w:r w:rsidRPr="0097554A">
        <w:rPr>
          <w:color w:val="0000FF"/>
        </w:rPr>
        <w:t>”</w:t>
      </w:r>
      <w:r w:rsidRPr="004C59BB">
        <w:rPr>
          <w:color w:val="0000FF"/>
          <w:lang w:val="el-GR"/>
        </w:rPr>
        <w:t>。</w:t>
      </w:r>
      <w:r w:rsidRPr="004C59BB">
        <w:rPr>
          <w:color w:val="0000FF"/>
        </w:rPr>
        <w:t>《致士麦那书》第1章；参见《致以弗所书》第4章；《致腓立比书》第3章。</w:t>
      </w:r>
    </w:p>
  </w:footnote>
  <w:footnote w:id="647">
    <w:p w14:paraId="3CC135E5" w14:textId="3F153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《与特里普利对话录》第42、63、116节。</w:t>
      </w:r>
    </w:p>
  </w:footnote>
  <w:footnote w:id="648">
    <w:p w14:paraId="55056ECF" w14:textId="481FC7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《诗篇》第39篇，第13节。</w:t>
      </w:r>
    </w:p>
  </w:footnote>
  <w:footnote w:id="649">
    <w:p w14:paraId="7E185F2A" w14:textId="1C1A43E2"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因为教会是一个身体，并非由诸多身体混杂而成，也不是将个体随意聚集在毫无区分、杂乱无章的堆积之中，而是通过信德的合一、仁爱的共融、行为与意志的和谐，以及圣事中“万有合一”的恩赐——我们众人合而为一（《诗篇》第121</w:t>
      </w:r>
      <w:r w:rsidRPr="004C59BB">
        <w:rPr>
          <w:color w:val="0000FF"/>
          <w:lang w:val="el-GR"/>
        </w:rPr>
        <w:t>篇</w:t>
      </w:r>
      <w:r w:rsidRPr="0097554A">
        <w:rPr>
          <w:color w:val="0000FF"/>
        </w:rPr>
        <w:t>，</w:t>
      </w:r>
      <w:r w:rsidRPr="004C59BB">
        <w:rPr>
          <w:color w:val="0000FF"/>
          <w:lang w:val="el-GR"/>
        </w:rPr>
        <w:t>第</w:t>
      </w:r>
      <w:r w:rsidRPr="0097554A">
        <w:rPr>
          <w:color w:val="0000FF"/>
        </w:rPr>
        <w:t>5</w:t>
      </w:r>
      <w:r w:rsidRPr="004C59BB">
        <w:rPr>
          <w:color w:val="0000FF"/>
          <w:lang w:val="el-GR"/>
        </w:rPr>
        <w:t>节</w:t>
      </w:r>
      <w:r w:rsidRPr="0097554A">
        <w:rPr>
          <w:color w:val="0000FF"/>
        </w:rPr>
        <w:t xml:space="preserve">； </w:t>
      </w:r>
      <w:r w:rsidRPr="004C59BB">
        <w:rPr>
          <w:color w:val="0000FF"/>
        </w:rPr>
        <w:t>参见</w:t>
      </w:r>
      <w:r w:rsidRPr="004C59BB">
        <w:rPr>
          <w:color w:val="0000FF"/>
          <w:lang w:val="el-GR"/>
        </w:rPr>
        <w:t>《</w:t>
      </w:r>
      <w:r w:rsidRPr="004C59BB">
        <w:rPr>
          <w:color w:val="0000FF"/>
        </w:rPr>
        <w:t>论三位一体</w:t>
      </w:r>
      <w:r w:rsidRPr="004C59BB">
        <w:rPr>
          <w:color w:val="0000FF"/>
          <w:lang w:val="el-GR"/>
        </w:rPr>
        <w:t>》</w:t>
      </w:r>
      <w:r w:rsidRPr="004C59BB">
        <w:rPr>
          <w:color w:val="0000FF"/>
        </w:rPr>
        <w:t>第七卷</w:t>
      </w:r>
      <w:r w:rsidRPr="0097554A">
        <w:rPr>
          <w:color w:val="0000FF"/>
        </w:rPr>
        <w:t>，</w:t>
      </w:r>
      <w:r w:rsidRPr="004C59BB">
        <w:rPr>
          <w:color w:val="0000FF"/>
          <w:lang w:val="el-GR"/>
        </w:rPr>
        <w:t>第</w:t>
      </w:r>
      <w:r w:rsidRPr="0097554A">
        <w:rPr>
          <w:color w:val="0000FF"/>
        </w:rPr>
        <w:t>4</w:t>
      </w:r>
      <w:r w:rsidRPr="004C59BB">
        <w:rPr>
          <w:color w:val="0000FF"/>
          <w:lang w:val="el-GR"/>
        </w:rPr>
        <w:t>章</w:t>
      </w:r>
      <w:r w:rsidRPr="0097554A">
        <w:rPr>
          <w:color w:val="0000FF"/>
        </w:rPr>
        <w:t>；</w:t>
      </w:r>
      <w:r w:rsidRPr="004C59BB">
        <w:rPr>
          <w:color w:val="0000FF"/>
        </w:rPr>
        <w:t>第八卷</w:t>
      </w:r>
      <w:r w:rsidRPr="0097554A">
        <w:rPr>
          <w:color w:val="0000FF"/>
        </w:rPr>
        <w:t>，</w:t>
      </w:r>
      <w:r w:rsidRPr="004C59BB">
        <w:rPr>
          <w:color w:val="0000FF"/>
          <w:lang w:val="el-GR"/>
        </w:rPr>
        <w:t>第</w:t>
      </w:r>
      <w:r w:rsidRPr="0097554A">
        <w:rPr>
          <w:color w:val="0000FF"/>
        </w:rPr>
        <w:t>7</w:t>
      </w:r>
      <w:r w:rsidRPr="004C59BB">
        <w:rPr>
          <w:color w:val="0000FF"/>
          <w:lang w:val="el-GR"/>
        </w:rPr>
        <w:t>、</w:t>
      </w:r>
      <w:r w:rsidRPr="0097554A">
        <w:rPr>
          <w:color w:val="0000FF"/>
        </w:rPr>
        <w:t>13</w:t>
      </w:r>
      <w:r w:rsidRPr="004C59BB">
        <w:rPr>
          <w:color w:val="0000FF"/>
          <w:lang w:val="el-GR"/>
        </w:rPr>
        <w:t>章</w:t>
      </w:r>
      <w:r w:rsidRPr="0097554A">
        <w:rPr>
          <w:color w:val="0000FF"/>
        </w:rPr>
        <w:t>）</w:t>
      </w:r>
      <w:r w:rsidRPr="004C59BB">
        <w:rPr>
          <w:color w:val="0000FF"/>
          <w:lang w:val="el-GR"/>
        </w:rPr>
        <w:t>。</w:t>
      </w:r>
    </w:p>
  </w:footnote>
  <w:footnote w:id="650">
    <w:p w14:paraId="5B2211CE" w14:textId="567AC3E4" w:rsidR="00254F25" w:rsidRPr="0097554A" w:rsidRDefault="00000000">
      <w:pPr>
        <w:pStyle w:val="FootnoteText"/>
        <w:rPr>
          <w:color w:val="0000FF"/>
          <w:lang w:val="el-GR"/>
        </w:rPr>
      </w:pPr>
      <w:r w:rsidRPr="004C59BB">
        <w:rPr>
          <w:rStyle w:val="FootnoteReference"/>
          <w:color w:val="0000FF"/>
        </w:rPr>
        <w:footnoteRef/>
      </w:r>
      <w:r w:rsidRPr="0097554A">
        <w:rPr>
          <w:color w:val="0000FF"/>
        </w:rPr>
        <w:t xml:space="preserve"> </w:t>
      </w:r>
      <w:r w:rsidRPr="004C59BB">
        <w:rPr>
          <w:color w:val="0000FF"/>
          <w:lang w:val="el-GR"/>
        </w:rPr>
        <w:t>教会是由同一信仰所生</w:t>
      </w:r>
      <w:r w:rsidRPr="0097554A">
        <w:rPr>
          <w:color w:val="0000FF"/>
        </w:rPr>
        <w:t>，</w:t>
      </w:r>
      <w:r w:rsidRPr="004C59BB">
        <w:rPr>
          <w:color w:val="0000FF"/>
          <w:lang w:val="el-GR"/>
        </w:rPr>
        <w:t>并藉圣神所孕育</w:t>
      </w:r>
      <w:r w:rsidRPr="0097554A">
        <w:rPr>
          <w:color w:val="0000FF"/>
        </w:rPr>
        <w:t>，</w:t>
      </w:r>
      <w:r w:rsidRPr="004C59BB">
        <w:rPr>
          <w:color w:val="0000FF"/>
          <w:lang w:val="el-GR"/>
        </w:rPr>
        <w:t>是唯一且已诞生的教会。</w:t>
      </w:r>
      <w:r w:rsidRPr="004C59BB">
        <w:rPr>
          <w:color w:val="0000FF"/>
        </w:rPr>
        <w:t>《天主教信经释义》第</w:t>
      </w:r>
      <w:r w:rsidRPr="0097554A">
        <w:rPr>
          <w:color w:val="0000FF"/>
          <w:lang w:val="el-GR"/>
        </w:rPr>
        <w:t>6</w:t>
      </w:r>
      <w:r w:rsidRPr="004C59BB">
        <w:rPr>
          <w:color w:val="0000FF"/>
        </w:rPr>
        <w:t>条</w:t>
      </w:r>
      <w:r w:rsidRPr="0097554A">
        <w:rPr>
          <w:color w:val="0000FF"/>
          <w:lang w:val="el-GR"/>
        </w:rPr>
        <w:t>；</w:t>
      </w:r>
      <w:r w:rsidRPr="004C59BB">
        <w:rPr>
          <w:color w:val="0000FF"/>
        </w:rPr>
        <w:t>参见《异端论》第</w:t>
      </w:r>
      <w:r w:rsidRPr="0097554A">
        <w:rPr>
          <w:color w:val="0000FF"/>
          <w:lang w:val="el-GR"/>
        </w:rPr>
        <w:t>31</w:t>
      </w:r>
      <w:r w:rsidRPr="004C59BB">
        <w:rPr>
          <w:color w:val="0000FF"/>
        </w:rPr>
        <w:t>卷</w:t>
      </w:r>
      <w:r w:rsidRPr="0097554A">
        <w:rPr>
          <w:color w:val="0000FF"/>
          <w:lang w:val="el-GR"/>
        </w:rPr>
        <w:t>，</w:t>
      </w:r>
      <w:r w:rsidRPr="004C59BB">
        <w:rPr>
          <w:color w:val="0000FF"/>
        </w:rPr>
        <w:t>第</w:t>
      </w:r>
      <w:r w:rsidRPr="0097554A">
        <w:rPr>
          <w:color w:val="0000FF"/>
          <w:lang w:val="el-GR"/>
        </w:rPr>
        <w:t>31</w:t>
      </w:r>
      <w:r w:rsidRPr="004C59BB">
        <w:rPr>
          <w:color w:val="0000FF"/>
        </w:rPr>
        <w:t>条。</w:t>
      </w:r>
    </w:p>
  </w:footnote>
  <w:footnote w:id="651">
    <w:p w14:paraId="65346E5F" w14:textId="0268B993"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致阿格鲁赫关于一夫一妻制的书信</w:t>
      </w:r>
      <w:r w:rsidRPr="0097554A">
        <w:rPr>
          <w:color w:val="0000FF"/>
          <w:lang w:val="el-GR"/>
        </w:rPr>
        <w:t>，</w:t>
      </w:r>
      <w:r w:rsidRPr="004C59BB">
        <w:rPr>
          <w:color w:val="0000FF"/>
        </w:rPr>
        <w:t>第XCI封</w:t>
      </w:r>
      <w:r w:rsidRPr="0097554A">
        <w:rPr>
          <w:color w:val="0000FF"/>
          <w:lang w:val="el-GR"/>
        </w:rPr>
        <w:t>，</w:t>
      </w:r>
      <w:r w:rsidRPr="004C59BB">
        <w:rPr>
          <w:color w:val="0000FF"/>
        </w:rPr>
        <w:t>马丁版。</w:t>
      </w:r>
    </w:p>
  </w:footnote>
  <w:footnote w:id="652">
    <w:p w14:paraId="43FDBA4C" w14:textId="1616D7B0"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《诗篇》第XXVI篇</w:t>
      </w:r>
      <w:r w:rsidRPr="0097554A">
        <w:rPr>
          <w:color w:val="0000FF"/>
          <w:lang w:val="el-GR"/>
        </w:rPr>
        <w:t>，</w:t>
      </w:r>
      <w:r w:rsidRPr="004C59BB">
        <w:rPr>
          <w:color w:val="0000FF"/>
        </w:rPr>
        <w:t>讲义第二卷</w:t>
      </w:r>
      <w:r w:rsidRPr="0097554A">
        <w:rPr>
          <w:color w:val="0000FF"/>
          <w:lang w:val="el-GR"/>
        </w:rPr>
        <w:t>，</w:t>
      </w:r>
      <w:r w:rsidRPr="004C59BB">
        <w:rPr>
          <w:color w:val="0000FF"/>
        </w:rPr>
        <w:t>第</w:t>
      </w:r>
      <w:r w:rsidRPr="0097554A">
        <w:rPr>
          <w:color w:val="0000FF"/>
          <w:lang w:val="el-GR"/>
        </w:rPr>
        <w:t>23</w:t>
      </w:r>
      <w:r w:rsidRPr="004C59BB">
        <w:rPr>
          <w:color w:val="0000FF"/>
        </w:rPr>
        <w:t>条</w:t>
      </w:r>
      <w:r w:rsidRPr="0097554A">
        <w:rPr>
          <w:color w:val="0000FF"/>
          <w:lang w:val="el-GR"/>
        </w:rPr>
        <w:t>；</w:t>
      </w:r>
      <w:r w:rsidRPr="004C59BB">
        <w:rPr>
          <w:color w:val="0000FF"/>
        </w:rPr>
        <w:t>《诗篇》第XLIV篇</w:t>
      </w:r>
      <w:r w:rsidRPr="004C59BB">
        <w:rPr>
          <w:color w:val="0000FF"/>
          <w:lang w:val="el-GR"/>
        </w:rPr>
        <w:t>，</w:t>
      </w:r>
      <w:r w:rsidRPr="004C59BB">
        <w:rPr>
          <w:color w:val="0000FF"/>
        </w:rPr>
        <w:t>讲义</w:t>
      </w:r>
      <w:r w:rsidRPr="004C59BB">
        <w:rPr>
          <w:color w:val="0000FF"/>
          <w:lang w:val="el-GR"/>
        </w:rPr>
        <w:t>第24条。</w:t>
      </w:r>
    </w:p>
  </w:footnote>
  <w:footnote w:id="653">
    <w:p w14:paraId="5E20A7A0" w14:textId="2A78BE1F"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“唯一或救主之教会，因为信徒们最终将合而为一。</w:t>
      </w:r>
      <w:r w:rsidRPr="0097554A">
        <w:rPr>
          <w:color w:val="0000FF"/>
          <w:lang w:val="el-GR"/>
        </w:rPr>
        <w:t>”</w:t>
      </w:r>
      <w:r w:rsidRPr="004C59BB">
        <w:rPr>
          <w:color w:val="0000FF"/>
        </w:rPr>
        <w:t>《诗篇</w:t>
      </w:r>
      <w:r w:rsidRPr="004C59BB">
        <w:rPr>
          <w:color w:val="0000FF"/>
          <w:lang w:val="ru-RU"/>
        </w:rPr>
        <w:t>》</w:t>
      </w:r>
      <w:r w:rsidRPr="004C59BB">
        <w:rPr>
          <w:color w:val="0000FF"/>
        </w:rPr>
        <w:t>第XCVI篇</w:t>
      </w:r>
      <w:r w:rsidRPr="0097554A">
        <w:rPr>
          <w:color w:val="0000FF"/>
          <w:lang w:val="el-GR"/>
        </w:rPr>
        <w:t>，</w:t>
      </w:r>
      <w:r w:rsidRPr="004C59BB">
        <w:rPr>
          <w:color w:val="0000FF"/>
          <w:lang w:val="ru-RU"/>
        </w:rPr>
        <w:t>第</w:t>
      </w:r>
      <w:r w:rsidRPr="0097554A">
        <w:rPr>
          <w:color w:val="0000FF"/>
          <w:lang w:val="el-GR"/>
        </w:rPr>
        <w:t>8</w:t>
      </w:r>
      <w:r w:rsidRPr="004C59BB">
        <w:rPr>
          <w:color w:val="0000FF"/>
          <w:lang w:val="ru-RU"/>
        </w:rPr>
        <w:t>节。</w:t>
      </w:r>
    </w:p>
  </w:footnote>
  <w:footnote w:id="654">
    <w:p w14:paraId="143E3534" w14:textId="5809AA49"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许多新教改革派都持这一观点。</w:t>
      </w:r>
      <w:r w:rsidRPr="004C59BB">
        <w:rPr>
          <w:color w:val="0000FF"/>
        </w:rPr>
        <w:t>加尔文《基督教要义》第四卷第一章</w:t>
      </w:r>
      <w:r w:rsidRPr="0097554A">
        <w:rPr>
          <w:color w:val="0000FF"/>
          <w:lang w:val="el-GR"/>
        </w:rPr>
        <w:t>，</w:t>
      </w:r>
      <w:r w:rsidRPr="004C59BB">
        <w:rPr>
          <w:color w:val="0000FF"/>
        </w:rPr>
        <w:t>第</w:t>
      </w:r>
      <w:r w:rsidRPr="0097554A">
        <w:rPr>
          <w:color w:val="0000FF"/>
          <w:lang w:val="el-GR"/>
        </w:rPr>
        <w:t>2</w:t>
      </w:r>
      <w:r w:rsidRPr="004C59BB">
        <w:rPr>
          <w:color w:val="0000FF"/>
        </w:rPr>
        <w:t>、</w:t>
      </w:r>
      <w:r w:rsidRPr="0097554A">
        <w:rPr>
          <w:color w:val="0000FF"/>
          <w:lang w:val="el-GR"/>
        </w:rPr>
        <w:t>7</w:t>
      </w:r>
      <w:r w:rsidRPr="004C59BB">
        <w:rPr>
          <w:color w:val="0000FF"/>
        </w:rPr>
        <w:t>、</w:t>
      </w:r>
      <w:r w:rsidRPr="0097554A">
        <w:rPr>
          <w:color w:val="0000FF"/>
          <w:lang w:val="el-GR"/>
        </w:rPr>
        <w:t>8</w:t>
      </w:r>
      <w:r w:rsidRPr="004C59BB">
        <w:rPr>
          <w:color w:val="0000FF"/>
        </w:rPr>
        <w:t>节</w:t>
      </w:r>
      <w:r w:rsidRPr="0097554A">
        <w:rPr>
          <w:color w:val="0000FF"/>
          <w:lang w:val="el-GR"/>
        </w:rPr>
        <w:t>；</w:t>
      </w:r>
      <w:r w:rsidRPr="004C59BB">
        <w:rPr>
          <w:color w:val="0000FF"/>
        </w:rPr>
        <w:t>《海尔维蒂信条》第</w:t>
      </w:r>
      <w:r w:rsidRPr="0097554A">
        <w:rPr>
          <w:color w:val="0000FF"/>
          <w:lang w:val="el-GR"/>
        </w:rPr>
        <w:t>1</w:t>
      </w:r>
      <w:r w:rsidRPr="004C59BB">
        <w:rPr>
          <w:color w:val="0000FF"/>
        </w:rPr>
        <w:t>卷第</w:t>
      </w:r>
      <w:r w:rsidRPr="0097554A">
        <w:rPr>
          <w:color w:val="0000FF"/>
          <w:lang w:val="el-GR"/>
        </w:rPr>
        <w:t>17</w:t>
      </w:r>
      <w:r w:rsidRPr="004C59BB">
        <w:rPr>
          <w:color w:val="0000FF"/>
        </w:rPr>
        <w:t>章</w:t>
      </w:r>
      <w:r w:rsidRPr="0097554A">
        <w:rPr>
          <w:color w:val="0000FF"/>
          <w:lang w:val="el-GR"/>
        </w:rPr>
        <w:t>；</w:t>
      </w:r>
      <w:r w:rsidRPr="004C59BB">
        <w:rPr>
          <w:color w:val="0000FF"/>
        </w:rPr>
        <w:t>《比利时信条》第XXVII条。</w:t>
      </w:r>
    </w:p>
  </w:footnote>
  <w:footnote w:id="655">
    <w:p w14:paraId="79BFD063" w14:textId="66C824B7"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西奥菲勒《致奥托利乌斯书》</w:t>
      </w:r>
      <w:r w:rsidRPr="0097554A">
        <w:rPr>
          <w:color w:val="0000FF"/>
          <w:lang w:val="el-GR"/>
        </w:rPr>
        <w:t>11, 14；</w:t>
      </w:r>
      <w:r w:rsidRPr="004C59BB">
        <w:rPr>
          <w:color w:val="0000FF"/>
        </w:rPr>
        <w:t>奥利金《利未记讲道集》第四卷</w:t>
      </w:r>
      <w:r w:rsidRPr="0097554A">
        <w:rPr>
          <w:color w:val="0000FF"/>
          <w:lang w:val="el-GR"/>
        </w:rPr>
        <w:t>，</w:t>
      </w:r>
      <w:r w:rsidRPr="004C59BB">
        <w:rPr>
          <w:color w:val="0000FF"/>
        </w:rPr>
        <w:t>注</w:t>
      </w:r>
      <w:r w:rsidRPr="0097554A">
        <w:rPr>
          <w:color w:val="0000FF"/>
          <w:lang w:val="el-GR"/>
        </w:rPr>
        <w:t>2；</w:t>
      </w:r>
      <w:r w:rsidRPr="004C59BB">
        <w:rPr>
          <w:color w:val="0000FF"/>
        </w:rPr>
        <w:t>第九卷</w:t>
      </w:r>
      <w:r w:rsidRPr="0097554A">
        <w:rPr>
          <w:color w:val="0000FF"/>
          <w:lang w:val="el-GR"/>
        </w:rPr>
        <w:t>，</w:t>
      </w:r>
      <w:r w:rsidRPr="004C59BB">
        <w:rPr>
          <w:color w:val="0000FF"/>
        </w:rPr>
        <w:t>注</w:t>
      </w:r>
      <w:r w:rsidRPr="0097554A">
        <w:rPr>
          <w:color w:val="0000FF"/>
          <w:lang w:val="el-GR"/>
        </w:rPr>
        <w:t>5；</w:t>
      </w:r>
      <w:r w:rsidRPr="004C59BB">
        <w:rPr>
          <w:color w:val="0000FF"/>
        </w:rPr>
        <w:t>优西比乌《以赛亚书注释》第六十二章</w:t>
      </w:r>
      <w:r w:rsidRPr="0097554A">
        <w:rPr>
          <w:color w:val="0000FF"/>
          <w:lang w:val="el-GR"/>
        </w:rPr>
        <w:t>，5；</w:t>
      </w:r>
      <w:r w:rsidRPr="004C59BB">
        <w:rPr>
          <w:color w:val="0000FF"/>
        </w:rPr>
        <w:t>埃弗拉姆《列王纪下注释》第六章</w:t>
      </w:r>
      <w:r w:rsidRPr="0097554A">
        <w:rPr>
          <w:color w:val="0000FF"/>
          <w:lang w:val="el-GR"/>
        </w:rPr>
        <w:t>，16；</w:t>
      </w:r>
      <w:r w:rsidRPr="004C59BB">
        <w:rPr>
          <w:color w:val="0000FF"/>
        </w:rPr>
        <w:t>埃皮法尼乌斯《异端驳论》第五十九卷</w:t>
      </w:r>
      <w:r w:rsidRPr="0097554A">
        <w:rPr>
          <w:color w:val="0000FF"/>
          <w:lang w:val="el-GR"/>
        </w:rPr>
        <w:t>，</w:t>
      </w:r>
      <w:r w:rsidRPr="004C59BB">
        <w:rPr>
          <w:color w:val="0000FF"/>
        </w:rPr>
        <w:t>注</w:t>
      </w:r>
      <w:r w:rsidRPr="0097554A">
        <w:rPr>
          <w:color w:val="0000FF"/>
          <w:lang w:val="el-GR"/>
        </w:rPr>
        <w:t xml:space="preserve">4； </w:t>
      </w:r>
      <w:r w:rsidRPr="004C59BB">
        <w:rPr>
          <w:color w:val="0000FF"/>
        </w:rPr>
        <w:t>奥古斯丁《论神圣贞洁》第</w:t>
      </w:r>
      <w:r w:rsidRPr="0097554A">
        <w:rPr>
          <w:color w:val="0000FF"/>
          <w:lang w:val="el-GR"/>
        </w:rPr>
        <w:t>2</w:t>
      </w:r>
      <w:r w:rsidRPr="004C59BB">
        <w:rPr>
          <w:color w:val="0000FF"/>
        </w:rPr>
        <w:t>章</w:t>
      </w:r>
      <w:r w:rsidRPr="0097554A">
        <w:rPr>
          <w:color w:val="0000FF"/>
          <w:lang w:val="el-GR"/>
        </w:rPr>
        <w:t>；</w:t>
      </w:r>
      <w:r w:rsidRPr="004C59BB">
        <w:rPr>
          <w:color w:val="0000FF"/>
        </w:rPr>
        <w:t>《论洗礼</w:t>
      </w:r>
      <w:r w:rsidRPr="0097554A">
        <w:rPr>
          <w:color w:val="0000FF"/>
          <w:lang w:val="el-GR"/>
        </w:rPr>
        <w:t>：</w:t>
      </w:r>
      <w:r w:rsidRPr="004C59BB">
        <w:rPr>
          <w:color w:val="0000FF"/>
        </w:rPr>
        <w:t>反多纳图斯派》第V卷</w:t>
      </w:r>
      <w:r w:rsidRPr="0097554A">
        <w:rPr>
          <w:color w:val="0000FF"/>
          <w:lang w:val="el-GR"/>
        </w:rPr>
        <w:t>，</w:t>
      </w:r>
      <w:r w:rsidRPr="004C59BB">
        <w:rPr>
          <w:color w:val="0000FF"/>
        </w:rPr>
        <w:t>第</w:t>
      </w:r>
      <w:r w:rsidRPr="0097554A">
        <w:rPr>
          <w:color w:val="0000FF"/>
          <w:lang w:val="el-GR"/>
        </w:rPr>
        <w:t>17</w:t>
      </w:r>
      <w:r w:rsidRPr="004C59BB">
        <w:rPr>
          <w:color w:val="0000FF"/>
        </w:rPr>
        <w:t>章</w:t>
      </w:r>
      <w:r w:rsidRPr="0097554A">
        <w:rPr>
          <w:color w:val="0000FF"/>
          <w:lang w:val="el-GR"/>
        </w:rPr>
        <w:t>，</w:t>
      </w:r>
      <w:r w:rsidRPr="004C59BB">
        <w:rPr>
          <w:color w:val="0000FF"/>
        </w:rPr>
        <w:t>注</w:t>
      </w:r>
      <w:r w:rsidRPr="0097554A">
        <w:rPr>
          <w:color w:val="0000FF"/>
          <w:lang w:val="el-GR"/>
        </w:rPr>
        <w:t>33</w:t>
      </w:r>
      <w:r w:rsidRPr="004C59BB">
        <w:rPr>
          <w:color w:val="0000FF"/>
        </w:rPr>
        <w:t>。</w:t>
      </w:r>
    </w:p>
  </w:footnote>
  <w:footnote w:id="656">
    <w:p w14:paraId="012BEB56" w14:textId="1CAE0C61"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《牧人》第</w:t>
      </w:r>
      <w:r w:rsidRPr="0097554A">
        <w:rPr>
          <w:color w:val="0000FF"/>
          <w:lang w:val="el-GR"/>
        </w:rPr>
        <w:t>1</w:t>
      </w:r>
      <w:r w:rsidRPr="004C59BB">
        <w:rPr>
          <w:color w:val="0000FF"/>
        </w:rPr>
        <w:t>卷</w:t>
      </w:r>
      <w:r w:rsidRPr="0097554A">
        <w:rPr>
          <w:color w:val="0000FF"/>
          <w:lang w:val="el-GR"/>
        </w:rPr>
        <w:t>，</w:t>
      </w:r>
      <w:r w:rsidRPr="004C59BB">
        <w:rPr>
          <w:color w:val="0000FF"/>
        </w:rPr>
        <w:t>第</w:t>
      </w:r>
      <w:r w:rsidRPr="0097554A">
        <w:rPr>
          <w:color w:val="0000FF"/>
          <w:lang w:val="el-GR"/>
        </w:rPr>
        <w:t>1</w:t>
      </w:r>
      <w:r w:rsidRPr="004C59BB">
        <w:rPr>
          <w:color w:val="0000FF"/>
        </w:rPr>
        <w:t>章</w:t>
      </w:r>
      <w:r w:rsidRPr="0097554A">
        <w:rPr>
          <w:color w:val="0000FF"/>
          <w:lang w:val="el-GR"/>
        </w:rPr>
        <w:t>，</w:t>
      </w:r>
      <w:r w:rsidRPr="004C59BB">
        <w:rPr>
          <w:color w:val="0000FF"/>
        </w:rPr>
        <w:t>注</w:t>
      </w:r>
      <w:r w:rsidRPr="0097554A">
        <w:rPr>
          <w:color w:val="0000FF"/>
          <w:lang w:val="el-GR"/>
        </w:rPr>
        <w:t>3</w:t>
      </w:r>
      <w:r w:rsidRPr="004C59BB">
        <w:rPr>
          <w:color w:val="0000FF"/>
        </w:rPr>
        <w:t>。</w:t>
      </w:r>
    </w:p>
  </w:footnote>
  <w:footnote w:id="657">
    <w:p w14:paraId="2B2C0B11" w14:textId="19F9C8FC"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《牧人书》第</w:t>
      </w:r>
      <w:r w:rsidRPr="0097554A">
        <w:rPr>
          <w:color w:val="0000FF"/>
          <w:lang w:val="el-GR"/>
        </w:rPr>
        <w:t>1</w:t>
      </w:r>
      <w:r w:rsidRPr="004C59BB">
        <w:rPr>
          <w:color w:val="0000FF"/>
        </w:rPr>
        <w:t>卷</w:t>
      </w:r>
      <w:r w:rsidRPr="0097554A">
        <w:rPr>
          <w:color w:val="0000FF"/>
          <w:lang w:val="el-GR"/>
        </w:rPr>
        <w:t>，</w:t>
      </w:r>
      <w:r w:rsidRPr="004C59BB">
        <w:rPr>
          <w:color w:val="0000FF"/>
        </w:rPr>
        <w:t>第</w:t>
      </w:r>
      <w:r w:rsidRPr="0097554A">
        <w:rPr>
          <w:color w:val="0000FF"/>
          <w:lang w:val="el-GR"/>
        </w:rPr>
        <w:t>1</w:t>
      </w:r>
      <w:r w:rsidRPr="004C59BB">
        <w:rPr>
          <w:color w:val="0000FF"/>
        </w:rPr>
        <w:t>章</w:t>
      </w:r>
      <w:r w:rsidRPr="0097554A">
        <w:rPr>
          <w:color w:val="0000FF"/>
          <w:lang w:val="el-GR"/>
        </w:rPr>
        <w:t>，</w:t>
      </w:r>
      <w:r w:rsidRPr="004C59BB">
        <w:rPr>
          <w:color w:val="0000FF"/>
        </w:rPr>
        <w:t>第</w:t>
      </w:r>
      <w:r w:rsidRPr="0097554A">
        <w:rPr>
          <w:color w:val="0000FF"/>
          <w:lang w:val="el-GR"/>
        </w:rPr>
        <w:t>1</w:t>
      </w:r>
      <w:r w:rsidRPr="004C59BB">
        <w:rPr>
          <w:color w:val="0000FF"/>
        </w:rPr>
        <w:t>条。</w:t>
      </w:r>
    </w:p>
  </w:footnote>
  <w:footnote w:id="658">
    <w:p w14:paraId="54BB99C6" w14:textId="57064290"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《讲道集》</w:t>
      </w:r>
      <w:r w:rsidRPr="004C59BB">
        <w:rPr>
          <w:color w:val="0000FF"/>
        </w:rPr>
        <w:t>第十八</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26</w:t>
      </w:r>
      <w:r w:rsidRPr="004C59BB">
        <w:rPr>
          <w:color w:val="0000FF"/>
          <w:lang w:val="ru-RU"/>
        </w:rPr>
        <w:t>节</w:t>
      </w:r>
      <w:r w:rsidRPr="0097554A">
        <w:rPr>
          <w:color w:val="0000FF"/>
          <w:lang w:val="el-GR"/>
        </w:rPr>
        <w:t>，</w:t>
      </w:r>
      <w:r w:rsidRPr="004C59BB">
        <w:rPr>
          <w:color w:val="0000FF"/>
          <w:lang w:val="ru-RU"/>
        </w:rPr>
        <w:t>俄文译本第</w:t>
      </w:r>
      <w:r w:rsidRPr="0097554A">
        <w:rPr>
          <w:color w:val="0000FF"/>
          <w:lang w:val="el-GR"/>
        </w:rPr>
        <w:t>427</w:t>
      </w:r>
      <w:r w:rsidRPr="004C59BB">
        <w:rPr>
          <w:color w:val="0000FF"/>
          <w:lang w:val="ru-RU"/>
        </w:rPr>
        <w:t>页。</w:t>
      </w:r>
    </w:p>
  </w:footnote>
  <w:footnote w:id="659">
    <w:p w14:paraId="2D0C25CE" w14:textId="782E71F6"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《耶稣书》第LII卷</w:t>
      </w:r>
      <w:r w:rsidRPr="0097554A">
        <w:rPr>
          <w:color w:val="0000FF"/>
          <w:lang w:val="el-GR"/>
        </w:rPr>
        <w:t>，</w:t>
      </w:r>
      <w:r w:rsidRPr="004C59BB">
        <w:rPr>
          <w:color w:val="0000FF"/>
        </w:rPr>
        <w:t>第</w:t>
      </w:r>
      <w:r w:rsidRPr="0097554A">
        <w:rPr>
          <w:color w:val="0000FF"/>
          <w:lang w:val="el-GR"/>
        </w:rPr>
        <w:t>1</w:t>
      </w:r>
      <w:r w:rsidRPr="004C59BB">
        <w:rPr>
          <w:color w:val="0000FF"/>
        </w:rPr>
        <w:t>节。</w:t>
      </w:r>
    </w:p>
  </w:footnote>
  <w:footnote w:id="660">
    <w:p w14:paraId="7D986FA6" w14:textId="0479A6E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巴西尔</w:t>
      </w:r>
      <w:r w:rsidRPr="0097554A">
        <w:rPr>
          <w:color w:val="0000FF"/>
          <w:lang w:val="el-GR"/>
        </w:rPr>
        <w:t>，</w:t>
      </w:r>
      <w:r w:rsidRPr="004C59BB">
        <w:rPr>
          <w:color w:val="0000FF"/>
        </w:rPr>
        <w:t>《诗篇》第十八篇注释</w:t>
      </w:r>
      <w:r w:rsidRPr="0097554A">
        <w:rPr>
          <w:color w:val="0000FF"/>
          <w:lang w:val="el-GR"/>
        </w:rPr>
        <w:t>，</w:t>
      </w:r>
      <w:r w:rsidRPr="004C59BB">
        <w:rPr>
          <w:color w:val="0000FF"/>
        </w:rPr>
        <w:t>第</w:t>
      </w:r>
      <w:r w:rsidRPr="0097554A">
        <w:rPr>
          <w:color w:val="0000FF"/>
          <w:lang w:val="el-GR"/>
        </w:rPr>
        <w:t>1</w:t>
      </w:r>
      <w:r w:rsidRPr="004C59BB">
        <w:rPr>
          <w:color w:val="0000FF"/>
        </w:rPr>
        <w:t>节</w:t>
      </w:r>
      <w:r w:rsidRPr="0097554A">
        <w:rPr>
          <w:color w:val="0000FF"/>
          <w:lang w:val="el-GR"/>
        </w:rPr>
        <w:t>；</w:t>
      </w:r>
      <w:r w:rsidRPr="004C59BB">
        <w:rPr>
          <w:color w:val="0000FF"/>
        </w:rPr>
        <w:t>亚历山大的西里尔</w:t>
      </w:r>
      <w:r w:rsidRPr="0097554A">
        <w:rPr>
          <w:color w:val="0000FF"/>
          <w:lang w:val="el-GR"/>
        </w:rPr>
        <w:t>，</w:t>
      </w:r>
      <w:r w:rsidRPr="004C59BB">
        <w:rPr>
          <w:color w:val="0000FF"/>
        </w:rPr>
        <w:t>《何西阿书》注释</w:t>
      </w:r>
      <w:r w:rsidRPr="0097554A">
        <w:rPr>
          <w:color w:val="0000FF"/>
          <w:lang w:val="el-GR"/>
        </w:rPr>
        <w:t>，</w:t>
      </w:r>
      <w:r w:rsidRPr="004C59BB">
        <w:rPr>
          <w:color w:val="0000FF"/>
        </w:rPr>
        <w:t>第XLIII节</w:t>
      </w:r>
      <w:r w:rsidRPr="0097554A">
        <w:rPr>
          <w:color w:val="0000FF"/>
          <w:lang w:val="el-GR"/>
        </w:rPr>
        <w:t>；</w:t>
      </w:r>
      <w:r w:rsidRPr="004C59BB">
        <w:rPr>
          <w:color w:val="0000FF"/>
        </w:rPr>
        <w:t>提奥多雷特</w:t>
      </w:r>
      <w:r w:rsidRPr="0097554A">
        <w:rPr>
          <w:color w:val="0000FF"/>
          <w:lang w:val="el-GR"/>
        </w:rPr>
        <w:t>，</w:t>
      </w:r>
      <w:r w:rsidRPr="004C59BB">
        <w:rPr>
          <w:color w:val="0000FF"/>
        </w:rPr>
        <w:t>《以弗所书》第四章注释</w:t>
      </w:r>
      <w:r w:rsidRPr="0097554A">
        <w:rPr>
          <w:color w:val="0000FF"/>
          <w:lang w:val="el-GR"/>
        </w:rPr>
        <w:t>，</w:t>
      </w:r>
      <w:r w:rsidRPr="004C59BB">
        <w:rPr>
          <w:color w:val="0000FF"/>
          <w:lang w:val="ru-RU"/>
        </w:rPr>
        <w:t>第</w:t>
      </w:r>
      <w:r w:rsidRPr="0097554A">
        <w:rPr>
          <w:color w:val="0000FF"/>
          <w:lang w:val="el-GR"/>
        </w:rPr>
        <w:t>30</w:t>
      </w:r>
      <w:r w:rsidRPr="004C59BB">
        <w:rPr>
          <w:color w:val="0000FF"/>
          <w:lang w:val="ru-RU"/>
        </w:rPr>
        <w:t>节。</w:t>
      </w:r>
    </w:p>
  </w:footnote>
  <w:footnote w:id="661">
    <w:p w14:paraId="034EA003" w14:textId="1B829418"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爱任纽《反异端》第五卷</w:t>
      </w:r>
      <w:r w:rsidRPr="0097554A">
        <w:rPr>
          <w:color w:val="0000FF"/>
          <w:lang w:val="el-GR"/>
        </w:rPr>
        <w:t>，</w:t>
      </w:r>
      <w:r w:rsidRPr="004C59BB">
        <w:rPr>
          <w:color w:val="0000FF"/>
        </w:rPr>
        <w:t>第</w:t>
      </w:r>
      <w:r w:rsidRPr="0097554A">
        <w:rPr>
          <w:color w:val="0000FF"/>
          <w:lang w:val="el-GR"/>
        </w:rPr>
        <w:t>25</w:t>
      </w:r>
      <w:r w:rsidRPr="004C59BB">
        <w:rPr>
          <w:color w:val="0000FF"/>
        </w:rPr>
        <w:t>章</w:t>
      </w:r>
      <w:r w:rsidRPr="0097554A">
        <w:rPr>
          <w:color w:val="0000FF"/>
          <w:lang w:val="el-GR"/>
        </w:rPr>
        <w:t>，</w:t>
      </w:r>
      <w:r w:rsidRPr="004C59BB">
        <w:rPr>
          <w:color w:val="0000FF"/>
        </w:rPr>
        <w:t>注</w:t>
      </w:r>
      <w:r w:rsidRPr="0097554A">
        <w:rPr>
          <w:color w:val="0000FF"/>
          <w:lang w:val="el-GR"/>
        </w:rPr>
        <w:t>2；</w:t>
      </w:r>
      <w:r w:rsidRPr="004C59BB">
        <w:rPr>
          <w:color w:val="0000FF"/>
        </w:rPr>
        <w:t>西普里安《书信》第八十三封</w:t>
      </w:r>
      <w:r w:rsidRPr="0097554A">
        <w:rPr>
          <w:color w:val="0000FF"/>
          <w:lang w:val="el-GR"/>
        </w:rPr>
        <w:t>；</w:t>
      </w:r>
      <w:r w:rsidRPr="004C59BB">
        <w:rPr>
          <w:color w:val="0000FF"/>
        </w:rPr>
        <w:t>奥古斯丁《论洗礼</w:t>
      </w:r>
      <w:r w:rsidRPr="0097554A">
        <w:rPr>
          <w:color w:val="0000FF"/>
          <w:lang w:val="el-GR"/>
        </w:rPr>
        <w:t>：</w:t>
      </w:r>
      <w:r w:rsidRPr="004C59BB">
        <w:rPr>
          <w:color w:val="0000FF"/>
        </w:rPr>
        <w:t>反多纳图斯派》第四卷</w:t>
      </w:r>
      <w:r w:rsidRPr="0097554A">
        <w:rPr>
          <w:color w:val="0000FF"/>
          <w:lang w:val="el-GR"/>
        </w:rPr>
        <w:t>，</w:t>
      </w:r>
      <w:r w:rsidRPr="004C59BB">
        <w:rPr>
          <w:color w:val="0000FF"/>
        </w:rPr>
        <w:t>第</w:t>
      </w:r>
      <w:r w:rsidRPr="0097554A">
        <w:rPr>
          <w:color w:val="0000FF"/>
          <w:lang w:val="el-GR"/>
        </w:rPr>
        <w:t>1</w:t>
      </w:r>
      <w:r w:rsidRPr="004C59BB">
        <w:rPr>
          <w:color w:val="0000FF"/>
        </w:rPr>
        <w:t>章。</w:t>
      </w:r>
    </w:p>
  </w:footnote>
  <w:footnote w:id="662">
    <w:p w14:paraId="78C9A05A" w14:textId="33F3EC0A"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巴西勒《诗篇注》第XXIII篇</w:t>
      </w:r>
      <w:r w:rsidRPr="0097554A">
        <w:rPr>
          <w:color w:val="0000FF"/>
          <w:lang w:val="el-GR"/>
        </w:rPr>
        <w:t>，</w:t>
      </w:r>
      <w:r w:rsidRPr="004C59BB">
        <w:rPr>
          <w:color w:val="0000FF"/>
        </w:rPr>
        <w:t>第</w:t>
      </w:r>
      <w:r w:rsidRPr="0097554A">
        <w:rPr>
          <w:color w:val="0000FF"/>
          <w:lang w:val="el-GR"/>
        </w:rPr>
        <w:t>3</w:t>
      </w:r>
      <w:r w:rsidRPr="004C59BB">
        <w:rPr>
          <w:color w:val="0000FF"/>
        </w:rPr>
        <w:t>节。</w:t>
      </w:r>
    </w:p>
  </w:footnote>
  <w:footnote w:id="663">
    <w:p w14:paraId="3244D4DE" w14:textId="0C9E6EB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金口若望《诗篇注释》第XLIV篇</w:t>
      </w:r>
      <w:r w:rsidRPr="0097554A">
        <w:rPr>
          <w:color w:val="0000FF"/>
          <w:lang w:val="el-GR"/>
        </w:rPr>
        <w:t>，</w:t>
      </w:r>
      <w:r w:rsidRPr="004C59BB">
        <w:rPr>
          <w:color w:val="0000FF"/>
        </w:rPr>
        <w:t>第</w:t>
      </w:r>
      <w:r w:rsidRPr="0097554A">
        <w:rPr>
          <w:color w:val="0000FF"/>
          <w:lang w:val="el-GR"/>
        </w:rPr>
        <w:t>11</w:t>
      </w:r>
      <w:r w:rsidRPr="004C59BB">
        <w:rPr>
          <w:color w:val="0000FF"/>
        </w:rPr>
        <w:t>节</w:t>
      </w:r>
      <w:r w:rsidRPr="0097554A">
        <w:rPr>
          <w:color w:val="0000FF"/>
          <w:lang w:val="el-GR"/>
        </w:rPr>
        <w:t>；</w:t>
      </w:r>
      <w:r w:rsidRPr="004C59BB">
        <w:rPr>
          <w:color w:val="0000FF"/>
        </w:rPr>
        <w:t>巴西尔《诗篇注释》第XLIV篇</w:t>
      </w:r>
      <w:r w:rsidRPr="0097554A">
        <w:rPr>
          <w:color w:val="0000FF"/>
          <w:lang w:val="el-GR"/>
        </w:rPr>
        <w:t>，</w:t>
      </w:r>
      <w:r w:rsidRPr="004C59BB">
        <w:rPr>
          <w:color w:val="0000FF"/>
        </w:rPr>
        <w:t>第</w:t>
      </w:r>
      <w:r w:rsidRPr="0097554A">
        <w:rPr>
          <w:color w:val="0000FF"/>
          <w:lang w:val="el-GR"/>
        </w:rPr>
        <w:t>10</w:t>
      </w:r>
      <w:r w:rsidRPr="004C59BB">
        <w:rPr>
          <w:color w:val="0000FF"/>
        </w:rPr>
        <w:t>节。</w:t>
      </w:r>
    </w:p>
  </w:footnote>
  <w:footnote w:id="664">
    <w:p w14:paraId="5FFC2021" w14:textId="319FF343"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巴塞尔</w:t>
      </w:r>
      <w:r w:rsidRPr="0097554A">
        <w:rPr>
          <w:color w:val="0000FF"/>
          <w:lang w:val="el-GR"/>
        </w:rPr>
        <w:t>，</w:t>
      </w:r>
      <w:r w:rsidRPr="004C59BB">
        <w:rPr>
          <w:color w:val="0000FF"/>
        </w:rPr>
        <w:t>《诗篇讲道集》第</w:t>
      </w:r>
      <w:r w:rsidRPr="0097554A">
        <w:rPr>
          <w:color w:val="0000FF"/>
          <w:lang w:val="el-GR"/>
        </w:rPr>
        <w:t>131</w:t>
      </w:r>
      <w:r w:rsidRPr="004C59BB">
        <w:rPr>
          <w:color w:val="0000FF"/>
        </w:rPr>
        <w:t>篇</w:t>
      </w:r>
      <w:r w:rsidRPr="0097554A">
        <w:rPr>
          <w:color w:val="0000FF"/>
          <w:lang w:val="el-GR"/>
        </w:rPr>
        <w:t>，</w:t>
      </w:r>
      <w:r w:rsidRPr="004C59BB">
        <w:rPr>
          <w:color w:val="0000FF"/>
        </w:rPr>
        <w:t>注</w:t>
      </w:r>
      <w:r w:rsidRPr="0097554A">
        <w:rPr>
          <w:color w:val="0000FF"/>
          <w:lang w:val="el-GR"/>
        </w:rPr>
        <w:t>5</w:t>
      </w:r>
      <w:r w:rsidRPr="004C59BB">
        <w:rPr>
          <w:color w:val="0000FF"/>
        </w:rPr>
        <w:t>。</w:t>
      </w:r>
    </w:p>
  </w:footnote>
  <w:footnote w:id="665">
    <w:p w14:paraId="228FD10D" w14:textId="54297FE1"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克莱门特</w:t>
      </w:r>
      <w:r w:rsidRPr="0097554A">
        <w:rPr>
          <w:color w:val="0000FF"/>
          <w:lang w:val="el-GR"/>
        </w:rPr>
        <w:t>，</w:t>
      </w:r>
      <w:r w:rsidRPr="004C59BB">
        <w:rPr>
          <w:color w:val="0000FF"/>
        </w:rPr>
        <w:t>《杂论》第三卷</w:t>
      </w:r>
      <w:r w:rsidRPr="0097554A">
        <w:rPr>
          <w:color w:val="0000FF"/>
          <w:lang w:val="el-GR"/>
        </w:rPr>
        <w:t>，</w:t>
      </w:r>
      <w:r w:rsidRPr="004C59BB">
        <w:rPr>
          <w:color w:val="0000FF"/>
        </w:rPr>
        <w:t>第</w:t>
      </w:r>
      <w:r w:rsidRPr="0097554A">
        <w:rPr>
          <w:color w:val="0000FF"/>
          <w:lang w:val="el-GR"/>
        </w:rPr>
        <w:t>12</w:t>
      </w:r>
      <w:r w:rsidRPr="004C59BB">
        <w:rPr>
          <w:color w:val="0000FF"/>
        </w:rPr>
        <w:t>章</w:t>
      </w:r>
      <w:r w:rsidRPr="0097554A">
        <w:rPr>
          <w:color w:val="0000FF"/>
          <w:lang w:val="el-GR"/>
        </w:rPr>
        <w:t>；</w:t>
      </w:r>
      <w:r w:rsidRPr="004C59BB">
        <w:rPr>
          <w:color w:val="0000FF"/>
        </w:rPr>
        <w:t>西里尔</w:t>
      </w:r>
      <w:r w:rsidRPr="0097554A">
        <w:rPr>
          <w:color w:val="0000FF"/>
          <w:lang w:val="el-GR"/>
        </w:rPr>
        <w:t>，</w:t>
      </w:r>
      <w:r w:rsidRPr="004C59BB">
        <w:rPr>
          <w:color w:val="0000FF"/>
        </w:rPr>
        <w:t>《教理问答》第十八卷</w:t>
      </w:r>
      <w:r w:rsidRPr="0097554A">
        <w:rPr>
          <w:color w:val="0000FF"/>
          <w:lang w:val="el-GR"/>
        </w:rPr>
        <w:t>，</w:t>
      </w:r>
      <w:r w:rsidRPr="004C59BB">
        <w:rPr>
          <w:color w:val="0000FF"/>
        </w:rPr>
        <w:t>第</w:t>
      </w:r>
      <w:r w:rsidRPr="0097554A">
        <w:rPr>
          <w:color w:val="0000FF"/>
          <w:lang w:val="el-GR"/>
        </w:rPr>
        <w:t>26</w:t>
      </w:r>
      <w:r w:rsidRPr="004C59BB">
        <w:rPr>
          <w:color w:val="0000FF"/>
        </w:rPr>
        <w:t>节</w:t>
      </w:r>
      <w:r w:rsidRPr="0097554A">
        <w:rPr>
          <w:color w:val="0000FF"/>
          <w:lang w:val="el-GR"/>
        </w:rPr>
        <w:t>；</w:t>
      </w:r>
      <w:r w:rsidRPr="004C59BB">
        <w:rPr>
          <w:color w:val="0000FF"/>
        </w:rPr>
        <w:t>狄奥多尔</w:t>
      </w:r>
      <w:r w:rsidRPr="0097554A">
        <w:rPr>
          <w:color w:val="0000FF"/>
          <w:lang w:val="el-GR"/>
        </w:rPr>
        <w:t>，</w:t>
      </w:r>
      <w:r w:rsidRPr="004C59BB">
        <w:rPr>
          <w:color w:val="0000FF"/>
        </w:rPr>
        <w:t>《以弗所书注》第五卷</w:t>
      </w:r>
      <w:r w:rsidRPr="0097554A">
        <w:rPr>
          <w:color w:val="0000FF"/>
          <w:lang w:val="el-GR"/>
        </w:rPr>
        <w:t>，</w:t>
      </w:r>
      <w:r w:rsidRPr="004C59BB">
        <w:rPr>
          <w:color w:val="0000FF"/>
        </w:rPr>
        <w:t>第</w:t>
      </w:r>
      <w:r w:rsidRPr="0097554A">
        <w:rPr>
          <w:color w:val="0000FF"/>
          <w:lang w:val="el-GR"/>
        </w:rPr>
        <w:t>28</w:t>
      </w:r>
      <w:r w:rsidRPr="004C59BB">
        <w:rPr>
          <w:color w:val="0000FF"/>
        </w:rPr>
        <w:t>节。</w:t>
      </w:r>
    </w:p>
  </w:footnote>
  <w:footnote w:id="666">
    <w:p w14:paraId="43E73F93" w14:textId="1D27FA27"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尼萨的格雷戈里</w:t>
      </w:r>
      <w:r w:rsidRPr="0097554A">
        <w:rPr>
          <w:color w:val="0000FF"/>
          <w:lang w:val="el-GR"/>
        </w:rPr>
        <w:t>，</w:t>
      </w:r>
      <w:r w:rsidRPr="004C59BB">
        <w:rPr>
          <w:color w:val="0000FF"/>
        </w:rPr>
        <w:t>《雅歌讲道集》第七篇。</w:t>
      </w:r>
    </w:p>
  </w:footnote>
  <w:footnote w:id="667">
    <w:p w14:paraId="542BB288" w14:textId="1C057F26"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提奥多雷特《歌罗西书注释</w:t>
      </w:r>
      <w:r w:rsidRPr="004C59BB">
        <w:rPr>
          <w:color w:val="0000FF"/>
          <w:lang w:val="ru-RU"/>
        </w:rPr>
        <w:t>》第</w:t>
      </w:r>
      <w:r w:rsidRPr="0097554A">
        <w:rPr>
          <w:color w:val="0000FF"/>
          <w:lang w:val="el-GR"/>
        </w:rPr>
        <w:t>1</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19</w:t>
      </w:r>
      <w:r w:rsidRPr="004C59BB">
        <w:rPr>
          <w:color w:val="0000FF"/>
          <w:lang w:val="ru-RU"/>
        </w:rPr>
        <w:t>节。</w:t>
      </w:r>
    </w:p>
  </w:footnote>
  <w:footnote w:id="668">
    <w:p w14:paraId="11C44A0D" w14:textId="4C0067C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el-GR"/>
        </w:rPr>
        <w:t xml:space="preserve"> </w:t>
      </w:r>
      <w:r w:rsidRPr="004C59BB">
        <w:rPr>
          <w:color w:val="0000FF"/>
          <w:lang w:val="ru-RU"/>
        </w:rPr>
        <w:t>总的来说</w:t>
      </w:r>
      <w:r w:rsidRPr="0097554A">
        <w:rPr>
          <w:color w:val="0000FF"/>
          <w:lang w:val="el-GR"/>
        </w:rPr>
        <w:t>，</w:t>
      </w:r>
      <w:r w:rsidRPr="004C59BB">
        <w:rPr>
          <w:color w:val="0000FF"/>
          <w:lang w:val="ru-RU"/>
        </w:rPr>
        <w:t>关于</w:t>
      </w:r>
      <w:r w:rsidRPr="0097554A">
        <w:rPr>
          <w:color w:val="0000FF"/>
          <w:lang w:val="el-GR"/>
        </w:rPr>
        <w:t>“</w:t>
      </w:r>
      <w:r w:rsidRPr="004C59BB">
        <w:rPr>
          <w:color w:val="0000FF"/>
          <w:lang w:val="ru-RU"/>
        </w:rPr>
        <w:t>普世教会</w:t>
      </w:r>
      <w:r w:rsidRPr="0097554A">
        <w:rPr>
          <w:color w:val="0000FF"/>
          <w:lang w:val="el-GR"/>
        </w:rPr>
        <w:t>”</w:t>
      </w:r>
      <w:r w:rsidRPr="004C59BB">
        <w:rPr>
          <w:color w:val="0000FF"/>
          <w:lang w:val="ru-RU"/>
        </w:rPr>
        <w:t>这一称谓</w:t>
      </w:r>
      <w:r w:rsidRPr="0097554A">
        <w:rPr>
          <w:color w:val="0000FF"/>
          <w:lang w:val="el-GR"/>
        </w:rPr>
        <w:t>，</w:t>
      </w:r>
      <w:r w:rsidRPr="004C59BB">
        <w:rPr>
          <w:color w:val="0000FF"/>
          <w:lang w:val="ru-RU"/>
        </w:rPr>
        <w:t>必须指出</w:t>
      </w:r>
      <w:r w:rsidRPr="0097554A">
        <w:rPr>
          <w:color w:val="0000FF"/>
          <w:lang w:val="el-GR"/>
        </w:rPr>
        <w:t>：</w:t>
      </w:r>
      <w:r w:rsidRPr="004C59BB">
        <w:rPr>
          <w:color w:val="0000FF"/>
          <w:lang w:val="ru-RU"/>
        </w:rPr>
        <w:t>根据基督徒之间对该词最古老的用法</w:t>
      </w:r>
      <w:r w:rsidRPr="0097554A">
        <w:rPr>
          <w:color w:val="0000FF"/>
          <w:lang w:val="el-GR"/>
        </w:rPr>
        <w:t>，</w:t>
      </w:r>
      <w:r w:rsidRPr="004C59BB">
        <w:rPr>
          <w:color w:val="0000FF"/>
          <w:lang w:val="ru-RU"/>
        </w:rPr>
        <w:t>甚至根据希腊皇帝的敕令</w:t>
      </w:r>
      <w:r w:rsidRPr="0097554A">
        <w:rPr>
          <w:color w:val="0000FF"/>
          <w:lang w:val="el-GR"/>
        </w:rPr>
        <w:t xml:space="preserve">， </w:t>
      </w:r>
      <w:r w:rsidRPr="004C59BB">
        <w:rPr>
          <w:color w:val="0000FF"/>
          <w:lang w:val="ru-RU"/>
        </w:rPr>
        <w:t>只有东正教徒才能被称为</w:t>
      </w:r>
      <w:r w:rsidRPr="0097554A">
        <w:rPr>
          <w:color w:val="0000FF"/>
          <w:lang w:val="el-GR"/>
        </w:rPr>
        <w:t>“</w:t>
      </w:r>
      <w:r w:rsidRPr="004C59BB">
        <w:rPr>
          <w:color w:val="0000FF"/>
          <w:lang w:val="ru-RU"/>
        </w:rPr>
        <w:t>天主教徒</w:t>
      </w:r>
      <w:r w:rsidRPr="0097554A">
        <w:rPr>
          <w:color w:val="0000FF"/>
          <w:lang w:val="el-GR"/>
        </w:rPr>
        <w:t>”，</w:t>
      </w:r>
      <w:r w:rsidRPr="004C59BB">
        <w:rPr>
          <w:color w:val="0000FF"/>
          <w:lang w:val="ru-RU"/>
        </w:rPr>
        <w:t>以区别于异端分子</w:t>
      </w:r>
      <w:r w:rsidRPr="0097554A">
        <w:rPr>
          <w:color w:val="0000FF"/>
          <w:lang w:val="el-GR"/>
        </w:rPr>
        <w:t>；</w:t>
      </w:r>
      <w:r w:rsidRPr="004C59BB">
        <w:rPr>
          <w:color w:val="0000FF"/>
          <w:lang w:val="ru-RU"/>
        </w:rPr>
        <w:t>正因如此</w:t>
      </w:r>
      <w:r w:rsidRPr="0097554A">
        <w:rPr>
          <w:color w:val="0000FF"/>
          <w:lang w:val="el-GR"/>
        </w:rPr>
        <w:t>，</w:t>
      </w:r>
      <w:r w:rsidRPr="004C59BB">
        <w:rPr>
          <w:color w:val="0000FF"/>
          <w:lang w:val="ru-RU"/>
        </w:rPr>
        <w:t>东正教的各地方教会被称为</w:t>
      </w:r>
      <w:r w:rsidRPr="0097554A">
        <w:rPr>
          <w:color w:val="0000FF"/>
          <w:lang w:val="el-GR"/>
        </w:rPr>
        <w:t>“</w:t>
      </w:r>
      <w:r w:rsidRPr="004C59BB">
        <w:rPr>
          <w:color w:val="0000FF"/>
          <w:lang w:val="ru-RU"/>
        </w:rPr>
        <w:t>天主教会</w:t>
      </w:r>
      <w:r w:rsidRPr="0097554A">
        <w:rPr>
          <w:color w:val="0000FF"/>
          <w:lang w:val="el-GR"/>
        </w:rPr>
        <w:t>”，</w:t>
      </w:r>
      <w:r w:rsidRPr="004C59BB">
        <w:rPr>
          <w:color w:val="0000FF"/>
          <w:lang w:val="ru-RU"/>
        </w:rPr>
        <w:t>这些教会的主教也自称</w:t>
      </w:r>
      <w:r w:rsidRPr="0097554A">
        <w:rPr>
          <w:color w:val="0000FF"/>
          <w:lang w:val="el-GR"/>
        </w:rPr>
        <w:t>“</w:t>
      </w:r>
      <w:r w:rsidRPr="004C59BB">
        <w:rPr>
          <w:color w:val="0000FF"/>
          <w:lang w:val="ru-RU"/>
        </w:rPr>
        <w:t>天主教主教</w:t>
      </w:r>
      <w:r w:rsidRPr="0097554A">
        <w:rPr>
          <w:color w:val="0000FF"/>
          <w:lang w:val="el-GR"/>
        </w:rPr>
        <w:t>”</w:t>
      </w:r>
      <w:r w:rsidRPr="004C59BB">
        <w:rPr>
          <w:color w:val="0000FF"/>
          <w:lang w:val="ru-RU"/>
        </w:rPr>
        <w:t xml:space="preserve">。而异端分子和分裂分子，无论其人数多么众多、分布多么广泛，都无权自称“天主教徒”。 </w:t>
      </w:r>
      <w:r w:rsidRPr="004C59BB">
        <w:rPr>
          <w:color w:val="0000FF"/>
          <w:lang w:val="el-GR"/>
        </w:rPr>
        <w:t>参见苏伊策《</w:t>
      </w:r>
      <w:r w:rsidRPr="004C59BB">
        <w:rPr>
          <w:color w:val="0000FF"/>
        </w:rPr>
        <w:t>教会词典</w:t>
      </w:r>
      <w:r w:rsidRPr="004C59BB">
        <w:rPr>
          <w:color w:val="0000FF"/>
          <w:lang w:val="el-GR"/>
        </w:rPr>
        <w:t>》</w:t>
      </w:r>
      <w:r w:rsidRPr="0097554A">
        <w:rPr>
          <w:color w:val="0000FF"/>
          <w:lang w:val="ru-RU"/>
        </w:rPr>
        <w:t>（</w:t>
      </w:r>
      <w:r w:rsidRPr="004C59BB">
        <w:rPr>
          <w:color w:val="0000FF"/>
        </w:rPr>
        <w:t>Thesaur</w:t>
      </w:r>
      <w:r w:rsidRPr="0097554A">
        <w:rPr>
          <w:color w:val="0000FF"/>
          <w:lang w:val="ru-RU"/>
        </w:rPr>
        <w:t xml:space="preserve">. </w:t>
      </w:r>
      <w:r w:rsidRPr="004C59BB">
        <w:rPr>
          <w:color w:val="0000FF"/>
        </w:rPr>
        <w:t>Eccles</w:t>
      </w:r>
      <w:r w:rsidRPr="0097554A">
        <w:rPr>
          <w:color w:val="0000FF"/>
          <w:lang w:val="ru-RU"/>
        </w:rPr>
        <w:t xml:space="preserve">. </w:t>
      </w:r>
      <w:r w:rsidRPr="004C59BB">
        <w:rPr>
          <w:color w:val="0000FF"/>
          <w:lang w:val="el-GR"/>
        </w:rPr>
        <w:t>Suicer</w:t>
      </w:r>
      <w:r w:rsidRPr="0097554A">
        <w:rPr>
          <w:color w:val="0000FF"/>
          <w:lang w:val="ru-RU"/>
        </w:rPr>
        <w:t>ï）</w:t>
      </w:r>
      <w:r w:rsidRPr="004C59BB">
        <w:rPr>
          <w:color w:val="0000FF"/>
          <w:lang w:val="el-GR"/>
        </w:rPr>
        <w:t>中</w:t>
      </w:r>
      <w:r w:rsidRPr="0097554A">
        <w:rPr>
          <w:color w:val="0000FF"/>
          <w:lang w:val="ru-RU"/>
        </w:rPr>
        <w:t>“</w:t>
      </w:r>
      <w:r w:rsidRPr="004C59BB">
        <w:rPr>
          <w:color w:val="0000FF"/>
          <w:lang w:val="el-GR"/>
        </w:rPr>
        <w:t>καθολικός</w:t>
      </w:r>
      <w:r w:rsidRPr="0097554A">
        <w:rPr>
          <w:color w:val="0000FF"/>
          <w:lang w:val="ru-RU"/>
        </w:rPr>
        <w:t>”</w:t>
      </w:r>
      <w:r w:rsidRPr="004C59BB">
        <w:rPr>
          <w:color w:val="0000FF"/>
          <w:lang w:val="el-GR"/>
        </w:rPr>
        <w:t>条目第</w:t>
      </w:r>
      <w:r w:rsidRPr="0097554A">
        <w:rPr>
          <w:color w:val="0000FF"/>
          <w:lang w:val="ru-RU"/>
        </w:rPr>
        <w:t>11</w:t>
      </w:r>
      <w:r w:rsidRPr="004C59BB">
        <w:rPr>
          <w:color w:val="0000FF"/>
          <w:lang w:val="el-GR"/>
        </w:rPr>
        <w:t>、</w:t>
      </w:r>
      <w:r w:rsidRPr="0097554A">
        <w:rPr>
          <w:color w:val="0000FF"/>
          <w:lang w:val="ru-RU"/>
        </w:rPr>
        <w:t>13</w:t>
      </w:r>
      <w:r w:rsidRPr="004C59BB">
        <w:rPr>
          <w:color w:val="0000FF"/>
          <w:lang w:val="el-GR"/>
        </w:rPr>
        <w:t>、</w:t>
      </w:r>
      <w:r w:rsidRPr="0097554A">
        <w:rPr>
          <w:color w:val="0000FF"/>
          <w:lang w:val="ru-RU"/>
        </w:rPr>
        <w:t>1</w:t>
      </w:r>
      <w:r w:rsidRPr="004C59BB">
        <w:rPr>
          <w:color w:val="0000FF"/>
          <w:lang w:val="el-GR"/>
        </w:rPr>
        <w:t>、</w:t>
      </w:r>
      <w:r w:rsidRPr="0097554A">
        <w:rPr>
          <w:color w:val="0000FF"/>
          <w:lang w:val="ru-RU"/>
        </w:rPr>
        <w:t>2</w:t>
      </w:r>
      <w:r w:rsidRPr="004C59BB">
        <w:rPr>
          <w:color w:val="0000FF"/>
          <w:lang w:val="el-GR"/>
        </w:rPr>
        <w:t>、</w:t>
      </w:r>
      <w:r w:rsidRPr="0097554A">
        <w:rPr>
          <w:color w:val="0000FF"/>
          <w:lang w:val="ru-RU"/>
        </w:rPr>
        <w:t>6</w:t>
      </w:r>
      <w:r w:rsidRPr="004C59BB">
        <w:rPr>
          <w:color w:val="0000FF"/>
          <w:lang w:val="el-GR"/>
        </w:rPr>
        <w:t>条。</w:t>
      </w:r>
    </w:p>
  </w:footnote>
  <w:footnote w:id="669">
    <w:p w14:paraId="2F28D097" w14:textId="199D96D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哪里有基督耶稣</w:t>
      </w:r>
      <w:r w:rsidRPr="0097554A">
        <w:rPr>
          <w:color w:val="0000FF"/>
          <w:lang w:val="ru-RU"/>
        </w:rPr>
        <w:t>，</w:t>
      </w:r>
      <w:r w:rsidRPr="004C59BB">
        <w:rPr>
          <w:color w:val="0000FF"/>
          <w:lang w:val="el-GR"/>
        </w:rPr>
        <w:t>哪里就有普世教会。</w:t>
      </w:r>
      <w:r w:rsidRPr="0097554A">
        <w:rPr>
          <w:color w:val="0000FF"/>
          <w:lang w:val="ru-RU"/>
        </w:rPr>
        <w:t>”</w:t>
      </w:r>
      <w:r w:rsidRPr="004C59BB">
        <w:rPr>
          <w:color w:val="0000FF"/>
        </w:rPr>
        <w:t>《致士麦那书》第</w:t>
      </w:r>
      <w:r w:rsidRPr="0097554A">
        <w:rPr>
          <w:color w:val="0000FF"/>
          <w:lang w:val="ru-RU"/>
        </w:rPr>
        <w:t>8</w:t>
      </w:r>
      <w:r w:rsidRPr="004C59BB">
        <w:rPr>
          <w:color w:val="0000FF"/>
        </w:rPr>
        <w:t>节。</w:t>
      </w:r>
    </w:p>
  </w:footnote>
  <w:footnote w:id="670">
    <w:p w14:paraId="3B9F1249" w14:textId="522BF89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《Ab</w:t>
      </w:r>
      <w:r w:rsidRPr="0097554A">
        <w:rPr>
          <w:color w:val="0000FF"/>
          <w:lang w:val="ru-RU"/>
        </w:rPr>
        <w:t xml:space="preserve"> </w:t>
      </w:r>
      <w:r w:rsidRPr="004C59BB">
        <w:rPr>
          <w:color w:val="0000FF"/>
        </w:rPr>
        <w:t>init</w:t>
      </w:r>
      <w:r w:rsidRPr="0097554A">
        <w:rPr>
          <w:color w:val="0000FF"/>
          <w:lang w:val="ru-RU"/>
        </w:rPr>
        <w:t xml:space="preserve">, </w:t>
      </w:r>
      <w:r w:rsidRPr="004C59BB">
        <w:rPr>
          <w:color w:val="0000FF"/>
        </w:rPr>
        <w:t>efc》第</w:t>
      </w:r>
      <w:r w:rsidRPr="0097554A">
        <w:rPr>
          <w:color w:val="0000FF"/>
          <w:lang w:val="ru-RU"/>
        </w:rPr>
        <w:t>19</w:t>
      </w:r>
      <w:r w:rsidRPr="004C59BB">
        <w:rPr>
          <w:color w:val="0000FF"/>
        </w:rPr>
        <w:t>条</w:t>
      </w:r>
      <w:r w:rsidRPr="0097554A">
        <w:rPr>
          <w:color w:val="0000FF"/>
          <w:lang w:val="ru-RU"/>
        </w:rPr>
        <w:t>，</w:t>
      </w:r>
      <w:r w:rsidRPr="004C59BB">
        <w:rPr>
          <w:color w:val="0000FF"/>
        </w:rPr>
        <w:t>载于《Xp</w:t>
      </w:r>
      <w:r w:rsidRPr="0097554A">
        <w:rPr>
          <w:color w:val="0000FF"/>
          <w:lang w:val="ru-RU"/>
        </w:rPr>
        <w:t>. Чт.</w:t>
      </w:r>
      <w:r w:rsidRPr="004C59BB">
        <w:rPr>
          <w:color w:val="0000FF"/>
        </w:rPr>
        <w:t>》</w:t>
      </w:r>
      <w:r w:rsidRPr="0097554A">
        <w:rPr>
          <w:color w:val="0000FF"/>
          <w:lang w:val="ru-RU"/>
        </w:rPr>
        <w:t>1821</w:t>
      </w:r>
      <w:r w:rsidRPr="004C59BB">
        <w:rPr>
          <w:color w:val="0000FF"/>
        </w:rPr>
        <w:t>年版</w:t>
      </w:r>
      <w:r w:rsidRPr="0097554A">
        <w:rPr>
          <w:color w:val="0000FF"/>
          <w:lang w:val="ru-RU"/>
        </w:rPr>
        <w:t>，</w:t>
      </w:r>
      <w:r w:rsidRPr="004C59BB">
        <w:rPr>
          <w:color w:val="0000FF"/>
        </w:rPr>
        <w:t>第I卷</w:t>
      </w:r>
      <w:r w:rsidRPr="0097554A">
        <w:rPr>
          <w:color w:val="0000FF"/>
          <w:lang w:val="ru-RU"/>
        </w:rPr>
        <w:t>，</w:t>
      </w:r>
      <w:r w:rsidRPr="004C59BB">
        <w:rPr>
          <w:color w:val="0000FF"/>
        </w:rPr>
        <w:t>第</w:t>
      </w:r>
      <w:r w:rsidRPr="0097554A">
        <w:rPr>
          <w:color w:val="0000FF"/>
          <w:lang w:val="ru-RU"/>
        </w:rPr>
        <w:t>125-139</w:t>
      </w:r>
      <w:r w:rsidRPr="004C59BB">
        <w:rPr>
          <w:color w:val="0000FF"/>
        </w:rPr>
        <w:t>页。</w:t>
      </w:r>
    </w:p>
  </w:footnote>
  <w:footnote w:id="671">
    <w:p w14:paraId="7F249871" w14:textId="2DFB9B3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《使徒宪章》第八章。</w:t>
      </w:r>
    </w:p>
  </w:footnote>
  <w:footnote w:id="672">
    <w:p w14:paraId="25A7E11B" w14:textId="32FECCEC"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w:t>
      </w:r>
      <w:r w:rsidRPr="004C59BB">
        <w:rPr>
          <w:color w:val="0000FF"/>
          <w:lang w:val="ru-RU"/>
        </w:rPr>
        <w:t>第1卷，第10章，第1节；</w:t>
      </w:r>
      <w:r w:rsidRPr="004C59BB">
        <w:rPr>
          <w:color w:val="0000FF"/>
        </w:rPr>
        <w:t>参</w:t>
      </w:r>
      <w:r w:rsidRPr="004C59BB">
        <w:rPr>
          <w:color w:val="0000FF"/>
          <w:lang w:val="ru-RU"/>
        </w:rPr>
        <w:t>见</w:t>
      </w:r>
      <w:r w:rsidRPr="004C59BB">
        <w:rPr>
          <w:color w:val="0000FF"/>
        </w:rPr>
        <w:t>第IV卷</w:t>
      </w:r>
      <w:r w:rsidRPr="004C59BB">
        <w:rPr>
          <w:color w:val="0000FF"/>
          <w:lang w:val="ru-RU"/>
        </w:rPr>
        <w:t>，第19章，第1节。</w:t>
      </w:r>
    </w:p>
  </w:footnote>
  <w:footnote w:id="673">
    <w:p w14:paraId="1285710B" w14:textId="4CCE55A7"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《公开讲道集》</w:t>
      </w:r>
      <w:r w:rsidRPr="004C59BB">
        <w:rPr>
          <w:color w:val="0000FF"/>
        </w:rPr>
        <w:t>第十八卷</w:t>
      </w:r>
      <w:r w:rsidRPr="0097554A">
        <w:rPr>
          <w:color w:val="0000FF"/>
          <w:lang w:val="ru-RU"/>
        </w:rPr>
        <w:t>，</w:t>
      </w:r>
      <w:r w:rsidRPr="004C59BB">
        <w:rPr>
          <w:color w:val="0000FF"/>
        </w:rPr>
        <w:t>第</w:t>
      </w:r>
      <w:r w:rsidRPr="0097554A">
        <w:rPr>
          <w:color w:val="0000FF"/>
          <w:lang w:val="ru-RU"/>
        </w:rPr>
        <w:t>23</w:t>
      </w:r>
      <w:r w:rsidRPr="004C59BB">
        <w:rPr>
          <w:color w:val="0000FF"/>
        </w:rPr>
        <w:t>条</w:t>
      </w:r>
      <w:r w:rsidRPr="0097554A">
        <w:rPr>
          <w:color w:val="0000FF"/>
          <w:lang w:val="ru-RU"/>
        </w:rPr>
        <w:t>，</w:t>
      </w:r>
      <w:r w:rsidRPr="004C59BB">
        <w:rPr>
          <w:color w:val="0000FF"/>
        </w:rPr>
        <w:t>第</w:t>
      </w:r>
      <w:r w:rsidRPr="0097554A">
        <w:rPr>
          <w:color w:val="0000FF"/>
          <w:lang w:val="ru-RU"/>
        </w:rPr>
        <w:t>424</w:t>
      </w:r>
      <w:r w:rsidRPr="004C59BB">
        <w:rPr>
          <w:color w:val="0000FF"/>
        </w:rPr>
        <w:t>页。</w:t>
      </w:r>
    </w:p>
  </w:footnote>
  <w:footnote w:id="674">
    <w:p w14:paraId="4CC0AFD2" w14:textId="1151CE7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《诗篇》第XLVII篇</w:t>
      </w:r>
      <w:r w:rsidRPr="0097554A">
        <w:rPr>
          <w:color w:val="0000FF"/>
          <w:lang w:val="ru-RU"/>
        </w:rPr>
        <w:t>，</w:t>
      </w:r>
      <w:r w:rsidRPr="004C59BB">
        <w:rPr>
          <w:color w:val="0000FF"/>
        </w:rPr>
        <w:t>第</w:t>
      </w:r>
      <w:r w:rsidRPr="0097554A">
        <w:rPr>
          <w:color w:val="0000FF"/>
          <w:lang w:val="ru-RU"/>
        </w:rPr>
        <w:t>4</w:t>
      </w:r>
      <w:r w:rsidRPr="004C59BB">
        <w:rPr>
          <w:color w:val="0000FF"/>
        </w:rPr>
        <w:t>节。</w:t>
      </w:r>
    </w:p>
  </w:footnote>
  <w:footnote w:id="675">
    <w:p w14:paraId="0D1222E6" w14:textId="5B3C4FC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《书信集》LII</w:t>
      </w:r>
      <w:r w:rsidRPr="0097554A">
        <w:rPr>
          <w:color w:val="0000FF"/>
          <w:lang w:val="ru-RU"/>
        </w:rPr>
        <w:t>，</w:t>
      </w:r>
      <w:r w:rsidRPr="004C59BB">
        <w:rPr>
          <w:color w:val="0000FF"/>
        </w:rPr>
        <w:t>第</w:t>
      </w:r>
      <w:r w:rsidRPr="0097554A">
        <w:rPr>
          <w:color w:val="0000FF"/>
          <w:lang w:val="ru-RU"/>
        </w:rPr>
        <w:t>1</w:t>
      </w:r>
      <w:r w:rsidRPr="004C59BB">
        <w:rPr>
          <w:color w:val="0000FF"/>
        </w:rPr>
        <w:t>条</w:t>
      </w:r>
      <w:r w:rsidRPr="0097554A">
        <w:rPr>
          <w:color w:val="0000FF"/>
          <w:lang w:val="ru-RU"/>
        </w:rPr>
        <w:t>；</w:t>
      </w:r>
      <w:r w:rsidRPr="004C59BB">
        <w:rPr>
          <w:color w:val="0000FF"/>
        </w:rPr>
        <w:t>参见《诗篇》XLVII讲道集</w:t>
      </w:r>
      <w:r w:rsidRPr="0097554A">
        <w:rPr>
          <w:color w:val="0000FF"/>
          <w:lang w:val="ru-RU"/>
        </w:rPr>
        <w:t>，</w:t>
      </w:r>
      <w:r w:rsidRPr="004C59BB">
        <w:rPr>
          <w:color w:val="0000FF"/>
        </w:rPr>
        <w:t>第</w:t>
      </w:r>
      <w:r w:rsidRPr="0097554A">
        <w:rPr>
          <w:color w:val="0000FF"/>
          <w:lang w:val="ru-RU"/>
        </w:rPr>
        <w:t>7</w:t>
      </w:r>
      <w:r w:rsidRPr="004C59BB">
        <w:rPr>
          <w:color w:val="0000FF"/>
        </w:rPr>
        <w:t>条。</w:t>
      </w:r>
    </w:p>
  </w:footnote>
  <w:footnote w:id="676">
    <w:p w14:paraId="314CB857" w14:textId="56699FF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《论俘虏》讲道集</w:t>
      </w:r>
      <w:r w:rsidRPr="0097554A">
        <w:rPr>
          <w:color w:val="0000FF"/>
          <w:lang w:val="ru-RU"/>
        </w:rPr>
        <w:t>，</w:t>
      </w:r>
      <w:r w:rsidRPr="004C59BB">
        <w:rPr>
          <w:color w:val="0000FF"/>
        </w:rPr>
        <w:t>欧特罗普</w:t>
      </w:r>
      <w:r w:rsidRPr="0097554A">
        <w:rPr>
          <w:color w:val="0000FF"/>
          <w:lang w:val="ru-RU"/>
        </w:rPr>
        <w:t>，</w:t>
      </w:r>
      <w:r w:rsidRPr="004C59BB">
        <w:rPr>
          <w:color w:val="0000FF"/>
        </w:rPr>
        <w:t>第</w:t>
      </w:r>
      <w:r w:rsidRPr="0097554A">
        <w:rPr>
          <w:color w:val="0000FF"/>
          <w:lang w:val="ru-RU"/>
        </w:rPr>
        <w:t>6</w:t>
      </w:r>
      <w:r w:rsidRPr="004C59BB">
        <w:rPr>
          <w:color w:val="0000FF"/>
        </w:rPr>
        <w:t>节</w:t>
      </w:r>
      <w:r w:rsidRPr="0097554A">
        <w:rPr>
          <w:color w:val="0000FF"/>
          <w:lang w:val="ru-RU"/>
        </w:rPr>
        <w:t>；</w:t>
      </w:r>
      <w:r w:rsidRPr="004C59BB">
        <w:rPr>
          <w:color w:val="0000FF"/>
        </w:rPr>
        <w:t>参见《以弗所书》讲道集第七篇</w:t>
      </w:r>
      <w:r w:rsidRPr="0097554A">
        <w:rPr>
          <w:color w:val="0000FF"/>
          <w:lang w:val="ru-RU"/>
        </w:rPr>
        <w:t>，</w:t>
      </w:r>
      <w:r w:rsidRPr="004C59BB">
        <w:rPr>
          <w:color w:val="0000FF"/>
        </w:rPr>
        <w:t>第</w:t>
      </w:r>
      <w:r w:rsidRPr="0097554A">
        <w:rPr>
          <w:color w:val="0000FF"/>
          <w:lang w:val="ru-RU"/>
        </w:rPr>
        <w:t>2</w:t>
      </w:r>
      <w:r w:rsidRPr="004C59BB">
        <w:rPr>
          <w:color w:val="0000FF"/>
        </w:rPr>
        <w:t>节</w:t>
      </w:r>
      <w:r w:rsidRPr="0097554A">
        <w:rPr>
          <w:color w:val="0000FF"/>
          <w:lang w:val="ru-RU"/>
        </w:rPr>
        <w:t>；</w:t>
      </w:r>
      <w:r w:rsidRPr="004C59BB">
        <w:rPr>
          <w:color w:val="0000FF"/>
        </w:rPr>
        <w:t>《希伯来书》讲道集第二十一篇</w:t>
      </w:r>
      <w:r w:rsidRPr="0097554A">
        <w:rPr>
          <w:color w:val="0000FF"/>
          <w:lang w:val="ru-RU"/>
        </w:rPr>
        <w:t>，</w:t>
      </w:r>
      <w:r w:rsidRPr="004C59BB">
        <w:rPr>
          <w:color w:val="0000FF"/>
        </w:rPr>
        <w:t>第</w:t>
      </w:r>
      <w:r w:rsidRPr="0097554A">
        <w:rPr>
          <w:color w:val="0000FF"/>
          <w:lang w:val="ru-RU"/>
        </w:rPr>
        <w:t>3</w:t>
      </w:r>
      <w:r w:rsidRPr="004C59BB">
        <w:rPr>
          <w:color w:val="0000FF"/>
        </w:rPr>
        <w:t>节。</w:t>
      </w:r>
    </w:p>
  </w:footnote>
  <w:footnote w:id="677">
    <w:p w14:paraId="186D865D" w14:textId="4F583A3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《路加福音讲道集》第七篇</w:t>
      </w:r>
      <w:r w:rsidRPr="0097554A">
        <w:rPr>
          <w:color w:val="0000FF"/>
          <w:lang w:val="ru-RU"/>
        </w:rPr>
        <w:t>，</w:t>
      </w:r>
      <w:r w:rsidRPr="004C59BB">
        <w:rPr>
          <w:color w:val="0000FF"/>
        </w:rPr>
        <w:t>第</w:t>
      </w:r>
      <w:r w:rsidRPr="0097554A">
        <w:rPr>
          <w:color w:val="0000FF"/>
          <w:lang w:val="ru-RU"/>
        </w:rPr>
        <w:t>91</w:t>
      </w:r>
      <w:r w:rsidRPr="004C59BB">
        <w:rPr>
          <w:color w:val="0000FF"/>
        </w:rPr>
        <w:t>节。</w:t>
      </w:r>
    </w:p>
  </w:footnote>
  <w:footnote w:id="678">
    <w:p w14:paraId="114C01FC" w14:textId="030F43CE"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《诗篇》第</w:t>
      </w:r>
      <w:r w:rsidRPr="0097554A">
        <w:rPr>
          <w:color w:val="0000FF"/>
          <w:lang w:val="ru-RU"/>
        </w:rPr>
        <w:t>60</w:t>
      </w:r>
      <w:r w:rsidRPr="004C59BB">
        <w:rPr>
          <w:color w:val="0000FF"/>
        </w:rPr>
        <w:t>篇</w:t>
      </w:r>
      <w:r w:rsidRPr="0097554A">
        <w:rPr>
          <w:color w:val="0000FF"/>
          <w:lang w:val="ru-RU"/>
        </w:rPr>
        <w:t>，</w:t>
      </w:r>
      <w:r w:rsidRPr="004C59BB">
        <w:rPr>
          <w:color w:val="0000FF"/>
        </w:rPr>
        <w:t>第</w:t>
      </w:r>
      <w:r w:rsidRPr="0097554A">
        <w:rPr>
          <w:color w:val="0000FF"/>
          <w:lang w:val="ru-RU"/>
        </w:rPr>
        <w:t>6</w:t>
      </w:r>
      <w:r w:rsidRPr="004C59BB">
        <w:rPr>
          <w:color w:val="0000FF"/>
        </w:rPr>
        <w:t>节</w:t>
      </w:r>
      <w:r w:rsidRPr="0097554A">
        <w:rPr>
          <w:color w:val="0000FF"/>
          <w:lang w:val="ru-RU"/>
        </w:rPr>
        <w:t>；</w:t>
      </w:r>
      <w:r w:rsidRPr="004C59BB">
        <w:rPr>
          <w:color w:val="0000FF"/>
        </w:rPr>
        <w:t>参见《诗篇》第</w:t>
      </w:r>
      <w:r w:rsidRPr="0097554A">
        <w:rPr>
          <w:color w:val="0000FF"/>
          <w:lang w:val="ru-RU"/>
        </w:rPr>
        <w:t>77</w:t>
      </w:r>
      <w:r w:rsidRPr="004C59BB">
        <w:rPr>
          <w:color w:val="0000FF"/>
        </w:rPr>
        <w:t>篇</w:t>
      </w:r>
      <w:r w:rsidRPr="004C59BB">
        <w:rPr>
          <w:color w:val="0000FF"/>
          <w:lang w:val="ru-RU"/>
        </w:rPr>
        <w:t>，第42节。</w:t>
      </w:r>
    </w:p>
  </w:footnote>
  <w:footnote w:id="679">
    <w:p w14:paraId="64DBB60D" w14:textId="5D445D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《讲道集》</w:t>
      </w:r>
      <w:r w:rsidRPr="004C59BB">
        <w:rPr>
          <w:color w:val="0000FF"/>
        </w:rPr>
        <w:t>第十八卷</w:t>
      </w:r>
      <w:r w:rsidRPr="004C59BB">
        <w:rPr>
          <w:color w:val="0000FF"/>
          <w:lang w:val="ru-RU"/>
        </w:rPr>
        <w:t>，第23节，第424–425页。</w:t>
      </w:r>
    </w:p>
  </w:footnote>
  <w:footnote w:id="680">
    <w:p w14:paraId="4C0723B2" w14:textId="4970450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w:t>
      </w:r>
      <w:r w:rsidRPr="004C59BB">
        <w:rPr>
          <w:color w:val="0000FF"/>
        </w:rPr>
        <w:t>A</w:t>
      </w:r>
      <w:r w:rsidRPr="004C59BB">
        <w:rPr>
          <w:color w:val="0000FF"/>
          <w:lang w:val="ru-RU"/>
        </w:rPr>
        <w:t>. M.</w:t>
      </w:r>
      <w:r w:rsidRPr="004C59BB">
        <w:rPr>
          <w:color w:val="0000FF"/>
        </w:rPr>
        <w:t>所著</w:t>
      </w:r>
      <w:r w:rsidRPr="004C59BB">
        <w:rPr>
          <w:color w:val="0000FF"/>
          <w:lang w:val="ru-RU"/>
        </w:rPr>
        <w:t>《东正教神学导论》第135–140节。</w:t>
      </w:r>
    </w:p>
  </w:footnote>
  <w:footnote w:id="681">
    <w:p w14:paraId="10CD624B" w14:textId="69EB1C08"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反异端论</w:t>
      </w:r>
      <w:r w:rsidRPr="004C59BB">
        <w:rPr>
          <w:color w:val="0000FF"/>
          <w:lang w:val="ru-RU"/>
        </w:rPr>
        <w:t>》</w:t>
      </w:r>
      <w:r w:rsidRPr="004C59BB">
        <w:rPr>
          <w:color w:val="0000FF"/>
        </w:rPr>
        <w:t>第三</w:t>
      </w:r>
      <w:r w:rsidRPr="004C59BB">
        <w:rPr>
          <w:color w:val="0000FF"/>
          <w:lang w:val="ru-RU"/>
        </w:rPr>
        <w:t>卷，第3章，以及《基督教读本》1838年版，</w:t>
      </w:r>
      <w:r w:rsidRPr="004C59BB">
        <w:rPr>
          <w:color w:val="0000FF"/>
        </w:rPr>
        <w:t>第二卷</w:t>
      </w:r>
      <w:r w:rsidRPr="004C59BB">
        <w:rPr>
          <w:color w:val="0000FF"/>
          <w:lang w:val="ru-RU"/>
        </w:rPr>
        <w:t xml:space="preserve">，第4章。 </w:t>
      </w:r>
      <w:r w:rsidRPr="004C59BB">
        <w:rPr>
          <w:color w:val="0000FF"/>
        </w:rPr>
        <w:t>此外</w:t>
      </w:r>
      <w:r w:rsidRPr="0097554A">
        <w:rPr>
          <w:color w:val="0000FF"/>
          <w:lang w:val="ru-RU"/>
        </w:rPr>
        <w:t>：</w:t>
      </w:r>
      <w:r w:rsidRPr="004C59BB">
        <w:rPr>
          <w:color w:val="0000FF"/>
        </w:rPr>
        <w:t>真正的认知在于使徒的教导、普世教会自古以来的状态</w:t>
      </w:r>
      <w:r w:rsidRPr="0097554A">
        <w:rPr>
          <w:color w:val="0000FF"/>
          <w:lang w:val="ru-RU"/>
        </w:rPr>
        <w:t>，</w:t>
      </w:r>
      <w:r w:rsidRPr="004C59BB">
        <w:rPr>
          <w:color w:val="0000FF"/>
        </w:rPr>
        <w:t>以及根据主教传承所体现的基督身体的特征</w:t>
      </w:r>
      <w:r w:rsidRPr="0097554A">
        <w:rPr>
          <w:color w:val="0000FF"/>
          <w:lang w:val="ru-RU"/>
        </w:rPr>
        <w:t>——</w:t>
      </w:r>
      <w:r w:rsidRPr="004C59BB">
        <w:rPr>
          <w:color w:val="0000FF"/>
        </w:rPr>
        <w:t>正是通过这些传承</w:t>
      </w:r>
      <w:r w:rsidRPr="0097554A">
        <w:rPr>
          <w:color w:val="0000FF"/>
          <w:lang w:val="ru-RU"/>
        </w:rPr>
        <w:t>，</w:t>
      </w:r>
      <w:r w:rsidRPr="004C59BB">
        <w:rPr>
          <w:color w:val="0000FF"/>
        </w:rPr>
        <w:t>使徒们将各地的教会传承了下来</w:t>
      </w:r>
      <w:r w:rsidRPr="0097554A">
        <w:rPr>
          <w:color w:val="0000FF"/>
          <w:lang w:val="ru-RU"/>
        </w:rPr>
        <w:t>（</w:t>
      </w:r>
      <w:r w:rsidRPr="004C59BB">
        <w:rPr>
          <w:color w:val="0000FF"/>
        </w:rPr>
        <w:t>《反异端》第四卷</w:t>
      </w:r>
      <w:r w:rsidRPr="0097554A">
        <w:rPr>
          <w:color w:val="0000FF"/>
          <w:lang w:val="ru-RU"/>
        </w:rPr>
        <w:t>，</w:t>
      </w:r>
      <w:r w:rsidRPr="004C59BB">
        <w:rPr>
          <w:color w:val="0000FF"/>
        </w:rPr>
        <w:t>第</w:t>
      </w:r>
      <w:r w:rsidRPr="0097554A">
        <w:rPr>
          <w:color w:val="0000FF"/>
          <w:lang w:val="ru-RU"/>
        </w:rPr>
        <w:t>83</w:t>
      </w:r>
      <w:r w:rsidRPr="004C59BB">
        <w:rPr>
          <w:color w:val="0000FF"/>
        </w:rPr>
        <w:t>章</w:t>
      </w:r>
      <w:r w:rsidRPr="0097554A">
        <w:rPr>
          <w:color w:val="0000FF"/>
          <w:lang w:val="ru-RU"/>
        </w:rPr>
        <w:t>，</w:t>
      </w:r>
      <w:r w:rsidRPr="004C59BB">
        <w:rPr>
          <w:color w:val="0000FF"/>
        </w:rPr>
        <w:t>第</w:t>
      </w:r>
      <w:r w:rsidRPr="0097554A">
        <w:rPr>
          <w:color w:val="0000FF"/>
          <w:lang w:val="ru-RU"/>
        </w:rPr>
        <w:t>8</w:t>
      </w:r>
      <w:r w:rsidRPr="004C59BB">
        <w:rPr>
          <w:color w:val="0000FF"/>
        </w:rPr>
        <w:t>条</w:t>
      </w:r>
      <w:r w:rsidRPr="0097554A">
        <w:rPr>
          <w:color w:val="0000FF"/>
          <w:lang w:val="ru-RU"/>
        </w:rPr>
        <w:t>）</w:t>
      </w:r>
      <w:r w:rsidRPr="004C59BB">
        <w:rPr>
          <w:color w:val="0000FF"/>
        </w:rPr>
        <w:t>。</w:t>
      </w:r>
    </w:p>
  </w:footnote>
  <w:footnote w:id="682">
    <w:p w14:paraId="43E35C86" w14:textId="6A1E52A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《基督教周报》</w:t>
      </w:r>
      <w:r w:rsidRPr="0097554A">
        <w:rPr>
          <w:color w:val="0000FF"/>
          <w:lang w:val="ru-RU"/>
        </w:rPr>
        <w:t>1838</w:t>
      </w:r>
      <w:r w:rsidRPr="004C59BB">
        <w:rPr>
          <w:color w:val="0000FF"/>
        </w:rPr>
        <w:t>年</w:t>
      </w:r>
      <w:r w:rsidRPr="0097554A">
        <w:rPr>
          <w:color w:val="0000FF"/>
          <w:lang w:val="ru-RU"/>
        </w:rPr>
        <w:t>，</w:t>
      </w:r>
      <w:r w:rsidRPr="004C59BB">
        <w:rPr>
          <w:color w:val="0000FF"/>
        </w:rPr>
        <w:t>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142–143</w:t>
      </w:r>
      <w:r w:rsidRPr="004C59BB">
        <w:rPr>
          <w:color w:val="0000FF"/>
        </w:rPr>
        <w:t>页。</w:t>
      </w:r>
    </w:p>
  </w:footnote>
  <w:footnote w:id="683">
    <w:p w14:paraId="21CE5236" w14:textId="2D56020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《论军事冠冕》第II章。</w:t>
      </w:r>
    </w:p>
  </w:footnote>
  <w:footnote w:id="684">
    <w:p w14:paraId="6335685F" w14:textId="092780D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《论异端预设》</w:t>
      </w:r>
      <w:r w:rsidRPr="0097554A">
        <w:rPr>
          <w:color w:val="0000FF"/>
          <w:lang w:val="ru-RU"/>
        </w:rPr>
        <w:t>，</w:t>
      </w:r>
      <w:r w:rsidRPr="004C59BB">
        <w:rPr>
          <w:color w:val="0000FF"/>
        </w:rPr>
        <w:t>第</w:t>
      </w:r>
      <w:r w:rsidRPr="0097554A">
        <w:rPr>
          <w:color w:val="0000FF"/>
          <w:lang w:val="ru-RU"/>
        </w:rPr>
        <w:t>32</w:t>
      </w:r>
      <w:r w:rsidRPr="004C59BB">
        <w:rPr>
          <w:color w:val="0000FF"/>
        </w:rPr>
        <w:t>章。</w:t>
      </w:r>
    </w:p>
  </w:footnote>
  <w:footnote w:id="685">
    <w:p w14:paraId="59740EAA" w14:textId="13E7751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《反法律与先知论》第</w:t>
      </w:r>
      <w:r w:rsidRPr="0097554A">
        <w:rPr>
          <w:color w:val="0000FF"/>
          <w:lang w:val="ru-RU"/>
        </w:rPr>
        <w:t>1</w:t>
      </w:r>
      <w:r w:rsidRPr="004C59BB">
        <w:rPr>
          <w:color w:val="0000FF"/>
        </w:rPr>
        <w:t>卷</w:t>
      </w:r>
      <w:r w:rsidRPr="0097554A">
        <w:rPr>
          <w:color w:val="0000FF"/>
          <w:lang w:val="ru-RU"/>
        </w:rPr>
        <w:t>，</w:t>
      </w:r>
      <w:r w:rsidRPr="004C59BB">
        <w:rPr>
          <w:color w:val="0000FF"/>
        </w:rPr>
        <w:t>注</w:t>
      </w:r>
      <w:r w:rsidRPr="0097554A">
        <w:rPr>
          <w:color w:val="0000FF"/>
          <w:lang w:val="ru-RU"/>
        </w:rPr>
        <w:t>39</w:t>
      </w:r>
      <w:r w:rsidRPr="004C59BB">
        <w:rPr>
          <w:color w:val="0000FF"/>
        </w:rPr>
        <w:t>。</w:t>
      </w:r>
    </w:p>
  </w:footnote>
  <w:footnote w:id="686">
    <w:p w14:paraId="7F5AECD7" w14:textId="555B8AC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《反路西弗对话录》</w:t>
      </w:r>
      <w:r w:rsidRPr="0097554A">
        <w:rPr>
          <w:color w:val="0000FF"/>
          <w:lang w:val="ru-RU"/>
        </w:rPr>
        <w:t>；</w:t>
      </w:r>
      <w:r w:rsidRPr="004C59BB">
        <w:rPr>
          <w:color w:val="0000FF"/>
        </w:rPr>
        <w:t>参见克莱门特《杂论》第七卷</w:t>
      </w:r>
      <w:r w:rsidRPr="0097554A">
        <w:rPr>
          <w:color w:val="0000FF"/>
          <w:lang w:val="ru-RU"/>
        </w:rPr>
        <w:t>，</w:t>
      </w:r>
      <w:r w:rsidRPr="004C59BB">
        <w:rPr>
          <w:color w:val="0000FF"/>
        </w:rPr>
        <w:t>第</w:t>
      </w:r>
      <w:r w:rsidRPr="0097554A">
        <w:rPr>
          <w:color w:val="0000FF"/>
          <w:lang w:val="ru-RU"/>
        </w:rPr>
        <w:t>17</w:t>
      </w:r>
      <w:r w:rsidRPr="004C59BB">
        <w:rPr>
          <w:color w:val="0000FF"/>
        </w:rPr>
        <w:t>章</w:t>
      </w:r>
      <w:r w:rsidRPr="0097554A">
        <w:rPr>
          <w:color w:val="0000FF"/>
          <w:lang w:val="ru-RU"/>
        </w:rPr>
        <w:t>；</w:t>
      </w:r>
      <w:r w:rsidRPr="004C59BB">
        <w:rPr>
          <w:color w:val="0000FF"/>
        </w:rPr>
        <w:t>希拉里《论三位一体》第七卷</w:t>
      </w:r>
      <w:r w:rsidRPr="0097554A">
        <w:rPr>
          <w:color w:val="0000FF"/>
          <w:lang w:val="ru-RU"/>
        </w:rPr>
        <w:t>，</w:t>
      </w:r>
      <w:r w:rsidRPr="004C59BB">
        <w:rPr>
          <w:color w:val="0000FF"/>
        </w:rPr>
        <w:t>第</w:t>
      </w:r>
      <w:r w:rsidRPr="0097554A">
        <w:rPr>
          <w:color w:val="0000FF"/>
          <w:lang w:val="ru-RU"/>
        </w:rPr>
        <w:t>7</w:t>
      </w:r>
      <w:r w:rsidRPr="004C59BB">
        <w:rPr>
          <w:color w:val="0000FF"/>
        </w:rPr>
        <w:t>章</w:t>
      </w:r>
      <w:r w:rsidRPr="0097554A">
        <w:rPr>
          <w:color w:val="0000FF"/>
          <w:lang w:val="ru-RU"/>
        </w:rPr>
        <w:t>；</w:t>
      </w:r>
      <w:r w:rsidRPr="004C59BB">
        <w:rPr>
          <w:color w:val="0000FF"/>
        </w:rPr>
        <w:t>安布罗斯《论忏悔》第七卷</w:t>
      </w:r>
      <w:r w:rsidRPr="0097554A">
        <w:rPr>
          <w:color w:val="0000FF"/>
          <w:lang w:val="ru-RU"/>
        </w:rPr>
        <w:t>，</w:t>
      </w:r>
      <w:r w:rsidRPr="004C59BB">
        <w:rPr>
          <w:color w:val="0000FF"/>
        </w:rPr>
        <w:t>注</w:t>
      </w:r>
      <w:r w:rsidRPr="0097554A">
        <w:rPr>
          <w:color w:val="0000FF"/>
          <w:lang w:val="ru-RU"/>
        </w:rPr>
        <w:t>33；</w:t>
      </w:r>
      <w:r w:rsidRPr="004C59BB">
        <w:rPr>
          <w:color w:val="0000FF"/>
        </w:rPr>
        <w:t>金口若望《诗篇注释》第四十四篇</w:t>
      </w:r>
      <w:r w:rsidRPr="0097554A">
        <w:rPr>
          <w:color w:val="0000FF"/>
          <w:lang w:val="ru-RU"/>
        </w:rPr>
        <w:t>，</w:t>
      </w:r>
      <w:r w:rsidRPr="004C59BB">
        <w:rPr>
          <w:color w:val="0000FF"/>
        </w:rPr>
        <w:t>注</w:t>
      </w:r>
      <w:r w:rsidRPr="0097554A">
        <w:rPr>
          <w:color w:val="0000FF"/>
          <w:lang w:val="ru-RU"/>
        </w:rPr>
        <w:t>13</w:t>
      </w:r>
      <w:r w:rsidRPr="004C59BB">
        <w:rPr>
          <w:color w:val="0000FF"/>
        </w:rPr>
        <w:t>。</w:t>
      </w:r>
    </w:p>
  </w:footnote>
  <w:footnote w:id="687">
    <w:p w14:paraId="069B7911" w14:textId="10F8E921"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参见奥古斯丁《论基督的恩典》第III章</w:t>
      </w:r>
      <w:r w:rsidRPr="0097554A">
        <w:rPr>
          <w:color w:val="0000FF"/>
          <w:lang w:val="ru-RU"/>
        </w:rPr>
        <w:t>，</w:t>
      </w:r>
      <w:r w:rsidRPr="004C59BB">
        <w:rPr>
          <w:color w:val="0000FF"/>
        </w:rPr>
        <w:t>第</w:t>
      </w:r>
      <w:r w:rsidRPr="0097554A">
        <w:rPr>
          <w:color w:val="0000FF"/>
          <w:lang w:val="ru-RU"/>
        </w:rPr>
        <w:t>5</w:t>
      </w:r>
      <w:r w:rsidRPr="004C59BB">
        <w:rPr>
          <w:color w:val="0000FF"/>
        </w:rPr>
        <w:t>节</w:t>
      </w:r>
      <w:r w:rsidRPr="0097554A">
        <w:rPr>
          <w:color w:val="0000FF"/>
          <w:lang w:val="ru-RU"/>
        </w:rPr>
        <w:t>；</w:t>
      </w:r>
      <w:r w:rsidRPr="004C59BB">
        <w:rPr>
          <w:color w:val="0000FF"/>
        </w:rPr>
        <w:t>第XXVI章</w:t>
      </w:r>
      <w:r w:rsidRPr="0097554A">
        <w:rPr>
          <w:color w:val="0000FF"/>
          <w:lang w:val="ru-RU"/>
        </w:rPr>
        <w:t>，</w:t>
      </w:r>
      <w:r w:rsidRPr="004C59BB">
        <w:rPr>
          <w:color w:val="0000FF"/>
        </w:rPr>
        <w:t>第</w:t>
      </w:r>
      <w:r w:rsidRPr="0097554A">
        <w:rPr>
          <w:color w:val="0000FF"/>
          <w:lang w:val="ru-RU"/>
        </w:rPr>
        <w:t>27</w:t>
      </w:r>
      <w:r w:rsidRPr="004C59BB">
        <w:rPr>
          <w:color w:val="0000FF"/>
        </w:rPr>
        <w:t>节</w:t>
      </w:r>
      <w:r w:rsidRPr="0097554A">
        <w:rPr>
          <w:color w:val="0000FF"/>
          <w:lang w:val="ru-RU"/>
        </w:rPr>
        <w:t>；</w:t>
      </w:r>
      <w:r w:rsidRPr="004C59BB">
        <w:rPr>
          <w:color w:val="0000FF"/>
        </w:rPr>
        <w:t>第XXIX章</w:t>
      </w:r>
      <w:r w:rsidRPr="0097554A">
        <w:rPr>
          <w:color w:val="0000FF"/>
          <w:lang w:val="ru-RU"/>
        </w:rPr>
        <w:t>，</w:t>
      </w:r>
      <w:r w:rsidRPr="004C59BB">
        <w:rPr>
          <w:color w:val="0000FF"/>
        </w:rPr>
        <w:t>第</w:t>
      </w:r>
      <w:r w:rsidRPr="0097554A">
        <w:rPr>
          <w:color w:val="0000FF"/>
          <w:lang w:val="ru-RU"/>
        </w:rPr>
        <w:t>30</w:t>
      </w:r>
      <w:r w:rsidRPr="004C59BB">
        <w:rPr>
          <w:color w:val="0000FF"/>
        </w:rPr>
        <w:t>节。</w:t>
      </w:r>
    </w:p>
  </w:footnote>
  <w:footnote w:id="688">
    <w:p w14:paraId="161399B9" w14:textId="0EAF0DA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奥古斯丁《论佩拉吉乌斯的行径》第X章</w:t>
      </w:r>
      <w:r w:rsidRPr="0097554A">
        <w:rPr>
          <w:color w:val="0000FF"/>
          <w:lang w:val="ru-RU"/>
        </w:rPr>
        <w:t>，</w:t>
      </w:r>
      <w:r w:rsidRPr="004C59BB">
        <w:rPr>
          <w:color w:val="0000FF"/>
        </w:rPr>
        <w:t>第</w:t>
      </w:r>
      <w:r w:rsidRPr="0097554A">
        <w:rPr>
          <w:color w:val="0000FF"/>
          <w:lang w:val="ru-RU"/>
        </w:rPr>
        <w:t>22</w:t>
      </w:r>
      <w:r w:rsidRPr="004C59BB">
        <w:rPr>
          <w:color w:val="0000FF"/>
        </w:rPr>
        <w:t>节</w:t>
      </w:r>
      <w:r w:rsidRPr="0097554A">
        <w:rPr>
          <w:color w:val="0000FF"/>
          <w:lang w:val="ru-RU"/>
        </w:rPr>
        <w:t>；</w:t>
      </w:r>
      <w:r w:rsidRPr="004C59BB">
        <w:rPr>
          <w:color w:val="0000FF"/>
        </w:rPr>
        <w:t>第XVII章</w:t>
      </w:r>
      <w:r w:rsidRPr="0097554A">
        <w:rPr>
          <w:color w:val="0000FF"/>
          <w:lang w:val="ru-RU"/>
        </w:rPr>
        <w:t>，</w:t>
      </w:r>
      <w:r w:rsidRPr="004C59BB">
        <w:rPr>
          <w:color w:val="0000FF"/>
        </w:rPr>
        <w:t>第</w:t>
      </w:r>
      <w:r w:rsidRPr="0097554A">
        <w:rPr>
          <w:color w:val="0000FF"/>
          <w:lang w:val="ru-RU"/>
        </w:rPr>
        <w:t>41</w:t>
      </w:r>
      <w:r w:rsidRPr="004C59BB">
        <w:rPr>
          <w:color w:val="0000FF"/>
        </w:rPr>
        <w:t>节</w:t>
      </w:r>
      <w:r w:rsidRPr="0097554A">
        <w:rPr>
          <w:color w:val="0000FF"/>
          <w:lang w:val="ru-RU"/>
        </w:rPr>
        <w:t>；</w:t>
      </w:r>
      <w:r w:rsidRPr="004C59BB">
        <w:rPr>
          <w:color w:val="0000FF"/>
        </w:rPr>
        <w:t>第XXXV章</w:t>
      </w:r>
      <w:r w:rsidRPr="0097554A">
        <w:rPr>
          <w:color w:val="0000FF"/>
          <w:lang w:val="ru-RU"/>
        </w:rPr>
        <w:t>，</w:t>
      </w:r>
      <w:r w:rsidRPr="004C59BB">
        <w:rPr>
          <w:color w:val="0000FF"/>
        </w:rPr>
        <w:t>第</w:t>
      </w:r>
      <w:r w:rsidRPr="0097554A">
        <w:rPr>
          <w:color w:val="0000FF"/>
          <w:lang w:val="ru-RU"/>
        </w:rPr>
        <w:t>61</w:t>
      </w:r>
      <w:r w:rsidRPr="004C59BB">
        <w:rPr>
          <w:color w:val="0000FF"/>
        </w:rPr>
        <w:t>、</w:t>
      </w:r>
      <w:r w:rsidRPr="0097554A">
        <w:rPr>
          <w:color w:val="0000FF"/>
          <w:lang w:val="ru-RU"/>
        </w:rPr>
        <w:t>65</w:t>
      </w:r>
      <w:r w:rsidRPr="004C59BB">
        <w:rPr>
          <w:color w:val="0000FF"/>
        </w:rPr>
        <w:t>节</w:t>
      </w:r>
      <w:r w:rsidRPr="0097554A">
        <w:rPr>
          <w:color w:val="0000FF"/>
          <w:lang w:val="ru-RU"/>
        </w:rPr>
        <w:t>；</w:t>
      </w:r>
      <w:r w:rsidRPr="004C59BB">
        <w:rPr>
          <w:color w:val="0000FF"/>
        </w:rPr>
        <w:t>《论圣灵与字面意义》第XIX章</w:t>
      </w:r>
      <w:r w:rsidRPr="0097554A">
        <w:rPr>
          <w:color w:val="0000FF"/>
          <w:lang w:val="ru-RU"/>
        </w:rPr>
        <w:t>，</w:t>
      </w:r>
      <w:r w:rsidRPr="004C59BB">
        <w:rPr>
          <w:color w:val="0000FF"/>
        </w:rPr>
        <w:t>第</w:t>
      </w:r>
      <w:r w:rsidRPr="0097554A">
        <w:rPr>
          <w:color w:val="0000FF"/>
          <w:lang w:val="ru-RU"/>
        </w:rPr>
        <w:t>32</w:t>
      </w:r>
      <w:r w:rsidRPr="004C59BB">
        <w:rPr>
          <w:color w:val="0000FF"/>
        </w:rPr>
        <w:t>节</w:t>
      </w:r>
      <w:r w:rsidRPr="0097554A">
        <w:rPr>
          <w:color w:val="0000FF"/>
          <w:lang w:val="ru-RU"/>
        </w:rPr>
        <w:t>；</w:t>
      </w:r>
      <w:r w:rsidRPr="004C59BB">
        <w:rPr>
          <w:color w:val="0000FF"/>
        </w:rPr>
        <w:t>《论基督的恩典》第II卷</w:t>
      </w:r>
      <w:r w:rsidRPr="0097554A">
        <w:rPr>
          <w:color w:val="0000FF"/>
          <w:lang w:val="ru-RU"/>
        </w:rPr>
        <w:t>，</w:t>
      </w:r>
      <w:r w:rsidRPr="004C59BB">
        <w:rPr>
          <w:color w:val="0000FF"/>
        </w:rPr>
        <w:t>第</w:t>
      </w:r>
      <w:r w:rsidRPr="0097554A">
        <w:rPr>
          <w:color w:val="0000FF"/>
          <w:lang w:val="ru-RU"/>
        </w:rPr>
        <w:t>2</w:t>
      </w:r>
      <w:r w:rsidRPr="004C59BB">
        <w:rPr>
          <w:color w:val="0000FF"/>
        </w:rPr>
        <w:t>节</w:t>
      </w:r>
      <w:r w:rsidRPr="0097554A">
        <w:rPr>
          <w:color w:val="0000FF"/>
          <w:lang w:val="ru-RU"/>
        </w:rPr>
        <w:t xml:space="preserve">； </w:t>
      </w:r>
      <w:r w:rsidRPr="004C59BB">
        <w:rPr>
          <w:color w:val="0000FF"/>
        </w:rPr>
        <w:t>第三十八章</w:t>
      </w:r>
      <w:r w:rsidRPr="0097554A">
        <w:rPr>
          <w:color w:val="0000FF"/>
          <w:lang w:val="ru-RU"/>
        </w:rPr>
        <w:t>，</w:t>
      </w:r>
      <w:r w:rsidRPr="004C59BB">
        <w:rPr>
          <w:color w:val="0000FF"/>
        </w:rPr>
        <w:t>第</w:t>
      </w:r>
      <w:r w:rsidRPr="0097554A">
        <w:rPr>
          <w:color w:val="0000FF"/>
          <w:lang w:val="ru-RU"/>
        </w:rPr>
        <w:t>42</w:t>
      </w:r>
      <w:r w:rsidRPr="004C59BB">
        <w:rPr>
          <w:color w:val="0000FF"/>
        </w:rPr>
        <w:t>节</w:t>
      </w:r>
      <w:r w:rsidRPr="0097554A">
        <w:rPr>
          <w:color w:val="0000FF"/>
          <w:lang w:val="ru-RU"/>
        </w:rPr>
        <w:t>；</w:t>
      </w:r>
      <w:r w:rsidRPr="004C59BB">
        <w:rPr>
          <w:color w:val="0000FF"/>
        </w:rPr>
        <w:t>第四十章</w:t>
      </w:r>
      <w:r w:rsidRPr="0097554A">
        <w:rPr>
          <w:color w:val="0000FF"/>
          <w:lang w:val="ru-RU"/>
        </w:rPr>
        <w:t>，</w:t>
      </w:r>
      <w:r w:rsidRPr="004C59BB">
        <w:rPr>
          <w:color w:val="0000FF"/>
        </w:rPr>
        <w:t>第</w:t>
      </w:r>
      <w:r w:rsidRPr="0097554A">
        <w:rPr>
          <w:color w:val="0000FF"/>
          <w:lang w:val="ru-RU"/>
        </w:rPr>
        <w:t>44</w:t>
      </w:r>
      <w:r w:rsidRPr="004C59BB">
        <w:rPr>
          <w:color w:val="0000FF"/>
        </w:rPr>
        <w:t>节</w:t>
      </w:r>
      <w:r w:rsidRPr="0097554A">
        <w:rPr>
          <w:color w:val="0000FF"/>
          <w:lang w:val="ru-RU"/>
        </w:rPr>
        <w:t>；</w:t>
      </w:r>
      <w:r w:rsidRPr="004C59BB">
        <w:rPr>
          <w:color w:val="0000FF"/>
        </w:rPr>
        <w:t>《反佩拉吉两书》第四卷</w:t>
      </w:r>
      <w:r w:rsidRPr="0097554A">
        <w:rPr>
          <w:color w:val="0000FF"/>
          <w:lang w:val="ru-RU"/>
        </w:rPr>
        <w:t>，</w:t>
      </w:r>
      <w:r w:rsidRPr="004C59BB">
        <w:rPr>
          <w:color w:val="0000FF"/>
        </w:rPr>
        <w:t>第</w:t>
      </w:r>
      <w:r w:rsidRPr="0097554A">
        <w:rPr>
          <w:color w:val="0000FF"/>
          <w:lang w:val="ru-RU"/>
        </w:rPr>
        <w:t>5</w:t>
      </w:r>
      <w:r w:rsidRPr="004C59BB">
        <w:rPr>
          <w:color w:val="0000FF"/>
        </w:rPr>
        <w:t>章</w:t>
      </w:r>
      <w:r w:rsidRPr="0097554A">
        <w:rPr>
          <w:color w:val="0000FF"/>
          <w:lang w:val="ru-RU"/>
        </w:rPr>
        <w:t>，</w:t>
      </w:r>
      <w:r w:rsidRPr="004C59BB">
        <w:rPr>
          <w:color w:val="0000FF"/>
        </w:rPr>
        <w:t>第</w:t>
      </w:r>
      <w:r w:rsidRPr="0097554A">
        <w:rPr>
          <w:color w:val="0000FF"/>
          <w:lang w:val="ru-RU"/>
        </w:rPr>
        <w:t>11</w:t>
      </w:r>
      <w:r w:rsidRPr="004C59BB">
        <w:rPr>
          <w:color w:val="0000FF"/>
        </w:rPr>
        <w:t>节。</w:t>
      </w:r>
    </w:p>
  </w:footnote>
  <w:footnote w:id="689">
    <w:p w14:paraId="4B93CE8D" w14:textId="0F6960A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这些大公会议的决议收录于</w:t>
      </w:r>
      <w:r w:rsidRPr="0097554A">
        <w:rPr>
          <w:color w:val="0000FF"/>
          <w:lang w:val="ru-RU"/>
        </w:rPr>
        <w:t>——</w:t>
      </w:r>
      <w:r w:rsidRPr="004C59BB">
        <w:rPr>
          <w:color w:val="0000FF"/>
        </w:rPr>
        <w:t>《大公会议文集》第I卷</w:t>
      </w:r>
      <w:r w:rsidRPr="0097554A">
        <w:rPr>
          <w:color w:val="0000FF"/>
          <w:lang w:val="ru-RU"/>
        </w:rPr>
        <w:t>，</w:t>
      </w:r>
      <w:r w:rsidRPr="004C59BB">
        <w:rPr>
          <w:color w:val="0000FF"/>
        </w:rPr>
        <w:t>哈杜因编。</w:t>
      </w:r>
    </w:p>
  </w:footnote>
  <w:footnote w:id="690">
    <w:p w14:paraId="1A660BE3" w14:textId="212D31F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奥古斯丁《论基督之恩》第XIV章</w:t>
      </w:r>
      <w:r w:rsidRPr="0097554A">
        <w:rPr>
          <w:color w:val="0000FF"/>
          <w:lang w:val="ru-RU"/>
        </w:rPr>
        <w:t>；</w:t>
      </w:r>
      <w:r w:rsidRPr="004C59BB">
        <w:rPr>
          <w:color w:val="0000FF"/>
        </w:rPr>
        <w:t>《反佩拉吉乌斯两封书信》第III卷</w:t>
      </w:r>
      <w:r w:rsidRPr="0097554A">
        <w:rPr>
          <w:color w:val="0000FF"/>
          <w:lang w:val="ru-RU"/>
        </w:rPr>
        <w:t>，</w:t>
      </w:r>
      <w:r w:rsidRPr="004C59BB">
        <w:rPr>
          <w:color w:val="0000FF"/>
        </w:rPr>
        <w:t>第</w:t>
      </w:r>
      <w:r w:rsidRPr="0097554A">
        <w:rPr>
          <w:color w:val="0000FF"/>
          <w:lang w:val="ru-RU"/>
        </w:rPr>
        <w:t>4</w:t>
      </w:r>
      <w:r w:rsidRPr="004C59BB">
        <w:rPr>
          <w:color w:val="0000FF"/>
        </w:rPr>
        <w:t>章</w:t>
      </w:r>
      <w:r w:rsidRPr="0097554A">
        <w:rPr>
          <w:color w:val="0000FF"/>
          <w:lang w:val="ru-RU"/>
        </w:rPr>
        <w:t>；</w:t>
      </w:r>
      <w:r w:rsidRPr="004C59BB">
        <w:rPr>
          <w:color w:val="0000FF"/>
        </w:rPr>
        <w:t>第IV卷</w:t>
      </w:r>
      <w:r w:rsidRPr="0097554A">
        <w:rPr>
          <w:color w:val="0000FF"/>
          <w:lang w:val="ru-RU"/>
        </w:rPr>
        <w:t>，</w:t>
      </w:r>
      <w:r w:rsidRPr="004C59BB">
        <w:rPr>
          <w:color w:val="0000FF"/>
        </w:rPr>
        <w:t>第</w:t>
      </w:r>
      <w:r w:rsidRPr="0097554A">
        <w:rPr>
          <w:color w:val="0000FF"/>
          <w:lang w:val="ru-RU"/>
        </w:rPr>
        <w:t>9</w:t>
      </w:r>
      <w:r w:rsidRPr="004C59BB">
        <w:rPr>
          <w:color w:val="0000FF"/>
        </w:rPr>
        <w:t>章</w:t>
      </w:r>
      <w:r w:rsidRPr="0097554A">
        <w:rPr>
          <w:color w:val="0000FF"/>
          <w:lang w:val="ru-RU"/>
        </w:rPr>
        <w:t>；</w:t>
      </w:r>
      <w:r w:rsidRPr="004C59BB">
        <w:rPr>
          <w:color w:val="0000FF"/>
        </w:rPr>
        <w:t>《反朱利安未完成著作》第II卷</w:t>
      </w:r>
      <w:r w:rsidRPr="0097554A">
        <w:rPr>
          <w:color w:val="0000FF"/>
          <w:lang w:val="ru-RU"/>
        </w:rPr>
        <w:t>，</w:t>
      </w:r>
      <w:r w:rsidRPr="004C59BB">
        <w:rPr>
          <w:color w:val="0000FF"/>
        </w:rPr>
        <w:t>第</w:t>
      </w:r>
      <w:r w:rsidRPr="0097554A">
        <w:rPr>
          <w:color w:val="0000FF"/>
          <w:lang w:val="ru-RU"/>
        </w:rPr>
        <w:t>168</w:t>
      </w:r>
      <w:r w:rsidRPr="004C59BB">
        <w:rPr>
          <w:color w:val="0000FF"/>
        </w:rPr>
        <w:t>章</w:t>
      </w:r>
      <w:r w:rsidRPr="0097554A">
        <w:rPr>
          <w:color w:val="0000FF"/>
          <w:lang w:val="ru-RU"/>
        </w:rPr>
        <w:t>；</w:t>
      </w:r>
      <w:r w:rsidRPr="004C59BB">
        <w:rPr>
          <w:color w:val="0000FF"/>
        </w:rPr>
        <w:t>米列夫大公会议第II次</w:t>
      </w:r>
      <w:r w:rsidRPr="0097554A">
        <w:rPr>
          <w:color w:val="0000FF"/>
          <w:lang w:val="ru-RU"/>
        </w:rPr>
        <w:t>（</w:t>
      </w:r>
      <w:r w:rsidRPr="004C59BB">
        <w:rPr>
          <w:color w:val="0000FF"/>
        </w:rPr>
        <w:t>公元</w:t>
      </w:r>
      <w:r w:rsidRPr="0097554A">
        <w:rPr>
          <w:color w:val="0000FF"/>
          <w:lang w:val="ru-RU"/>
        </w:rPr>
        <w:t>416</w:t>
      </w:r>
      <w:r w:rsidRPr="004C59BB">
        <w:rPr>
          <w:color w:val="0000FF"/>
        </w:rPr>
        <w:t>年</w:t>
      </w:r>
      <w:r w:rsidRPr="0097554A">
        <w:rPr>
          <w:color w:val="0000FF"/>
          <w:lang w:val="ru-RU"/>
        </w:rPr>
        <w:t>），</w:t>
      </w:r>
      <w:r w:rsidRPr="004C59BB">
        <w:rPr>
          <w:color w:val="0000FF"/>
        </w:rPr>
        <w:t>教规第III、V、VI、VII、VIII条。</w:t>
      </w:r>
    </w:p>
  </w:footnote>
  <w:footnote w:id="691">
    <w:p w14:paraId="6BED09AA" w14:textId="25C53FE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参见亚历山大</w:t>
      </w:r>
      <w:r w:rsidRPr="0097554A">
        <w:rPr>
          <w:color w:val="0000FF"/>
          <w:lang w:val="ru-RU"/>
        </w:rPr>
        <w:t>·</w:t>
      </w:r>
      <w:r w:rsidRPr="004C59BB">
        <w:rPr>
          <w:color w:val="0000FF"/>
        </w:rPr>
        <w:t>纳塔利乌斯《教会史》</w:t>
      </w:r>
      <w:r w:rsidRPr="0097554A">
        <w:rPr>
          <w:color w:val="0000FF"/>
          <w:lang w:val="ru-RU"/>
        </w:rPr>
        <w:t>（</w:t>
      </w:r>
      <w:r w:rsidRPr="004C59BB">
        <w:rPr>
          <w:color w:val="0000FF"/>
        </w:rPr>
        <w:t>第五世纪</w:t>
      </w:r>
      <w:r w:rsidRPr="0097554A">
        <w:rPr>
          <w:color w:val="0000FF"/>
          <w:lang w:val="ru-RU"/>
        </w:rPr>
        <w:t>），</w:t>
      </w:r>
      <w:r w:rsidRPr="004C59BB">
        <w:rPr>
          <w:color w:val="0000FF"/>
        </w:rPr>
        <w:t>第四篇论述。</w:t>
      </w:r>
    </w:p>
  </w:footnote>
  <w:footnote w:id="692">
    <w:p w14:paraId="68E20549" w14:textId="3F2EB08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奥古斯丁</w:t>
      </w:r>
      <w:r w:rsidRPr="0097554A">
        <w:rPr>
          <w:color w:val="0000FF"/>
          <w:lang w:val="ru-RU"/>
        </w:rPr>
        <w:t>，</w:t>
      </w:r>
      <w:r w:rsidRPr="004C59BB">
        <w:rPr>
          <w:color w:val="0000FF"/>
        </w:rPr>
        <w:t>《论圣徒的预定》</w:t>
      </w:r>
      <w:r w:rsidRPr="0097554A">
        <w:rPr>
          <w:color w:val="0000FF"/>
          <w:lang w:val="ru-RU"/>
        </w:rPr>
        <w:t>；</w:t>
      </w:r>
      <w:r w:rsidRPr="004C59BB">
        <w:rPr>
          <w:color w:val="0000FF"/>
        </w:rPr>
        <w:t>《论坚忍之恩》</w:t>
      </w:r>
      <w:r w:rsidRPr="0097554A">
        <w:rPr>
          <w:color w:val="0000FF"/>
          <w:lang w:val="ru-RU"/>
        </w:rPr>
        <w:t>；</w:t>
      </w:r>
      <w:r w:rsidRPr="004C59BB">
        <w:rPr>
          <w:color w:val="0000FF"/>
        </w:rPr>
        <w:t>普罗斯珀</w:t>
      </w:r>
      <w:r w:rsidRPr="0097554A">
        <w:rPr>
          <w:color w:val="0000FF"/>
          <w:lang w:val="ru-RU"/>
        </w:rPr>
        <w:t>，</w:t>
      </w:r>
      <w:r w:rsidRPr="004C59BB">
        <w:rPr>
          <w:color w:val="0000FF"/>
        </w:rPr>
        <w:t>《反科拉特》</w:t>
      </w:r>
      <w:r w:rsidRPr="0097554A">
        <w:rPr>
          <w:color w:val="0000FF"/>
          <w:lang w:val="ru-RU"/>
        </w:rPr>
        <w:t>；</w:t>
      </w:r>
      <w:r w:rsidRPr="004C59BB">
        <w:rPr>
          <w:color w:val="0000FF"/>
        </w:rPr>
        <w:t>富尔根提乌斯</w:t>
      </w:r>
      <w:r w:rsidRPr="0097554A">
        <w:rPr>
          <w:color w:val="0000FF"/>
          <w:lang w:val="ru-RU"/>
        </w:rPr>
        <w:t>，</w:t>
      </w:r>
      <w:r w:rsidRPr="004C59BB">
        <w:rPr>
          <w:color w:val="0000FF"/>
        </w:rPr>
        <w:t>《论恩典的起源》</w:t>
      </w:r>
      <w:r w:rsidRPr="0097554A">
        <w:rPr>
          <w:color w:val="0000FF"/>
          <w:lang w:val="ru-RU"/>
        </w:rPr>
        <w:t>；</w:t>
      </w:r>
      <w:r w:rsidRPr="004C59BB">
        <w:rPr>
          <w:color w:val="0000FF"/>
        </w:rPr>
        <w:t>塞莱斯廷</w:t>
      </w:r>
      <w:r w:rsidRPr="0097554A">
        <w:rPr>
          <w:color w:val="0000FF"/>
          <w:lang w:val="ru-RU"/>
        </w:rPr>
        <w:t>，</w:t>
      </w:r>
      <w:r w:rsidRPr="004C59BB">
        <w:rPr>
          <w:color w:val="0000FF"/>
        </w:rPr>
        <w:t>《致高卢主教书》。</w:t>
      </w:r>
    </w:p>
  </w:footnote>
  <w:footnote w:id="693">
    <w:p w14:paraId="4B0676AD" w14:textId="5B8781A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富尔根提乌斯</w:t>
      </w:r>
      <w:r w:rsidRPr="0097554A">
        <w:rPr>
          <w:color w:val="0000FF"/>
          <w:lang w:val="ru-RU"/>
        </w:rPr>
        <w:t>，</w:t>
      </w:r>
      <w:r w:rsidRPr="004C59BB">
        <w:rPr>
          <w:color w:val="0000FF"/>
        </w:rPr>
        <w:t>《论预定与恩典》第二卷</w:t>
      </w:r>
      <w:r w:rsidRPr="0097554A">
        <w:rPr>
          <w:color w:val="0000FF"/>
          <w:lang w:val="ru-RU"/>
        </w:rPr>
        <w:t>，</w:t>
      </w:r>
      <w:r w:rsidRPr="004C59BB">
        <w:rPr>
          <w:color w:val="0000FF"/>
        </w:rPr>
        <w:t>第</w:t>
      </w:r>
      <w:r w:rsidRPr="0097554A">
        <w:rPr>
          <w:color w:val="0000FF"/>
          <w:lang w:val="ru-RU"/>
        </w:rPr>
        <w:t>17</w:t>
      </w:r>
      <w:r w:rsidRPr="004C59BB">
        <w:rPr>
          <w:color w:val="0000FF"/>
        </w:rPr>
        <w:t>章</w:t>
      </w:r>
      <w:r w:rsidRPr="0097554A">
        <w:rPr>
          <w:color w:val="0000FF"/>
          <w:lang w:val="ru-RU"/>
        </w:rPr>
        <w:t>；</w:t>
      </w:r>
      <w:r w:rsidRPr="004C59BB">
        <w:rPr>
          <w:color w:val="0000FF"/>
        </w:rPr>
        <w:t>参见</w:t>
      </w:r>
      <w:r w:rsidRPr="0097554A">
        <w:rPr>
          <w:color w:val="0000FF"/>
          <w:lang w:val="ru-RU"/>
        </w:rPr>
        <w:t>：</w:t>
      </w:r>
      <w:r w:rsidRPr="004C59BB">
        <w:rPr>
          <w:color w:val="0000FF"/>
        </w:rPr>
        <w:t>大格雷戈里</w:t>
      </w:r>
      <w:r w:rsidRPr="0097554A">
        <w:rPr>
          <w:color w:val="0000FF"/>
          <w:lang w:val="ru-RU"/>
        </w:rPr>
        <w:t>，</w:t>
      </w:r>
      <w:r w:rsidRPr="004C59BB">
        <w:rPr>
          <w:color w:val="0000FF"/>
        </w:rPr>
        <w:t>《以西结书讲道集》第九篇</w:t>
      </w:r>
      <w:r w:rsidRPr="0097554A">
        <w:rPr>
          <w:color w:val="0000FF"/>
          <w:lang w:val="ru-RU"/>
        </w:rPr>
        <w:t>，</w:t>
      </w:r>
      <w:r w:rsidRPr="004C59BB">
        <w:rPr>
          <w:color w:val="0000FF"/>
        </w:rPr>
        <w:t>第</w:t>
      </w:r>
      <w:r w:rsidRPr="0097554A">
        <w:rPr>
          <w:color w:val="0000FF"/>
          <w:lang w:val="ru-RU"/>
        </w:rPr>
        <w:t>2</w:t>
      </w:r>
      <w:r w:rsidRPr="004C59BB">
        <w:rPr>
          <w:color w:val="0000FF"/>
        </w:rPr>
        <w:t>节。</w:t>
      </w:r>
    </w:p>
  </w:footnote>
  <w:footnote w:id="694">
    <w:p w14:paraId="1349A17D" w14:textId="356F9DB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爱任纽</w:t>
      </w:r>
      <w:r w:rsidRPr="0097554A">
        <w:rPr>
          <w:color w:val="0000FF"/>
          <w:lang w:val="ru-RU"/>
        </w:rPr>
        <w:t>，</w:t>
      </w:r>
      <w:r w:rsidRPr="004C59BB">
        <w:rPr>
          <w:color w:val="0000FF"/>
        </w:rPr>
        <w:t>《反异端》第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8</w:t>
      </w:r>
      <w:r w:rsidRPr="004C59BB">
        <w:rPr>
          <w:color w:val="0000FF"/>
        </w:rPr>
        <w:t>章</w:t>
      </w:r>
      <w:r w:rsidRPr="0097554A">
        <w:rPr>
          <w:color w:val="0000FF"/>
          <w:lang w:val="ru-RU"/>
        </w:rPr>
        <w:t>，</w:t>
      </w:r>
      <w:r w:rsidRPr="004C59BB">
        <w:rPr>
          <w:color w:val="0000FF"/>
        </w:rPr>
        <w:t>注</w:t>
      </w:r>
      <w:r w:rsidRPr="0097554A">
        <w:rPr>
          <w:color w:val="0000FF"/>
          <w:lang w:val="ru-RU"/>
        </w:rPr>
        <w:t>2；</w:t>
      </w:r>
      <w:r w:rsidRPr="004C59BB">
        <w:rPr>
          <w:color w:val="0000FF"/>
        </w:rPr>
        <w:t>克莱门特</w:t>
      </w:r>
      <w:r w:rsidRPr="0097554A">
        <w:rPr>
          <w:color w:val="0000FF"/>
          <w:lang w:val="ru-RU"/>
        </w:rPr>
        <w:t>，</w:t>
      </w:r>
      <w:r w:rsidRPr="004C59BB">
        <w:rPr>
          <w:color w:val="0000FF"/>
        </w:rPr>
        <w:t>《杂论》第II卷</w:t>
      </w:r>
      <w:r w:rsidRPr="0097554A">
        <w:rPr>
          <w:color w:val="0000FF"/>
          <w:lang w:val="ru-RU"/>
        </w:rPr>
        <w:t>，</w:t>
      </w:r>
      <w:r w:rsidRPr="004C59BB">
        <w:rPr>
          <w:color w:val="0000FF"/>
        </w:rPr>
        <w:t>第</w:t>
      </w:r>
      <w:r w:rsidRPr="0097554A">
        <w:rPr>
          <w:color w:val="0000FF"/>
          <w:lang w:val="ru-RU"/>
        </w:rPr>
        <w:t>3</w:t>
      </w:r>
      <w:r w:rsidRPr="004C59BB">
        <w:rPr>
          <w:color w:val="0000FF"/>
        </w:rPr>
        <w:t>章</w:t>
      </w:r>
      <w:r w:rsidRPr="0097554A">
        <w:rPr>
          <w:color w:val="0000FF"/>
          <w:lang w:val="ru-RU"/>
        </w:rPr>
        <w:t>；</w:t>
      </w:r>
      <w:r w:rsidRPr="004C59BB">
        <w:rPr>
          <w:color w:val="0000FF"/>
        </w:rPr>
        <w:t>第V卷</w:t>
      </w:r>
      <w:r w:rsidRPr="0097554A">
        <w:rPr>
          <w:color w:val="0000FF"/>
          <w:lang w:val="ru-RU"/>
        </w:rPr>
        <w:t>，</w:t>
      </w:r>
      <w:r w:rsidRPr="004C59BB">
        <w:rPr>
          <w:color w:val="0000FF"/>
        </w:rPr>
        <w:t>第</w:t>
      </w:r>
      <w:r w:rsidRPr="0097554A">
        <w:rPr>
          <w:color w:val="0000FF"/>
          <w:lang w:val="ru-RU"/>
        </w:rPr>
        <w:t>1</w:t>
      </w:r>
      <w:r w:rsidRPr="004C59BB">
        <w:rPr>
          <w:color w:val="0000FF"/>
        </w:rPr>
        <w:t>章</w:t>
      </w:r>
      <w:r w:rsidRPr="0097554A">
        <w:rPr>
          <w:color w:val="0000FF"/>
          <w:lang w:val="ru-RU"/>
        </w:rPr>
        <w:t>；</w:t>
      </w:r>
      <w:r w:rsidRPr="004C59BB">
        <w:rPr>
          <w:color w:val="0000FF"/>
        </w:rPr>
        <w:t>埃皮法尼乌斯</w:t>
      </w:r>
      <w:r w:rsidRPr="0097554A">
        <w:rPr>
          <w:color w:val="0000FF"/>
          <w:lang w:val="ru-RU"/>
        </w:rPr>
        <w:t>，</w:t>
      </w:r>
      <w:r w:rsidRPr="004C59BB">
        <w:rPr>
          <w:color w:val="0000FF"/>
        </w:rPr>
        <w:t>《反异端》第XXXII卷</w:t>
      </w:r>
      <w:r w:rsidRPr="0097554A">
        <w:rPr>
          <w:color w:val="0000FF"/>
          <w:lang w:val="ru-RU"/>
        </w:rPr>
        <w:t>，</w:t>
      </w:r>
      <w:r w:rsidRPr="004C59BB">
        <w:rPr>
          <w:color w:val="0000FF"/>
        </w:rPr>
        <w:t>第</w:t>
      </w:r>
      <w:r w:rsidRPr="0097554A">
        <w:rPr>
          <w:color w:val="0000FF"/>
          <w:lang w:val="ru-RU"/>
        </w:rPr>
        <w:t>8</w:t>
      </w:r>
      <w:r w:rsidRPr="004C59BB">
        <w:rPr>
          <w:color w:val="0000FF"/>
        </w:rPr>
        <w:t>章。</w:t>
      </w:r>
    </w:p>
  </w:footnote>
  <w:footnote w:id="695">
    <w:p w14:paraId="6F71621E" w14:textId="468347F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西尔蒙德</w:t>
      </w:r>
      <w:r w:rsidRPr="0097554A">
        <w:rPr>
          <w:color w:val="0000FF"/>
          <w:lang w:val="ru-RU"/>
        </w:rPr>
        <w:t>，</w:t>
      </w:r>
      <w:r w:rsidRPr="004C59BB">
        <w:rPr>
          <w:color w:val="0000FF"/>
        </w:rPr>
        <w:t>《预定论史》</w:t>
      </w:r>
      <w:r w:rsidRPr="0097554A">
        <w:rPr>
          <w:color w:val="0000FF"/>
          <w:lang w:val="ru-RU"/>
        </w:rPr>
        <w:t>，</w:t>
      </w:r>
      <w:r w:rsidRPr="004C59BB">
        <w:rPr>
          <w:color w:val="0000FF"/>
        </w:rPr>
        <w:t>第I、II、III章。</w:t>
      </w:r>
    </w:p>
  </w:footnote>
  <w:footnote w:id="696">
    <w:p w14:paraId="6C118CC1" w14:textId="700FB95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戈特查克</w:t>
      </w:r>
      <w:r w:rsidRPr="0097554A">
        <w:rPr>
          <w:color w:val="0000FF"/>
          <w:lang w:val="ru-RU"/>
        </w:rPr>
        <w:t>，</w:t>
      </w:r>
      <w:r w:rsidRPr="004C59BB">
        <w:rPr>
          <w:color w:val="0000FF"/>
        </w:rPr>
        <w:t>《详尽信条》</w:t>
      </w:r>
      <w:r w:rsidRPr="0097554A">
        <w:rPr>
          <w:color w:val="0000FF"/>
          <w:lang w:val="ru-RU"/>
        </w:rPr>
        <w:t>（</w:t>
      </w:r>
      <w:r w:rsidRPr="004C59BB">
        <w:rPr>
          <w:color w:val="0000FF"/>
        </w:rPr>
        <w:t>见莫甘《论预定论与恩典的辩护》第I卷</w:t>
      </w:r>
      <w:r w:rsidRPr="0097554A">
        <w:rPr>
          <w:color w:val="0000FF"/>
          <w:lang w:val="ru-RU"/>
        </w:rPr>
        <w:t>，</w:t>
      </w:r>
      <w:r w:rsidRPr="004C59BB">
        <w:rPr>
          <w:color w:val="0000FF"/>
        </w:rPr>
        <w:t>第</w:t>
      </w:r>
      <w:r w:rsidRPr="0097554A">
        <w:rPr>
          <w:color w:val="0000FF"/>
          <w:lang w:val="ru-RU"/>
        </w:rPr>
        <w:t>9</w:t>
      </w:r>
      <w:r w:rsidRPr="004C59BB">
        <w:rPr>
          <w:color w:val="0000FF"/>
        </w:rPr>
        <w:t>页</w:t>
      </w:r>
      <w:r w:rsidRPr="0097554A">
        <w:rPr>
          <w:color w:val="0000FF"/>
          <w:lang w:val="ru-RU"/>
        </w:rPr>
        <w:t>）</w:t>
      </w:r>
      <w:r w:rsidRPr="004C59BB">
        <w:rPr>
          <w:color w:val="0000FF"/>
        </w:rPr>
        <w:t>。</w:t>
      </w:r>
    </w:p>
  </w:footnote>
  <w:footnote w:id="697">
    <w:p w14:paraId="7C07B908" w14:textId="5C66958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加尔文</w:t>
      </w:r>
      <w:r w:rsidRPr="0097554A">
        <w:rPr>
          <w:color w:val="0000FF"/>
          <w:lang w:val="ru-RU"/>
        </w:rPr>
        <w:t>，</w:t>
      </w:r>
      <w:r w:rsidRPr="004C59BB">
        <w:rPr>
          <w:color w:val="0000FF"/>
        </w:rPr>
        <w:t>《基督教要义》第三卷</w:t>
      </w:r>
      <w:r w:rsidRPr="0097554A">
        <w:rPr>
          <w:color w:val="0000FF"/>
          <w:lang w:val="ru-RU"/>
        </w:rPr>
        <w:t>，</w:t>
      </w:r>
      <w:r w:rsidRPr="004C59BB">
        <w:rPr>
          <w:color w:val="0000FF"/>
        </w:rPr>
        <w:t>第</w:t>
      </w:r>
      <w:r w:rsidRPr="0097554A">
        <w:rPr>
          <w:color w:val="0000FF"/>
          <w:lang w:val="ru-RU"/>
        </w:rPr>
        <w:t>21</w:t>
      </w:r>
      <w:r w:rsidRPr="004C59BB">
        <w:rPr>
          <w:color w:val="0000FF"/>
        </w:rPr>
        <w:t>章</w:t>
      </w:r>
      <w:r w:rsidRPr="0097554A">
        <w:rPr>
          <w:color w:val="0000FF"/>
          <w:lang w:val="ru-RU"/>
        </w:rPr>
        <w:t>，</w:t>
      </w:r>
      <w:r w:rsidRPr="004C59BB">
        <w:rPr>
          <w:color w:val="0000FF"/>
        </w:rPr>
        <w:t>注</w:t>
      </w:r>
      <w:r w:rsidRPr="0097554A">
        <w:rPr>
          <w:color w:val="0000FF"/>
          <w:lang w:val="ru-RU"/>
        </w:rPr>
        <w:t>5；</w:t>
      </w:r>
      <w:r w:rsidRPr="004C59BB">
        <w:rPr>
          <w:color w:val="0000FF"/>
        </w:rPr>
        <w:t>第</w:t>
      </w:r>
      <w:r w:rsidRPr="0097554A">
        <w:rPr>
          <w:color w:val="0000FF"/>
          <w:lang w:val="ru-RU"/>
        </w:rPr>
        <w:t>22</w:t>
      </w:r>
      <w:r w:rsidRPr="004C59BB">
        <w:rPr>
          <w:color w:val="0000FF"/>
        </w:rPr>
        <w:t>章</w:t>
      </w:r>
      <w:r w:rsidRPr="0097554A">
        <w:rPr>
          <w:color w:val="0000FF"/>
          <w:lang w:val="ru-RU"/>
        </w:rPr>
        <w:t>，</w:t>
      </w:r>
      <w:r w:rsidRPr="004C59BB">
        <w:rPr>
          <w:color w:val="0000FF"/>
        </w:rPr>
        <w:t>注</w:t>
      </w:r>
      <w:r w:rsidRPr="0097554A">
        <w:rPr>
          <w:color w:val="0000FF"/>
          <w:lang w:val="ru-RU"/>
        </w:rPr>
        <w:t>11；</w:t>
      </w:r>
      <w:r w:rsidRPr="004C59BB">
        <w:rPr>
          <w:color w:val="0000FF"/>
        </w:rPr>
        <w:t>第</w:t>
      </w:r>
      <w:r w:rsidRPr="0097554A">
        <w:rPr>
          <w:color w:val="0000FF"/>
          <w:lang w:val="ru-RU"/>
        </w:rPr>
        <w:t>23</w:t>
      </w:r>
      <w:r w:rsidRPr="004C59BB">
        <w:rPr>
          <w:color w:val="0000FF"/>
        </w:rPr>
        <w:t>章</w:t>
      </w:r>
      <w:r w:rsidRPr="0097554A">
        <w:rPr>
          <w:color w:val="0000FF"/>
          <w:lang w:val="ru-RU"/>
        </w:rPr>
        <w:t>，</w:t>
      </w:r>
      <w:r w:rsidRPr="004C59BB">
        <w:rPr>
          <w:color w:val="0000FF"/>
        </w:rPr>
        <w:t>注</w:t>
      </w:r>
      <w:r w:rsidRPr="0097554A">
        <w:rPr>
          <w:color w:val="0000FF"/>
          <w:lang w:val="ru-RU"/>
        </w:rPr>
        <w:t>4；</w:t>
      </w:r>
      <w:r w:rsidRPr="004C59BB">
        <w:rPr>
          <w:color w:val="0000FF"/>
        </w:rPr>
        <w:t>《瑞士信条》第X章</w:t>
      </w:r>
      <w:r w:rsidRPr="0097554A">
        <w:rPr>
          <w:color w:val="0000FF"/>
          <w:lang w:val="ru-RU"/>
        </w:rPr>
        <w:t>；</w:t>
      </w:r>
      <w:r w:rsidRPr="004C59BB">
        <w:rPr>
          <w:color w:val="0000FF"/>
        </w:rPr>
        <w:t>《法国信条》第XII章</w:t>
      </w:r>
      <w:r w:rsidRPr="0097554A">
        <w:rPr>
          <w:color w:val="0000FF"/>
          <w:lang w:val="ru-RU"/>
        </w:rPr>
        <w:t>；</w:t>
      </w:r>
      <w:r w:rsidRPr="004C59BB">
        <w:rPr>
          <w:color w:val="0000FF"/>
        </w:rPr>
        <w:t>《比利时信条》第XVI章。</w:t>
      </w:r>
    </w:p>
  </w:footnote>
  <w:footnote w:id="698">
    <w:p w14:paraId="30E8B224" w14:textId="5B00BCC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詹森《论救主之恩》</w:t>
      </w:r>
      <w:r w:rsidRPr="0097554A">
        <w:rPr>
          <w:color w:val="0000FF"/>
          <w:lang w:val="ru-RU"/>
        </w:rPr>
        <w:t>，</w:t>
      </w:r>
      <w:r w:rsidRPr="004C59BB">
        <w:rPr>
          <w:color w:val="0000FF"/>
        </w:rPr>
        <w:t>第八卷</w:t>
      </w:r>
      <w:r w:rsidRPr="0097554A">
        <w:rPr>
          <w:color w:val="0000FF"/>
          <w:lang w:val="ru-RU"/>
        </w:rPr>
        <w:t>，</w:t>
      </w:r>
      <w:r w:rsidRPr="004C59BB">
        <w:rPr>
          <w:color w:val="0000FF"/>
        </w:rPr>
        <w:t>第三章。</w:t>
      </w:r>
    </w:p>
  </w:footnote>
  <w:footnote w:id="699">
    <w:p w14:paraId="054664CA" w14:textId="4F36BB9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詹森</w:t>
      </w:r>
      <w:r w:rsidRPr="0097554A">
        <w:rPr>
          <w:color w:val="0000FF"/>
          <w:lang w:val="ru-RU"/>
        </w:rPr>
        <w:t>，</w:t>
      </w:r>
      <w:r w:rsidRPr="004C59BB">
        <w:rPr>
          <w:color w:val="0000FF"/>
        </w:rPr>
        <w:t>《论救主之恩》</w:t>
      </w:r>
      <w:r w:rsidRPr="0097554A">
        <w:rPr>
          <w:color w:val="0000FF"/>
          <w:lang w:val="ru-RU"/>
        </w:rPr>
        <w:t>，</w:t>
      </w:r>
      <w:r w:rsidRPr="004C59BB">
        <w:rPr>
          <w:color w:val="0000FF"/>
        </w:rPr>
        <w:t>第八卷</w:t>
      </w:r>
      <w:r w:rsidRPr="0097554A">
        <w:rPr>
          <w:color w:val="0000FF"/>
          <w:lang w:val="ru-RU"/>
        </w:rPr>
        <w:t>，</w:t>
      </w:r>
      <w:r w:rsidRPr="004C59BB">
        <w:rPr>
          <w:color w:val="0000FF"/>
        </w:rPr>
        <w:t>第六章。</w:t>
      </w:r>
    </w:p>
  </w:footnote>
  <w:footnote w:id="700">
    <w:p w14:paraId="07EC8D3F" w14:textId="492E0D2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同上</w:t>
      </w:r>
      <w:r w:rsidRPr="0097554A">
        <w:rPr>
          <w:color w:val="0000FF"/>
          <w:lang w:val="ru-RU"/>
        </w:rPr>
        <w:t>，</w:t>
      </w:r>
      <w:r w:rsidRPr="004C59BB">
        <w:rPr>
          <w:color w:val="0000FF"/>
        </w:rPr>
        <w:t>第四卷</w:t>
      </w:r>
      <w:r w:rsidRPr="0097554A">
        <w:rPr>
          <w:color w:val="0000FF"/>
          <w:lang w:val="ru-RU"/>
        </w:rPr>
        <w:t>，</w:t>
      </w:r>
      <w:r w:rsidRPr="004C59BB">
        <w:rPr>
          <w:color w:val="0000FF"/>
        </w:rPr>
        <w:t>第</w:t>
      </w:r>
      <w:r w:rsidRPr="0097554A">
        <w:rPr>
          <w:color w:val="0000FF"/>
          <w:lang w:val="ru-RU"/>
        </w:rPr>
        <w:t>6</w:t>
      </w:r>
      <w:r w:rsidRPr="004C59BB">
        <w:rPr>
          <w:color w:val="0000FF"/>
        </w:rPr>
        <w:t>章。</w:t>
      </w:r>
    </w:p>
  </w:footnote>
  <w:footnote w:id="701">
    <w:p w14:paraId="08399B51" w14:textId="026217E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奥古斯丁《信条》第四卷、第六卷、第十卷</w:t>
      </w:r>
      <w:r w:rsidRPr="0097554A">
        <w:rPr>
          <w:color w:val="0000FF"/>
          <w:lang w:val="ru-RU"/>
        </w:rPr>
        <w:t>；</w:t>
      </w:r>
      <w:r w:rsidRPr="004C59BB">
        <w:rPr>
          <w:color w:val="0000FF"/>
        </w:rPr>
        <w:t>《辩护》第三卷</w:t>
      </w:r>
      <w:r w:rsidRPr="0097554A">
        <w:rPr>
          <w:color w:val="0000FF"/>
          <w:lang w:val="ru-RU"/>
        </w:rPr>
        <w:t>，</w:t>
      </w:r>
      <w:r w:rsidRPr="004C59BB">
        <w:rPr>
          <w:color w:val="0000FF"/>
        </w:rPr>
        <w:t>第</w:t>
      </w:r>
      <w:r w:rsidRPr="0097554A">
        <w:rPr>
          <w:color w:val="0000FF"/>
          <w:lang w:val="ru-RU"/>
        </w:rPr>
        <w:t>186</w:t>
      </w:r>
      <w:r w:rsidRPr="004C59BB">
        <w:rPr>
          <w:color w:val="0000FF"/>
        </w:rPr>
        <w:t>条</w:t>
      </w:r>
      <w:r w:rsidRPr="0097554A">
        <w:rPr>
          <w:color w:val="0000FF"/>
          <w:lang w:val="ru-RU"/>
        </w:rPr>
        <w:t>；</w:t>
      </w:r>
      <w:r w:rsidRPr="004C59BB">
        <w:rPr>
          <w:color w:val="0000FF"/>
        </w:rPr>
        <w:t>《团结宣言》第ΙΠ条</w:t>
      </w:r>
      <w:r w:rsidRPr="0097554A">
        <w:rPr>
          <w:color w:val="0000FF"/>
          <w:lang w:val="ru-RU"/>
        </w:rPr>
        <w:t>“</w:t>
      </w:r>
      <w:r w:rsidRPr="004C59BB">
        <w:rPr>
          <w:color w:val="0000FF"/>
        </w:rPr>
        <w:t>关于信仰的正义</w:t>
      </w:r>
      <w:r w:rsidRPr="0097554A">
        <w:rPr>
          <w:color w:val="0000FF"/>
          <w:lang w:val="ru-RU"/>
        </w:rPr>
        <w:t>”，</w:t>
      </w:r>
      <w:r w:rsidRPr="004C59BB">
        <w:rPr>
          <w:color w:val="0000FF"/>
        </w:rPr>
        <w:t>第</w:t>
      </w:r>
      <w:r w:rsidRPr="0097554A">
        <w:rPr>
          <w:color w:val="0000FF"/>
          <w:lang w:val="ru-RU"/>
        </w:rPr>
        <w:t>6</w:t>
      </w:r>
      <w:r w:rsidRPr="004C59BB">
        <w:rPr>
          <w:color w:val="0000FF"/>
        </w:rPr>
        <w:t>条及以下。</w:t>
      </w:r>
    </w:p>
  </w:footnote>
  <w:footnote w:id="702">
    <w:p w14:paraId="18F50678" w14:textId="6CBA70F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《瑞士信条》第I卷</w:t>
      </w:r>
      <w:r w:rsidRPr="0097554A">
        <w:rPr>
          <w:color w:val="0000FF"/>
          <w:lang w:val="ru-RU"/>
        </w:rPr>
        <w:t>，</w:t>
      </w:r>
      <w:r w:rsidRPr="004C59BB">
        <w:rPr>
          <w:color w:val="0000FF"/>
        </w:rPr>
        <w:t>第XV章</w:t>
      </w:r>
      <w:r w:rsidRPr="0097554A">
        <w:rPr>
          <w:color w:val="0000FF"/>
          <w:lang w:val="ru-RU"/>
        </w:rPr>
        <w:t>；</w:t>
      </w:r>
      <w:r w:rsidRPr="004C59BB">
        <w:rPr>
          <w:color w:val="0000FF"/>
        </w:rPr>
        <w:t>《比利时信条》</w:t>
      </w:r>
      <w:r w:rsidRPr="0097554A">
        <w:rPr>
          <w:color w:val="0000FF"/>
          <w:lang w:val="ru-RU"/>
        </w:rPr>
        <w:t>，</w:t>
      </w:r>
      <w:r w:rsidRPr="004C59BB">
        <w:rPr>
          <w:color w:val="0000FF"/>
        </w:rPr>
        <w:t>第XXII、XXIII条。</w:t>
      </w:r>
    </w:p>
  </w:footnote>
  <w:footnote w:id="703">
    <w:p w14:paraId="39D40F1B" w14:textId="71AEC45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《辩护》第三卷</w:t>
      </w:r>
      <w:r w:rsidRPr="0097554A">
        <w:rPr>
          <w:color w:val="0000FF"/>
          <w:lang w:val="ru-RU"/>
        </w:rPr>
        <w:t>，</w:t>
      </w:r>
      <w:r w:rsidRPr="004C59BB">
        <w:rPr>
          <w:color w:val="0000FF"/>
        </w:rPr>
        <w:t>第</w:t>
      </w:r>
      <w:r w:rsidRPr="0097554A">
        <w:rPr>
          <w:color w:val="0000FF"/>
          <w:lang w:val="ru-RU"/>
        </w:rPr>
        <w:t>171</w:t>
      </w:r>
      <w:r w:rsidRPr="004C59BB">
        <w:rPr>
          <w:color w:val="0000FF"/>
        </w:rPr>
        <w:t>条</w:t>
      </w:r>
      <w:r w:rsidRPr="0097554A">
        <w:rPr>
          <w:color w:val="0000FF"/>
          <w:lang w:val="ru-RU"/>
        </w:rPr>
        <w:t>；</w:t>
      </w:r>
      <w:r w:rsidRPr="004C59BB">
        <w:rPr>
          <w:color w:val="0000FF"/>
        </w:rPr>
        <w:t>《团结宣言》第三卷关于信仰正义</w:t>
      </w:r>
      <w:r w:rsidRPr="0097554A">
        <w:rPr>
          <w:color w:val="0000FF"/>
          <w:lang w:val="ru-RU"/>
        </w:rPr>
        <w:t>，</w:t>
      </w:r>
      <w:r w:rsidRPr="004C59BB">
        <w:rPr>
          <w:color w:val="0000FF"/>
        </w:rPr>
        <w:t>第</w:t>
      </w:r>
      <w:r w:rsidRPr="0097554A">
        <w:rPr>
          <w:color w:val="0000FF"/>
          <w:lang w:val="ru-RU"/>
        </w:rPr>
        <w:t>15</w:t>
      </w:r>
      <w:r w:rsidRPr="004C59BB">
        <w:rPr>
          <w:color w:val="0000FF"/>
        </w:rPr>
        <w:t>、</w:t>
      </w:r>
      <w:r w:rsidRPr="0097554A">
        <w:rPr>
          <w:color w:val="0000FF"/>
          <w:lang w:val="ru-RU"/>
        </w:rPr>
        <w:t>22</w:t>
      </w:r>
      <w:r w:rsidRPr="004C59BB">
        <w:rPr>
          <w:color w:val="0000FF"/>
        </w:rPr>
        <w:t>、</w:t>
      </w:r>
      <w:r w:rsidRPr="0097554A">
        <w:rPr>
          <w:color w:val="0000FF"/>
          <w:lang w:val="ru-RU"/>
        </w:rPr>
        <w:t>55</w:t>
      </w:r>
      <w:r w:rsidRPr="004C59BB">
        <w:rPr>
          <w:color w:val="0000FF"/>
        </w:rPr>
        <w:t>条等。</w:t>
      </w:r>
    </w:p>
  </w:footnote>
  <w:footnote w:id="704">
    <w:p w14:paraId="671243D4" w14:textId="508AC72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《反异端论》第五卷</w:t>
      </w:r>
      <w:r w:rsidRPr="0097554A">
        <w:rPr>
          <w:color w:val="0000FF"/>
          <w:lang w:val="ru-RU"/>
        </w:rPr>
        <w:t>，</w:t>
      </w:r>
      <w:r w:rsidRPr="004C59BB">
        <w:rPr>
          <w:color w:val="0000FF"/>
        </w:rPr>
        <w:t>第</w:t>
      </w:r>
      <w:r w:rsidRPr="0097554A">
        <w:rPr>
          <w:color w:val="0000FF"/>
          <w:lang w:val="ru-RU"/>
        </w:rPr>
        <w:t>10</w:t>
      </w:r>
      <w:r w:rsidRPr="004C59BB">
        <w:rPr>
          <w:color w:val="0000FF"/>
        </w:rPr>
        <w:t>章</w:t>
      </w:r>
      <w:r w:rsidRPr="0097554A">
        <w:rPr>
          <w:color w:val="0000FF"/>
          <w:lang w:val="ru-RU"/>
        </w:rPr>
        <w:t>，</w:t>
      </w:r>
      <w:r w:rsidRPr="004C59BB">
        <w:rPr>
          <w:color w:val="0000FF"/>
        </w:rPr>
        <w:t>第</w:t>
      </w:r>
      <w:r w:rsidRPr="0097554A">
        <w:rPr>
          <w:color w:val="0000FF"/>
          <w:lang w:val="ru-RU"/>
        </w:rPr>
        <w:t>2</w:t>
      </w:r>
      <w:r w:rsidRPr="004C59BB">
        <w:rPr>
          <w:color w:val="0000FF"/>
        </w:rPr>
        <w:t>条。</w:t>
      </w:r>
    </w:p>
  </w:footnote>
  <w:footnote w:id="705">
    <w:p w14:paraId="7D3A43BB" w14:textId="5354B10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《论主祷文》第XII章</w:t>
      </w:r>
      <w:r w:rsidRPr="0097554A">
        <w:rPr>
          <w:color w:val="0000FF"/>
          <w:lang w:val="ru-RU"/>
        </w:rPr>
        <w:t>，</w:t>
      </w:r>
      <w:r w:rsidRPr="004C59BB">
        <w:rPr>
          <w:color w:val="0000FF"/>
        </w:rPr>
        <w:t>第</w:t>
      </w:r>
      <w:r w:rsidRPr="0097554A">
        <w:rPr>
          <w:color w:val="0000FF"/>
          <w:lang w:val="ru-RU"/>
        </w:rPr>
        <w:t>207</w:t>
      </w:r>
      <w:r w:rsidRPr="004C59BB">
        <w:rPr>
          <w:color w:val="0000FF"/>
        </w:rPr>
        <w:t>页</w:t>
      </w:r>
      <w:r w:rsidRPr="0097554A">
        <w:rPr>
          <w:color w:val="0000FF"/>
          <w:lang w:val="ru-RU"/>
        </w:rPr>
        <w:t>，</w:t>
      </w:r>
      <w:r w:rsidRPr="004C59BB">
        <w:rPr>
          <w:color w:val="0000FF"/>
        </w:rPr>
        <w:t>萨尔版。</w:t>
      </w:r>
    </w:p>
  </w:footnote>
  <w:footnote w:id="706">
    <w:p w14:paraId="12D6C73B" w14:textId="07EF5D0F"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《创世记片段》</w:t>
      </w:r>
      <w:r w:rsidRPr="0097554A">
        <w:rPr>
          <w:color w:val="0000FF"/>
          <w:lang w:val="ru-RU"/>
        </w:rPr>
        <w:t>，</w:t>
      </w:r>
      <w:r w:rsidRPr="004C59BB">
        <w:rPr>
          <w:color w:val="0000FF"/>
        </w:rPr>
        <w:t>见加兰德</w:t>
      </w:r>
      <w:r w:rsidRPr="0097554A">
        <w:rPr>
          <w:color w:val="0000FF"/>
          <w:lang w:val="ru-RU"/>
        </w:rPr>
        <w:t>（</w:t>
      </w:r>
      <w:r w:rsidRPr="004C59BB">
        <w:rPr>
          <w:color w:val="0000FF"/>
        </w:rPr>
        <w:t>Galland</w:t>
      </w:r>
      <w:r w:rsidRPr="0097554A">
        <w:rPr>
          <w:color w:val="0000FF"/>
          <w:lang w:val="ru-RU"/>
        </w:rPr>
        <w:t>）</w:t>
      </w:r>
      <w:r w:rsidRPr="004C59BB">
        <w:rPr>
          <w:color w:val="0000FF"/>
        </w:rPr>
        <w:t>第二卷</w:t>
      </w:r>
      <w:r w:rsidRPr="004C59BB">
        <w:rPr>
          <w:color w:val="0000FF"/>
          <w:lang w:val="ru-RU"/>
        </w:rPr>
        <w:t>，第484页。</w:t>
      </w:r>
    </w:p>
  </w:footnote>
  <w:footnote w:id="707">
    <w:p w14:paraId="05EBDB90" w14:textId="67C2CC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《教义纲要》</w:t>
      </w:r>
      <w:r w:rsidRPr="004C59BB">
        <w:rPr>
          <w:color w:val="0000FF"/>
        </w:rPr>
        <w:t>第十六卷</w:t>
      </w:r>
      <w:r w:rsidRPr="004C59BB">
        <w:rPr>
          <w:color w:val="0000FF"/>
          <w:lang w:val="ru-RU"/>
        </w:rPr>
        <w:t>，第22条，第362页。</w:t>
      </w:r>
    </w:p>
  </w:footnote>
  <w:footnote w:id="708">
    <w:p w14:paraId="5C99ECF7" w14:textId="6AB66DEF"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Οίδε γάρ, οτι ή χάρις σώζει。</w:t>
      </w:r>
      <w:r w:rsidRPr="004C59BB">
        <w:rPr>
          <w:color w:val="0000FF"/>
        </w:rPr>
        <w:t>《使徒行传讲道集》第XLV篇</w:t>
      </w:r>
      <w:r w:rsidRPr="0097554A">
        <w:rPr>
          <w:color w:val="0000FF"/>
          <w:lang w:val="el-GR"/>
        </w:rPr>
        <w:t>，</w:t>
      </w:r>
      <w:r w:rsidRPr="004C59BB">
        <w:rPr>
          <w:color w:val="0000FF"/>
        </w:rPr>
        <w:t>第</w:t>
      </w:r>
      <w:r w:rsidRPr="0097554A">
        <w:rPr>
          <w:color w:val="0000FF"/>
          <w:lang w:val="el-GR"/>
        </w:rPr>
        <w:t>1</w:t>
      </w:r>
      <w:r w:rsidRPr="004C59BB">
        <w:rPr>
          <w:color w:val="0000FF"/>
        </w:rPr>
        <w:t>条。</w:t>
      </w:r>
    </w:p>
  </w:footnote>
  <w:footnote w:id="709">
    <w:p w14:paraId="29BA6C07" w14:textId="6FA7AAD2"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el-GR"/>
        </w:rPr>
        <w:t xml:space="preserve"> </w:t>
      </w:r>
      <w:r w:rsidRPr="004C59BB">
        <w:rPr>
          <w:color w:val="0000FF"/>
        </w:rPr>
        <w:t>关于</w:t>
      </w:r>
      <w:r w:rsidRPr="0097554A">
        <w:rPr>
          <w:color w:val="0000FF"/>
          <w:lang w:val="el-GR"/>
        </w:rPr>
        <w:t>“</w:t>
      </w:r>
      <w:r w:rsidRPr="004C59BB">
        <w:rPr>
          <w:color w:val="0000FF"/>
          <w:lang w:val="ru-RU"/>
        </w:rPr>
        <w:t>凡想要承受天国的人</w:t>
      </w:r>
      <w:r w:rsidRPr="0097554A">
        <w:rPr>
          <w:color w:val="0000FF"/>
          <w:lang w:val="el-GR"/>
        </w:rPr>
        <w:t>，</w:t>
      </w:r>
      <w:r w:rsidRPr="004C59BB">
        <w:rPr>
          <w:color w:val="0000FF"/>
          <w:lang w:val="ru-RU"/>
        </w:rPr>
        <w:t>都必须藉圣灵重生</w:t>
      </w:r>
      <w:r w:rsidRPr="0097554A">
        <w:rPr>
          <w:color w:val="0000FF"/>
          <w:lang w:val="el-GR"/>
        </w:rPr>
        <w:t>”</w:t>
      </w:r>
      <w:r w:rsidRPr="004C59BB">
        <w:rPr>
          <w:color w:val="0000FF"/>
          <w:lang w:val="ru-RU"/>
        </w:rPr>
        <w:t>的讲道</w:t>
      </w:r>
      <w:r w:rsidRPr="0097554A">
        <w:rPr>
          <w:color w:val="0000FF"/>
          <w:lang w:val="el-GR"/>
        </w:rPr>
        <w:t>，</w:t>
      </w:r>
      <w:r w:rsidRPr="004C59BB">
        <w:rPr>
          <w:color w:val="0000FF"/>
          <w:lang w:val="ru-RU"/>
        </w:rPr>
        <w:t>载于《基督教读本》</w:t>
      </w:r>
      <w:r w:rsidRPr="0097554A">
        <w:rPr>
          <w:color w:val="0000FF"/>
          <w:lang w:val="el-GR"/>
        </w:rPr>
        <w:t>1839</w:t>
      </w:r>
      <w:r w:rsidRPr="004C59BB">
        <w:rPr>
          <w:color w:val="0000FF"/>
          <w:lang w:val="ru-RU"/>
        </w:rPr>
        <w:t>年第</w:t>
      </w:r>
      <w:r w:rsidRPr="0097554A">
        <w:rPr>
          <w:color w:val="0000FF"/>
          <w:lang w:val="el-GR"/>
        </w:rPr>
        <w:t>11</w:t>
      </w:r>
      <w:r w:rsidRPr="004C59BB">
        <w:rPr>
          <w:color w:val="0000FF"/>
          <w:lang w:val="ru-RU"/>
        </w:rPr>
        <w:t>期</w:t>
      </w:r>
      <w:r w:rsidRPr="0097554A">
        <w:rPr>
          <w:color w:val="0000FF"/>
          <w:lang w:val="el-GR"/>
        </w:rPr>
        <w:t>，</w:t>
      </w:r>
      <w:r w:rsidRPr="004C59BB">
        <w:rPr>
          <w:color w:val="0000FF"/>
          <w:lang w:val="ru-RU"/>
        </w:rPr>
        <w:t>第</w:t>
      </w:r>
      <w:r w:rsidRPr="0097554A">
        <w:rPr>
          <w:color w:val="0000FF"/>
          <w:lang w:val="el-GR"/>
        </w:rPr>
        <w:t>320</w:t>
      </w:r>
      <w:r w:rsidRPr="004C59BB">
        <w:rPr>
          <w:color w:val="0000FF"/>
          <w:lang w:val="ru-RU"/>
        </w:rPr>
        <w:t>页。摘自《关于属灵傅油的讲道》，同上，第162页： “正如鱼不能没有水而活，正如人不能没有双腿而行走、没有眼睛而看见光明、没有舌头而说话、没有耳朵而听见一样：同样，若没有主耶稣，也没有神圣大能的协助，就无法领悟上帝智慧的奥秘，也无法成为完美的基督徒。”</w:t>
      </w:r>
    </w:p>
  </w:footnote>
  <w:footnote w:id="710">
    <w:p w14:paraId="70B5FEE4" w14:textId="759C2B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《论基督在基督徒身上带来的改变》，载于《基督教读本》1836年，</w:t>
      </w:r>
      <w:r w:rsidRPr="004C59BB">
        <w:rPr>
          <w:color w:val="0000FF"/>
        </w:rPr>
        <w:t>第一卷</w:t>
      </w:r>
      <w:r w:rsidRPr="004C59BB">
        <w:rPr>
          <w:color w:val="0000FF"/>
          <w:lang w:val="ru-RU"/>
        </w:rPr>
        <w:t>，第38页。</w:t>
      </w:r>
    </w:p>
  </w:footnote>
  <w:footnote w:id="711">
    <w:p w14:paraId="10B085EE" w14:textId="64905BE6"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《书信集》CLXXXVI</w:t>
      </w:r>
      <w:r w:rsidRPr="0097554A">
        <w:rPr>
          <w:color w:val="0000FF"/>
          <w:lang w:val="ru-RU"/>
        </w:rPr>
        <w:t>，</w:t>
      </w:r>
      <w:r w:rsidRPr="004C59BB">
        <w:rPr>
          <w:color w:val="0000FF"/>
        </w:rPr>
        <w:t>致保林书</w:t>
      </w:r>
      <w:r w:rsidRPr="0097554A">
        <w:rPr>
          <w:color w:val="0000FF"/>
          <w:lang w:val="ru-RU"/>
        </w:rPr>
        <w:t>，</w:t>
      </w:r>
      <w:r w:rsidRPr="004C59BB">
        <w:rPr>
          <w:color w:val="0000FF"/>
        </w:rPr>
        <w:t>第</w:t>
      </w:r>
      <w:r w:rsidRPr="0097554A">
        <w:rPr>
          <w:color w:val="0000FF"/>
          <w:lang w:val="ru-RU"/>
        </w:rPr>
        <w:t>3</w:t>
      </w:r>
      <w:r w:rsidRPr="004C59BB">
        <w:rPr>
          <w:color w:val="0000FF"/>
        </w:rPr>
        <w:t>节。或：蒙上帝的恩典，借着我们的主耶稣，凡得救的人都得救了（《书信集》CLXXXIX，致约翰·耶罗尼莫书，第6节）。</w:t>
      </w:r>
    </w:p>
  </w:footnote>
  <w:footnote w:id="712">
    <w:p w14:paraId="3CAC0793" w14:textId="1D50CE6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《论基督的恩典》第XXVII章。</w:t>
      </w:r>
    </w:p>
  </w:footnote>
  <w:footnote w:id="713">
    <w:p w14:paraId="73471B3E" w14:textId="01032C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哈杜因。《教会会议记录》第I卷，第2011栏。</w:t>
      </w:r>
    </w:p>
  </w:footnote>
  <w:footnote w:id="714">
    <w:p w14:paraId="6AD9E16E" w14:textId="36C3AF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哈杜因，《同上》，第II卷，第1099栏。</w:t>
      </w:r>
    </w:p>
  </w:footnote>
  <w:footnote w:id="715">
    <w:p w14:paraId="584057A2" w14:textId="161C5B4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例如</w:t>
      </w:r>
      <w:r w:rsidRPr="0097554A">
        <w:rPr>
          <w:color w:val="0000FF"/>
        </w:rPr>
        <w:t>，</w:t>
      </w:r>
      <w:r w:rsidRPr="004C59BB">
        <w:rPr>
          <w:color w:val="0000FF"/>
          <w:lang w:val="ru-RU"/>
        </w:rPr>
        <w:t>可参见以下祷文</w:t>
      </w:r>
      <w:r w:rsidRPr="0097554A">
        <w:rPr>
          <w:color w:val="0000FF"/>
        </w:rPr>
        <w:t>：“</w:t>
      </w:r>
      <w:r w:rsidRPr="004C59BB">
        <w:rPr>
          <w:color w:val="0000FF"/>
          <w:lang w:val="ru-RU"/>
        </w:rPr>
        <w:t>天上的君王</w:t>
      </w:r>
      <w:r w:rsidRPr="0097554A">
        <w:rPr>
          <w:color w:val="0000FF"/>
        </w:rPr>
        <w:t>……”；“</w:t>
      </w:r>
      <w:r w:rsidRPr="004C59BB">
        <w:rPr>
          <w:color w:val="0000FF"/>
          <w:lang w:val="ru-RU"/>
        </w:rPr>
        <w:t>至圣三一</w:t>
      </w:r>
      <w:r w:rsidRPr="0097554A">
        <w:rPr>
          <w:color w:val="0000FF"/>
        </w:rPr>
        <w:t>……”；</w:t>
      </w:r>
      <w:r w:rsidRPr="004C59BB">
        <w:rPr>
          <w:color w:val="0000FF"/>
          <w:lang w:val="ru-RU"/>
        </w:rPr>
        <w:t>以及晚祷、晨祷、忏悔经等。</w:t>
      </w:r>
    </w:p>
  </w:footnote>
  <w:footnote w:id="716">
    <w:p w14:paraId="7E28F350" w14:textId="16F4371E"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圣基普里安</w:t>
      </w:r>
      <w:r w:rsidRPr="0097554A">
        <w:rPr>
          <w:color w:val="0000FF"/>
        </w:rPr>
        <w:t>（</w:t>
      </w:r>
      <w:r w:rsidRPr="004C59BB">
        <w:rPr>
          <w:color w:val="0000FF"/>
          <w:lang w:val="ru-RU"/>
        </w:rPr>
        <w:t>参见上文注</w:t>
      </w:r>
      <w:r w:rsidRPr="0097554A">
        <w:rPr>
          <w:color w:val="0000FF"/>
        </w:rPr>
        <w:t>705）</w:t>
      </w:r>
      <w:r w:rsidRPr="004C59BB">
        <w:rPr>
          <w:color w:val="0000FF"/>
          <w:lang w:val="ru-RU"/>
        </w:rPr>
        <w:t>和福者</w:t>
      </w:r>
      <w:r w:rsidRPr="004C59BB">
        <w:rPr>
          <w:color w:val="0000FF"/>
        </w:rPr>
        <w:t>奥古斯丁（参见下文注732）</w:t>
      </w:r>
      <w:r w:rsidRPr="004C59BB">
        <w:rPr>
          <w:color w:val="0000FF"/>
          <w:lang w:val="ru-RU"/>
        </w:rPr>
        <w:t>曾指出这一证据</w:t>
      </w:r>
      <w:r w:rsidRPr="004C59BB">
        <w:rPr>
          <w:color w:val="0000FF"/>
        </w:rPr>
        <w:t>。</w:t>
      </w:r>
    </w:p>
  </w:footnote>
  <w:footnote w:id="717">
    <w:p w14:paraId="41039650" w14:textId="4B8B1C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参见上文第104节。</w:t>
      </w:r>
    </w:p>
  </w:footnote>
  <w:footnote w:id="718">
    <w:p w14:paraId="3D472996" w14:textId="677919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……既然他若没有上帝的恩典，便无法保全自己所领受的救恩，那么，他若没有上帝的恩典，又如何能挽回自己所失去的呢？（第十九条教规，见哈杜因所引著作，同上卷）。</w:t>
      </w:r>
    </w:p>
  </w:footnote>
  <w:footnote w:id="719">
    <w:p w14:paraId="43691B93" w14:textId="2B3F6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《大公会议书信》第九章，载于《基督教周报》1830年第XXXVII期。</w:t>
      </w:r>
    </w:p>
  </w:footnote>
  <w:footnote w:id="720">
    <w:p w14:paraId="6A9A05BF" w14:textId="26CFDF6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《与特里丰的对话》第XX章。</w:t>
      </w:r>
    </w:p>
  </w:footnote>
  <w:footnote w:id="721">
    <w:p w14:paraId="25192081" w14:textId="16F71D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同上，第C节。</w:t>
      </w:r>
    </w:p>
  </w:footnote>
  <w:footnote w:id="722">
    <w:p w14:paraId="6357306B" w14:textId="6222E7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同上，第CXIX节；参见《辩护书》第二卷，第10节。</w:t>
      </w:r>
    </w:p>
  </w:footnote>
  <w:footnote w:id="723">
    <w:p w14:paraId="65349EBB" w14:textId="71C40B64"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《论信仰》，五月卷第七</w:t>
      </w:r>
      <w:r w:rsidRPr="0097554A">
        <w:rPr>
          <w:color w:val="0000FF"/>
        </w:rPr>
        <w:t>，</w:t>
      </w:r>
      <w:r w:rsidRPr="004C59BB">
        <w:rPr>
          <w:color w:val="0000FF"/>
        </w:rPr>
        <w:t>第二</w:t>
      </w:r>
      <w:r w:rsidRPr="0097554A">
        <w:rPr>
          <w:color w:val="0000FF"/>
        </w:rPr>
        <w:t>，</w:t>
      </w:r>
      <w:r w:rsidRPr="004C59BB">
        <w:rPr>
          <w:color w:val="0000FF"/>
          <w:lang w:val="ru-RU"/>
        </w:rPr>
        <w:t>第</w:t>
      </w:r>
      <w:r w:rsidRPr="0097554A">
        <w:rPr>
          <w:color w:val="0000FF"/>
        </w:rPr>
        <w:t>170</w:t>
      </w:r>
      <w:r w:rsidRPr="004C59BB">
        <w:rPr>
          <w:color w:val="0000FF"/>
        </w:rPr>
        <w:t>页</w:t>
      </w:r>
      <w:r w:rsidRPr="004C59BB">
        <w:rPr>
          <w:color w:val="0000FF"/>
          <w:lang w:val="ru-RU"/>
        </w:rPr>
        <w:t>。</w:t>
      </w:r>
    </w:p>
  </w:footnote>
  <w:footnote w:id="724">
    <w:p w14:paraId="0247E0FD" w14:textId="66E45CC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《论圣灵》第</w:t>
      </w:r>
      <w:r w:rsidRPr="0097554A">
        <w:rPr>
          <w:color w:val="0000FF"/>
        </w:rPr>
        <w:t>18</w:t>
      </w:r>
      <w:r w:rsidRPr="004C59BB">
        <w:rPr>
          <w:color w:val="0000FF"/>
          <w:lang w:val="ru-RU"/>
        </w:rPr>
        <w:t>章</w:t>
      </w:r>
      <w:r w:rsidRPr="0097554A">
        <w:rPr>
          <w:color w:val="0000FF"/>
        </w:rPr>
        <w:t>，</w:t>
      </w:r>
      <w:r w:rsidRPr="004C59BB">
        <w:rPr>
          <w:color w:val="0000FF"/>
          <w:lang w:val="ru-RU"/>
        </w:rPr>
        <w:t>载于《圣教父文集》</w:t>
      </w:r>
      <w:r w:rsidRPr="004C59BB">
        <w:rPr>
          <w:color w:val="0000FF"/>
        </w:rPr>
        <w:t>第七卷</w:t>
      </w:r>
      <w:r w:rsidRPr="0097554A">
        <w:rPr>
          <w:color w:val="0000FF"/>
        </w:rPr>
        <w:t>，</w:t>
      </w:r>
      <w:r w:rsidRPr="004C59BB">
        <w:rPr>
          <w:color w:val="0000FF"/>
          <w:lang w:val="ru-RU"/>
        </w:rPr>
        <w:t>第</w:t>
      </w:r>
      <w:r w:rsidRPr="0097554A">
        <w:rPr>
          <w:color w:val="0000FF"/>
        </w:rPr>
        <w:t>302–303</w:t>
      </w:r>
      <w:r w:rsidRPr="004C59BB">
        <w:rPr>
          <w:color w:val="0000FF"/>
          <w:lang w:val="ru-RU"/>
        </w:rPr>
        <w:t>页。</w:t>
      </w:r>
      <w:r w:rsidRPr="0097554A">
        <w:rPr>
          <w:color w:val="0000FF"/>
        </w:rPr>
        <w:t xml:space="preserve"> </w:t>
      </w:r>
      <w:r w:rsidRPr="004C59BB">
        <w:rPr>
          <w:color w:val="0000FF"/>
          <w:lang w:val="ru-RU"/>
        </w:rPr>
        <w:t>此外</w:t>
      </w:r>
      <w:r w:rsidRPr="0097554A">
        <w:rPr>
          <w:color w:val="0000FF"/>
        </w:rPr>
        <w:t>：“</w:t>
      </w:r>
      <w:r w:rsidRPr="004C59BB">
        <w:rPr>
          <w:color w:val="0000FF"/>
          <w:lang w:val="ru-RU"/>
        </w:rPr>
        <w:t>如果</w:t>
      </w:r>
      <w:r w:rsidRPr="0097554A">
        <w:rPr>
          <w:color w:val="0000FF"/>
        </w:rPr>
        <w:t>（</w:t>
      </w:r>
      <w:r w:rsidRPr="004C59BB">
        <w:rPr>
          <w:color w:val="0000FF"/>
          <w:lang w:val="ru-RU"/>
        </w:rPr>
        <w:t>心灵</w:t>
      </w:r>
      <w:r w:rsidRPr="0097554A">
        <w:rPr>
          <w:color w:val="0000FF"/>
        </w:rPr>
        <w:t>）</w:t>
      </w:r>
      <w:r w:rsidRPr="004C59BB">
        <w:rPr>
          <w:color w:val="0000FF"/>
          <w:lang w:val="ru-RU"/>
        </w:rPr>
        <w:t>投身于神圣的层面</w:t>
      </w:r>
      <w:r w:rsidRPr="0097554A">
        <w:rPr>
          <w:color w:val="0000FF"/>
        </w:rPr>
        <w:t>，</w:t>
      </w:r>
      <w:r w:rsidRPr="004C59BB">
        <w:rPr>
          <w:color w:val="0000FF"/>
          <w:lang w:val="ru-RU"/>
        </w:rPr>
        <w:t>并接受圣灵的恩赐</w:t>
      </w:r>
      <w:r w:rsidRPr="0097554A">
        <w:rPr>
          <w:color w:val="0000FF"/>
        </w:rPr>
        <w:t>，</w:t>
      </w:r>
      <w:r w:rsidRPr="004C59BB">
        <w:rPr>
          <w:color w:val="0000FF"/>
          <w:lang w:val="ru-RU"/>
        </w:rPr>
        <w:t>那么它便能够领悟神圣之事</w:t>
      </w:r>
      <w:r w:rsidRPr="0097554A">
        <w:rPr>
          <w:color w:val="0000FF"/>
        </w:rPr>
        <w:t>，</w:t>
      </w:r>
      <w:r w:rsidRPr="004C59BB">
        <w:rPr>
          <w:color w:val="0000FF"/>
          <w:lang w:val="ru-RU"/>
        </w:rPr>
        <w:t>程度取决于其本性所能及的范围</w:t>
      </w:r>
      <w:r w:rsidRPr="0097554A">
        <w:rPr>
          <w:color w:val="0000FF"/>
        </w:rPr>
        <w:t>”（</w:t>
      </w:r>
      <w:r w:rsidRPr="004C59BB">
        <w:rPr>
          <w:color w:val="0000FF"/>
          <w:lang w:val="ru-RU"/>
        </w:rPr>
        <w:t>致安菲洛克的书信第</w:t>
      </w:r>
      <w:r w:rsidRPr="0097554A">
        <w:rPr>
          <w:color w:val="0000FF"/>
        </w:rPr>
        <w:t>225</w:t>
      </w:r>
      <w:r w:rsidRPr="004C59BB">
        <w:rPr>
          <w:color w:val="0000FF"/>
          <w:lang w:val="ru-RU"/>
        </w:rPr>
        <w:t>封</w:t>
      </w:r>
      <w:r w:rsidRPr="0097554A">
        <w:rPr>
          <w:color w:val="0000FF"/>
        </w:rPr>
        <w:t>，</w:t>
      </w:r>
      <w:r w:rsidRPr="004C59BB">
        <w:rPr>
          <w:color w:val="0000FF"/>
          <w:lang w:val="ru-RU"/>
        </w:rPr>
        <w:t>见《圣教父文集》</w:t>
      </w:r>
      <w:r w:rsidRPr="004C59BB">
        <w:rPr>
          <w:color w:val="0000FF"/>
        </w:rPr>
        <w:t>第十一</w:t>
      </w:r>
      <w:r w:rsidRPr="004C59BB">
        <w:rPr>
          <w:color w:val="0000FF"/>
          <w:lang w:val="ru-RU"/>
        </w:rPr>
        <w:t>卷</w:t>
      </w:r>
      <w:r w:rsidRPr="0097554A">
        <w:rPr>
          <w:color w:val="0000FF"/>
        </w:rPr>
        <w:t>，</w:t>
      </w:r>
      <w:r w:rsidRPr="004C59BB">
        <w:rPr>
          <w:color w:val="0000FF"/>
          <w:lang w:val="ru-RU"/>
        </w:rPr>
        <w:t>第</w:t>
      </w:r>
      <w:r w:rsidRPr="0097554A">
        <w:rPr>
          <w:color w:val="0000FF"/>
        </w:rPr>
        <w:t>156</w:t>
      </w:r>
      <w:r w:rsidRPr="004C59BB">
        <w:rPr>
          <w:color w:val="0000FF"/>
          <w:lang w:val="ru-RU"/>
        </w:rPr>
        <w:t>页</w:t>
      </w:r>
      <w:r w:rsidRPr="0097554A">
        <w:rPr>
          <w:color w:val="0000FF"/>
        </w:rPr>
        <w:t>）</w:t>
      </w:r>
      <w:r w:rsidRPr="004C59BB">
        <w:rPr>
          <w:color w:val="0000FF"/>
          <w:lang w:val="ru-RU"/>
        </w:rPr>
        <w:t>。</w:t>
      </w:r>
    </w:p>
  </w:footnote>
  <w:footnote w:id="725">
    <w:p w14:paraId="0BC38E89" w14:textId="25FDC292"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rPr>
        <w:t>《</w:t>
      </w:r>
      <w:r w:rsidRPr="004C59BB">
        <w:rPr>
          <w:color w:val="0000FF"/>
          <w:lang w:val="ru-RU"/>
        </w:rPr>
        <w:t>约翰</w:t>
      </w:r>
      <w:r w:rsidRPr="004C59BB">
        <w:rPr>
          <w:color w:val="0000FF"/>
        </w:rPr>
        <w:t>福音</w:t>
      </w:r>
      <w:r w:rsidRPr="004C59BB">
        <w:rPr>
          <w:color w:val="0000FF"/>
          <w:lang w:val="ru-RU"/>
        </w:rPr>
        <w:t>讲道集》</w:t>
      </w:r>
      <w:r w:rsidRPr="004C59BB">
        <w:rPr>
          <w:color w:val="0000FF"/>
        </w:rPr>
        <w:t>第XLV</w:t>
      </w:r>
      <w:r w:rsidRPr="004C59BB">
        <w:rPr>
          <w:color w:val="0000FF"/>
          <w:lang w:val="ru-RU"/>
        </w:rPr>
        <w:t>篇</w:t>
      </w:r>
      <w:r w:rsidRPr="0097554A">
        <w:rPr>
          <w:color w:val="0000FF"/>
        </w:rPr>
        <w:t>，</w:t>
      </w:r>
      <w:r w:rsidRPr="004C59BB">
        <w:rPr>
          <w:color w:val="0000FF"/>
          <w:lang w:val="ru-RU"/>
        </w:rPr>
        <w:t>第</w:t>
      </w:r>
      <w:r w:rsidRPr="0097554A">
        <w:rPr>
          <w:color w:val="0000FF"/>
        </w:rPr>
        <w:t>3</w:t>
      </w:r>
      <w:r w:rsidRPr="004C59BB">
        <w:rPr>
          <w:color w:val="0000FF"/>
          <w:lang w:val="ru-RU"/>
        </w:rPr>
        <w:t>节。在另一处经文中写道：“讲道的成功并不取决于使徒们，而是取决于先于他们的恩典。虽然他们的职责是四处传道；但使人信服的，是借着使徒们行事的上帝自己。 路加也说，是祂开启了他们的心（《使徒行传》16:14）；在另一处经文中：‘他们得以听见上帝的话’。”（《罗马书讲道集》第一卷，第5节，俄文译本，莫斯科，1844年，第18页）。</w:t>
      </w:r>
    </w:p>
  </w:footnote>
  <w:footnote w:id="726">
    <w:p w14:paraId="75CDEB6D" w14:textId="47008D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《哥林多前书讲道</w:t>
      </w:r>
      <w:r w:rsidRPr="004C59BB">
        <w:rPr>
          <w:color w:val="0000FF"/>
          <w:lang w:val="ru-RU"/>
        </w:rPr>
        <w:t>集》</w:t>
      </w:r>
      <w:r w:rsidRPr="004C59BB">
        <w:rPr>
          <w:color w:val="0000FF"/>
        </w:rPr>
        <w:t>第十二篇</w:t>
      </w:r>
      <w:r w:rsidRPr="004C59BB">
        <w:rPr>
          <w:color w:val="0000FF"/>
          <w:lang w:val="ru-RU"/>
        </w:rPr>
        <w:t>，第1、2</w:t>
      </w:r>
      <w:r w:rsidRPr="004C59BB">
        <w:rPr>
          <w:color w:val="0000FF"/>
        </w:rPr>
        <w:t>节</w:t>
      </w:r>
      <w:r w:rsidRPr="004C59BB">
        <w:rPr>
          <w:color w:val="0000FF"/>
          <w:lang w:val="ru-RU"/>
        </w:rPr>
        <w:t>。</w:t>
      </w:r>
    </w:p>
  </w:footnote>
  <w:footnote w:id="727">
    <w:p w14:paraId="285B33ED" w14:textId="7DCBEF57"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97554A">
        <w:rPr>
          <w:color w:val="0000FF"/>
          <w:lang w:val="ru-RU"/>
        </w:rPr>
        <w:t>……</w:t>
      </w:r>
      <w:r w:rsidRPr="004C59BB">
        <w:rPr>
          <w:color w:val="0000FF"/>
        </w:rPr>
        <w:t>信仰也不是我们自己的</w:t>
      </w:r>
      <w:r w:rsidRPr="004C59BB">
        <w:rPr>
          <w:color w:val="0000FF"/>
          <w:lang w:val="ru-RU"/>
        </w:rPr>
        <w:t>。</w:t>
      </w:r>
      <w:r w:rsidRPr="004C59BB">
        <w:rPr>
          <w:color w:val="0000FF"/>
        </w:rPr>
        <w:t>他说</w:t>
      </w:r>
      <w:r w:rsidRPr="004C59BB">
        <w:rPr>
          <w:color w:val="0000FF"/>
          <w:lang w:val="ru-RU"/>
        </w:rPr>
        <w:t>，</w:t>
      </w:r>
      <w:r w:rsidRPr="004C59BB">
        <w:rPr>
          <w:color w:val="0000FF"/>
        </w:rPr>
        <w:t>这是上帝的恩赐</w:t>
      </w:r>
      <w:r w:rsidRPr="004C59BB">
        <w:rPr>
          <w:color w:val="0000FF"/>
          <w:lang w:val="ru-RU"/>
        </w:rPr>
        <w:t>。《</w:t>
      </w:r>
      <w:r w:rsidRPr="004C59BB">
        <w:rPr>
          <w:color w:val="0000FF"/>
        </w:rPr>
        <w:t>以弗所书讲道集》第四篇</w:t>
      </w:r>
      <w:r w:rsidRPr="0097554A">
        <w:rPr>
          <w:color w:val="0000FF"/>
          <w:lang w:val="ru-RU"/>
        </w:rPr>
        <w:t>，</w:t>
      </w:r>
      <w:r w:rsidRPr="004C59BB">
        <w:rPr>
          <w:color w:val="0000FF"/>
        </w:rPr>
        <w:t>第二章</w:t>
      </w:r>
      <w:r w:rsidRPr="0097554A">
        <w:rPr>
          <w:color w:val="0000FF"/>
          <w:lang w:val="ru-RU"/>
        </w:rPr>
        <w:t>，</w:t>
      </w:r>
      <w:r w:rsidRPr="004C59BB">
        <w:rPr>
          <w:color w:val="0000FF"/>
          <w:lang w:val="el-GR"/>
        </w:rPr>
        <w:t>第</w:t>
      </w:r>
      <w:r w:rsidRPr="0097554A">
        <w:rPr>
          <w:color w:val="0000FF"/>
          <w:lang w:val="ru-RU"/>
        </w:rPr>
        <w:t>8</w:t>
      </w:r>
      <w:r w:rsidRPr="004C59BB">
        <w:rPr>
          <w:color w:val="0000FF"/>
          <w:lang w:val="el-GR"/>
        </w:rPr>
        <w:t>节。</w:t>
      </w:r>
    </w:p>
  </w:footnote>
  <w:footnote w:id="728">
    <w:p w14:paraId="21AAAAFA" w14:textId="313D8A0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是他将信仰植入我们心中</w:t>
      </w:r>
      <w:r w:rsidRPr="0097554A">
        <w:rPr>
          <w:color w:val="0000FF"/>
          <w:lang w:val="ru-RU"/>
        </w:rPr>
        <w:t>，</w:t>
      </w:r>
      <w:r w:rsidRPr="004C59BB">
        <w:rPr>
          <w:color w:val="0000FF"/>
          <w:lang w:val="el-GR"/>
        </w:rPr>
        <w:t>是他赐予了开端。</w:t>
      </w:r>
      <w:r w:rsidRPr="004C59BB">
        <w:rPr>
          <w:color w:val="0000FF"/>
        </w:rPr>
        <w:t>《希伯来书》讲道集第XXVIII篇</w:t>
      </w:r>
      <w:r w:rsidRPr="0097554A">
        <w:rPr>
          <w:color w:val="0000FF"/>
          <w:lang w:val="ru-RU"/>
        </w:rPr>
        <w:t>，</w:t>
      </w:r>
      <w:r w:rsidRPr="004C59BB">
        <w:rPr>
          <w:color w:val="0000FF"/>
        </w:rPr>
        <w:t>第</w:t>
      </w:r>
      <w:r w:rsidRPr="0097554A">
        <w:rPr>
          <w:color w:val="0000FF"/>
          <w:lang w:val="ru-RU"/>
        </w:rPr>
        <w:t>2</w:t>
      </w:r>
      <w:r w:rsidRPr="004C59BB">
        <w:rPr>
          <w:color w:val="0000FF"/>
        </w:rPr>
        <w:t>节。</w:t>
      </w:r>
    </w:p>
  </w:footnote>
  <w:footnote w:id="729">
    <w:p w14:paraId="0DADBA93" w14:textId="7DB5F18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《诗篇</w:t>
      </w:r>
      <w:r w:rsidRPr="004C59BB">
        <w:rPr>
          <w:color w:val="0000FF"/>
          <w:lang w:val="el-GR"/>
        </w:rPr>
        <w:t>》</w:t>
      </w:r>
      <w:r w:rsidRPr="004C59BB">
        <w:rPr>
          <w:color w:val="0000FF"/>
        </w:rPr>
        <w:t>第</w:t>
      </w:r>
      <w:r w:rsidRPr="0097554A">
        <w:rPr>
          <w:color w:val="0000FF"/>
          <w:lang w:val="ru-RU"/>
        </w:rPr>
        <w:t>115</w:t>
      </w:r>
      <w:r w:rsidRPr="004C59BB">
        <w:rPr>
          <w:color w:val="0000FF"/>
        </w:rPr>
        <w:t>篇讲</w:t>
      </w:r>
      <w:r w:rsidRPr="004C59BB">
        <w:rPr>
          <w:color w:val="0000FF"/>
          <w:lang w:val="el-GR"/>
        </w:rPr>
        <w:t>道</w:t>
      </w:r>
      <w:r w:rsidRPr="0097554A">
        <w:rPr>
          <w:color w:val="0000FF"/>
          <w:lang w:val="ru-RU"/>
        </w:rPr>
        <w:t>，</w:t>
      </w:r>
      <w:r w:rsidRPr="004C59BB">
        <w:rPr>
          <w:color w:val="0000FF"/>
          <w:lang w:val="el-GR"/>
        </w:rPr>
        <w:t>第</w:t>
      </w:r>
      <w:r w:rsidRPr="0097554A">
        <w:rPr>
          <w:color w:val="0000FF"/>
          <w:lang w:val="ru-RU"/>
        </w:rPr>
        <w:t>2</w:t>
      </w:r>
      <w:r w:rsidRPr="004C59BB">
        <w:rPr>
          <w:color w:val="0000FF"/>
          <w:lang w:val="el-GR"/>
        </w:rPr>
        <w:t>节。</w:t>
      </w:r>
    </w:p>
  </w:footnote>
  <w:footnote w:id="730">
    <w:p w14:paraId="3A1B4FDA" w14:textId="27923934"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ru-RU"/>
        </w:rPr>
        <w:t xml:space="preserve"> “</w:t>
      </w:r>
      <w:r w:rsidRPr="004C59BB">
        <w:rPr>
          <w:color w:val="0000FF"/>
          <w:lang w:val="el-GR"/>
        </w:rPr>
        <w:t>认信者并非凭自身的力量</w:t>
      </w:r>
      <w:r w:rsidRPr="0097554A">
        <w:rPr>
          <w:color w:val="0000FF"/>
          <w:lang w:val="ru-RU"/>
        </w:rPr>
        <w:t>，</w:t>
      </w:r>
      <w:r w:rsidRPr="004C59BB">
        <w:rPr>
          <w:color w:val="0000FF"/>
          <w:lang w:val="el-GR"/>
        </w:rPr>
        <w:t>而是蒙从上头而来的恩典所帮助</w:t>
      </w:r>
      <w:r w:rsidRPr="0097554A">
        <w:rPr>
          <w:color w:val="0000FF"/>
          <w:lang w:val="ru-RU"/>
        </w:rPr>
        <w:t>，</w:t>
      </w:r>
      <w:r w:rsidRPr="004C59BB">
        <w:rPr>
          <w:color w:val="0000FF"/>
          <w:lang w:val="el-GR"/>
        </w:rPr>
        <w:t>才得以认信。</w:t>
      </w:r>
      <w:r w:rsidRPr="0097554A">
        <w:rPr>
          <w:color w:val="0000FF"/>
          <w:lang w:val="el-GR"/>
        </w:rPr>
        <w:t>”</w:t>
      </w:r>
      <w:r w:rsidRPr="004C59BB">
        <w:rPr>
          <w:color w:val="0000FF"/>
        </w:rPr>
        <w:t>《马太</w:t>
      </w:r>
      <w:r w:rsidRPr="004C59BB">
        <w:rPr>
          <w:color w:val="0000FF"/>
          <w:lang w:val="ru-RU"/>
        </w:rPr>
        <w:t>福音</w:t>
      </w:r>
      <w:r w:rsidRPr="004C59BB">
        <w:rPr>
          <w:color w:val="0000FF"/>
        </w:rPr>
        <w:t>讲道</w:t>
      </w:r>
      <w:r w:rsidRPr="004C59BB">
        <w:rPr>
          <w:color w:val="0000FF"/>
          <w:lang w:val="ru-RU"/>
        </w:rPr>
        <w:t>集》</w:t>
      </w:r>
      <w:r w:rsidRPr="004C59BB">
        <w:rPr>
          <w:color w:val="0000FF"/>
        </w:rPr>
        <w:t>第XXXIV</w:t>
      </w:r>
      <w:r w:rsidRPr="004C59BB">
        <w:rPr>
          <w:color w:val="0000FF"/>
          <w:lang w:val="ru-RU"/>
        </w:rPr>
        <w:t>篇</w:t>
      </w:r>
      <w:r w:rsidRPr="0097554A">
        <w:rPr>
          <w:color w:val="0000FF"/>
          <w:lang w:val="el-GR"/>
        </w:rPr>
        <w:t>，</w:t>
      </w:r>
      <w:r w:rsidRPr="004C59BB">
        <w:rPr>
          <w:color w:val="0000FF"/>
          <w:lang w:val="ru-RU"/>
        </w:rPr>
        <w:t>第</w:t>
      </w:r>
      <w:r w:rsidRPr="0097554A">
        <w:rPr>
          <w:color w:val="0000FF"/>
          <w:lang w:val="el-GR"/>
        </w:rPr>
        <w:t>3</w:t>
      </w:r>
      <w:r w:rsidRPr="004C59BB">
        <w:rPr>
          <w:color w:val="0000FF"/>
          <w:lang w:val="ru-RU"/>
        </w:rPr>
        <w:t>节。</w:t>
      </w:r>
      <w:r w:rsidRPr="0097554A">
        <w:rPr>
          <w:color w:val="0000FF"/>
          <w:lang w:val="el-GR"/>
        </w:rPr>
        <w:t xml:space="preserve"> </w:t>
      </w:r>
      <w:r w:rsidRPr="004C59BB">
        <w:rPr>
          <w:color w:val="0000FF"/>
          <w:lang w:val="ru-RU"/>
        </w:rPr>
        <w:t>我们特意在此列举了大量来自希腊教父</w:t>
      </w:r>
      <w:r w:rsidRPr="0097554A">
        <w:rPr>
          <w:color w:val="0000FF"/>
          <w:lang w:val="el-GR"/>
        </w:rPr>
        <w:t>——</w:t>
      </w:r>
      <w:r w:rsidRPr="004C59BB">
        <w:rPr>
          <w:color w:val="0000FF"/>
          <w:lang w:val="ru-RU"/>
        </w:rPr>
        <w:t>尤其是圣金口若望</w:t>
      </w:r>
      <w:r w:rsidRPr="0097554A">
        <w:rPr>
          <w:color w:val="0000FF"/>
          <w:lang w:val="el-GR"/>
        </w:rPr>
        <w:t>——</w:t>
      </w:r>
      <w:r w:rsidRPr="004C59BB">
        <w:rPr>
          <w:color w:val="0000FF"/>
          <w:lang w:val="ru-RU"/>
        </w:rPr>
        <w:t>的证词</w:t>
      </w:r>
      <w:r w:rsidRPr="0097554A">
        <w:rPr>
          <w:color w:val="0000FF"/>
          <w:lang w:val="el-GR"/>
        </w:rPr>
        <w:t>，</w:t>
      </w:r>
      <w:r w:rsidRPr="004C59BB">
        <w:rPr>
          <w:color w:val="0000FF"/>
          <w:lang w:val="ru-RU"/>
        </w:rPr>
        <w:t>旨在揭示扬森派所宣称</w:t>
      </w:r>
      <w:r w:rsidRPr="0097554A">
        <w:rPr>
          <w:color w:val="0000FF"/>
          <w:lang w:val="el-GR"/>
        </w:rPr>
        <w:t>“</w:t>
      </w:r>
      <w:r w:rsidRPr="004C59BB">
        <w:rPr>
          <w:color w:val="0000FF"/>
          <w:lang w:val="ru-RU"/>
        </w:rPr>
        <w:t>希腊教父与半佩拉吉主义并不无缘</w:t>
      </w:r>
      <w:r w:rsidRPr="0097554A">
        <w:rPr>
          <w:color w:val="0000FF"/>
          <w:lang w:val="el-GR"/>
        </w:rPr>
        <w:t>”</w:t>
      </w:r>
      <w:r w:rsidRPr="004C59BB">
        <w:rPr>
          <w:color w:val="0000FF"/>
          <w:lang w:val="ru-RU"/>
        </w:rPr>
        <w:t>这一说法的完全不公。</w:t>
      </w:r>
      <w:r w:rsidRPr="0097554A">
        <w:rPr>
          <w:color w:val="0000FF"/>
          <w:lang w:val="el-GR"/>
        </w:rPr>
        <w:t xml:space="preserve"> </w:t>
      </w:r>
      <w:r w:rsidRPr="004C59BB">
        <w:rPr>
          <w:color w:val="0000FF"/>
          <w:lang w:val="ru-RU"/>
        </w:rPr>
        <w:t>关于这一诽谤的最详尽驳斥</w:t>
      </w:r>
      <w:r w:rsidRPr="0097554A">
        <w:rPr>
          <w:color w:val="0000FF"/>
          <w:lang w:val="el-GR"/>
        </w:rPr>
        <w:t>，</w:t>
      </w:r>
      <w:r w:rsidRPr="004C59BB">
        <w:rPr>
          <w:color w:val="0000FF"/>
          <w:lang w:val="ru-RU"/>
        </w:rPr>
        <w:t>可参见</w:t>
      </w:r>
      <w:r w:rsidRPr="004C59BB">
        <w:rPr>
          <w:color w:val="0000FF"/>
        </w:rPr>
        <w:t>伊萨克</w:t>
      </w:r>
      <w:r w:rsidRPr="0097554A">
        <w:rPr>
          <w:color w:val="0000FF"/>
          <w:lang w:val="el-GR"/>
        </w:rPr>
        <w:t>·</w:t>
      </w:r>
      <w:r w:rsidRPr="004C59BB">
        <w:rPr>
          <w:color w:val="0000FF"/>
        </w:rPr>
        <w:t>哈伯特</w:t>
      </w:r>
      <w:r w:rsidRPr="0097554A">
        <w:rPr>
          <w:color w:val="0000FF"/>
          <w:lang w:val="el-GR"/>
        </w:rPr>
        <w:t>（</w:t>
      </w:r>
      <w:r w:rsidRPr="004C59BB">
        <w:rPr>
          <w:color w:val="0000FF"/>
        </w:rPr>
        <w:t>Isaaci</w:t>
      </w:r>
      <w:r w:rsidRPr="0097554A">
        <w:rPr>
          <w:color w:val="0000FF"/>
          <w:lang w:val="el-GR"/>
        </w:rPr>
        <w:t xml:space="preserve"> </w:t>
      </w:r>
      <w:r w:rsidRPr="004C59BB">
        <w:rPr>
          <w:color w:val="0000FF"/>
        </w:rPr>
        <w:t>Habert</w:t>
      </w:r>
      <w:r w:rsidRPr="0097554A">
        <w:rPr>
          <w:color w:val="0000FF"/>
          <w:lang w:val="el-GR"/>
        </w:rPr>
        <w:t>）</w:t>
      </w:r>
      <w:r w:rsidRPr="004C59BB">
        <w:rPr>
          <w:color w:val="0000FF"/>
          <w:lang w:val="ru-RU"/>
        </w:rPr>
        <w:t>的著作</w:t>
      </w:r>
      <w:r w:rsidRPr="0097554A">
        <w:rPr>
          <w:color w:val="0000FF"/>
          <w:lang w:val="el-GR"/>
        </w:rPr>
        <w:t>：</w:t>
      </w:r>
      <w:r w:rsidRPr="004C59BB">
        <w:rPr>
          <w:color w:val="0000FF"/>
        </w:rPr>
        <w:t>《希腊教父神学辩护</w:t>
      </w:r>
      <w:r w:rsidRPr="0097554A">
        <w:rPr>
          <w:color w:val="0000FF"/>
          <w:lang w:val="el-GR"/>
        </w:rPr>
        <w:t>：</w:t>
      </w:r>
      <w:r w:rsidRPr="004C59BB">
        <w:rPr>
          <w:color w:val="0000FF"/>
        </w:rPr>
        <w:t>论恩典的全部问题》</w:t>
      </w:r>
      <w:r w:rsidRPr="0097554A">
        <w:rPr>
          <w:color w:val="0000FF"/>
          <w:lang w:val="el-GR"/>
        </w:rPr>
        <w:t>（</w:t>
      </w:r>
      <w:r w:rsidRPr="004C59BB">
        <w:rPr>
          <w:color w:val="0000FF"/>
        </w:rPr>
        <w:t>Theologiae</w:t>
      </w:r>
      <w:r w:rsidRPr="0097554A">
        <w:rPr>
          <w:color w:val="0000FF"/>
          <w:lang w:val="el-GR"/>
        </w:rPr>
        <w:t xml:space="preserve"> </w:t>
      </w:r>
      <w:r w:rsidRPr="004C59BB">
        <w:rPr>
          <w:color w:val="0000FF"/>
        </w:rPr>
        <w:t>Graecorum</w:t>
      </w:r>
      <w:r w:rsidRPr="0097554A">
        <w:rPr>
          <w:color w:val="0000FF"/>
          <w:lang w:val="el-GR"/>
        </w:rPr>
        <w:t xml:space="preserve"> </w:t>
      </w:r>
      <w:r w:rsidRPr="004C59BB">
        <w:rPr>
          <w:color w:val="0000FF"/>
        </w:rPr>
        <w:t>Patrum</w:t>
      </w:r>
      <w:r w:rsidRPr="0097554A">
        <w:rPr>
          <w:color w:val="0000FF"/>
          <w:lang w:val="el-GR"/>
        </w:rPr>
        <w:t xml:space="preserve"> </w:t>
      </w:r>
      <w:r w:rsidRPr="004C59BB">
        <w:rPr>
          <w:color w:val="0000FF"/>
        </w:rPr>
        <w:t>vindicatae</w:t>
      </w:r>
      <w:r w:rsidRPr="0097554A">
        <w:rPr>
          <w:color w:val="0000FF"/>
          <w:lang w:val="el-GR"/>
        </w:rPr>
        <w:t xml:space="preserve"> </w:t>
      </w:r>
      <w:r w:rsidRPr="004C59BB">
        <w:rPr>
          <w:color w:val="0000FF"/>
        </w:rPr>
        <w:t>circa</w:t>
      </w:r>
      <w:r w:rsidRPr="0097554A">
        <w:rPr>
          <w:color w:val="0000FF"/>
          <w:lang w:val="el-GR"/>
        </w:rPr>
        <w:t xml:space="preserve"> </w:t>
      </w:r>
      <w:r w:rsidRPr="004C59BB">
        <w:rPr>
          <w:color w:val="0000FF"/>
        </w:rPr>
        <w:t>universam</w:t>
      </w:r>
      <w:r w:rsidRPr="0097554A">
        <w:rPr>
          <w:color w:val="0000FF"/>
          <w:lang w:val="el-GR"/>
        </w:rPr>
        <w:t xml:space="preserve"> </w:t>
      </w:r>
      <w:r w:rsidRPr="004C59BB">
        <w:rPr>
          <w:color w:val="0000FF"/>
        </w:rPr>
        <w:t>materiam</w:t>
      </w:r>
      <w:r w:rsidRPr="0097554A">
        <w:rPr>
          <w:color w:val="0000FF"/>
          <w:lang w:val="el-GR"/>
        </w:rPr>
        <w:t xml:space="preserve"> </w:t>
      </w:r>
      <w:r w:rsidRPr="004C59BB">
        <w:rPr>
          <w:color w:val="0000FF"/>
        </w:rPr>
        <w:t>gratiae</w:t>
      </w:r>
      <w:r w:rsidRPr="0097554A">
        <w:rPr>
          <w:color w:val="0000FF"/>
          <w:lang w:val="el-GR"/>
        </w:rPr>
        <w:t>），</w:t>
      </w:r>
      <w:r w:rsidRPr="004C59BB">
        <w:rPr>
          <w:color w:val="0000FF"/>
        </w:rPr>
        <w:t>巴黎</w:t>
      </w:r>
      <w:r w:rsidRPr="0097554A">
        <w:rPr>
          <w:color w:val="0000FF"/>
          <w:lang w:val="el-GR"/>
        </w:rPr>
        <w:t>，1646</w:t>
      </w:r>
      <w:r w:rsidRPr="004C59BB">
        <w:rPr>
          <w:color w:val="0000FF"/>
        </w:rPr>
        <w:t>年</w:t>
      </w:r>
      <w:r w:rsidRPr="0097554A">
        <w:rPr>
          <w:color w:val="0000FF"/>
          <w:lang w:val="el-GR"/>
        </w:rPr>
        <w:t>；</w:t>
      </w:r>
      <w:r w:rsidRPr="004C59BB">
        <w:rPr>
          <w:color w:val="0000FF"/>
        </w:rPr>
        <w:t>另见迪奥</w:t>
      </w:r>
      <w:r w:rsidRPr="0097554A">
        <w:rPr>
          <w:color w:val="0000FF"/>
          <w:lang w:val="el-GR"/>
        </w:rPr>
        <w:t>·</w:t>
      </w:r>
      <w:r w:rsidRPr="004C59BB">
        <w:rPr>
          <w:color w:val="0000FF"/>
        </w:rPr>
        <w:t>帕塔维亚</w:t>
      </w:r>
      <w:r w:rsidRPr="0097554A">
        <w:rPr>
          <w:color w:val="0000FF"/>
          <w:lang w:val="el-GR"/>
        </w:rPr>
        <w:t>（</w:t>
      </w:r>
      <w:r w:rsidRPr="004C59BB">
        <w:rPr>
          <w:color w:val="0000FF"/>
        </w:rPr>
        <w:t>Dion</w:t>
      </w:r>
      <w:r w:rsidRPr="0097554A">
        <w:rPr>
          <w:color w:val="0000FF"/>
          <w:lang w:val="el-GR"/>
        </w:rPr>
        <w:t>·</w:t>
      </w:r>
      <w:r w:rsidRPr="004C59BB">
        <w:rPr>
          <w:color w:val="0000FF"/>
        </w:rPr>
        <w:t>Patavus</w:t>
      </w:r>
      <w:r w:rsidRPr="0097554A">
        <w:rPr>
          <w:color w:val="0000FF"/>
          <w:lang w:val="el-GR"/>
        </w:rPr>
        <w:t>）</w:t>
      </w:r>
      <w:r w:rsidRPr="004C59BB">
        <w:rPr>
          <w:color w:val="0000FF"/>
        </w:rPr>
        <w:t>的《教义神学》</w:t>
      </w:r>
      <w:r w:rsidRPr="0097554A">
        <w:rPr>
          <w:color w:val="0000FF"/>
          <w:lang w:val="el-GR"/>
        </w:rPr>
        <w:t>（</w:t>
      </w:r>
      <w:r w:rsidRPr="004C59BB">
        <w:rPr>
          <w:color w:val="0000FF"/>
        </w:rPr>
        <w:t>De</w:t>
      </w:r>
      <w:r w:rsidRPr="0097554A">
        <w:rPr>
          <w:color w:val="0000FF"/>
          <w:lang w:val="el-GR"/>
        </w:rPr>
        <w:t xml:space="preserve"> </w:t>
      </w:r>
      <w:r w:rsidRPr="004C59BB">
        <w:rPr>
          <w:color w:val="0000FF"/>
        </w:rPr>
        <w:t>Theolog</w:t>
      </w:r>
      <w:r w:rsidRPr="0097554A">
        <w:rPr>
          <w:color w:val="0000FF"/>
          <w:lang w:val="el-GR"/>
        </w:rPr>
        <w:t xml:space="preserve">. </w:t>
      </w:r>
      <w:r w:rsidRPr="004C59BB">
        <w:rPr>
          <w:color w:val="0000FF"/>
        </w:rPr>
        <w:t>dogmat</w:t>
      </w:r>
      <w:r w:rsidRPr="0097554A">
        <w:rPr>
          <w:color w:val="0000FF"/>
          <w:lang w:val="el-GR"/>
        </w:rPr>
        <w:t>.），</w:t>
      </w:r>
      <w:r w:rsidRPr="004C59BB">
        <w:rPr>
          <w:color w:val="0000FF"/>
        </w:rPr>
        <w:t>《论上帝》第九卷</w:t>
      </w:r>
      <w:r w:rsidRPr="0097554A">
        <w:rPr>
          <w:color w:val="0000FF"/>
          <w:lang w:val="el-GR"/>
        </w:rPr>
        <w:t>，</w:t>
      </w:r>
      <w:r w:rsidRPr="004C59BB">
        <w:rPr>
          <w:color w:val="0000FF"/>
        </w:rPr>
        <w:t>第</w:t>
      </w:r>
      <w:r w:rsidRPr="0097554A">
        <w:rPr>
          <w:color w:val="0000FF"/>
          <w:lang w:val="el-GR"/>
        </w:rPr>
        <w:t>4</w:t>
      </w:r>
      <w:r w:rsidRPr="004C59BB">
        <w:rPr>
          <w:color w:val="0000FF"/>
        </w:rPr>
        <w:t>章和第</w:t>
      </w:r>
      <w:r w:rsidRPr="0097554A">
        <w:rPr>
          <w:color w:val="0000FF"/>
          <w:lang w:val="el-GR"/>
        </w:rPr>
        <w:t>5</w:t>
      </w:r>
      <w:r w:rsidRPr="004C59BB">
        <w:rPr>
          <w:color w:val="0000FF"/>
        </w:rPr>
        <w:t>章。</w:t>
      </w:r>
    </w:p>
  </w:footnote>
  <w:footnote w:id="731">
    <w:p w14:paraId="7B080D18" w14:textId="50170617" w:rsidR="00254F25" w:rsidRPr="004C59BB" w:rsidRDefault="00000000">
      <w:pPr>
        <w:pStyle w:val="FootnoteText"/>
        <w:rPr>
          <w:color w:val="0000FF"/>
        </w:rPr>
      </w:pPr>
      <w:r w:rsidRPr="004C59BB">
        <w:rPr>
          <w:rStyle w:val="FootnoteReference"/>
          <w:color w:val="0000FF"/>
        </w:rPr>
        <w:footnoteRef/>
      </w:r>
      <w:r w:rsidRPr="0097554A">
        <w:rPr>
          <w:color w:val="0000FF"/>
          <w:lang w:val="el-GR"/>
        </w:rPr>
        <w:t xml:space="preserve"> </w:t>
      </w:r>
      <w:r w:rsidRPr="004C59BB">
        <w:rPr>
          <w:color w:val="0000FF"/>
        </w:rPr>
        <w:t>《文集》第三卷</w:t>
      </w:r>
      <w:r w:rsidRPr="0097554A">
        <w:rPr>
          <w:color w:val="0000FF"/>
          <w:lang w:val="el-GR"/>
        </w:rPr>
        <w:t>，</w:t>
      </w:r>
      <w:r w:rsidRPr="004C59BB">
        <w:rPr>
          <w:color w:val="0000FF"/>
        </w:rPr>
        <w:t>第</w:t>
      </w:r>
      <w:r w:rsidRPr="0097554A">
        <w:rPr>
          <w:color w:val="0000FF"/>
          <w:lang w:val="el-GR"/>
        </w:rPr>
        <w:t>15</w:t>
      </w:r>
      <w:r w:rsidRPr="004C59BB">
        <w:rPr>
          <w:color w:val="0000FF"/>
        </w:rPr>
        <w:t>页。同上：《我们应当相信那位被认识者的认识，因为我们所相信的关于祂的一切，都源于祂自身；因为上帝若不亲自赐予人类对祂的认识，人类便无法认识祂》（《论道成肉身》第四卷，第四章）。</w:t>
      </w:r>
    </w:p>
  </w:footnote>
  <w:footnote w:id="732">
    <w:p w14:paraId="74DDA36B" w14:textId="3B3C50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《论坚忍之恩》第XXIII章，第63节。</w:t>
      </w:r>
    </w:p>
  </w:footnote>
  <w:footnote w:id="733">
    <w:p w14:paraId="10156D86" w14:textId="37936C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《论圣徒的预定》第一章，第4条；参见第三章，第7条。</w:t>
      </w:r>
    </w:p>
  </w:footnote>
  <w:footnote w:id="734">
    <w:p w14:paraId="692D5D17" w14:textId="63743C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《反驳考官》，第十二章，第36条。</w:t>
      </w:r>
    </w:p>
  </w:footnote>
  <w:footnote w:id="735">
    <w:p w14:paraId="41BC6429" w14:textId="603B5EC4"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《论道成肉身与恩典》第十八章。接着又说：如果上帝不借着他的恩典赐予人，人就永远无法愿意相信上帝，因为人自身的意志并非源于恩典，而是由上帝在人里面所成就的（第二十一章</w:t>
      </w:r>
      <w:r w:rsidRPr="0097554A">
        <w:rPr>
          <w:color w:val="0000FF"/>
        </w:rPr>
        <w:t>）</w:t>
      </w:r>
      <w:r w:rsidRPr="004C59BB">
        <w:rPr>
          <w:color w:val="0000FF"/>
          <w:lang w:val="ru-RU"/>
        </w:rPr>
        <w:t>。</w:t>
      </w:r>
    </w:p>
  </w:footnote>
  <w:footnote w:id="736">
    <w:p w14:paraId="7C644397" w14:textId="2858B4E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教规</w:t>
      </w:r>
      <w:r w:rsidRPr="004C59BB">
        <w:rPr>
          <w:color w:val="0000FF"/>
          <w:lang w:val="ru-RU"/>
        </w:rPr>
        <w:t>》</w:t>
      </w:r>
      <w:r w:rsidRPr="004C59BB">
        <w:rPr>
          <w:color w:val="0000FF"/>
        </w:rPr>
        <w:t>第XXV条</w:t>
      </w:r>
      <w:r w:rsidRPr="0097554A">
        <w:rPr>
          <w:color w:val="0000FF"/>
        </w:rPr>
        <w:t>，</w:t>
      </w:r>
      <w:r w:rsidRPr="004C59BB">
        <w:rPr>
          <w:color w:val="0000FF"/>
        </w:rPr>
        <w:t>见哈杜因（Harduin）</w:t>
      </w:r>
      <w:r w:rsidRPr="004C59BB">
        <w:rPr>
          <w:color w:val="0000FF"/>
          <w:lang w:val="ru-RU"/>
        </w:rPr>
        <w:t>所著</w:t>
      </w:r>
      <w:r w:rsidRPr="004C59BB">
        <w:rPr>
          <w:color w:val="0000FF"/>
        </w:rPr>
        <w:t>同上著作</w:t>
      </w:r>
      <w:r w:rsidRPr="0097554A">
        <w:rPr>
          <w:color w:val="0000FF"/>
        </w:rPr>
        <w:t>，</w:t>
      </w:r>
      <w:r w:rsidRPr="004C59BB">
        <w:rPr>
          <w:color w:val="0000FF"/>
          <w:lang w:val="ru-RU"/>
        </w:rPr>
        <w:t>第</w:t>
      </w:r>
      <w:r w:rsidRPr="0097554A">
        <w:rPr>
          <w:color w:val="0000FF"/>
        </w:rPr>
        <w:t>1102</w:t>
      </w:r>
      <w:r w:rsidRPr="004C59BB">
        <w:rPr>
          <w:color w:val="0000FF"/>
          <w:lang w:val="ru-RU"/>
        </w:rPr>
        <w:t>页。</w:t>
      </w:r>
    </w:p>
  </w:footnote>
  <w:footnote w:id="737">
    <w:p w14:paraId="6679A18C" w14:textId="2228B296"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圣灵在我们软弱的时候帮助我们</w:t>
      </w:r>
      <w:r w:rsidRPr="0097554A">
        <w:rPr>
          <w:color w:val="0000FF"/>
        </w:rPr>
        <w:t>，</w:t>
      </w:r>
      <w:r w:rsidRPr="004C59BB">
        <w:rPr>
          <w:color w:val="0000FF"/>
          <w:lang w:val="ru-RU"/>
        </w:rPr>
        <w:t>并按着我们心灵的律法</w:t>
      </w:r>
      <w:r w:rsidRPr="0097554A">
        <w:rPr>
          <w:color w:val="0000FF"/>
        </w:rPr>
        <w:t>，</w:t>
      </w:r>
      <w:r w:rsidRPr="004C59BB">
        <w:rPr>
          <w:color w:val="0000FF"/>
          <w:lang w:val="ru-RU"/>
        </w:rPr>
        <w:t>赐给我们力量</w:t>
      </w:r>
      <w:r w:rsidRPr="0097554A">
        <w:rPr>
          <w:color w:val="0000FF"/>
        </w:rPr>
        <w:t>，</w:t>
      </w:r>
      <w:r w:rsidRPr="004C59BB">
        <w:rPr>
          <w:color w:val="0000FF"/>
          <w:lang w:val="ru-RU"/>
        </w:rPr>
        <w:t>对抗我们肢体中存在的律法</w:t>
      </w:r>
      <w:r w:rsidRPr="0097554A">
        <w:rPr>
          <w:color w:val="0000FF"/>
        </w:rPr>
        <w:t>（</w:t>
      </w:r>
      <w:r w:rsidRPr="004C59BB">
        <w:rPr>
          <w:color w:val="0000FF"/>
          <w:lang w:val="ru-RU"/>
        </w:rPr>
        <w:t>罗</w:t>
      </w:r>
      <w:r w:rsidRPr="0097554A">
        <w:rPr>
          <w:color w:val="0000FF"/>
        </w:rPr>
        <w:t>8:26）</w:t>
      </w:r>
      <w:r w:rsidRPr="004C59BB">
        <w:rPr>
          <w:color w:val="0000FF"/>
          <w:lang w:val="ru-RU"/>
        </w:rPr>
        <w:t>。” “我们本不晓得当怎样祷告才合宜，但圣灵亲自用说不出的叹息替我们祈求，就是教导我们当怎样祷告”（约翰·达马斯库斯，《正统信仰的精确阐述》，</w:t>
      </w:r>
      <w:r w:rsidRPr="004C59BB">
        <w:rPr>
          <w:color w:val="0000FF"/>
        </w:rPr>
        <w:t>第四</w:t>
      </w:r>
      <w:r w:rsidRPr="004C59BB">
        <w:rPr>
          <w:color w:val="0000FF"/>
          <w:lang w:val="ru-RU"/>
        </w:rPr>
        <w:t>卷，第22章，第289页）。</w:t>
      </w:r>
    </w:p>
  </w:footnote>
  <w:footnote w:id="738">
    <w:p w14:paraId="1336B7B3" w14:textId="36A4178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反异端论</w:t>
      </w:r>
      <w:r w:rsidRPr="004C59BB">
        <w:rPr>
          <w:color w:val="0000FF"/>
          <w:lang w:val="ru-RU"/>
        </w:rPr>
        <w:t>》</w:t>
      </w:r>
      <w:r w:rsidRPr="004C59BB">
        <w:rPr>
          <w:color w:val="0000FF"/>
        </w:rPr>
        <w:t>第三</w:t>
      </w:r>
      <w:r w:rsidRPr="004C59BB">
        <w:rPr>
          <w:color w:val="0000FF"/>
          <w:lang w:val="ru-RU"/>
        </w:rPr>
        <w:t>卷，第17章，</w:t>
      </w:r>
      <w:r w:rsidRPr="004C59BB">
        <w:rPr>
          <w:color w:val="0000FF"/>
        </w:rPr>
        <w:t>注</w:t>
      </w:r>
      <w:r w:rsidRPr="004C59BB">
        <w:rPr>
          <w:color w:val="0000FF"/>
          <w:lang w:val="ru-RU"/>
        </w:rPr>
        <w:t>2、3。</w:t>
      </w:r>
    </w:p>
  </w:footnote>
  <w:footnote w:id="739">
    <w:p w14:paraId="29E7BB3E" w14:textId="5688F467"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《马太福音》19:1的第37段注释，见《圣教父</w:t>
      </w:r>
      <w:r w:rsidRPr="004C59BB">
        <w:rPr>
          <w:color w:val="0000FF"/>
        </w:rPr>
        <w:t>文集》第三卷</w:t>
      </w:r>
      <w:r w:rsidRPr="0097554A">
        <w:rPr>
          <w:color w:val="0000FF"/>
          <w:lang w:val="ru-RU"/>
        </w:rPr>
        <w:t>，</w:t>
      </w:r>
      <w:r w:rsidRPr="004C59BB">
        <w:rPr>
          <w:color w:val="0000FF"/>
        </w:rPr>
        <w:t>第</w:t>
      </w:r>
      <w:r w:rsidRPr="0097554A">
        <w:rPr>
          <w:color w:val="0000FF"/>
          <w:lang w:val="ru-RU"/>
        </w:rPr>
        <w:t>225</w:t>
      </w:r>
      <w:r w:rsidRPr="004C59BB">
        <w:rPr>
          <w:color w:val="0000FF"/>
        </w:rPr>
        <w:t>页。</w:t>
      </w:r>
    </w:p>
  </w:footnote>
  <w:footnote w:id="740">
    <w:p w14:paraId="1AD79A10" w14:textId="49BCFBB1"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《创世记讲道集》第LVIII篇</w:t>
      </w:r>
      <w:r w:rsidRPr="0097554A">
        <w:rPr>
          <w:color w:val="0000FF"/>
          <w:lang w:val="ru-RU"/>
        </w:rPr>
        <w:t>，</w:t>
      </w:r>
      <w:r w:rsidRPr="004C59BB">
        <w:rPr>
          <w:color w:val="0000FF"/>
          <w:lang w:val="el-GR"/>
        </w:rPr>
        <w:t>注</w:t>
      </w:r>
      <w:r w:rsidRPr="0097554A">
        <w:rPr>
          <w:color w:val="0000FF"/>
          <w:lang w:val="ru-RU"/>
        </w:rPr>
        <w:t>5</w:t>
      </w:r>
      <w:r w:rsidRPr="004C59BB">
        <w:rPr>
          <w:color w:val="0000FF"/>
          <w:lang w:val="el-GR"/>
        </w:rPr>
        <w:t>。</w:t>
      </w:r>
      <w:r w:rsidRPr="004C59BB">
        <w:rPr>
          <w:color w:val="0000FF"/>
        </w:rPr>
        <w:t>或译</w:t>
      </w:r>
      <w:r w:rsidRPr="004C59BB">
        <w:rPr>
          <w:color w:val="0000FF"/>
          <w:lang w:val="el-GR"/>
        </w:rPr>
        <w:t>：因为若非享受来自上天的恩典，我们绝不可能成就任何善事</w:t>
      </w:r>
      <w:r w:rsidRPr="004C59BB">
        <w:rPr>
          <w:color w:val="0000FF"/>
        </w:rPr>
        <w:t>。《创世记讲道集》第XXV篇，注7。</w:t>
      </w:r>
    </w:p>
  </w:footnote>
  <w:footnote w:id="741">
    <w:p w14:paraId="202B654D" w14:textId="556C6C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《论先知之奥秘》第九卷，第5节。</w:t>
      </w:r>
    </w:p>
  </w:footnote>
  <w:footnote w:id="742">
    <w:p w14:paraId="05B479FD" w14:textId="38D5C9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《论本性与恩典》第XVI章。</w:t>
      </w:r>
    </w:p>
  </w:footnote>
  <w:footnote w:id="743">
    <w:p w14:paraId="277BB2BC" w14:textId="017CA7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希拉里《诗篇注释》第146篇，第12节；埃弗拉姆《致修士书》第III卷，第347页。</w:t>
      </w:r>
    </w:p>
  </w:footnote>
  <w:footnote w:id="744">
    <w:p w14:paraId="014CA400" w14:textId="30E9F6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《约翰福音》第十四章第18节注；《撒迦利亚书》第LXXXV节注。</w:t>
      </w:r>
    </w:p>
  </w:footnote>
  <w:footnote w:id="745">
    <w:p w14:paraId="066F421C" w14:textId="0DE475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毫无疑问，上帝是善行与属灵修习的源头，祂既激发人心，又协助行动（《致马丁书》第LXI封，及《致长老福斯图斯书》第1章）。</w:t>
      </w:r>
    </w:p>
  </w:footnote>
  <w:footnote w:id="746">
    <w:p w14:paraId="7612F2C0" w14:textId="1120A3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彼得·克里索洛格，《讲道集》第LXXI篇；马里乌斯·维克托林，《腓立比书注释》第X章第13节。</w:t>
      </w:r>
    </w:p>
  </w:footnote>
  <w:footnote w:id="747">
    <w:p w14:paraId="352DDAA5" w14:textId="4E295E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参见上文第93节。</w:t>
      </w:r>
    </w:p>
  </w:footnote>
  <w:footnote w:id="748">
    <w:p w14:paraId="2DE9E568" w14:textId="13100817"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《论坚忍之恩》第八章，第15节；第二至第六章，载于《教父文集》第XLV卷</w:t>
      </w:r>
      <w:r w:rsidRPr="0097554A">
        <w:rPr>
          <w:color w:val="0000FF"/>
        </w:rPr>
        <w:t>，</w:t>
      </w:r>
      <w:r w:rsidRPr="004C59BB">
        <w:rPr>
          <w:color w:val="0000FF"/>
          <w:lang w:val="ru-RU"/>
        </w:rPr>
        <w:t>第</w:t>
      </w:r>
      <w:r w:rsidRPr="0097554A">
        <w:rPr>
          <w:color w:val="0000FF"/>
        </w:rPr>
        <w:t>1002</w:t>
      </w:r>
      <w:r w:rsidRPr="004C59BB">
        <w:rPr>
          <w:color w:val="0000FF"/>
          <w:lang w:val="ru-RU"/>
        </w:rPr>
        <w:t>页。</w:t>
      </w:r>
    </w:p>
  </w:footnote>
  <w:footnote w:id="749">
    <w:p w14:paraId="3B9753A9" w14:textId="44B8854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《诗篇》</w:t>
      </w:r>
      <w:r w:rsidRPr="004C59BB">
        <w:rPr>
          <w:color w:val="0000FF"/>
        </w:rPr>
        <w:t>第XLIV</w:t>
      </w:r>
      <w:r w:rsidRPr="004C59BB">
        <w:rPr>
          <w:color w:val="0000FF"/>
          <w:lang w:val="ru-RU"/>
        </w:rPr>
        <w:t>篇第</w:t>
      </w:r>
      <w:r w:rsidRPr="0097554A">
        <w:rPr>
          <w:color w:val="0000FF"/>
        </w:rPr>
        <w:t>3</w:t>
      </w:r>
      <w:r w:rsidRPr="004C59BB">
        <w:rPr>
          <w:color w:val="0000FF"/>
          <w:lang w:val="ru-RU"/>
        </w:rPr>
        <w:t>节的讲道</w:t>
      </w:r>
      <w:r w:rsidRPr="0097554A">
        <w:rPr>
          <w:color w:val="0000FF"/>
        </w:rPr>
        <w:t>，</w:t>
      </w:r>
      <w:r w:rsidRPr="004C59BB">
        <w:rPr>
          <w:color w:val="0000FF"/>
          <w:lang w:val="ru-RU"/>
        </w:rPr>
        <w:t>载于《圣教父著作集》</w:t>
      </w:r>
      <w:r w:rsidRPr="004C59BB">
        <w:rPr>
          <w:color w:val="0000FF"/>
        </w:rPr>
        <w:t>第V卷</w:t>
      </w:r>
      <w:r w:rsidRPr="0097554A">
        <w:rPr>
          <w:color w:val="0000FF"/>
        </w:rPr>
        <w:t>，</w:t>
      </w:r>
      <w:r w:rsidRPr="004C59BB">
        <w:rPr>
          <w:color w:val="0000FF"/>
          <w:lang w:val="ru-RU"/>
        </w:rPr>
        <w:t>第</w:t>
      </w:r>
      <w:r w:rsidRPr="0097554A">
        <w:rPr>
          <w:color w:val="0000FF"/>
        </w:rPr>
        <w:t>323</w:t>
      </w:r>
      <w:r w:rsidRPr="004C59BB">
        <w:rPr>
          <w:color w:val="0000FF"/>
          <w:lang w:val="ru-RU"/>
        </w:rPr>
        <w:t>页。</w:t>
      </w:r>
    </w:p>
  </w:footnote>
  <w:footnote w:id="750">
    <w:p w14:paraId="3D1E3567" w14:textId="321E0ED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《诗篇》</w:t>
      </w:r>
      <w:r w:rsidRPr="004C59BB">
        <w:rPr>
          <w:color w:val="0000FF"/>
        </w:rPr>
        <w:t>第七</w:t>
      </w:r>
      <w:r w:rsidRPr="004C59BB">
        <w:rPr>
          <w:color w:val="0000FF"/>
          <w:lang w:val="ru-RU"/>
        </w:rPr>
        <w:t>篇第</w:t>
      </w:r>
      <w:r w:rsidRPr="0097554A">
        <w:rPr>
          <w:color w:val="0000FF"/>
        </w:rPr>
        <w:t>10</w:t>
      </w:r>
      <w:r w:rsidRPr="004C59BB">
        <w:rPr>
          <w:color w:val="0000FF"/>
          <w:lang w:val="ru-RU"/>
        </w:rPr>
        <w:t>节讲道</w:t>
      </w:r>
      <w:r w:rsidRPr="0097554A">
        <w:rPr>
          <w:color w:val="0000FF"/>
        </w:rPr>
        <w:t>，</w:t>
      </w:r>
      <w:r w:rsidRPr="004C59BB">
        <w:rPr>
          <w:color w:val="0000FF"/>
          <w:lang w:val="ru-RU"/>
        </w:rPr>
        <w:t>同上</w:t>
      </w:r>
      <w:r w:rsidRPr="0097554A">
        <w:rPr>
          <w:color w:val="0000FF"/>
        </w:rPr>
        <w:t>，</w:t>
      </w:r>
      <w:r w:rsidRPr="004C59BB">
        <w:rPr>
          <w:color w:val="0000FF"/>
          <w:lang w:val="ru-RU"/>
        </w:rPr>
        <w:t>第</w:t>
      </w:r>
      <w:r w:rsidRPr="0097554A">
        <w:rPr>
          <w:color w:val="0000FF"/>
        </w:rPr>
        <w:t>205</w:t>
      </w:r>
      <w:r w:rsidRPr="004C59BB">
        <w:rPr>
          <w:color w:val="0000FF"/>
          <w:lang w:val="ru-RU"/>
        </w:rPr>
        <w:t>页。</w:t>
      </w:r>
    </w:p>
  </w:footnote>
  <w:footnote w:id="751">
    <w:p w14:paraId="4F1BA68C" w14:textId="5877154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《马太福音》</w:t>
      </w:r>
      <w:r w:rsidRPr="0097554A">
        <w:rPr>
          <w:color w:val="0000FF"/>
        </w:rPr>
        <w:t>19:1</w:t>
      </w:r>
      <w:r w:rsidRPr="004C59BB">
        <w:rPr>
          <w:color w:val="0000FF"/>
          <w:lang w:val="ru-RU"/>
        </w:rPr>
        <w:t>的第</w:t>
      </w:r>
      <w:r w:rsidRPr="0097554A">
        <w:rPr>
          <w:color w:val="0000FF"/>
        </w:rPr>
        <w:t>37</w:t>
      </w:r>
      <w:r w:rsidRPr="004C59BB">
        <w:rPr>
          <w:color w:val="0000FF"/>
          <w:lang w:val="ru-RU"/>
        </w:rPr>
        <w:t>段讲道</w:t>
      </w:r>
      <w:r w:rsidRPr="0097554A">
        <w:rPr>
          <w:color w:val="0000FF"/>
        </w:rPr>
        <w:t>，</w:t>
      </w:r>
      <w:r w:rsidRPr="004C59BB">
        <w:rPr>
          <w:color w:val="0000FF"/>
          <w:lang w:val="ru-RU"/>
        </w:rPr>
        <w:t>同上</w:t>
      </w:r>
      <w:r w:rsidRPr="004C59BB">
        <w:rPr>
          <w:color w:val="0000FF"/>
        </w:rPr>
        <w:t>卷III</w:t>
      </w:r>
      <w:r w:rsidRPr="0097554A">
        <w:rPr>
          <w:color w:val="0000FF"/>
        </w:rPr>
        <w:t>，</w:t>
      </w:r>
      <w:r w:rsidRPr="004C59BB">
        <w:rPr>
          <w:color w:val="0000FF"/>
          <w:lang w:val="ru-RU"/>
        </w:rPr>
        <w:t>第</w:t>
      </w:r>
      <w:r w:rsidRPr="0097554A">
        <w:rPr>
          <w:color w:val="0000FF"/>
        </w:rPr>
        <w:t>225</w:t>
      </w:r>
      <w:r w:rsidRPr="004C59BB">
        <w:rPr>
          <w:color w:val="0000FF"/>
          <w:lang w:val="ru-RU"/>
        </w:rPr>
        <w:t>页。</w:t>
      </w:r>
    </w:p>
  </w:footnote>
  <w:footnote w:id="752">
    <w:p w14:paraId="31ABE92A" w14:textId="0ECB80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《致帖撒罗尼迦后书讲道集》第六篇，第2节。</w:t>
      </w:r>
    </w:p>
  </w:footnote>
  <w:footnote w:id="753">
    <w:p w14:paraId="6AD6FFD7" w14:textId="3E98CCE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《致高卢主教书》</w:t>
      </w:r>
      <w:r w:rsidRPr="004C59BB">
        <w:rPr>
          <w:color w:val="0000FF"/>
          <w:lang w:val="ru-RU"/>
        </w:rPr>
        <w:t>第</w:t>
      </w:r>
      <w:r w:rsidRPr="0097554A">
        <w:rPr>
          <w:color w:val="0000FF"/>
        </w:rPr>
        <w:t>6</w:t>
      </w:r>
      <w:r w:rsidRPr="004C59BB">
        <w:rPr>
          <w:color w:val="0000FF"/>
          <w:lang w:val="ru-RU"/>
        </w:rPr>
        <w:t>章。其他教会教师也宣讲了同样的教义：伊拉里乌斯（《诗篇》</w:t>
      </w:r>
      <w:r w:rsidRPr="004C59BB">
        <w:rPr>
          <w:color w:val="0000FF"/>
        </w:rPr>
        <w:t>第</w:t>
      </w:r>
      <w:r w:rsidRPr="0097554A">
        <w:rPr>
          <w:color w:val="0000FF"/>
          <w:lang w:val="ru-RU"/>
        </w:rPr>
        <w:t>142</w:t>
      </w:r>
      <w:r w:rsidRPr="004C59BB">
        <w:rPr>
          <w:color w:val="0000FF"/>
        </w:rPr>
        <w:t>篇</w:t>
      </w:r>
      <w:r w:rsidRPr="0097554A">
        <w:rPr>
          <w:color w:val="0000FF"/>
          <w:lang w:val="ru-RU"/>
        </w:rPr>
        <w:t>，</w:t>
      </w:r>
      <w:r w:rsidRPr="004C59BB">
        <w:rPr>
          <w:color w:val="0000FF"/>
        </w:rPr>
        <w:t>第</w:t>
      </w:r>
      <w:r w:rsidRPr="0097554A">
        <w:rPr>
          <w:color w:val="0000FF"/>
          <w:lang w:val="ru-RU"/>
        </w:rPr>
        <w:t>9</w:t>
      </w:r>
      <w:r w:rsidRPr="004C59BB">
        <w:rPr>
          <w:color w:val="0000FF"/>
        </w:rPr>
        <w:t>节</w:t>
      </w:r>
      <w:r w:rsidRPr="0097554A">
        <w:rPr>
          <w:color w:val="0000FF"/>
          <w:lang w:val="ru-RU"/>
        </w:rPr>
        <w:t>）</w:t>
      </w:r>
      <w:r w:rsidRPr="004C59BB">
        <w:rPr>
          <w:color w:val="0000FF"/>
        </w:rPr>
        <w:t>、亚历山大的西里尔</w:t>
      </w:r>
      <w:r w:rsidRPr="0097554A">
        <w:rPr>
          <w:color w:val="0000FF"/>
          <w:lang w:val="ru-RU"/>
        </w:rPr>
        <w:t>（</w:t>
      </w:r>
      <w:r w:rsidRPr="004C59BB">
        <w:rPr>
          <w:color w:val="0000FF"/>
        </w:rPr>
        <w:t>《约翰福音》第</w:t>
      </w:r>
      <w:r w:rsidRPr="0097554A">
        <w:rPr>
          <w:color w:val="0000FF"/>
          <w:lang w:val="ru-RU"/>
        </w:rPr>
        <w:t>14</w:t>
      </w:r>
      <w:r w:rsidRPr="004C59BB">
        <w:rPr>
          <w:color w:val="0000FF"/>
        </w:rPr>
        <w:t>章</w:t>
      </w:r>
      <w:r w:rsidRPr="0097554A">
        <w:rPr>
          <w:color w:val="0000FF"/>
          <w:lang w:val="ru-RU"/>
        </w:rPr>
        <w:t>，</w:t>
      </w:r>
      <w:r w:rsidRPr="004C59BB">
        <w:rPr>
          <w:color w:val="0000FF"/>
        </w:rPr>
        <w:t>第</w:t>
      </w:r>
      <w:r w:rsidRPr="0097554A">
        <w:rPr>
          <w:color w:val="0000FF"/>
          <w:lang w:val="ru-RU"/>
        </w:rPr>
        <w:t>18</w:t>
      </w:r>
      <w:r w:rsidRPr="004C59BB">
        <w:rPr>
          <w:color w:val="0000FF"/>
        </w:rPr>
        <w:t>节</w:t>
      </w:r>
      <w:r w:rsidRPr="0097554A">
        <w:rPr>
          <w:color w:val="0000FF"/>
          <w:lang w:val="ru-RU"/>
        </w:rPr>
        <w:t>）</w:t>
      </w:r>
      <w:r w:rsidRPr="004C59BB">
        <w:rPr>
          <w:color w:val="0000FF"/>
        </w:rPr>
        <w:t>、普罗斯佩尔</w:t>
      </w:r>
      <w:r w:rsidRPr="0097554A">
        <w:rPr>
          <w:color w:val="0000FF"/>
          <w:lang w:val="ru-RU"/>
        </w:rPr>
        <w:t>（</w:t>
      </w:r>
      <w:r w:rsidRPr="004C59BB">
        <w:rPr>
          <w:color w:val="0000FF"/>
        </w:rPr>
        <w:t>《答高卢人书》</w:t>
      </w:r>
      <w:r w:rsidRPr="0097554A">
        <w:rPr>
          <w:color w:val="0000FF"/>
          <w:lang w:val="ru-RU"/>
        </w:rPr>
        <w:t xml:space="preserve"> </w:t>
      </w:r>
      <w:r w:rsidRPr="004C59BB">
        <w:rPr>
          <w:color w:val="0000FF"/>
        </w:rPr>
        <w:t>Obj</w:t>
      </w:r>
      <w:r w:rsidRPr="0097554A">
        <w:rPr>
          <w:color w:val="0000FF"/>
          <w:lang w:val="ru-RU"/>
        </w:rPr>
        <w:t xml:space="preserve">. </w:t>
      </w:r>
      <w:r w:rsidRPr="004C59BB">
        <w:rPr>
          <w:color w:val="0000FF"/>
        </w:rPr>
        <w:t>VII</w:t>
      </w:r>
      <w:r w:rsidRPr="004C59BB">
        <w:rPr>
          <w:color w:val="0000FF"/>
          <w:lang w:val="ru-RU"/>
        </w:rPr>
        <w:t>）、埃德萨的西奥多（《一百篇有益于灵魂的篇章》，第68和71章，载于《基督教读物》1825年版，</w:t>
      </w:r>
      <w:r w:rsidRPr="004C59BB">
        <w:rPr>
          <w:color w:val="0000FF"/>
        </w:rPr>
        <w:t>第十七卷</w:t>
      </w:r>
      <w:r w:rsidRPr="004C59BB">
        <w:rPr>
          <w:color w:val="0000FF"/>
          <w:lang w:val="ru-RU"/>
        </w:rPr>
        <w:t>，第155、159页）。</w:t>
      </w:r>
    </w:p>
  </w:footnote>
  <w:footnote w:id="754">
    <w:p w14:paraId="67032724" w14:textId="2A926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致哥林多前书</w:t>
      </w:r>
      <w:r w:rsidRPr="004C59BB">
        <w:rPr>
          <w:color w:val="0000FF"/>
          <w:lang w:val="ru-RU"/>
        </w:rPr>
        <w:t>》注释第1、7条（载于《基督教读物》1824年版，</w:t>
      </w:r>
      <w:r w:rsidRPr="004C59BB">
        <w:rPr>
          <w:color w:val="0000FF"/>
        </w:rPr>
        <w:t>第十四卷</w:t>
      </w:r>
      <w:r w:rsidRPr="004C59BB">
        <w:rPr>
          <w:color w:val="0000FF"/>
          <w:lang w:val="ru-RU"/>
        </w:rPr>
        <w:t>，第245页）。</w:t>
      </w:r>
    </w:p>
  </w:footnote>
  <w:footnote w:id="755">
    <w:p w14:paraId="1406D358" w14:textId="49E33157" w:rsidR="00254F25" w:rsidRPr="004C59BB" w:rsidRDefault="00000000">
      <w:pPr>
        <w:pStyle w:val="FootnoteText"/>
        <w:rPr>
          <w:color w:val="0000FF"/>
        </w:rPr>
      </w:pPr>
      <w:r w:rsidRPr="004C59BB">
        <w:rPr>
          <w:rStyle w:val="FootnoteReference"/>
          <w:color w:val="0000FF"/>
        </w:rPr>
        <w:footnoteRef/>
      </w:r>
      <w:r w:rsidRPr="0097554A">
        <w:rPr>
          <w:color w:val="0000FF"/>
          <w:lang w:val="el-GR"/>
        </w:rPr>
        <w:t xml:space="preserve"> ή μεν γάρ χάρΐς εις πάντας εκκέχοται</w:t>
      </w:r>
      <w:r w:rsidRPr="004C59BB">
        <w:rPr>
          <w:color w:val="0000FF"/>
          <w:lang w:val="ru-RU"/>
        </w:rPr>
        <w:t>。</w:t>
      </w:r>
      <w:r w:rsidRPr="004C59BB">
        <w:rPr>
          <w:color w:val="0000FF"/>
        </w:rPr>
        <w:t>In Joann. homil. VIII, n. 1, Opp. t. VIII, ed. Montfauc.</w:t>
      </w:r>
    </w:p>
  </w:footnote>
  <w:footnote w:id="756">
    <w:p w14:paraId="6B039EBA" w14:textId="53B380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《讲道集》第八篇，第57节，Maur. 校注。</w:t>
      </w:r>
    </w:p>
  </w:footnote>
  <w:footnote w:id="757">
    <w:p w14:paraId="655945AA" w14:textId="7BD9B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《约翰福音讲道集》第十二篇，第12段。</w:t>
      </w:r>
    </w:p>
  </w:footnote>
  <w:footnote w:id="758">
    <w:p w14:paraId="406BBFEF" w14:textId="4792DA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《致罗马人书》第八章，第29节。</w:t>
      </w:r>
    </w:p>
  </w:footnote>
  <w:footnote w:id="759">
    <w:p w14:paraId="1712D347" w14:textId="551000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《反异端》第四卷，39，注4。</w:t>
      </w:r>
    </w:p>
  </w:footnote>
  <w:footnote w:id="760">
    <w:p w14:paraId="28724560" w14:textId="325AF9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见《诗篇》第LXVII篇，第10节。</w:t>
      </w:r>
    </w:p>
  </w:footnote>
  <w:footnote w:id="761">
    <w:p w14:paraId="681D8E0B" w14:textId="2FA23480"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《诗篇》第LXIV篇</w:t>
      </w:r>
      <w:r w:rsidRPr="0097554A">
        <w:rPr>
          <w:color w:val="0000FF"/>
        </w:rPr>
        <w:t>，</w:t>
      </w:r>
      <w:r w:rsidRPr="004C59BB">
        <w:rPr>
          <w:color w:val="0000FF"/>
          <w:lang w:val="ru-RU"/>
        </w:rPr>
        <w:t>第</w:t>
      </w:r>
      <w:r w:rsidRPr="0097554A">
        <w:rPr>
          <w:color w:val="0000FF"/>
        </w:rPr>
        <w:t>5</w:t>
      </w:r>
      <w:r w:rsidRPr="004C59BB">
        <w:rPr>
          <w:color w:val="0000FF"/>
          <w:lang w:val="ru-RU"/>
        </w:rPr>
        <w:t>节。</w:t>
      </w:r>
    </w:p>
  </w:footnote>
  <w:footnote w:id="762">
    <w:p w14:paraId="3843D228" w14:textId="247218C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《马太福音讲道集》</w:t>
      </w:r>
      <w:r w:rsidRPr="004C59BB">
        <w:rPr>
          <w:color w:val="0000FF"/>
        </w:rPr>
        <w:t>第LXXIX</w:t>
      </w:r>
      <w:r w:rsidRPr="004C59BB">
        <w:rPr>
          <w:color w:val="0000FF"/>
          <w:lang w:val="ru-RU"/>
        </w:rPr>
        <w:t>篇</w:t>
      </w:r>
      <w:r w:rsidRPr="0097554A">
        <w:rPr>
          <w:color w:val="0000FF"/>
        </w:rPr>
        <w:t>，</w:t>
      </w:r>
      <w:r w:rsidRPr="004C59BB">
        <w:rPr>
          <w:color w:val="0000FF"/>
          <w:lang w:val="ru-RU"/>
        </w:rPr>
        <w:t>俄文译本</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362</w:t>
      </w:r>
      <w:r w:rsidRPr="004C59BB">
        <w:rPr>
          <w:color w:val="0000FF"/>
          <w:lang w:val="ru-RU"/>
        </w:rPr>
        <w:t>页</w:t>
      </w:r>
      <w:r w:rsidRPr="0097554A">
        <w:rPr>
          <w:color w:val="0000FF"/>
        </w:rPr>
        <w:t>，</w:t>
      </w:r>
      <w:r w:rsidRPr="004C59BB">
        <w:rPr>
          <w:color w:val="0000FF"/>
          <w:lang w:val="ru-RU"/>
        </w:rPr>
        <w:t>莫斯科</w:t>
      </w:r>
      <w:r w:rsidRPr="0097554A">
        <w:rPr>
          <w:color w:val="0000FF"/>
        </w:rPr>
        <w:t>，1839</w:t>
      </w:r>
      <w:r w:rsidRPr="004C59BB">
        <w:rPr>
          <w:color w:val="0000FF"/>
          <w:lang w:val="ru-RU"/>
        </w:rPr>
        <w:t>年。</w:t>
      </w:r>
    </w:p>
  </w:footnote>
  <w:footnote w:id="763">
    <w:p w14:paraId="3B203BBD" w14:textId="7C54B4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《以弗所书讲道集》第1篇，第2节。参见《罗马书讲道集》第XV篇，第1、2节。</w:t>
      </w:r>
    </w:p>
  </w:footnote>
  <w:footnote w:id="764">
    <w:p w14:paraId="413F0CE0" w14:textId="3A240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《论信仰》第五卷，第3章。</w:t>
      </w:r>
    </w:p>
  </w:footnote>
  <w:footnote w:id="765">
    <w:p w14:paraId="03E8A999" w14:textId="1E39F8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《全集》第VII卷，第460页，威尼斯，1584年。</w:t>
      </w:r>
    </w:p>
  </w:footnote>
  <w:footnote w:id="766">
    <w:p w14:paraId="74CC72A7" w14:textId="01642C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《罗马书》第八章第30节。参见《以弗所书》第一章第4节；《诗篇》第五十七篇第4节。</w:t>
      </w:r>
    </w:p>
  </w:footnote>
  <w:footnote w:id="767">
    <w:p w14:paraId="6D0F0377" w14:textId="53D054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参见《巴西尔希腊-拉丁文全集》第II卷，第220页末尾。巴黎，1618年。</w:t>
      </w:r>
    </w:p>
  </w:footnote>
  <w:footnote w:id="768">
    <w:p w14:paraId="403A81D0" w14:textId="1EADA1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贾斯汀，《护教辞》1，第44、45节；奥利金，《罗马书注》VIII，28；优西比乌，《诗篇注》LVII，8；杰罗姆，《玛拉基书注》1，2；亚历山大的西里尔，《玛拉基书注》1、2、3。 （《Xp. 读本》1842年版，第三卷，第10–14页）；格雷戈里·大教父，《对话录》第一卷，第8章。</w:t>
      </w:r>
    </w:p>
  </w:footnote>
  <w:footnote w:id="769">
    <w:p w14:paraId="3CD78962" w14:textId="2AC8BED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当使徒说</w:t>
      </w:r>
      <w:r w:rsidRPr="0097554A">
        <w:rPr>
          <w:color w:val="0000FF"/>
        </w:rPr>
        <w:t>‘</w:t>
      </w:r>
      <w:r w:rsidRPr="004C59BB">
        <w:rPr>
          <w:color w:val="0000FF"/>
          <w:lang w:val="ru-RU"/>
        </w:rPr>
        <w:t>既非出于愿意的</w:t>
      </w:r>
      <w:r w:rsidRPr="0097554A">
        <w:rPr>
          <w:color w:val="0000FF"/>
        </w:rPr>
        <w:t>，</w:t>
      </w:r>
      <w:r w:rsidRPr="004C59BB">
        <w:rPr>
          <w:color w:val="0000FF"/>
          <w:lang w:val="ru-RU"/>
        </w:rPr>
        <w:t>也非出于奔跑的</w:t>
      </w:r>
      <w:r w:rsidRPr="0097554A">
        <w:rPr>
          <w:color w:val="0000FF"/>
        </w:rPr>
        <w:t>’</w:t>
      </w:r>
      <w:r w:rsidRPr="004C59BB">
        <w:rPr>
          <w:color w:val="0000FF"/>
          <w:lang w:val="ru-RU"/>
        </w:rPr>
        <w:t>时</w:t>
      </w:r>
      <w:r w:rsidRPr="0097554A">
        <w:rPr>
          <w:color w:val="0000FF"/>
        </w:rPr>
        <w:t>，</w:t>
      </w:r>
      <w:r w:rsidRPr="004C59BB">
        <w:rPr>
          <w:color w:val="0000FF"/>
          <w:lang w:val="ru-RU"/>
        </w:rPr>
        <w:t>并非因此而剥夺了人的自由</w:t>
      </w:r>
      <w:r w:rsidRPr="0097554A">
        <w:rPr>
          <w:color w:val="0000FF"/>
        </w:rPr>
        <w:t>，</w:t>
      </w:r>
      <w:r w:rsidRPr="004C59BB">
        <w:rPr>
          <w:color w:val="0000FF"/>
          <w:lang w:val="ru-RU"/>
        </w:rPr>
        <w:t>而是表明并非一切都取决于人</w:t>
      </w:r>
      <w:r w:rsidRPr="0097554A">
        <w:rPr>
          <w:color w:val="0000FF"/>
        </w:rPr>
        <w:t>，</w:t>
      </w:r>
      <w:r w:rsidRPr="004C59BB">
        <w:rPr>
          <w:color w:val="0000FF"/>
          <w:lang w:val="ru-RU"/>
        </w:rPr>
        <w:t>相反</w:t>
      </w:r>
      <w:r w:rsidRPr="0097554A">
        <w:rPr>
          <w:color w:val="0000FF"/>
        </w:rPr>
        <w:t>，</w:t>
      </w:r>
      <w:r w:rsidRPr="004C59BB">
        <w:rPr>
          <w:color w:val="0000FF"/>
          <w:lang w:val="ru-RU"/>
        </w:rPr>
        <w:t>人需要来自上天的恩典。</w:t>
      </w:r>
      <w:r w:rsidRPr="0097554A">
        <w:rPr>
          <w:color w:val="0000FF"/>
        </w:rPr>
        <w:t xml:space="preserve"> </w:t>
      </w:r>
      <w:r w:rsidRPr="004C59BB">
        <w:rPr>
          <w:color w:val="0000FF"/>
          <w:lang w:val="ru-RU"/>
        </w:rPr>
        <w:t>虽然人应当既愿又行</w:t>
      </w:r>
      <w:r w:rsidRPr="0097554A">
        <w:rPr>
          <w:color w:val="0000FF"/>
        </w:rPr>
        <w:t>；</w:t>
      </w:r>
      <w:r w:rsidRPr="004C59BB">
        <w:rPr>
          <w:color w:val="0000FF"/>
          <w:lang w:val="ru-RU"/>
        </w:rPr>
        <w:t>然而</w:t>
      </w:r>
      <w:r w:rsidRPr="0097554A">
        <w:rPr>
          <w:color w:val="0000FF"/>
        </w:rPr>
        <w:t>，</w:t>
      </w:r>
      <w:r w:rsidRPr="004C59BB">
        <w:rPr>
          <w:color w:val="0000FF"/>
          <w:lang w:val="ru-RU"/>
        </w:rPr>
        <w:t>人不应倚靠自己的功绩</w:t>
      </w:r>
      <w:r w:rsidRPr="0097554A">
        <w:rPr>
          <w:color w:val="0000FF"/>
        </w:rPr>
        <w:t>，</w:t>
      </w:r>
      <w:r w:rsidRPr="004C59BB">
        <w:rPr>
          <w:color w:val="0000FF"/>
          <w:lang w:val="ru-RU"/>
        </w:rPr>
        <w:t>而应倚靠上帝对人的慈爱</w:t>
      </w:r>
      <w:r w:rsidRPr="0097554A">
        <w:rPr>
          <w:color w:val="0000FF"/>
        </w:rPr>
        <w:t>，</w:t>
      </w:r>
      <w:r w:rsidRPr="004C59BB">
        <w:rPr>
          <w:color w:val="0000FF"/>
          <w:lang w:val="ru-RU"/>
        </w:rPr>
        <w:t>正如使徒在另一处所言</w:t>
      </w:r>
      <w:r w:rsidRPr="0097554A">
        <w:rPr>
          <w:color w:val="0000FF"/>
        </w:rPr>
        <w:t>：‘</w:t>
      </w:r>
      <w:r w:rsidRPr="004C59BB">
        <w:rPr>
          <w:color w:val="0000FF"/>
          <w:lang w:val="ru-RU"/>
        </w:rPr>
        <w:t>不是我</w:t>
      </w:r>
      <w:r w:rsidRPr="0097554A">
        <w:rPr>
          <w:color w:val="0000FF"/>
        </w:rPr>
        <w:t>，</w:t>
      </w:r>
      <w:r w:rsidRPr="004C59BB">
        <w:rPr>
          <w:color w:val="0000FF"/>
          <w:lang w:val="ru-RU"/>
        </w:rPr>
        <w:t>乃是与我同在的上帝的恩典</w:t>
      </w:r>
      <w:r w:rsidRPr="0097554A">
        <w:rPr>
          <w:color w:val="0000FF"/>
        </w:rPr>
        <w:t>’（</w:t>
      </w:r>
      <w:r w:rsidRPr="004C59BB">
        <w:rPr>
          <w:color w:val="0000FF"/>
          <w:lang w:val="ru-RU"/>
        </w:rPr>
        <w:t>林前</w:t>
      </w:r>
      <w:r w:rsidRPr="0097554A">
        <w:rPr>
          <w:color w:val="0000FF"/>
        </w:rPr>
        <w:t> 15, 10）”</w:t>
      </w:r>
      <w:r w:rsidRPr="004C59BB">
        <w:rPr>
          <w:color w:val="0000FF"/>
          <w:lang w:val="ru-RU"/>
        </w:rPr>
        <w:t>。</w:t>
      </w:r>
      <w:r w:rsidRPr="0097554A">
        <w:rPr>
          <w:color w:val="0000FF"/>
        </w:rPr>
        <w:t xml:space="preserve"> （</w:t>
      </w:r>
      <w:r w:rsidRPr="004C59BB">
        <w:rPr>
          <w:color w:val="0000FF"/>
          <w:lang w:val="ru-RU"/>
        </w:rPr>
        <w:t>圣金口若望《罗马书讲道集》</w:t>
      </w:r>
      <w:r w:rsidRPr="004C59BB">
        <w:rPr>
          <w:color w:val="0000FF"/>
        </w:rPr>
        <w:t>第十六</w:t>
      </w:r>
      <w:r w:rsidRPr="004C59BB">
        <w:rPr>
          <w:color w:val="0000FF"/>
          <w:lang w:val="ru-RU"/>
        </w:rPr>
        <w:t>篇</w:t>
      </w:r>
      <w:r w:rsidRPr="0097554A">
        <w:rPr>
          <w:color w:val="0000FF"/>
        </w:rPr>
        <w:t>，</w:t>
      </w:r>
      <w:r w:rsidRPr="004C59BB">
        <w:rPr>
          <w:color w:val="0000FF"/>
          <w:lang w:val="ru-RU"/>
        </w:rPr>
        <w:t>第</w:t>
      </w:r>
      <w:r w:rsidRPr="0097554A">
        <w:rPr>
          <w:color w:val="0000FF"/>
        </w:rPr>
        <w:t>420</w:t>
      </w:r>
      <w:r w:rsidRPr="004C59BB">
        <w:rPr>
          <w:color w:val="0000FF"/>
          <w:lang w:val="ru-RU"/>
        </w:rPr>
        <w:t>页</w:t>
      </w:r>
      <w:r w:rsidRPr="0097554A">
        <w:rPr>
          <w:color w:val="0000FF"/>
        </w:rPr>
        <w:t>，</w:t>
      </w:r>
      <w:r w:rsidRPr="004C59BB">
        <w:rPr>
          <w:color w:val="0000FF"/>
          <w:lang w:val="ru-RU"/>
        </w:rPr>
        <w:t>莫斯科</w:t>
      </w:r>
      <w:r w:rsidRPr="0097554A">
        <w:rPr>
          <w:color w:val="0000FF"/>
        </w:rPr>
        <w:t>，1844</w:t>
      </w:r>
      <w:r w:rsidRPr="004C59BB">
        <w:rPr>
          <w:color w:val="0000FF"/>
          <w:lang w:val="ru-RU"/>
        </w:rPr>
        <w:t>年</w:t>
      </w:r>
      <w:r w:rsidRPr="0097554A">
        <w:rPr>
          <w:color w:val="0000FF"/>
        </w:rPr>
        <w:t>）</w:t>
      </w:r>
      <w:r w:rsidRPr="004C59BB">
        <w:rPr>
          <w:color w:val="0000FF"/>
          <w:lang w:val="ru-RU"/>
        </w:rPr>
        <w:t>。</w:t>
      </w:r>
    </w:p>
  </w:footnote>
  <w:footnote w:id="770">
    <w:p w14:paraId="16BA0FAC" w14:textId="568121F6"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圣金口若望《罗马书讲道集》</w:t>
      </w:r>
      <w:r w:rsidRPr="004C59BB">
        <w:rPr>
          <w:color w:val="0000FF"/>
        </w:rPr>
        <w:t>第十六</w:t>
      </w:r>
      <w:r w:rsidRPr="004C59BB">
        <w:rPr>
          <w:color w:val="0000FF"/>
          <w:lang w:val="ru-RU"/>
        </w:rPr>
        <w:t>篇</w:t>
      </w:r>
      <w:r w:rsidRPr="0097554A">
        <w:rPr>
          <w:color w:val="0000FF"/>
        </w:rPr>
        <w:t>，</w:t>
      </w:r>
      <w:r w:rsidRPr="004C59BB">
        <w:rPr>
          <w:color w:val="0000FF"/>
          <w:lang w:val="ru-RU"/>
        </w:rPr>
        <w:t>第</w:t>
      </w:r>
      <w:r w:rsidRPr="0097554A">
        <w:rPr>
          <w:color w:val="0000FF"/>
        </w:rPr>
        <w:t>406</w:t>
      </w:r>
      <w:r w:rsidRPr="004C59BB">
        <w:rPr>
          <w:color w:val="0000FF"/>
          <w:lang w:val="ru-RU"/>
        </w:rPr>
        <w:t>、</w:t>
      </w:r>
      <w:r w:rsidRPr="0097554A">
        <w:rPr>
          <w:color w:val="0000FF"/>
        </w:rPr>
        <w:t>407</w:t>
      </w:r>
      <w:r w:rsidRPr="004C59BB">
        <w:rPr>
          <w:color w:val="0000FF"/>
          <w:lang w:val="ru-RU"/>
        </w:rPr>
        <w:t>、</w:t>
      </w:r>
      <w:r w:rsidRPr="0097554A">
        <w:rPr>
          <w:color w:val="0000FF"/>
        </w:rPr>
        <w:t>411</w:t>
      </w:r>
      <w:r w:rsidRPr="004C59BB">
        <w:rPr>
          <w:color w:val="0000FF"/>
          <w:lang w:val="ru-RU"/>
        </w:rPr>
        <w:t>、</w:t>
      </w:r>
      <w:r w:rsidRPr="0097554A">
        <w:rPr>
          <w:color w:val="0000FF"/>
        </w:rPr>
        <w:t>418</w:t>
      </w:r>
      <w:r w:rsidRPr="004C59BB">
        <w:rPr>
          <w:color w:val="0000FF"/>
          <w:lang w:val="ru-RU"/>
        </w:rPr>
        <w:t>页。</w:t>
      </w:r>
    </w:p>
  </w:footnote>
  <w:footnote w:id="771">
    <w:p w14:paraId="0F342D38" w14:textId="578C935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辩护篇</w:t>
      </w:r>
      <w:r w:rsidRPr="004C59BB">
        <w:rPr>
          <w:color w:val="0000FF"/>
          <w:lang w:val="ru-RU"/>
        </w:rPr>
        <w:t>》</w:t>
      </w:r>
      <w:r w:rsidRPr="0097554A">
        <w:rPr>
          <w:color w:val="0000FF"/>
        </w:rPr>
        <w:t>1，</w:t>
      </w:r>
      <w:r w:rsidRPr="004C59BB">
        <w:rPr>
          <w:color w:val="0000FF"/>
          <w:lang w:val="ru-RU"/>
        </w:rPr>
        <w:t>第</w:t>
      </w:r>
      <w:r w:rsidRPr="0097554A">
        <w:rPr>
          <w:color w:val="0000FF"/>
        </w:rPr>
        <w:t>10</w:t>
      </w:r>
      <w:r w:rsidRPr="004C59BB">
        <w:rPr>
          <w:color w:val="0000FF"/>
          <w:lang w:val="ru-RU"/>
        </w:rPr>
        <w:t>节</w:t>
      </w:r>
      <w:r w:rsidRPr="0097554A">
        <w:rPr>
          <w:color w:val="0000FF"/>
        </w:rPr>
        <w:t>，</w:t>
      </w:r>
      <w:r w:rsidRPr="004C59BB">
        <w:rPr>
          <w:color w:val="0000FF"/>
          <w:lang w:val="ru-RU"/>
        </w:rPr>
        <w:t>载于《基督教读本》</w:t>
      </w:r>
      <w:r w:rsidRPr="0097554A">
        <w:rPr>
          <w:color w:val="0000FF"/>
        </w:rPr>
        <w:t>1825</w:t>
      </w:r>
      <w:r w:rsidRPr="004C59BB">
        <w:rPr>
          <w:color w:val="0000FF"/>
          <w:lang w:val="ru-RU"/>
        </w:rPr>
        <w:t>年版</w:t>
      </w:r>
      <w:r w:rsidRPr="0097554A">
        <w:rPr>
          <w:color w:val="0000FF"/>
        </w:rPr>
        <w:t>，</w:t>
      </w:r>
      <w:r w:rsidRPr="004C59BB">
        <w:rPr>
          <w:color w:val="0000FF"/>
        </w:rPr>
        <w:t>第XVII卷</w:t>
      </w:r>
      <w:r w:rsidRPr="0097554A">
        <w:rPr>
          <w:color w:val="0000FF"/>
        </w:rPr>
        <w:t>，</w:t>
      </w:r>
      <w:r w:rsidRPr="004C59BB">
        <w:rPr>
          <w:color w:val="0000FF"/>
          <w:lang w:val="ru-RU"/>
        </w:rPr>
        <w:t>第</w:t>
      </w:r>
      <w:r w:rsidRPr="0097554A">
        <w:rPr>
          <w:color w:val="0000FF"/>
        </w:rPr>
        <w:t>2</w:t>
      </w:r>
      <w:r w:rsidRPr="004C59BB">
        <w:rPr>
          <w:color w:val="0000FF"/>
          <w:lang w:val="ru-RU"/>
        </w:rPr>
        <w:t>、</w:t>
      </w:r>
      <w:r w:rsidRPr="0097554A">
        <w:rPr>
          <w:color w:val="0000FF"/>
        </w:rPr>
        <w:t>3</w:t>
      </w:r>
      <w:r w:rsidRPr="004C59BB">
        <w:rPr>
          <w:color w:val="0000FF"/>
          <w:lang w:val="ru-RU"/>
        </w:rPr>
        <w:t>页。</w:t>
      </w:r>
    </w:p>
  </w:footnote>
  <w:footnote w:id="772">
    <w:p w14:paraId="06B7F25D" w14:textId="1D83AC5A"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《论名称的改变》，讲道集第三卷，第6节。参见《约翰福音讲道集》第十卷，第2、</w:t>
      </w:r>
      <w:r w:rsidRPr="0097554A">
        <w:rPr>
          <w:color w:val="0000FF"/>
        </w:rPr>
        <w:t>3</w:t>
      </w:r>
      <w:r w:rsidRPr="004C59BB">
        <w:rPr>
          <w:color w:val="0000FF"/>
        </w:rPr>
        <w:t>节</w:t>
      </w:r>
      <w:r w:rsidRPr="004C59BB">
        <w:rPr>
          <w:color w:val="0000FF"/>
          <w:lang w:val="ru-RU"/>
        </w:rPr>
        <w:t>。</w:t>
      </w:r>
    </w:p>
  </w:footnote>
  <w:footnote w:id="773">
    <w:p w14:paraId="1CE8DF8D" w14:textId="2EC8F93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《神学词汇》</w:t>
      </w:r>
      <w:r w:rsidRPr="004C59BB">
        <w:rPr>
          <w:color w:val="0000FF"/>
        </w:rPr>
        <w:t>第四</w:t>
      </w:r>
      <w:r w:rsidRPr="004C59BB">
        <w:rPr>
          <w:color w:val="0000FF"/>
          <w:lang w:val="ru-RU"/>
        </w:rPr>
        <w:t>卷</w:t>
      </w:r>
      <w:r w:rsidRPr="0097554A">
        <w:rPr>
          <w:color w:val="0000FF"/>
        </w:rPr>
        <w:t>，</w:t>
      </w:r>
      <w:r w:rsidRPr="004C59BB">
        <w:rPr>
          <w:color w:val="0000FF"/>
          <w:lang w:val="ru-RU"/>
        </w:rPr>
        <w:t>载于《圣教父著作集》</w:t>
      </w:r>
      <w:r w:rsidRPr="004C59BB">
        <w:rPr>
          <w:color w:val="0000FF"/>
        </w:rPr>
        <w:t>第三卷</w:t>
      </w:r>
      <w:r w:rsidRPr="0097554A">
        <w:rPr>
          <w:color w:val="0000FF"/>
        </w:rPr>
        <w:t>，</w:t>
      </w:r>
      <w:r w:rsidRPr="004C59BB">
        <w:rPr>
          <w:color w:val="0000FF"/>
          <w:lang w:val="ru-RU"/>
        </w:rPr>
        <w:t>第</w:t>
      </w:r>
      <w:r w:rsidRPr="0097554A">
        <w:rPr>
          <w:color w:val="0000FF"/>
        </w:rPr>
        <w:t>90</w:t>
      </w:r>
      <w:r w:rsidRPr="004C59BB">
        <w:rPr>
          <w:color w:val="0000FF"/>
          <w:lang w:val="ru-RU"/>
        </w:rPr>
        <w:t>页。</w:t>
      </w:r>
    </w:p>
  </w:footnote>
  <w:footnote w:id="774">
    <w:p w14:paraId="34BA99CB" w14:textId="3B4831C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《论圣灵》第</w:t>
      </w:r>
      <w:r w:rsidRPr="0097554A">
        <w:rPr>
          <w:color w:val="0000FF"/>
        </w:rPr>
        <w:t>9</w:t>
      </w:r>
      <w:r w:rsidRPr="004C59BB">
        <w:rPr>
          <w:color w:val="0000FF"/>
          <w:lang w:val="ru-RU"/>
        </w:rPr>
        <w:t>章</w:t>
      </w:r>
      <w:r w:rsidRPr="0097554A">
        <w:rPr>
          <w:color w:val="0000FF"/>
        </w:rPr>
        <w:t>，</w:t>
      </w:r>
      <w:r w:rsidRPr="004C59BB">
        <w:rPr>
          <w:color w:val="0000FF"/>
          <w:lang w:val="ru-RU"/>
        </w:rPr>
        <w:t>同上</w:t>
      </w:r>
      <w:r w:rsidRPr="0097554A">
        <w:rPr>
          <w:color w:val="0000FF"/>
        </w:rPr>
        <w:t>，</w:t>
      </w:r>
      <w:r w:rsidRPr="004C59BB">
        <w:rPr>
          <w:color w:val="0000FF"/>
        </w:rPr>
        <w:t>第VII卷</w:t>
      </w:r>
      <w:r w:rsidRPr="0097554A">
        <w:rPr>
          <w:color w:val="0000FF"/>
        </w:rPr>
        <w:t>，</w:t>
      </w:r>
      <w:r w:rsidRPr="004C59BB">
        <w:rPr>
          <w:color w:val="0000FF"/>
          <w:lang w:val="ru-RU"/>
        </w:rPr>
        <w:t>第</w:t>
      </w:r>
      <w:r w:rsidRPr="0097554A">
        <w:rPr>
          <w:color w:val="0000FF"/>
        </w:rPr>
        <w:t>265–266</w:t>
      </w:r>
      <w:r w:rsidRPr="004C59BB">
        <w:rPr>
          <w:color w:val="0000FF"/>
          <w:lang w:val="ru-RU"/>
        </w:rPr>
        <w:t>页。</w:t>
      </w:r>
    </w:p>
  </w:footnote>
  <w:footnote w:id="775">
    <w:p w14:paraId="3067C8A2" w14:textId="5EBBDAE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《讲道集》</w:t>
      </w:r>
      <w:r w:rsidRPr="004C59BB">
        <w:rPr>
          <w:color w:val="0000FF"/>
        </w:rPr>
        <w:t>第十五卷</w:t>
      </w:r>
      <w:r w:rsidRPr="0097554A">
        <w:rPr>
          <w:color w:val="0000FF"/>
        </w:rPr>
        <w:t>，</w:t>
      </w:r>
      <w:r w:rsidRPr="004C59BB">
        <w:rPr>
          <w:color w:val="0000FF"/>
          <w:lang w:val="ru-RU"/>
        </w:rPr>
        <w:t>第</w:t>
      </w:r>
      <w:r w:rsidRPr="0097554A">
        <w:rPr>
          <w:color w:val="0000FF"/>
        </w:rPr>
        <w:t>54</w:t>
      </w:r>
      <w:r w:rsidRPr="004C59BB">
        <w:rPr>
          <w:color w:val="0000FF"/>
          <w:lang w:val="ru-RU"/>
        </w:rPr>
        <w:t>段。</w:t>
      </w:r>
    </w:p>
  </w:footnote>
  <w:footnote w:id="776">
    <w:p w14:paraId="437BED3F" w14:textId="0754708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《讲道集》</w:t>
      </w:r>
      <w:r w:rsidRPr="004C59BB">
        <w:rPr>
          <w:color w:val="0000FF"/>
        </w:rPr>
        <w:t>第XXXVII卷</w:t>
      </w:r>
      <w:r w:rsidRPr="0097554A">
        <w:rPr>
          <w:color w:val="0000FF"/>
        </w:rPr>
        <w:t>，</w:t>
      </w:r>
      <w:r w:rsidRPr="004C59BB">
        <w:rPr>
          <w:color w:val="0000FF"/>
          <w:lang w:val="ru-RU"/>
        </w:rPr>
        <w:t>第</w:t>
      </w:r>
      <w:r w:rsidRPr="0097554A">
        <w:rPr>
          <w:color w:val="0000FF"/>
        </w:rPr>
        <w:t>10</w:t>
      </w:r>
      <w:r w:rsidRPr="004C59BB">
        <w:rPr>
          <w:color w:val="0000FF"/>
          <w:lang w:val="ru-RU"/>
        </w:rPr>
        <w:t>段。</w:t>
      </w:r>
    </w:p>
  </w:footnote>
  <w:footnote w:id="777">
    <w:p w14:paraId="4EE596E2" w14:textId="32EEDB1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《讲道集》</w:t>
      </w:r>
      <w:r w:rsidRPr="004C59BB">
        <w:rPr>
          <w:color w:val="0000FF"/>
        </w:rPr>
        <w:t>第XXVII卷</w:t>
      </w:r>
      <w:r w:rsidRPr="0097554A">
        <w:rPr>
          <w:color w:val="0000FF"/>
        </w:rPr>
        <w:t>，</w:t>
      </w:r>
      <w:r w:rsidRPr="004C59BB">
        <w:rPr>
          <w:color w:val="0000FF"/>
          <w:lang w:val="ru-RU"/>
        </w:rPr>
        <w:t>第</w:t>
      </w:r>
      <w:r w:rsidRPr="0097554A">
        <w:rPr>
          <w:color w:val="0000FF"/>
        </w:rPr>
        <w:t>10</w:t>
      </w:r>
      <w:r w:rsidRPr="004C59BB">
        <w:rPr>
          <w:color w:val="0000FF"/>
          <w:lang w:val="ru-RU"/>
        </w:rPr>
        <w:t>、</w:t>
      </w:r>
      <w:r w:rsidRPr="0097554A">
        <w:rPr>
          <w:color w:val="0000FF"/>
        </w:rPr>
        <w:t>11</w:t>
      </w:r>
      <w:r w:rsidRPr="004C59BB">
        <w:rPr>
          <w:color w:val="0000FF"/>
          <w:lang w:val="ru-RU"/>
        </w:rPr>
        <w:t>段。</w:t>
      </w:r>
    </w:p>
  </w:footnote>
  <w:footnote w:id="778">
    <w:p w14:paraId="70FE2C29" w14:textId="3118132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《论心灵的升华》第</w:t>
      </w:r>
      <w:r w:rsidRPr="0097554A">
        <w:rPr>
          <w:color w:val="0000FF"/>
        </w:rPr>
        <w:t>16</w:t>
      </w:r>
      <w:r w:rsidRPr="004C59BB">
        <w:rPr>
          <w:color w:val="0000FF"/>
          <w:lang w:val="ru-RU"/>
        </w:rPr>
        <w:t>段。</w:t>
      </w:r>
    </w:p>
  </w:footnote>
  <w:footnote w:id="779">
    <w:p w14:paraId="325CECFB" w14:textId="6783EA8E"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在中世纪</w:t>
      </w:r>
      <w:r w:rsidRPr="0097554A">
        <w:rPr>
          <w:color w:val="0000FF"/>
        </w:rPr>
        <w:t>，</w:t>
      </w:r>
      <w:r w:rsidRPr="004C59BB">
        <w:rPr>
          <w:color w:val="0000FF"/>
          <w:lang w:val="ru-RU"/>
        </w:rPr>
        <w:t>经院哲学家们提出了许多观点或体系来解释这一奥秘</w:t>
      </w:r>
      <w:r w:rsidRPr="0097554A">
        <w:rPr>
          <w:color w:val="0000FF"/>
        </w:rPr>
        <w:t>，</w:t>
      </w:r>
      <w:r w:rsidRPr="004C59BB">
        <w:rPr>
          <w:color w:val="0000FF"/>
          <w:lang w:val="ru-RU"/>
        </w:rPr>
        <w:t>其中最著名的四种是</w:t>
      </w:r>
      <w:r w:rsidRPr="0097554A">
        <w:rPr>
          <w:color w:val="0000FF"/>
        </w:rPr>
        <w:t>：</w:t>
      </w:r>
      <w:r w:rsidRPr="004C59BB">
        <w:rPr>
          <w:color w:val="0000FF"/>
          <w:lang w:val="ru-RU"/>
        </w:rPr>
        <w:t>托马斯学派、奥古斯丁学派、莫利尼学派和康格鲁伊学派的体系。但所有这些体系都有其缺陷，仅在学派内部仍在使用。 有意者可参阅佩罗内、利伯曼、费耶尔等人的教义学著作，其中对上述四种体系进行了阐述与分析。</w:t>
      </w:r>
    </w:p>
  </w:footnote>
  <w:footnote w:id="780">
    <w:p w14:paraId="56431FD9" w14:textId="615F97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《公开讲道》第1卷，第4节，第20–21页。</w:t>
      </w:r>
    </w:p>
  </w:footnote>
  <w:footnote w:id="781">
    <w:p w14:paraId="38E6C227" w14:textId="6AFD4EA1"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关于人类美德的圣礼赞歌，载于《圣</w:t>
      </w:r>
      <w:r w:rsidRPr="004C59BB">
        <w:rPr>
          <w:color w:val="0000FF"/>
        </w:rPr>
        <w:t>教父文集</w:t>
      </w:r>
      <w:r w:rsidRPr="004C59BB">
        <w:rPr>
          <w:color w:val="0000FF"/>
          <w:lang w:val="ru-RU"/>
        </w:rPr>
        <w:t>》</w:t>
      </w:r>
      <w:r w:rsidRPr="004C59BB">
        <w:rPr>
          <w:color w:val="0000FF"/>
        </w:rPr>
        <w:t>第四卷</w:t>
      </w:r>
      <w:r w:rsidRPr="0097554A">
        <w:rPr>
          <w:color w:val="0000FF"/>
          <w:lang w:val="ru-RU"/>
        </w:rPr>
        <w:t>，</w:t>
      </w:r>
      <w:r w:rsidRPr="004C59BB">
        <w:rPr>
          <w:color w:val="0000FF"/>
        </w:rPr>
        <w:t>第</w:t>
      </w:r>
      <w:r w:rsidRPr="0097554A">
        <w:rPr>
          <w:color w:val="0000FF"/>
          <w:lang w:val="ru-RU"/>
        </w:rPr>
        <w:t>255</w:t>
      </w:r>
      <w:r w:rsidRPr="004C59BB">
        <w:rPr>
          <w:color w:val="0000FF"/>
        </w:rPr>
        <w:t>页。</w:t>
      </w:r>
    </w:p>
  </w:footnote>
  <w:footnote w:id="782">
    <w:p w14:paraId="166D795A" w14:textId="37DE1C6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《创世记讲道集》第LIV篇</w:t>
      </w:r>
      <w:r w:rsidRPr="0097554A">
        <w:rPr>
          <w:color w:val="0000FF"/>
          <w:lang w:val="ru-RU"/>
        </w:rPr>
        <w:t>，</w:t>
      </w:r>
      <w:r w:rsidRPr="004C59BB">
        <w:rPr>
          <w:color w:val="0000FF"/>
        </w:rPr>
        <w:t>第</w:t>
      </w:r>
      <w:r w:rsidRPr="0097554A">
        <w:rPr>
          <w:color w:val="0000FF"/>
          <w:lang w:val="ru-RU"/>
        </w:rPr>
        <w:t>1</w:t>
      </w:r>
      <w:r w:rsidRPr="004C59BB">
        <w:rPr>
          <w:color w:val="0000FF"/>
        </w:rPr>
        <w:t>节</w:t>
      </w:r>
      <w:r w:rsidRPr="0097554A">
        <w:rPr>
          <w:color w:val="0000FF"/>
          <w:lang w:val="ru-RU"/>
        </w:rPr>
        <w:t>；</w:t>
      </w:r>
      <w:r w:rsidRPr="004C59BB">
        <w:rPr>
          <w:color w:val="0000FF"/>
        </w:rPr>
        <w:t>参见《约翰福音讲道集》第X篇</w:t>
      </w:r>
      <w:r w:rsidRPr="0097554A">
        <w:rPr>
          <w:color w:val="0000FF"/>
          <w:lang w:val="ru-RU"/>
        </w:rPr>
        <w:t>，</w:t>
      </w:r>
      <w:r w:rsidRPr="004C59BB">
        <w:rPr>
          <w:color w:val="0000FF"/>
        </w:rPr>
        <w:t>第</w:t>
      </w:r>
      <w:r w:rsidRPr="0097554A">
        <w:rPr>
          <w:color w:val="0000FF"/>
          <w:lang w:val="ru-RU"/>
        </w:rPr>
        <w:t>2</w:t>
      </w:r>
      <w:r w:rsidRPr="004C59BB">
        <w:rPr>
          <w:color w:val="0000FF"/>
        </w:rPr>
        <w:t>、</w:t>
      </w:r>
      <w:r w:rsidRPr="0097554A">
        <w:rPr>
          <w:color w:val="0000FF"/>
          <w:lang w:val="ru-RU"/>
        </w:rPr>
        <w:t>3</w:t>
      </w:r>
      <w:r w:rsidRPr="004C59BB">
        <w:rPr>
          <w:color w:val="0000FF"/>
        </w:rPr>
        <w:t>节。</w:t>
      </w:r>
    </w:p>
  </w:footnote>
  <w:footnote w:id="783">
    <w:p w14:paraId="65524800" w14:textId="3D656E04"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《使徒行传讲道集》第XXXV篇</w:t>
      </w:r>
      <w:r w:rsidRPr="004C59BB">
        <w:rPr>
          <w:color w:val="0000FF"/>
          <w:lang w:val="ru-RU"/>
        </w:rPr>
        <w:t>，第1节。</w:t>
      </w:r>
    </w:p>
  </w:footnote>
  <w:footnote w:id="784">
    <w:p w14:paraId="4EA6C3CB" w14:textId="120DF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《苦修者守则》第15章，载于《圣教父文集》</w:t>
      </w:r>
      <w:r w:rsidRPr="004C59BB">
        <w:rPr>
          <w:color w:val="0000FF"/>
        </w:rPr>
        <w:t>第九卷</w:t>
      </w:r>
      <w:r w:rsidRPr="004C59BB">
        <w:rPr>
          <w:color w:val="0000FF"/>
          <w:lang w:val="ru-RU"/>
        </w:rPr>
        <w:t>，第423页。</w:t>
      </w:r>
    </w:p>
  </w:footnote>
  <w:footnote w:id="785">
    <w:p w14:paraId="183FDACC" w14:textId="3CCCD9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《谈话集》</w:t>
      </w:r>
      <w:r w:rsidRPr="004C59BB">
        <w:rPr>
          <w:color w:val="0000FF"/>
        </w:rPr>
        <w:t>第</w:t>
      </w:r>
      <w:r w:rsidRPr="0097554A">
        <w:rPr>
          <w:color w:val="0000FF"/>
          <w:lang w:val="ru-RU"/>
        </w:rPr>
        <w:t>37</w:t>
      </w:r>
      <w:r w:rsidRPr="004C59BB">
        <w:rPr>
          <w:color w:val="0000FF"/>
          <w:lang w:val="ru-RU"/>
        </w:rPr>
        <w:t>篇，第10段。</w:t>
      </w:r>
    </w:p>
  </w:footnote>
  <w:footnote w:id="786">
    <w:p w14:paraId="2543A73F" w14:textId="2A29E9D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因为两者皆不可或缺</w:t>
      </w:r>
      <w:r w:rsidRPr="0097554A">
        <w:rPr>
          <w:color w:val="0000FF"/>
          <w:lang w:val="ru-RU"/>
        </w:rPr>
        <w:t>，</w:t>
      </w:r>
      <w:r w:rsidRPr="004C59BB">
        <w:rPr>
          <w:color w:val="0000FF"/>
          <w:lang w:val="el-GR"/>
        </w:rPr>
        <w:t>既需要我们的热忱</w:t>
      </w:r>
      <w:r w:rsidRPr="0097554A">
        <w:rPr>
          <w:color w:val="0000FF"/>
          <w:lang w:val="ru-RU"/>
        </w:rPr>
        <w:t>，</w:t>
      </w:r>
      <w:r w:rsidRPr="004C59BB">
        <w:rPr>
          <w:color w:val="0000FF"/>
          <w:lang w:val="el-GR"/>
        </w:rPr>
        <w:t>也需要神的帮助</w:t>
      </w:r>
      <w:r w:rsidRPr="0097554A">
        <w:rPr>
          <w:color w:val="0000FF"/>
          <w:lang w:val="ru-RU"/>
        </w:rPr>
        <w:t>……</w:t>
      </w:r>
      <w:r w:rsidRPr="004C59BB">
        <w:rPr>
          <w:color w:val="0000FF"/>
        </w:rPr>
        <w:t>《腓立比书讲道集》第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30</w:t>
      </w:r>
      <w:r w:rsidRPr="004C59BB">
        <w:rPr>
          <w:color w:val="0000FF"/>
        </w:rPr>
        <w:t>章。</w:t>
      </w:r>
    </w:p>
  </w:footnote>
  <w:footnote w:id="787">
    <w:p w14:paraId="5DCD045C" w14:textId="22353E1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《道德论》第十六卷</w:t>
      </w:r>
      <w:r w:rsidRPr="0097554A">
        <w:rPr>
          <w:color w:val="0000FF"/>
          <w:lang w:val="ru-RU"/>
        </w:rPr>
        <w:t>，</w:t>
      </w:r>
      <w:r w:rsidRPr="004C59BB">
        <w:rPr>
          <w:color w:val="0000FF"/>
        </w:rPr>
        <w:t>第</w:t>
      </w:r>
      <w:r w:rsidRPr="0097554A">
        <w:rPr>
          <w:color w:val="0000FF"/>
          <w:lang w:val="ru-RU"/>
        </w:rPr>
        <w:t>25</w:t>
      </w:r>
      <w:r w:rsidRPr="004C59BB">
        <w:rPr>
          <w:color w:val="0000FF"/>
        </w:rPr>
        <w:t>章</w:t>
      </w:r>
      <w:r w:rsidRPr="0097554A">
        <w:rPr>
          <w:color w:val="0000FF"/>
          <w:lang w:val="ru-RU"/>
        </w:rPr>
        <w:t>，</w:t>
      </w:r>
      <w:r w:rsidRPr="004C59BB">
        <w:rPr>
          <w:color w:val="0000FF"/>
        </w:rPr>
        <w:t>第</w:t>
      </w:r>
      <w:r w:rsidRPr="0097554A">
        <w:rPr>
          <w:color w:val="0000FF"/>
          <w:lang w:val="ru-RU"/>
        </w:rPr>
        <w:t>30</w:t>
      </w:r>
      <w:r w:rsidRPr="004C59BB">
        <w:rPr>
          <w:color w:val="0000FF"/>
        </w:rPr>
        <w:t>节。</w:t>
      </w:r>
    </w:p>
  </w:footnote>
  <w:footnote w:id="788">
    <w:p w14:paraId="23E6EDAE" w14:textId="1F4A15E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《以西结书讲道集》第九卷</w:t>
      </w:r>
      <w:r w:rsidRPr="0097554A">
        <w:rPr>
          <w:color w:val="0000FF"/>
          <w:lang w:val="ru-RU"/>
        </w:rPr>
        <w:t>，</w:t>
      </w:r>
      <w:r w:rsidRPr="004C59BB">
        <w:rPr>
          <w:color w:val="0000FF"/>
        </w:rPr>
        <w:t>第</w:t>
      </w:r>
      <w:r w:rsidRPr="0097554A">
        <w:rPr>
          <w:color w:val="0000FF"/>
          <w:lang w:val="ru-RU"/>
        </w:rPr>
        <w:t>2</w:t>
      </w:r>
      <w:r w:rsidRPr="004C59BB">
        <w:rPr>
          <w:color w:val="0000FF"/>
        </w:rPr>
        <w:t>段。</w:t>
      </w:r>
    </w:p>
  </w:footnote>
  <w:footnote w:id="789">
    <w:p w14:paraId="16560723" w14:textId="29435A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《书信</w:t>
      </w:r>
      <w:r w:rsidRPr="004C59BB">
        <w:rPr>
          <w:color w:val="0000FF"/>
          <w:lang w:val="ru-RU"/>
        </w:rPr>
        <w:t>》第6号。</w:t>
      </w:r>
    </w:p>
  </w:footnote>
  <w:footnote w:id="790">
    <w:p w14:paraId="5B7DC66A" w14:textId="405185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《反埃夫诺米乌斯》，</w:t>
      </w:r>
      <w:r w:rsidRPr="004C59BB">
        <w:rPr>
          <w:color w:val="0000FF"/>
        </w:rPr>
        <w:t>第五</w:t>
      </w:r>
      <w:r w:rsidRPr="004C59BB">
        <w:rPr>
          <w:color w:val="0000FF"/>
          <w:lang w:val="ru-RU"/>
        </w:rPr>
        <w:t>卷，载于《圣教父文集》</w:t>
      </w:r>
      <w:r w:rsidRPr="004C59BB">
        <w:rPr>
          <w:color w:val="0000FF"/>
        </w:rPr>
        <w:t>第七卷</w:t>
      </w:r>
      <w:r w:rsidRPr="004C59BB">
        <w:rPr>
          <w:color w:val="0000FF"/>
          <w:lang w:val="ru-RU"/>
        </w:rPr>
        <w:t>，192页。</w:t>
      </w:r>
    </w:p>
  </w:footnote>
  <w:footnote w:id="791">
    <w:p w14:paraId="68CA85FB" w14:textId="7AEFE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《论圣灵》第9章，同上，第266页。</w:t>
      </w:r>
    </w:p>
  </w:footnote>
  <w:footnote w:id="792">
    <w:p w14:paraId="11EE7AFD" w14:textId="13CCE7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《关于五旬节的讲道》，载于《圣教父文集》</w:t>
      </w:r>
      <w:r w:rsidRPr="004C59BB">
        <w:rPr>
          <w:color w:val="0000FF"/>
        </w:rPr>
        <w:t>第四卷</w:t>
      </w:r>
      <w:r w:rsidRPr="004C59BB">
        <w:rPr>
          <w:color w:val="0000FF"/>
          <w:lang w:val="ru-RU"/>
        </w:rPr>
        <w:t>，第19页。</w:t>
      </w:r>
    </w:p>
  </w:footnote>
  <w:footnote w:id="793">
    <w:p w14:paraId="60FE9260" w14:textId="49FE6D84"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《关于洗礼的讲道》，载于《圣</w:t>
      </w:r>
      <w:r w:rsidRPr="004C59BB">
        <w:rPr>
          <w:color w:val="0000FF"/>
        </w:rPr>
        <w:t>教父</w:t>
      </w:r>
      <w:r w:rsidRPr="004C59BB">
        <w:rPr>
          <w:color w:val="0000FF"/>
          <w:lang w:val="ru-RU"/>
        </w:rPr>
        <w:t>著作集</w:t>
      </w:r>
      <w:r w:rsidRPr="004C59BB">
        <w:rPr>
          <w:color w:val="0000FF"/>
        </w:rPr>
        <w:t>》第</w:t>
      </w:r>
      <w:r w:rsidRPr="0097554A">
        <w:rPr>
          <w:color w:val="0000FF"/>
          <w:lang w:val="ru-RU"/>
        </w:rPr>
        <w:t>111</w:t>
      </w:r>
      <w:r w:rsidRPr="004C59BB">
        <w:rPr>
          <w:color w:val="0000FF"/>
        </w:rPr>
        <w:t>卷</w:t>
      </w:r>
      <w:r w:rsidRPr="0097554A">
        <w:rPr>
          <w:color w:val="0000FF"/>
          <w:lang w:val="ru-RU"/>
        </w:rPr>
        <w:t>，</w:t>
      </w:r>
      <w:r w:rsidRPr="004C59BB">
        <w:rPr>
          <w:color w:val="0000FF"/>
        </w:rPr>
        <w:t>第</w:t>
      </w:r>
      <w:r w:rsidRPr="0097554A">
        <w:rPr>
          <w:color w:val="0000FF"/>
          <w:lang w:val="ru-RU"/>
        </w:rPr>
        <w:t>277</w:t>
      </w:r>
      <w:r w:rsidRPr="004C59BB">
        <w:rPr>
          <w:color w:val="0000FF"/>
        </w:rPr>
        <w:t>页。</w:t>
      </w:r>
    </w:p>
  </w:footnote>
  <w:footnote w:id="794">
    <w:p w14:paraId="4CE1E7F0" w14:textId="5D36C3C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《论司祭职》第三卷</w:t>
      </w:r>
      <w:r w:rsidRPr="0097554A">
        <w:rPr>
          <w:color w:val="0000FF"/>
          <w:lang w:val="ru-RU"/>
        </w:rPr>
        <w:t>，</w:t>
      </w:r>
      <w:r w:rsidRPr="004C59BB">
        <w:rPr>
          <w:color w:val="0000FF"/>
        </w:rPr>
        <w:t>第</w:t>
      </w:r>
      <w:r w:rsidRPr="0097554A">
        <w:rPr>
          <w:color w:val="0000FF"/>
          <w:lang w:val="ru-RU"/>
        </w:rPr>
        <w:t>6</w:t>
      </w:r>
      <w:r w:rsidRPr="004C59BB">
        <w:rPr>
          <w:color w:val="0000FF"/>
        </w:rPr>
        <w:t>节。</w:t>
      </w:r>
    </w:p>
  </w:footnote>
  <w:footnote w:id="795">
    <w:p w14:paraId="3B35C097" w14:textId="60E48D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《对话录》</w:t>
      </w:r>
      <w:r w:rsidRPr="004C59BB">
        <w:rPr>
          <w:color w:val="0000FF"/>
        </w:rPr>
        <w:t>第一卷</w:t>
      </w:r>
      <w:r w:rsidRPr="004C59BB">
        <w:rPr>
          <w:color w:val="0000FF"/>
          <w:lang w:val="ru-RU"/>
        </w:rPr>
        <w:t>，第2章。</w:t>
      </w:r>
    </w:p>
  </w:footnote>
  <w:footnote w:id="796">
    <w:p w14:paraId="0471CBBC" w14:textId="6B430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《论爱》第7节。</w:t>
      </w:r>
    </w:p>
  </w:footnote>
  <w:footnote w:id="797">
    <w:p w14:paraId="7D911878" w14:textId="4BBE5DD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见《论爱》第四卷</w:t>
      </w:r>
      <w:r w:rsidRPr="0097554A">
        <w:rPr>
          <w:color w:val="0000FF"/>
          <w:lang w:val="ru-RU"/>
        </w:rPr>
        <w:t>，</w:t>
      </w:r>
      <w:r w:rsidRPr="004C59BB">
        <w:rPr>
          <w:color w:val="0000FF"/>
        </w:rPr>
        <w:t>第二篇</w:t>
      </w:r>
      <w:r w:rsidRPr="0097554A">
        <w:rPr>
          <w:color w:val="0000FF"/>
          <w:lang w:val="ru-RU"/>
        </w:rPr>
        <w:t>，</w:t>
      </w:r>
      <w:r w:rsidRPr="004C59BB">
        <w:rPr>
          <w:color w:val="0000FF"/>
        </w:rPr>
        <w:t>第二册</w:t>
      </w:r>
      <w:r w:rsidRPr="0097554A">
        <w:rPr>
          <w:color w:val="0000FF"/>
          <w:lang w:val="ru-RU"/>
        </w:rPr>
        <w:t>，</w:t>
      </w:r>
      <w:r w:rsidRPr="004C59BB">
        <w:rPr>
          <w:color w:val="0000FF"/>
        </w:rPr>
        <w:t>第</w:t>
      </w:r>
      <w:r w:rsidRPr="0097554A">
        <w:rPr>
          <w:color w:val="0000FF"/>
          <w:lang w:val="ru-RU"/>
        </w:rPr>
        <w:t>691</w:t>
      </w:r>
      <w:r w:rsidRPr="004C59BB">
        <w:rPr>
          <w:color w:val="0000FF"/>
        </w:rPr>
        <w:t>页</w:t>
      </w:r>
      <w:r w:rsidRPr="0097554A">
        <w:rPr>
          <w:color w:val="0000FF"/>
          <w:lang w:val="ru-RU"/>
        </w:rPr>
        <w:t>，</w:t>
      </w:r>
      <w:r w:rsidRPr="004C59BB">
        <w:rPr>
          <w:color w:val="0000FF"/>
        </w:rPr>
        <w:t>阿尔伯特版。</w:t>
      </w:r>
    </w:p>
  </w:footnote>
  <w:footnote w:id="798">
    <w:p w14:paraId="0DA50D26" w14:textId="15D426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在我国神学家中，斯捷凡·雅沃尔斯基大主教在《论善行》</w:t>
      </w:r>
      <w:r w:rsidRPr="004C59BB">
        <w:rPr>
          <w:color w:val="0000FF"/>
        </w:rPr>
        <w:t>第二卷</w:t>
      </w:r>
      <w:r w:rsidRPr="004C59BB">
        <w:rPr>
          <w:color w:val="0000FF"/>
          <w:lang w:val="ru-RU"/>
        </w:rPr>
        <w:t>第七章中，针对新教徒非常详尽地阐释了东正教关于称义的观念（参见《信仰之镜》</w:t>
      </w:r>
      <w:r w:rsidRPr="004C59BB">
        <w:rPr>
          <w:color w:val="0000FF"/>
        </w:rPr>
        <w:t>第三卷</w:t>
      </w:r>
      <w:r w:rsidRPr="004C59BB">
        <w:rPr>
          <w:color w:val="0000FF"/>
          <w:lang w:val="ru-RU"/>
        </w:rPr>
        <w:t>，第451–474页，圣彼得堡，1840年）。</w:t>
      </w:r>
    </w:p>
  </w:footnote>
  <w:footnote w:id="799">
    <w:p w14:paraId="4A19E4C1" w14:textId="03DF2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“信仰就是凭着上帝的恩典，对所听闻并经证实为真理的讲道，给予毫无疑义的认同”（圣大巴西尔《论信仰》，载于《圣教父文集》</w:t>
      </w:r>
      <w:r w:rsidRPr="004C59BB">
        <w:rPr>
          <w:color w:val="0000FF"/>
        </w:rPr>
        <w:t>第九</w:t>
      </w:r>
      <w:r w:rsidRPr="004C59BB">
        <w:rPr>
          <w:color w:val="0000FF"/>
          <w:lang w:val="ru-RU"/>
        </w:rPr>
        <w:t>卷，第28页）。“‘信仰’一词虽名称相同，但可分为两类。 第一类是教导性的信仰，即灵魂对某事表示认同。它对灵魂有益，正如主所言：‘听从我的话，又信那差我来的，就有永生，不至于定罪’（约翰福音5:24）…… 另一种信仰则是基督藉着恩典所赐予的：因为圣灵将智慧的言语赐给这人，将悟性的言语赐给那人，都是同一位圣灵；又将信心赐给另一人，也是同一位圣灵；将医病的恩赐赐给另一人（哥林多前书 12: 8, 9）。 因此，这种由圣灵藉着恩典所赐的信心，不仅具有教导的作用，更能发挥超越人类力量的作为。因为凡拥有这种信心的人，对这座山说：“从这里挪到那里去”，山就挪去了（马太福音 17: 20）」（圣基里尔·耶路撒冷。 《教义讲义》</w:t>
      </w:r>
      <w:r w:rsidRPr="004C59BB">
        <w:rPr>
          <w:color w:val="0000FF"/>
        </w:rPr>
        <w:t>第五</w:t>
      </w:r>
      <w:r w:rsidRPr="004C59BB">
        <w:rPr>
          <w:color w:val="0000FF"/>
          <w:lang w:val="ru-RU"/>
        </w:rPr>
        <w:t>卷，第10、11节，第92、93页）。</w:t>
      </w:r>
    </w:p>
  </w:footnote>
  <w:footnote w:id="800">
    <w:p w14:paraId="2751F5DD" w14:textId="32E16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“信仰有两种。一种是来自听闻的信仰（罗马书 10: 17）。通过聆听神圣的经文，我们相信圣灵的教导。 这种信仰通过践行基督所制定的全部律法而臻于完善，即当我们真正信靠、虔诚生活并遵守那位使我们焕然一新的主的诫命时。因为凡不按普世教会传统信靠，或因恶行与魔鬼同流合污者，皆为不信者。 还有一种信仰，即对所盼望之事的保证，对未见之事的明证（希伯来书 11: 1），也就是说，对上帝赐予我们的应许以及我们所求之事的获得，怀有坚定不移、毫无疑虑的盼望”（圣约翰·达马斯库斯。 《正统信仰精确阐述》</w:t>
      </w:r>
      <w:r w:rsidRPr="004C59BB">
        <w:rPr>
          <w:color w:val="0000FF"/>
        </w:rPr>
        <w:t>第四</w:t>
      </w:r>
      <w:r w:rsidRPr="004C59BB">
        <w:rPr>
          <w:color w:val="0000FF"/>
          <w:lang w:val="ru-RU"/>
        </w:rPr>
        <w:t>卷，第10章，第140页）。</w:t>
      </w:r>
    </w:p>
  </w:footnote>
  <w:footnote w:id="801">
    <w:p w14:paraId="43E62CD3" w14:textId="54429D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《哥林多后书》1章，第31节，载于《基督教读本》1814年版，</w:t>
      </w:r>
      <w:r w:rsidRPr="004C59BB">
        <w:rPr>
          <w:color w:val="0000FF"/>
        </w:rPr>
        <w:t>第十四</w:t>
      </w:r>
      <w:r w:rsidRPr="004C59BB">
        <w:rPr>
          <w:color w:val="0000FF"/>
          <w:lang w:val="ru-RU"/>
        </w:rPr>
        <w:t>卷，第369页。</w:t>
      </w:r>
    </w:p>
  </w:footnote>
  <w:footnote w:id="802">
    <w:p w14:paraId="31E548A1" w14:textId="78BDD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同上，第49节，第186页。</w:t>
      </w:r>
    </w:p>
  </w:footnote>
  <w:footnote w:id="803">
    <w:p w14:paraId="4DC24272" w14:textId="2C6F55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《致腓立比书》第3节，载于《基督教读本》1821年版，第1卷，第119页。</w:t>
      </w:r>
    </w:p>
  </w:footnote>
  <w:footnote w:id="804">
    <w:p w14:paraId="277F7C1D" w14:textId="029D0F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《论谦卑的谈话》，载于《圣教父著作集》</w:t>
      </w:r>
      <w:r w:rsidRPr="004C59BB">
        <w:rPr>
          <w:color w:val="0000FF"/>
        </w:rPr>
        <w:t>第八卷</w:t>
      </w:r>
      <w:r w:rsidRPr="004C59BB">
        <w:rPr>
          <w:color w:val="0000FF"/>
          <w:lang w:val="ru-RU"/>
        </w:rPr>
        <w:t>，第313页。</w:t>
      </w:r>
    </w:p>
  </w:footnote>
  <w:footnote w:id="805">
    <w:p w14:paraId="67FFCF1F" w14:textId="7D874F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《以赛亚书注释》第1章，同上</w:t>
      </w:r>
      <w:r w:rsidRPr="004C59BB">
        <w:rPr>
          <w:color w:val="0000FF"/>
        </w:rPr>
        <w:t>卷VI</w:t>
      </w:r>
      <w:r w:rsidRPr="004C59BB">
        <w:rPr>
          <w:color w:val="0000FF"/>
          <w:lang w:val="ru-RU"/>
        </w:rPr>
        <w:t>，第65页。</w:t>
      </w:r>
    </w:p>
  </w:footnote>
  <w:footnote w:id="806">
    <w:p w14:paraId="40A96104" w14:textId="4C3073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《规则》，简明阐述，答问第2题，载于《圣教父文集》</w:t>
      </w:r>
      <w:r w:rsidRPr="004C59BB">
        <w:rPr>
          <w:color w:val="0000FF"/>
        </w:rPr>
        <w:t>第九卷</w:t>
      </w:r>
      <w:r w:rsidRPr="004C59BB">
        <w:rPr>
          <w:color w:val="0000FF"/>
          <w:lang w:val="ru-RU"/>
        </w:rPr>
        <w:t>，第99页。</w:t>
      </w:r>
    </w:p>
  </w:footnote>
  <w:footnote w:id="807">
    <w:p w14:paraId="5BA9CE78" w14:textId="394D64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《论遵守良好秩序》，同上</w:t>
      </w:r>
      <w:r w:rsidRPr="004C59BB">
        <w:rPr>
          <w:color w:val="0000FF"/>
        </w:rPr>
        <w:t>卷III</w:t>
      </w:r>
      <w:r w:rsidRPr="004C59BB">
        <w:rPr>
          <w:color w:val="0000FF"/>
          <w:lang w:val="ru-RU"/>
        </w:rPr>
        <w:t>，第150页。</w:t>
      </w:r>
    </w:p>
  </w:footnote>
  <w:footnote w:id="808">
    <w:p w14:paraId="38EE6481" w14:textId="428B86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《论致罗马书的讲道》</w:t>
      </w:r>
      <w:r w:rsidRPr="004C59BB">
        <w:rPr>
          <w:color w:val="0000FF"/>
        </w:rPr>
        <w:t>第八</w:t>
      </w:r>
      <w:r w:rsidRPr="004C59BB">
        <w:rPr>
          <w:color w:val="0000FF"/>
          <w:lang w:val="ru-RU"/>
        </w:rPr>
        <w:t>卷，第155页，莫斯科，1844年。</w:t>
      </w:r>
    </w:p>
  </w:footnote>
  <w:footnote w:id="809">
    <w:p w14:paraId="65533D0D" w14:textId="0CA07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《论致罗马书的书信》</w:t>
      </w:r>
      <w:r w:rsidRPr="004C59BB">
        <w:rPr>
          <w:color w:val="0000FF"/>
        </w:rPr>
        <w:t>第八卷</w:t>
      </w:r>
      <w:r w:rsidRPr="004C59BB">
        <w:rPr>
          <w:color w:val="0000FF"/>
          <w:lang w:val="ru-RU"/>
        </w:rPr>
        <w:t>，第168页。</w:t>
      </w:r>
    </w:p>
  </w:footnote>
  <w:footnote w:id="810">
    <w:p w14:paraId="07022117" w14:textId="7BF9C0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同上，《讲道集》</w:t>
      </w:r>
      <w:r w:rsidRPr="004C59BB">
        <w:rPr>
          <w:color w:val="0000FF"/>
        </w:rPr>
        <w:t>第九卷</w:t>
      </w:r>
      <w:r w:rsidRPr="004C59BB">
        <w:rPr>
          <w:color w:val="0000FF"/>
          <w:lang w:val="ru-RU"/>
        </w:rPr>
        <w:t>，第191页。</w:t>
      </w:r>
    </w:p>
  </w:footnote>
  <w:footnote w:id="811">
    <w:p w14:paraId="57D94971" w14:textId="18D0EC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《教诲概要》</w:t>
      </w:r>
      <w:r w:rsidRPr="004C59BB">
        <w:rPr>
          <w:color w:val="0000FF"/>
        </w:rPr>
        <w:t>第一卷</w:t>
      </w:r>
      <w:r w:rsidRPr="004C59BB">
        <w:rPr>
          <w:color w:val="0000FF"/>
          <w:lang w:val="ru-RU"/>
        </w:rPr>
        <w:t>，第5条，第12页。</w:t>
      </w:r>
    </w:p>
  </w:footnote>
  <w:footnote w:id="812">
    <w:p w14:paraId="77E73E2F" w14:textId="49AFCA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《教义概要》</w:t>
      </w:r>
      <w:r w:rsidRPr="004C59BB">
        <w:rPr>
          <w:color w:val="0000FF"/>
        </w:rPr>
        <w:t>第五</w:t>
      </w:r>
      <w:r w:rsidRPr="004C59BB">
        <w:rPr>
          <w:color w:val="0000FF"/>
          <w:lang w:val="ru-RU"/>
        </w:rPr>
        <w:t>卷，第7、8条，第90、91页，</w:t>
      </w:r>
    </w:p>
  </w:footnote>
  <w:footnote w:id="813">
    <w:p w14:paraId="6A0DCBC5" w14:textId="01DD82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《教义纲要》</w:t>
      </w:r>
      <w:r w:rsidRPr="004C59BB">
        <w:rPr>
          <w:color w:val="0000FF"/>
        </w:rPr>
        <w:t>第十八卷</w:t>
      </w:r>
      <w:r w:rsidRPr="004C59BB">
        <w:rPr>
          <w:color w:val="0000FF"/>
          <w:lang w:val="ru-RU"/>
        </w:rPr>
        <w:t>，第1条，第405页。</w:t>
      </w:r>
    </w:p>
  </w:footnote>
  <w:footnote w:id="814">
    <w:p w14:paraId="3C323E38" w14:textId="393C6F3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《致费城书信》第VIII、IX号</w:t>
      </w:r>
      <w:r w:rsidRPr="0097554A">
        <w:rPr>
          <w:color w:val="0000FF"/>
          <w:lang w:val="ru-RU"/>
        </w:rPr>
        <w:t>；</w:t>
      </w:r>
      <w:r w:rsidRPr="004C59BB">
        <w:rPr>
          <w:color w:val="0000FF"/>
        </w:rPr>
        <w:t>《致特拉勒书信》第VIII号。</w:t>
      </w:r>
    </w:p>
  </w:footnote>
  <w:footnote w:id="815">
    <w:p w14:paraId="2364A0C9" w14:textId="10989E3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《反异端》第四卷</w:t>
      </w:r>
      <w:r w:rsidRPr="0097554A">
        <w:rPr>
          <w:color w:val="0000FF"/>
          <w:lang w:val="ru-RU"/>
        </w:rPr>
        <w:t>，</w:t>
      </w:r>
      <w:r w:rsidRPr="004C59BB">
        <w:rPr>
          <w:color w:val="0000FF"/>
        </w:rPr>
        <w:t>第</w:t>
      </w:r>
      <w:r w:rsidRPr="0097554A">
        <w:rPr>
          <w:color w:val="0000FF"/>
          <w:lang w:val="ru-RU"/>
        </w:rPr>
        <w:t>15</w:t>
      </w:r>
      <w:r w:rsidRPr="004C59BB">
        <w:rPr>
          <w:color w:val="0000FF"/>
        </w:rPr>
        <w:t>章</w:t>
      </w:r>
      <w:r w:rsidRPr="0097554A">
        <w:rPr>
          <w:color w:val="0000FF"/>
          <w:lang w:val="ru-RU"/>
        </w:rPr>
        <w:t>，</w:t>
      </w:r>
      <w:r w:rsidRPr="004C59BB">
        <w:rPr>
          <w:color w:val="0000FF"/>
        </w:rPr>
        <w:t>第</w:t>
      </w:r>
      <w:r w:rsidRPr="0097554A">
        <w:rPr>
          <w:color w:val="0000FF"/>
          <w:lang w:val="ru-RU"/>
        </w:rPr>
        <w:t>1</w:t>
      </w:r>
      <w:r w:rsidRPr="004C59BB">
        <w:rPr>
          <w:color w:val="0000FF"/>
        </w:rPr>
        <w:t>条。</w:t>
      </w:r>
    </w:p>
  </w:footnote>
  <w:footnote w:id="816">
    <w:p w14:paraId="3A64D27A" w14:textId="6948DD83"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《论该隐与亚伯》第二卷</w:t>
      </w:r>
      <w:r w:rsidRPr="004C59BB">
        <w:rPr>
          <w:color w:val="0000FF"/>
          <w:lang w:val="ru-RU"/>
        </w:rPr>
        <w:t>，第1章，第8节。</w:t>
      </w:r>
    </w:p>
  </w:footnote>
  <w:footnote w:id="817">
    <w:p w14:paraId="4F4D7136" w14:textId="5C708C91"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“信靠全能的上帝，让我们怀着纯洁的心，摆脱一切世俗的忧虑，走向那位按着各人的信心，将圣灵的恩赐赐予所有人的主”（《讲道集》第XXXVI卷；《注释》</w:t>
      </w:r>
      <w:r w:rsidRPr="004C59BB">
        <w:rPr>
          <w:color w:val="0000FF"/>
        </w:rPr>
        <w:t>第XLIV</w:t>
      </w:r>
      <w:r w:rsidRPr="004C59BB">
        <w:rPr>
          <w:color w:val="0000FF"/>
          <w:lang w:val="ru-RU"/>
        </w:rPr>
        <w:t>卷，第5条；第XLI卷，第2条）。 “因我们的不信，因我们缺乏热忱</w:t>
      </w:r>
      <w:r w:rsidRPr="0097554A">
        <w:rPr>
          <w:color w:val="0000FF"/>
          <w:lang w:val="ru-RU"/>
        </w:rPr>
        <w:t>，</w:t>
      </w:r>
      <w:r w:rsidRPr="004C59BB">
        <w:rPr>
          <w:color w:val="0000FF"/>
        </w:rPr>
        <w:t>因</w:t>
      </w:r>
      <w:r w:rsidRPr="004C59BB">
        <w:rPr>
          <w:color w:val="0000FF"/>
          <w:lang w:val="ru-RU"/>
        </w:rPr>
        <w:t>我们没有全心全意地爱上帝，也没有真诚地信靠祂，我们尚未获得属灵的医治与救赎。因此，为了使祂早日赐给我们真正的医治</w:t>
      </w:r>
      <w:r w:rsidRPr="0097554A">
        <w:rPr>
          <w:color w:val="0000FF"/>
          <w:lang w:val="ru-RU"/>
        </w:rPr>
        <w:t>，</w:t>
      </w:r>
      <w:r w:rsidRPr="004C59BB">
        <w:rPr>
          <w:color w:val="0000FF"/>
          <w:lang w:val="ru-RU"/>
        </w:rPr>
        <w:t>让我们怀着真诚的信心来到祂面前”</w:t>
      </w:r>
      <w:r w:rsidRPr="0097554A">
        <w:rPr>
          <w:color w:val="0000FF"/>
          <w:lang w:val="ru-RU"/>
        </w:rPr>
        <w:t>（</w:t>
      </w:r>
      <w:r w:rsidRPr="004C59BB">
        <w:rPr>
          <w:color w:val="0000FF"/>
        </w:rPr>
        <w:t>《讲道集》第XX篇</w:t>
      </w:r>
      <w:r w:rsidRPr="0097554A">
        <w:rPr>
          <w:color w:val="0000FF"/>
          <w:lang w:val="ru-RU"/>
        </w:rPr>
        <w:t>，</w:t>
      </w:r>
      <w:r w:rsidRPr="004C59BB">
        <w:rPr>
          <w:color w:val="0000FF"/>
        </w:rPr>
        <w:t>第</w:t>
      </w:r>
      <w:r w:rsidRPr="0097554A">
        <w:rPr>
          <w:color w:val="0000FF"/>
          <w:lang w:val="ru-RU"/>
        </w:rPr>
        <w:t>8</w:t>
      </w:r>
      <w:r w:rsidRPr="004C59BB">
        <w:rPr>
          <w:color w:val="0000FF"/>
        </w:rPr>
        <w:t>段</w:t>
      </w:r>
      <w:r w:rsidRPr="0097554A">
        <w:rPr>
          <w:color w:val="0000FF"/>
          <w:lang w:val="ru-RU"/>
        </w:rPr>
        <w:t>）</w:t>
      </w:r>
      <w:r w:rsidRPr="004C59BB">
        <w:rPr>
          <w:color w:val="0000FF"/>
        </w:rPr>
        <w:t>。</w:t>
      </w:r>
    </w:p>
  </w:footnote>
  <w:footnote w:id="818">
    <w:p w14:paraId="600C764D" w14:textId="0FB3219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见《约拿书》第</w:t>
      </w:r>
      <w:r w:rsidRPr="0097554A">
        <w:rPr>
          <w:color w:val="0000FF"/>
          <w:lang w:val="ru-RU"/>
        </w:rPr>
        <w:t>5</w:t>
      </w:r>
      <w:r w:rsidRPr="004C59BB">
        <w:rPr>
          <w:color w:val="0000FF"/>
        </w:rPr>
        <w:t>卷</w:t>
      </w:r>
      <w:r w:rsidRPr="0097554A">
        <w:rPr>
          <w:color w:val="0000FF"/>
          <w:lang w:val="ru-RU"/>
        </w:rPr>
        <w:t>，</w:t>
      </w:r>
      <w:r w:rsidRPr="004C59BB">
        <w:rPr>
          <w:color w:val="0000FF"/>
        </w:rPr>
        <w:t>第IV卷</w:t>
      </w:r>
      <w:r w:rsidRPr="0097554A">
        <w:rPr>
          <w:color w:val="0000FF"/>
          <w:lang w:val="ru-RU"/>
        </w:rPr>
        <w:t>，</w:t>
      </w:r>
      <w:r w:rsidRPr="004C59BB">
        <w:rPr>
          <w:color w:val="0000FF"/>
        </w:rPr>
        <w:t>第</w:t>
      </w:r>
      <w:r w:rsidRPr="0097554A">
        <w:rPr>
          <w:color w:val="0000FF"/>
          <w:lang w:val="ru-RU"/>
        </w:rPr>
        <w:t>539</w:t>
      </w:r>
      <w:r w:rsidRPr="004C59BB">
        <w:rPr>
          <w:color w:val="0000FF"/>
        </w:rPr>
        <w:t>页</w:t>
      </w:r>
      <w:r w:rsidRPr="0097554A">
        <w:rPr>
          <w:color w:val="0000FF"/>
          <w:lang w:val="ru-RU"/>
        </w:rPr>
        <w:t>，</w:t>
      </w:r>
      <w:r w:rsidRPr="004C59BB">
        <w:rPr>
          <w:color w:val="0000FF"/>
        </w:rPr>
        <w:t>奥贝尔版。</w:t>
      </w:r>
    </w:p>
  </w:footnote>
  <w:footnote w:id="819">
    <w:p w14:paraId="00C55CDD" w14:textId="0F92456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《希伯来书》第X章</w:t>
      </w:r>
      <w:r w:rsidRPr="0097554A">
        <w:rPr>
          <w:color w:val="0000FF"/>
          <w:lang w:val="ru-RU"/>
        </w:rPr>
        <w:t>，</w:t>
      </w:r>
      <w:r w:rsidRPr="004C59BB">
        <w:rPr>
          <w:color w:val="0000FF"/>
        </w:rPr>
        <w:t>第</w:t>
      </w:r>
      <w:r w:rsidRPr="0097554A">
        <w:rPr>
          <w:color w:val="0000FF"/>
          <w:lang w:val="ru-RU"/>
        </w:rPr>
        <w:t>39</w:t>
      </w:r>
      <w:r w:rsidRPr="004C59BB">
        <w:rPr>
          <w:color w:val="0000FF"/>
        </w:rPr>
        <w:t>节</w:t>
      </w:r>
      <w:r w:rsidRPr="0097554A">
        <w:rPr>
          <w:color w:val="0000FF"/>
          <w:lang w:val="ru-RU"/>
        </w:rPr>
        <w:t>；</w:t>
      </w:r>
      <w:r w:rsidRPr="004C59BB">
        <w:rPr>
          <w:color w:val="0000FF"/>
        </w:rPr>
        <w:t>《以弗所书》第III章</w:t>
      </w:r>
      <w:r w:rsidRPr="0097554A">
        <w:rPr>
          <w:color w:val="0000FF"/>
          <w:lang w:val="ru-RU"/>
        </w:rPr>
        <w:t>，</w:t>
      </w:r>
      <w:r w:rsidRPr="004C59BB">
        <w:rPr>
          <w:color w:val="0000FF"/>
        </w:rPr>
        <w:t>第</w:t>
      </w:r>
      <w:r w:rsidRPr="0097554A">
        <w:rPr>
          <w:color w:val="0000FF"/>
          <w:lang w:val="ru-RU"/>
        </w:rPr>
        <w:t>17</w:t>
      </w:r>
      <w:r w:rsidRPr="004C59BB">
        <w:rPr>
          <w:color w:val="0000FF"/>
        </w:rPr>
        <w:t>节。</w:t>
      </w:r>
    </w:p>
  </w:footnote>
  <w:footnote w:id="820">
    <w:p w14:paraId="784469DC" w14:textId="027D450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人始于信</w:t>
      </w:r>
      <w:r w:rsidRPr="0097554A">
        <w:rPr>
          <w:color w:val="0000FF"/>
          <w:lang w:val="ru-RU"/>
        </w:rPr>
        <w:t>，</w:t>
      </w:r>
      <w:r w:rsidRPr="004C59BB">
        <w:rPr>
          <w:color w:val="0000FF"/>
        </w:rPr>
        <w:t>但既然连魔鬼也信</w:t>
      </w:r>
      <w:r w:rsidRPr="0097554A">
        <w:rPr>
          <w:color w:val="0000FF"/>
          <w:lang w:val="ru-RU"/>
        </w:rPr>
        <w:t>，</w:t>
      </w:r>
      <w:r w:rsidRPr="004C59BB">
        <w:rPr>
          <w:color w:val="0000FF"/>
        </w:rPr>
        <w:t>就必须加上盼望和仁爱</w:t>
      </w:r>
      <w:r w:rsidRPr="0097554A">
        <w:rPr>
          <w:color w:val="0000FF"/>
          <w:lang w:val="ru-RU"/>
        </w:rPr>
        <w:t>（</w:t>
      </w:r>
      <w:r w:rsidRPr="004C59BB">
        <w:rPr>
          <w:color w:val="0000FF"/>
        </w:rPr>
        <w:t>《论使徒言语的讲道》第十六篇</w:t>
      </w:r>
      <w:r w:rsidRPr="0097554A">
        <w:rPr>
          <w:color w:val="0000FF"/>
          <w:lang w:val="ru-RU"/>
        </w:rPr>
        <w:t>；</w:t>
      </w:r>
      <w:r w:rsidRPr="004C59BB">
        <w:rPr>
          <w:color w:val="0000FF"/>
        </w:rPr>
        <w:t>参见《论圣灵与圣经》第十一篇</w:t>
      </w:r>
      <w:r w:rsidRPr="0097554A">
        <w:rPr>
          <w:color w:val="0000FF"/>
          <w:lang w:val="ru-RU"/>
        </w:rPr>
        <w:t>，</w:t>
      </w:r>
      <w:r w:rsidRPr="004C59BB">
        <w:rPr>
          <w:color w:val="0000FF"/>
        </w:rPr>
        <w:t>第</w:t>
      </w:r>
      <w:r w:rsidRPr="0097554A">
        <w:rPr>
          <w:color w:val="0000FF"/>
          <w:lang w:val="ru-RU"/>
        </w:rPr>
        <w:t>26</w:t>
      </w:r>
      <w:r w:rsidRPr="004C59BB">
        <w:rPr>
          <w:color w:val="0000FF"/>
        </w:rPr>
        <w:t>节</w:t>
      </w:r>
      <w:r w:rsidRPr="0097554A">
        <w:rPr>
          <w:color w:val="0000FF"/>
          <w:lang w:val="ru-RU"/>
        </w:rPr>
        <w:t>）</w:t>
      </w:r>
      <w:r w:rsidRPr="004C59BB">
        <w:rPr>
          <w:color w:val="0000FF"/>
        </w:rPr>
        <w:t>。</w:t>
      </w:r>
    </w:p>
  </w:footnote>
  <w:footnote w:id="821">
    <w:p w14:paraId="3ED33E58" w14:textId="27A01BB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奥利金</w:t>
      </w:r>
      <w:r w:rsidRPr="0097554A">
        <w:rPr>
          <w:color w:val="0000FF"/>
          <w:lang w:val="ru-RU"/>
        </w:rPr>
        <w:t>，</w:t>
      </w:r>
      <w:r w:rsidRPr="004C59BB">
        <w:rPr>
          <w:color w:val="0000FF"/>
        </w:rPr>
        <w:t>《民数记讲道集》第</w:t>
      </w:r>
      <w:r w:rsidRPr="0097554A">
        <w:rPr>
          <w:color w:val="0000FF"/>
          <w:lang w:val="ru-RU"/>
        </w:rPr>
        <w:t>26</w:t>
      </w:r>
      <w:r w:rsidRPr="004C59BB">
        <w:rPr>
          <w:color w:val="0000FF"/>
        </w:rPr>
        <w:t>篇</w:t>
      </w:r>
      <w:r w:rsidRPr="0097554A">
        <w:rPr>
          <w:color w:val="0000FF"/>
          <w:lang w:val="ru-RU"/>
        </w:rPr>
        <w:t>，</w:t>
      </w:r>
      <w:r w:rsidRPr="004C59BB">
        <w:rPr>
          <w:color w:val="0000FF"/>
        </w:rPr>
        <w:t>第</w:t>
      </w:r>
      <w:r w:rsidRPr="0097554A">
        <w:rPr>
          <w:color w:val="0000FF"/>
          <w:lang w:val="ru-RU"/>
        </w:rPr>
        <w:t>2</w:t>
      </w:r>
      <w:r w:rsidRPr="004C59BB">
        <w:rPr>
          <w:color w:val="0000FF"/>
        </w:rPr>
        <w:t>节</w:t>
      </w:r>
      <w:r w:rsidRPr="0097554A">
        <w:rPr>
          <w:color w:val="0000FF"/>
          <w:lang w:val="ru-RU"/>
        </w:rPr>
        <w:t>；</w:t>
      </w:r>
      <w:r w:rsidRPr="004C59BB">
        <w:rPr>
          <w:color w:val="0000FF"/>
        </w:rPr>
        <w:t>亚历山大的克莱门特</w:t>
      </w:r>
      <w:r w:rsidRPr="0097554A">
        <w:rPr>
          <w:color w:val="0000FF"/>
          <w:lang w:val="ru-RU"/>
        </w:rPr>
        <w:t>，</w:t>
      </w:r>
      <w:r w:rsidRPr="004C59BB">
        <w:rPr>
          <w:color w:val="0000FF"/>
        </w:rPr>
        <w:t>《杂论》第</w:t>
      </w:r>
      <w:r w:rsidRPr="0097554A">
        <w:rPr>
          <w:color w:val="0000FF"/>
          <w:lang w:val="ru-RU"/>
        </w:rPr>
        <w:t>5</w:t>
      </w:r>
      <w:r w:rsidRPr="004C59BB">
        <w:rPr>
          <w:color w:val="0000FF"/>
        </w:rPr>
        <w:t>卷</w:t>
      </w:r>
      <w:r w:rsidRPr="0097554A">
        <w:rPr>
          <w:color w:val="0000FF"/>
          <w:lang w:val="ru-RU"/>
        </w:rPr>
        <w:t>，</w:t>
      </w:r>
      <w:r w:rsidRPr="004C59BB">
        <w:rPr>
          <w:color w:val="0000FF"/>
        </w:rPr>
        <w:t>第</w:t>
      </w:r>
      <w:r w:rsidRPr="0097554A">
        <w:rPr>
          <w:color w:val="0000FF"/>
          <w:lang w:val="ru-RU"/>
        </w:rPr>
        <w:t>1</w:t>
      </w:r>
      <w:r w:rsidRPr="004C59BB">
        <w:rPr>
          <w:color w:val="0000FF"/>
        </w:rPr>
        <w:t>章</w:t>
      </w:r>
      <w:r w:rsidRPr="0097554A">
        <w:rPr>
          <w:color w:val="0000FF"/>
          <w:lang w:val="ru-RU"/>
        </w:rPr>
        <w:t xml:space="preserve">； </w:t>
      </w:r>
      <w:r w:rsidRPr="004C59BB">
        <w:rPr>
          <w:color w:val="0000FF"/>
        </w:rPr>
        <w:t>第七卷</w:t>
      </w:r>
      <w:r w:rsidRPr="0097554A">
        <w:rPr>
          <w:color w:val="0000FF"/>
          <w:lang w:val="ru-RU"/>
        </w:rPr>
        <w:t>，</w:t>
      </w:r>
      <w:r w:rsidRPr="004C59BB">
        <w:rPr>
          <w:color w:val="0000FF"/>
        </w:rPr>
        <w:t>第</w:t>
      </w:r>
      <w:r w:rsidRPr="0097554A">
        <w:rPr>
          <w:color w:val="0000FF"/>
          <w:lang w:val="ru-RU"/>
        </w:rPr>
        <w:t>1</w:t>
      </w:r>
      <w:r w:rsidRPr="004C59BB">
        <w:rPr>
          <w:color w:val="0000FF"/>
        </w:rPr>
        <w:t>章</w:t>
      </w:r>
      <w:r w:rsidRPr="0097554A">
        <w:rPr>
          <w:color w:val="0000FF"/>
          <w:lang w:val="ru-RU"/>
        </w:rPr>
        <w:t>；</w:t>
      </w:r>
      <w:r w:rsidRPr="004C59BB">
        <w:rPr>
          <w:color w:val="0000FF"/>
        </w:rPr>
        <w:t>希拉里</w:t>
      </w:r>
      <w:r w:rsidRPr="0097554A">
        <w:rPr>
          <w:color w:val="0000FF"/>
          <w:lang w:val="ru-RU"/>
        </w:rPr>
        <w:t>，</w:t>
      </w:r>
      <w:r w:rsidRPr="004C59BB">
        <w:rPr>
          <w:color w:val="0000FF"/>
        </w:rPr>
        <w:t>《马太福音注释》第</w:t>
      </w:r>
      <w:r w:rsidRPr="0097554A">
        <w:rPr>
          <w:color w:val="0000FF"/>
          <w:lang w:val="ru-RU"/>
        </w:rPr>
        <w:t>20</w:t>
      </w:r>
      <w:r w:rsidRPr="004C59BB">
        <w:rPr>
          <w:color w:val="0000FF"/>
        </w:rPr>
        <w:t>章</w:t>
      </w:r>
      <w:r w:rsidRPr="0097554A">
        <w:rPr>
          <w:color w:val="0000FF"/>
          <w:lang w:val="ru-RU"/>
        </w:rPr>
        <w:t>，</w:t>
      </w:r>
      <w:r w:rsidRPr="004C59BB">
        <w:rPr>
          <w:color w:val="0000FF"/>
        </w:rPr>
        <w:t>第</w:t>
      </w:r>
      <w:r w:rsidRPr="0097554A">
        <w:rPr>
          <w:color w:val="0000FF"/>
          <w:lang w:val="ru-RU"/>
        </w:rPr>
        <w:t>7</w:t>
      </w:r>
      <w:r w:rsidRPr="004C59BB">
        <w:rPr>
          <w:color w:val="0000FF"/>
        </w:rPr>
        <w:t>节</w:t>
      </w:r>
      <w:r w:rsidRPr="0097554A">
        <w:rPr>
          <w:color w:val="0000FF"/>
          <w:lang w:val="ru-RU"/>
        </w:rPr>
        <w:t>；</w:t>
      </w:r>
      <w:r w:rsidRPr="004C59BB">
        <w:rPr>
          <w:color w:val="0000FF"/>
        </w:rPr>
        <w:t>《诗篇注释》第</w:t>
      </w:r>
      <w:r w:rsidRPr="0097554A">
        <w:rPr>
          <w:color w:val="0000FF"/>
          <w:lang w:val="ru-RU"/>
        </w:rPr>
        <w:t>60</w:t>
      </w:r>
      <w:r w:rsidRPr="004C59BB">
        <w:rPr>
          <w:color w:val="0000FF"/>
          <w:lang w:val="ru-RU"/>
        </w:rPr>
        <w:t>篇，第3节</w:t>
      </w:r>
      <w:r w:rsidRPr="0097554A">
        <w:rPr>
          <w:color w:val="0000FF"/>
          <w:lang w:val="ru-RU"/>
        </w:rPr>
        <w:t>；</w:t>
      </w:r>
      <w:r w:rsidRPr="004C59BB">
        <w:rPr>
          <w:color w:val="0000FF"/>
          <w:lang w:val="ru-RU"/>
        </w:rPr>
        <w:t>《</w:t>
      </w:r>
      <w:r w:rsidRPr="004C59BB">
        <w:rPr>
          <w:color w:val="0000FF"/>
        </w:rPr>
        <w:t>论三位一体</w:t>
      </w:r>
      <w:r w:rsidRPr="004C59BB">
        <w:rPr>
          <w:color w:val="0000FF"/>
          <w:lang w:val="ru-RU"/>
        </w:rPr>
        <w:t>》</w:t>
      </w:r>
      <w:r w:rsidRPr="004C59BB">
        <w:rPr>
          <w:color w:val="0000FF"/>
        </w:rPr>
        <w:t>第八卷</w:t>
      </w:r>
      <w:r w:rsidRPr="004C59BB">
        <w:rPr>
          <w:color w:val="0000FF"/>
          <w:lang w:val="ru-RU"/>
        </w:rPr>
        <w:t>，第12章；约翰·达马斯库斯，《正统信仰的精确阐述》</w:t>
      </w:r>
      <w:r w:rsidRPr="004C59BB">
        <w:rPr>
          <w:color w:val="0000FF"/>
        </w:rPr>
        <w:t>第四卷</w:t>
      </w:r>
      <w:r w:rsidRPr="0097554A">
        <w:rPr>
          <w:color w:val="0000FF"/>
          <w:lang w:val="ru-RU"/>
        </w:rPr>
        <w:t>，</w:t>
      </w:r>
      <w:r w:rsidRPr="004C59BB">
        <w:rPr>
          <w:color w:val="0000FF"/>
        </w:rPr>
        <w:t>第二</w:t>
      </w:r>
      <w:r w:rsidRPr="004C59BB">
        <w:rPr>
          <w:color w:val="0000FF"/>
          <w:lang w:val="el-GR"/>
        </w:rPr>
        <w:t>章</w:t>
      </w:r>
      <w:r w:rsidRPr="0097554A">
        <w:rPr>
          <w:color w:val="0000FF"/>
          <w:lang w:val="ru-RU"/>
        </w:rPr>
        <w:t>，</w:t>
      </w:r>
      <w:r w:rsidRPr="004C59BB">
        <w:rPr>
          <w:color w:val="0000FF"/>
          <w:lang w:val="el-GR"/>
        </w:rPr>
        <w:t>第</w:t>
      </w:r>
      <w:r w:rsidRPr="0097554A">
        <w:rPr>
          <w:color w:val="0000FF"/>
          <w:lang w:val="ru-RU"/>
        </w:rPr>
        <w:t>141–142</w:t>
      </w:r>
      <w:r w:rsidRPr="004C59BB">
        <w:rPr>
          <w:color w:val="0000FF"/>
          <w:lang w:val="el-GR"/>
        </w:rPr>
        <w:t>页。</w:t>
      </w:r>
    </w:p>
  </w:footnote>
  <w:footnote w:id="822">
    <w:p w14:paraId="6C4ECE99" w14:textId="4D54243C"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ru-RU"/>
        </w:rPr>
        <w:t xml:space="preserve"> </w:t>
      </w:r>
      <w:r w:rsidRPr="004C59BB">
        <w:rPr>
          <w:color w:val="0000FF"/>
        </w:rPr>
        <w:t>《提多书</w:t>
      </w:r>
      <w:r w:rsidRPr="004C59BB">
        <w:rPr>
          <w:color w:val="0000FF"/>
          <w:lang w:val="el-GR"/>
        </w:rPr>
        <w:t>》</w:t>
      </w:r>
      <w:r w:rsidRPr="0097554A">
        <w:rPr>
          <w:color w:val="0000FF"/>
          <w:lang w:val="ru-RU"/>
        </w:rPr>
        <w:t>1:4；“</w:t>
      </w:r>
      <w:r w:rsidRPr="004C59BB">
        <w:rPr>
          <w:color w:val="0000FF"/>
          <w:lang w:val="el-GR"/>
        </w:rPr>
        <w:t>它寻求信仰的果实</w:t>
      </w:r>
      <w:r w:rsidRPr="0097554A">
        <w:rPr>
          <w:color w:val="0000FF"/>
          <w:lang w:val="ru-RU"/>
        </w:rPr>
        <w:t>，</w:t>
      </w:r>
      <w:r w:rsidRPr="004C59BB">
        <w:rPr>
          <w:color w:val="0000FF"/>
          <w:lang w:val="el-GR"/>
        </w:rPr>
        <w:t>以及生者与被生者之间的和谐。”</w:t>
      </w:r>
    </w:p>
  </w:footnote>
  <w:footnote w:id="823">
    <w:p w14:paraId="5D225163" w14:textId="52FDE253"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《罗马书讲道集》</w:t>
      </w:r>
      <w:r w:rsidRPr="004C59BB">
        <w:rPr>
          <w:color w:val="0000FF"/>
        </w:rPr>
        <w:t>第八</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157–158</w:t>
      </w:r>
      <w:r w:rsidRPr="004C59BB">
        <w:rPr>
          <w:color w:val="0000FF"/>
          <w:lang w:val="ru-RU"/>
        </w:rPr>
        <w:t>页</w:t>
      </w:r>
      <w:r w:rsidRPr="0097554A">
        <w:rPr>
          <w:color w:val="0000FF"/>
          <w:lang w:val="el-GR"/>
        </w:rPr>
        <w:t>，</w:t>
      </w:r>
      <w:r w:rsidRPr="004C59BB">
        <w:rPr>
          <w:color w:val="0000FF"/>
          <w:lang w:val="ru-RU"/>
        </w:rPr>
        <w:t>第</w:t>
      </w:r>
      <w:r w:rsidRPr="0097554A">
        <w:rPr>
          <w:color w:val="0000FF"/>
          <w:lang w:val="el-GR"/>
        </w:rPr>
        <w:t>174</w:t>
      </w:r>
      <w:r w:rsidRPr="004C59BB">
        <w:rPr>
          <w:color w:val="0000FF"/>
          <w:lang w:val="ru-RU"/>
        </w:rPr>
        <w:t>、</w:t>
      </w:r>
      <w:r w:rsidRPr="0097554A">
        <w:rPr>
          <w:color w:val="0000FF"/>
          <w:lang w:val="el-GR"/>
        </w:rPr>
        <w:t>175</w:t>
      </w:r>
      <w:r w:rsidRPr="004C59BB">
        <w:rPr>
          <w:color w:val="0000FF"/>
          <w:lang w:val="ru-RU"/>
        </w:rPr>
        <w:t>页。</w:t>
      </w:r>
    </w:p>
  </w:footnote>
  <w:footnote w:id="824">
    <w:p w14:paraId="752D4992" w14:textId="511C1014"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《致哥林多前书》</w:t>
      </w:r>
      <w:r w:rsidRPr="0097554A">
        <w:rPr>
          <w:color w:val="0000FF"/>
          <w:lang w:val="el-GR"/>
        </w:rPr>
        <w:t>1</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33</w:t>
      </w:r>
      <w:r w:rsidRPr="004C59BB">
        <w:rPr>
          <w:color w:val="0000FF"/>
          <w:lang w:val="ru-RU"/>
        </w:rPr>
        <w:t>、</w:t>
      </w:r>
      <w:r w:rsidRPr="0097554A">
        <w:rPr>
          <w:color w:val="0000FF"/>
          <w:lang w:val="el-GR"/>
        </w:rPr>
        <w:t>34</w:t>
      </w:r>
      <w:r w:rsidRPr="004C59BB">
        <w:rPr>
          <w:color w:val="0000FF"/>
          <w:lang w:val="ru-RU"/>
        </w:rPr>
        <w:t>节</w:t>
      </w:r>
      <w:r w:rsidRPr="0097554A">
        <w:rPr>
          <w:color w:val="0000FF"/>
          <w:lang w:val="el-GR"/>
        </w:rPr>
        <w:t>，</w:t>
      </w:r>
      <w:r w:rsidRPr="004C59BB">
        <w:rPr>
          <w:color w:val="0000FF"/>
          <w:lang w:val="ru-RU"/>
        </w:rPr>
        <w:t>载于《基督教读本》</w:t>
      </w:r>
      <w:r w:rsidRPr="0097554A">
        <w:rPr>
          <w:color w:val="0000FF"/>
          <w:lang w:val="el-GR"/>
        </w:rPr>
        <w:t>1824</w:t>
      </w:r>
      <w:r w:rsidRPr="004C59BB">
        <w:rPr>
          <w:color w:val="0000FF"/>
          <w:lang w:val="ru-RU"/>
        </w:rPr>
        <w:t>年版</w:t>
      </w:r>
      <w:r w:rsidRPr="0097554A">
        <w:rPr>
          <w:color w:val="0000FF"/>
          <w:lang w:val="el-GR"/>
        </w:rPr>
        <w:t>，</w:t>
      </w:r>
      <w:r w:rsidRPr="004C59BB">
        <w:rPr>
          <w:color w:val="0000FF"/>
        </w:rPr>
        <w:t>第十四</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270</w:t>
      </w:r>
      <w:r w:rsidRPr="004C59BB">
        <w:rPr>
          <w:color w:val="0000FF"/>
          <w:lang w:val="ru-RU"/>
        </w:rPr>
        <w:t>、</w:t>
      </w:r>
      <w:r w:rsidRPr="0097554A">
        <w:rPr>
          <w:color w:val="0000FF"/>
          <w:lang w:val="el-GR"/>
        </w:rPr>
        <w:t>271</w:t>
      </w:r>
      <w:r w:rsidRPr="004C59BB">
        <w:rPr>
          <w:color w:val="0000FF"/>
          <w:lang w:val="ru-RU"/>
        </w:rPr>
        <w:t>页。</w:t>
      </w:r>
    </w:p>
  </w:footnote>
  <w:footnote w:id="825">
    <w:p w14:paraId="06AF1E4A" w14:textId="294DBDEC"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《哥林多后书》第</w:t>
      </w:r>
      <w:r w:rsidRPr="0097554A">
        <w:rPr>
          <w:color w:val="0000FF"/>
          <w:lang w:val="el-GR"/>
        </w:rPr>
        <w:t>3</w:t>
      </w:r>
      <w:r w:rsidRPr="004C59BB">
        <w:rPr>
          <w:color w:val="0000FF"/>
          <w:lang w:val="ru-RU"/>
        </w:rPr>
        <w:t>、</w:t>
      </w:r>
      <w:r w:rsidRPr="0097554A">
        <w:rPr>
          <w:color w:val="0000FF"/>
          <w:lang w:val="el-GR"/>
        </w:rPr>
        <w:t>4</w:t>
      </w:r>
      <w:r w:rsidRPr="004C59BB">
        <w:rPr>
          <w:color w:val="0000FF"/>
          <w:lang w:val="ru-RU"/>
        </w:rPr>
        <w:t>章</w:t>
      </w:r>
      <w:r w:rsidRPr="0097554A">
        <w:rPr>
          <w:color w:val="0000FF"/>
          <w:lang w:val="el-GR"/>
        </w:rPr>
        <w:t>，</w:t>
      </w:r>
      <w:r w:rsidRPr="004C59BB">
        <w:rPr>
          <w:color w:val="0000FF"/>
          <w:lang w:val="ru-RU"/>
        </w:rPr>
        <w:t>载于《基督教读本》</w:t>
      </w:r>
      <w:r w:rsidRPr="0097554A">
        <w:rPr>
          <w:color w:val="0000FF"/>
          <w:lang w:val="el-GR"/>
        </w:rPr>
        <w:t>1842</w:t>
      </w:r>
      <w:r w:rsidRPr="004C59BB">
        <w:rPr>
          <w:color w:val="0000FF"/>
          <w:lang w:val="ru-RU"/>
        </w:rPr>
        <w:t>年版</w:t>
      </w:r>
      <w:r w:rsidRPr="0097554A">
        <w:rPr>
          <w:color w:val="0000FF"/>
          <w:lang w:val="el-GR"/>
        </w:rPr>
        <w:t>，</w:t>
      </w:r>
      <w:r w:rsidRPr="004C59BB">
        <w:rPr>
          <w:color w:val="0000FF"/>
        </w:rPr>
        <w:t>第II</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46</w:t>
      </w:r>
      <w:r w:rsidRPr="004C59BB">
        <w:rPr>
          <w:color w:val="0000FF"/>
          <w:lang w:val="ru-RU"/>
        </w:rPr>
        <w:t>、</w:t>
      </w:r>
      <w:r w:rsidRPr="0097554A">
        <w:rPr>
          <w:color w:val="0000FF"/>
          <w:lang w:val="el-GR"/>
        </w:rPr>
        <w:t>47</w:t>
      </w:r>
      <w:r w:rsidRPr="004C59BB">
        <w:rPr>
          <w:color w:val="0000FF"/>
          <w:lang w:val="ru-RU"/>
        </w:rPr>
        <w:t>页。</w:t>
      </w:r>
    </w:p>
  </w:footnote>
  <w:footnote w:id="826">
    <w:p w14:paraId="51CDE8AC" w14:textId="38064AFC"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《教义概要》</w:t>
      </w:r>
      <w:r w:rsidRPr="004C59BB">
        <w:rPr>
          <w:color w:val="0000FF"/>
        </w:rPr>
        <w:t>第四</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2</w:t>
      </w:r>
      <w:r w:rsidRPr="004C59BB">
        <w:rPr>
          <w:color w:val="0000FF"/>
          <w:lang w:val="ru-RU"/>
        </w:rPr>
        <w:t>节</w:t>
      </w:r>
      <w:r w:rsidRPr="0097554A">
        <w:rPr>
          <w:color w:val="0000FF"/>
          <w:lang w:val="el-GR"/>
        </w:rPr>
        <w:t>，</w:t>
      </w:r>
      <w:r w:rsidRPr="004C59BB">
        <w:rPr>
          <w:color w:val="0000FF"/>
          <w:lang w:val="ru-RU"/>
        </w:rPr>
        <w:t>第</w:t>
      </w:r>
      <w:r w:rsidRPr="0097554A">
        <w:rPr>
          <w:color w:val="0000FF"/>
          <w:lang w:val="el-GR"/>
        </w:rPr>
        <w:t>58</w:t>
      </w:r>
      <w:r w:rsidRPr="004C59BB">
        <w:rPr>
          <w:color w:val="0000FF"/>
          <w:lang w:val="ru-RU"/>
        </w:rPr>
        <w:t>页。</w:t>
      </w:r>
    </w:p>
  </w:footnote>
  <w:footnote w:id="827">
    <w:p w14:paraId="4F237E06" w14:textId="03FA998A"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《以赛亚书注释》第</w:t>
      </w:r>
      <w:r w:rsidRPr="0097554A">
        <w:rPr>
          <w:color w:val="0000FF"/>
          <w:lang w:val="el-GR"/>
        </w:rPr>
        <w:t>14</w:t>
      </w:r>
      <w:r w:rsidRPr="004C59BB">
        <w:rPr>
          <w:color w:val="0000FF"/>
          <w:lang w:val="ru-RU"/>
        </w:rPr>
        <w:t>章</w:t>
      </w:r>
      <w:r w:rsidRPr="0097554A">
        <w:rPr>
          <w:color w:val="0000FF"/>
          <w:lang w:val="el-GR"/>
        </w:rPr>
        <w:t>，</w:t>
      </w:r>
      <w:r w:rsidRPr="004C59BB">
        <w:rPr>
          <w:color w:val="0000FF"/>
          <w:lang w:val="ru-RU"/>
        </w:rPr>
        <w:t>载于《圣父著作集》</w:t>
      </w:r>
      <w:r w:rsidRPr="004C59BB">
        <w:rPr>
          <w:color w:val="0000FF"/>
        </w:rPr>
        <w:t>第六卷</w:t>
      </w:r>
      <w:r w:rsidRPr="0097554A">
        <w:rPr>
          <w:color w:val="0000FF"/>
          <w:lang w:val="el-GR"/>
        </w:rPr>
        <w:t>，</w:t>
      </w:r>
      <w:r w:rsidRPr="004C59BB">
        <w:rPr>
          <w:color w:val="0000FF"/>
          <w:lang w:val="ru-RU"/>
        </w:rPr>
        <w:t>第</w:t>
      </w:r>
      <w:r w:rsidRPr="0097554A">
        <w:rPr>
          <w:color w:val="0000FF"/>
          <w:lang w:val="el-GR"/>
        </w:rPr>
        <w:t>400</w:t>
      </w:r>
      <w:r w:rsidRPr="004C59BB">
        <w:rPr>
          <w:color w:val="0000FF"/>
          <w:lang w:val="ru-RU"/>
        </w:rPr>
        <w:t>页。</w:t>
      </w:r>
    </w:p>
  </w:footnote>
  <w:footnote w:id="828">
    <w:p w14:paraId="3FBD47C2" w14:textId="5CA5B4A6"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《论自身》</w:t>
      </w:r>
      <w:r w:rsidRPr="0097554A">
        <w:rPr>
          <w:color w:val="0000FF"/>
          <w:lang w:val="el-GR"/>
        </w:rPr>
        <w:t>，</w:t>
      </w:r>
      <w:r w:rsidRPr="004C59BB">
        <w:rPr>
          <w:color w:val="0000FF"/>
          <w:lang w:val="ru-RU"/>
        </w:rPr>
        <w:t>载于《圣父著作集》</w:t>
      </w:r>
      <w:r w:rsidRPr="004C59BB">
        <w:rPr>
          <w:color w:val="0000FF"/>
        </w:rPr>
        <w:t>第二卷</w:t>
      </w:r>
      <w:r w:rsidRPr="0097554A">
        <w:rPr>
          <w:color w:val="0000FF"/>
          <w:lang w:val="el-GR"/>
        </w:rPr>
        <w:t>，</w:t>
      </w:r>
      <w:r w:rsidRPr="004C59BB">
        <w:rPr>
          <w:color w:val="0000FF"/>
          <w:lang w:val="ru-RU"/>
        </w:rPr>
        <w:t>第</w:t>
      </w:r>
      <w:r w:rsidRPr="0097554A">
        <w:rPr>
          <w:color w:val="0000FF"/>
          <w:lang w:val="el-GR"/>
        </w:rPr>
        <w:t>296</w:t>
      </w:r>
      <w:r w:rsidRPr="004C59BB">
        <w:rPr>
          <w:color w:val="0000FF"/>
          <w:lang w:val="ru-RU"/>
        </w:rPr>
        <w:t>页。</w:t>
      </w:r>
    </w:p>
  </w:footnote>
  <w:footnote w:id="829">
    <w:p w14:paraId="49898C83" w14:textId="1402F06A"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《马太福音讲道集》</w:t>
      </w:r>
      <w:r w:rsidRPr="004C59BB">
        <w:rPr>
          <w:color w:val="0000FF"/>
        </w:rPr>
        <w:t>第LXIV篇</w:t>
      </w:r>
      <w:r w:rsidRPr="0097554A">
        <w:rPr>
          <w:color w:val="0000FF"/>
          <w:lang w:val="el-GR"/>
        </w:rPr>
        <w:t>，</w:t>
      </w:r>
      <w:r w:rsidRPr="004C59BB">
        <w:rPr>
          <w:color w:val="0000FF"/>
        </w:rPr>
        <w:t>第</w:t>
      </w:r>
      <w:r w:rsidRPr="0097554A">
        <w:rPr>
          <w:color w:val="0000FF"/>
          <w:lang w:val="el-GR"/>
        </w:rPr>
        <w:t>102</w:t>
      </w:r>
      <w:r w:rsidRPr="004C59BB">
        <w:rPr>
          <w:color w:val="0000FF"/>
        </w:rPr>
        <w:t>、</w:t>
      </w:r>
      <w:r w:rsidRPr="0097554A">
        <w:rPr>
          <w:color w:val="0000FF"/>
          <w:lang w:val="el-GR"/>
        </w:rPr>
        <w:t>103</w:t>
      </w:r>
      <w:r w:rsidRPr="004C59BB">
        <w:rPr>
          <w:color w:val="0000FF"/>
        </w:rPr>
        <w:t>、</w:t>
      </w:r>
      <w:r w:rsidRPr="0097554A">
        <w:rPr>
          <w:color w:val="0000FF"/>
          <w:lang w:val="el-GR"/>
        </w:rPr>
        <w:t>104</w:t>
      </w:r>
      <w:r w:rsidRPr="004C59BB">
        <w:rPr>
          <w:color w:val="0000FF"/>
        </w:rPr>
        <w:t>页。</w:t>
      </w:r>
    </w:p>
  </w:footnote>
  <w:footnote w:id="830">
    <w:p w14:paraId="4E057B76" w14:textId="1FE15AAE"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《关于保罗之言</w:t>
      </w:r>
      <w:r w:rsidRPr="0097554A">
        <w:rPr>
          <w:color w:val="0000FF"/>
          <w:lang w:val="el-GR"/>
        </w:rPr>
        <w:t>，</w:t>
      </w:r>
      <w:r w:rsidRPr="004C59BB">
        <w:rPr>
          <w:color w:val="0000FF"/>
        </w:rPr>
        <w:t>我不愿你们不知》</w:t>
      </w:r>
      <w:r w:rsidRPr="0097554A">
        <w:rPr>
          <w:color w:val="0000FF"/>
          <w:lang w:val="el-GR"/>
        </w:rPr>
        <w:t>，</w:t>
      </w:r>
      <w:r w:rsidRPr="004C59BB">
        <w:rPr>
          <w:color w:val="0000FF"/>
        </w:rPr>
        <w:t>第</w:t>
      </w:r>
      <w:r w:rsidRPr="0097554A">
        <w:rPr>
          <w:color w:val="0000FF"/>
          <w:lang w:val="el-GR"/>
        </w:rPr>
        <w:t>6</w:t>
      </w:r>
      <w:r w:rsidRPr="004C59BB">
        <w:rPr>
          <w:color w:val="0000FF"/>
        </w:rPr>
        <w:t>号。</w:t>
      </w:r>
    </w:p>
  </w:footnote>
  <w:footnote w:id="831">
    <w:p w14:paraId="56C749A0" w14:textId="4223B296"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《提多书》讲道集第八篇</w:t>
      </w:r>
      <w:r w:rsidRPr="0097554A">
        <w:rPr>
          <w:color w:val="0000FF"/>
          <w:lang w:val="el-GR"/>
        </w:rPr>
        <w:t>，</w:t>
      </w:r>
      <w:r w:rsidRPr="004C59BB">
        <w:rPr>
          <w:color w:val="0000FF"/>
        </w:rPr>
        <w:t>第</w:t>
      </w:r>
      <w:r w:rsidRPr="0097554A">
        <w:rPr>
          <w:color w:val="0000FF"/>
          <w:lang w:val="el-GR"/>
        </w:rPr>
        <w:t>1</w:t>
      </w:r>
      <w:r w:rsidRPr="004C59BB">
        <w:rPr>
          <w:color w:val="0000FF"/>
        </w:rPr>
        <w:t>号。</w:t>
      </w:r>
    </w:p>
  </w:footnote>
  <w:footnote w:id="832">
    <w:p w14:paraId="6847DC2F" w14:textId="0C609EB4"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《出埃及记》问答</w:t>
      </w:r>
      <w:r w:rsidRPr="0097554A">
        <w:rPr>
          <w:color w:val="0000FF"/>
          <w:lang w:val="el-GR"/>
        </w:rPr>
        <w:t>，</w:t>
      </w:r>
      <w:r w:rsidRPr="004C59BB">
        <w:rPr>
          <w:color w:val="0000FF"/>
        </w:rPr>
        <w:t>LXVIII</w:t>
      </w:r>
      <w:r w:rsidRPr="0097554A">
        <w:rPr>
          <w:color w:val="0000FF"/>
          <w:lang w:val="el-GR"/>
        </w:rPr>
        <w:t>；</w:t>
      </w:r>
      <w:r w:rsidRPr="004C59BB">
        <w:rPr>
          <w:color w:val="0000FF"/>
        </w:rPr>
        <w:t>参见《诗篇》XLVIII</w:t>
      </w:r>
      <w:r w:rsidRPr="0097554A">
        <w:rPr>
          <w:color w:val="0000FF"/>
          <w:lang w:val="el-GR"/>
        </w:rPr>
        <w:t>，1</w:t>
      </w:r>
      <w:r w:rsidRPr="004C59BB">
        <w:rPr>
          <w:color w:val="0000FF"/>
        </w:rPr>
        <w:t>。</w:t>
      </w:r>
    </w:p>
  </w:footnote>
  <w:footnote w:id="833">
    <w:p w14:paraId="12EE2689" w14:textId="17B088FD"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《诗篇》第</w:t>
      </w:r>
      <w:r w:rsidRPr="0097554A">
        <w:rPr>
          <w:color w:val="0000FF"/>
          <w:lang w:val="el-GR"/>
        </w:rPr>
        <w:t>96</w:t>
      </w:r>
      <w:r w:rsidRPr="004C59BB">
        <w:rPr>
          <w:color w:val="0000FF"/>
        </w:rPr>
        <w:t>篇</w:t>
      </w:r>
      <w:r w:rsidRPr="0097554A">
        <w:rPr>
          <w:color w:val="0000FF"/>
          <w:lang w:val="el-GR"/>
        </w:rPr>
        <w:t>，</w:t>
      </w:r>
      <w:r w:rsidRPr="004C59BB">
        <w:rPr>
          <w:color w:val="0000FF"/>
        </w:rPr>
        <w:t>第</w:t>
      </w:r>
      <w:r w:rsidRPr="0097554A">
        <w:rPr>
          <w:color w:val="0000FF"/>
          <w:lang w:val="el-GR"/>
        </w:rPr>
        <w:t>9</w:t>
      </w:r>
      <w:r w:rsidRPr="004C59BB">
        <w:rPr>
          <w:color w:val="0000FF"/>
        </w:rPr>
        <w:t>节。</w:t>
      </w:r>
    </w:p>
  </w:footnote>
  <w:footnote w:id="834">
    <w:p w14:paraId="5E651568" w14:textId="4EEBF5BE"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《罗马书》第IV章第</w:t>
      </w:r>
      <w:r w:rsidRPr="0097554A">
        <w:rPr>
          <w:color w:val="0000FF"/>
          <w:lang w:val="el-GR"/>
        </w:rPr>
        <w:t>25</w:t>
      </w:r>
      <w:r w:rsidRPr="004C59BB">
        <w:rPr>
          <w:color w:val="0000FF"/>
        </w:rPr>
        <w:t>节。</w:t>
      </w:r>
    </w:p>
  </w:footnote>
  <w:footnote w:id="835">
    <w:p w14:paraId="3F11D7BF" w14:textId="637E7A8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伊格纳提乌斯《致以弗所人书》第IV段</w:t>
      </w:r>
      <w:r w:rsidRPr="0097554A">
        <w:rPr>
          <w:color w:val="0000FF"/>
          <w:lang w:val="el-GR"/>
        </w:rPr>
        <w:t>；</w:t>
      </w:r>
      <w:r w:rsidRPr="004C59BB">
        <w:rPr>
          <w:color w:val="0000FF"/>
        </w:rPr>
        <w:t>巴拿巴《书信》第XIX段</w:t>
      </w:r>
      <w:r w:rsidRPr="0097554A">
        <w:rPr>
          <w:color w:val="0000FF"/>
          <w:lang w:val="el-GR"/>
        </w:rPr>
        <w:t>；</w:t>
      </w:r>
      <w:r w:rsidRPr="004C59BB">
        <w:rPr>
          <w:color w:val="0000FF"/>
        </w:rPr>
        <w:t>爱任纽《驳异端》第</w:t>
      </w:r>
      <w:r w:rsidRPr="0097554A">
        <w:rPr>
          <w:color w:val="0000FF"/>
          <w:lang w:val="el-GR"/>
        </w:rPr>
        <w:t>1</w:t>
      </w:r>
      <w:r w:rsidRPr="004C59BB">
        <w:rPr>
          <w:color w:val="0000FF"/>
        </w:rPr>
        <w:t>卷第</w:t>
      </w:r>
      <w:r w:rsidRPr="0097554A">
        <w:rPr>
          <w:color w:val="0000FF"/>
          <w:lang w:val="el-GR"/>
        </w:rPr>
        <w:t>6</w:t>
      </w:r>
      <w:r w:rsidRPr="004C59BB">
        <w:rPr>
          <w:color w:val="0000FF"/>
        </w:rPr>
        <w:t>章第</w:t>
      </w:r>
      <w:r w:rsidRPr="0097554A">
        <w:rPr>
          <w:color w:val="0000FF"/>
          <w:lang w:val="el-GR"/>
        </w:rPr>
        <w:t>2</w:t>
      </w:r>
      <w:r w:rsidRPr="004C59BB">
        <w:rPr>
          <w:color w:val="0000FF"/>
        </w:rPr>
        <w:t>段</w:t>
      </w:r>
      <w:r w:rsidRPr="0097554A">
        <w:rPr>
          <w:color w:val="0000FF"/>
          <w:lang w:val="el-GR"/>
        </w:rPr>
        <w:t xml:space="preserve">； </w:t>
      </w:r>
      <w:r w:rsidRPr="004C59BB">
        <w:rPr>
          <w:color w:val="0000FF"/>
        </w:rPr>
        <w:t>西奥菲勒斯《论福音》第</w:t>
      </w:r>
      <w:r w:rsidRPr="0097554A">
        <w:rPr>
          <w:color w:val="0000FF"/>
          <w:lang w:val="el-GR"/>
        </w:rPr>
        <w:t>11</w:t>
      </w:r>
      <w:r w:rsidRPr="004C59BB">
        <w:rPr>
          <w:color w:val="0000FF"/>
        </w:rPr>
        <w:t>章</w:t>
      </w:r>
      <w:r w:rsidRPr="0097554A">
        <w:rPr>
          <w:color w:val="0000FF"/>
          <w:lang w:val="el-GR"/>
        </w:rPr>
        <w:t>，</w:t>
      </w:r>
      <w:r w:rsidRPr="004C59BB">
        <w:rPr>
          <w:color w:val="0000FF"/>
        </w:rPr>
        <w:t>第</w:t>
      </w:r>
      <w:r w:rsidRPr="0097554A">
        <w:rPr>
          <w:color w:val="0000FF"/>
          <w:lang w:val="el-GR"/>
        </w:rPr>
        <w:t>27</w:t>
      </w:r>
      <w:r w:rsidRPr="004C59BB">
        <w:rPr>
          <w:color w:val="0000FF"/>
        </w:rPr>
        <w:t>、</w:t>
      </w:r>
      <w:r w:rsidRPr="0097554A">
        <w:rPr>
          <w:color w:val="0000FF"/>
          <w:lang w:val="el-GR"/>
        </w:rPr>
        <w:t>37</w:t>
      </w:r>
      <w:r w:rsidRPr="004C59BB">
        <w:rPr>
          <w:color w:val="0000FF"/>
        </w:rPr>
        <w:t>节</w:t>
      </w:r>
      <w:r w:rsidRPr="0097554A">
        <w:rPr>
          <w:color w:val="0000FF"/>
          <w:lang w:val="el-GR"/>
        </w:rPr>
        <w:t>；</w:t>
      </w:r>
      <w:r w:rsidRPr="004C59BB">
        <w:rPr>
          <w:color w:val="0000FF"/>
        </w:rPr>
        <w:t>亚历山大的克莱门特《杂论》第V卷</w:t>
      </w:r>
      <w:r w:rsidRPr="0097554A">
        <w:rPr>
          <w:color w:val="0000FF"/>
          <w:lang w:val="el-GR"/>
        </w:rPr>
        <w:t>，</w:t>
      </w:r>
      <w:r w:rsidRPr="004C59BB">
        <w:rPr>
          <w:color w:val="0000FF"/>
        </w:rPr>
        <w:t>第</w:t>
      </w:r>
      <w:r w:rsidRPr="0097554A">
        <w:rPr>
          <w:color w:val="0000FF"/>
          <w:lang w:val="el-GR"/>
        </w:rPr>
        <w:t>1</w:t>
      </w:r>
      <w:r w:rsidRPr="004C59BB">
        <w:rPr>
          <w:color w:val="0000FF"/>
        </w:rPr>
        <w:t>章</w:t>
      </w:r>
      <w:r w:rsidRPr="0097554A">
        <w:rPr>
          <w:color w:val="0000FF"/>
          <w:lang w:val="el-GR"/>
        </w:rPr>
        <w:t>；</w:t>
      </w:r>
      <w:r w:rsidRPr="004C59BB">
        <w:rPr>
          <w:color w:val="0000FF"/>
        </w:rPr>
        <w:t>第VI卷</w:t>
      </w:r>
      <w:r w:rsidRPr="0097554A">
        <w:rPr>
          <w:color w:val="0000FF"/>
          <w:lang w:val="el-GR"/>
        </w:rPr>
        <w:t>，</w:t>
      </w:r>
      <w:r w:rsidRPr="004C59BB">
        <w:rPr>
          <w:color w:val="0000FF"/>
        </w:rPr>
        <w:t>第</w:t>
      </w:r>
      <w:r w:rsidRPr="0097554A">
        <w:rPr>
          <w:color w:val="0000FF"/>
          <w:lang w:val="el-GR"/>
        </w:rPr>
        <w:t>14</w:t>
      </w:r>
      <w:r w:rsidRPr="004C59BB">
        <w:rPr>
          <w:color w:val="0000FF"/>
        </w:rPr>
        <w:t>、</w:t>
      </w:r>
      <w:r w:rsidRPr="0097554A">
        <w:rPr>
          <w:color w:val="0000FF"/>
          <w:lang w:val="el-GR"/>
        </w:rPr>
        <w:t>15</w:t>
      </w:r>
      <w:r w:rsidRPr="004C59BB">
        <w:rPr>
          <w:color w:val="0000FF"/>
        </w:rPr>
        <w:t>章</w:t>
      </w:r>
      <w:r w:rsidRPr="0097554A">
        <w:rPr>
          <w:color w:val="0000FF"/>
          <w:lang w:val="el-GR"/>
        </w:rPr>
        <w:t>；</w:t>
      </w:r>
      <w:r w:rsidRPr="004C59BB">
        <w:rPr>
          <w:color w:val="0000FF"/>
        </w:rPr>
        <w:t>优西比乌《教会史》第III卷</w:t>
      </w:r>
      <w:r w:rsidRPr="0097554A">
        <w:rPr>
          <w:color w:val="0000FF"/>
          <w:lang w:val="el-GR"/>
        </w:rPr>
        <w:t>，</w:t>
      </w:r>
      <w:r w:rsidRPr="004C59BB">
        <w:rPr>
          <w:color w:val="0000FF"/>
        </w:rPr>
        <w:t>第</w:t>
      </w:r>
      <w:r w:rsidRPr="0097554A">
        <w:rPr>
          <w:color w:val="0000FF"/>
          <w:lang w:val="el-GR"/>
        </w:rPr>
        <w:t>27</w:t>
      </w:r>
      <w:r w:rsidRPr="004C59BB">
        <w:rPr>
          <w:color w:val="0000FF"/>
        </w:rPr>
        <w:t>章</w:t>
      </w:r>
      <w:r w:rsidRPr="0097554A">
        <w:rPr>
          <w:color w:val="0000FF"/>
          <w:lang w:val="el-GR"/>
        </w:rPr>
        <w:t>；</w:t>
      </w:r>
      <w:r w:rsidRPr="004C59BB">
        <w:rPr>
          <w:color w:val="0000FF"/>
        </w:rPr>
        <w:t>尼西的格雷戈里《教理问答》第XXIX章。</w:t>
      </w:r>
    </w:p>
  </w:footnote>
  <w:footnote w:id="836">
    <w:p w14:paraId="71B9E234" w14:textId="6C4D94E6"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仅凭洗礼并不能得救。</w:t>
      </w:r>
      <w:r w:rsidRPr="0097554A">
        <w:rPr>
          <w:color w:val="0000FF"/>
          <w:lang w:val="el-GR"/>
        </w:rPr>
        <w:t>”</w:t>
      </w:r>
      <w:r w:rsidRPr="004C59BB">
        <w:rPr>
          <w:color w:val="0000FF"/>
        </w:rPr>
        <w:t>第四卷</w:t>
      </w:r>
      <w:r w:rsidRPr="0097554A">
        <w:rPr>
          <w:color w:val="0000FF"/>
          <w:lang w:val="el-GR"/>
        </w:rPr>
        <w:t>，</w:t>
      </w:r>
      <w:r w:rsidRPr="004C59BB">
        <w:rPr>
          <w:color w:val="0000FF"/>
        </w:rPr>
        <w:t>书信第</w:t>
      </w:r>
      <w:r w:rsidRPr="0097554A">
        <w:rPr>
          <w:color w:val="0000FF"/>
          <w:lang w:val="el-GR"/>
        </w:rPr>
        <w:t>65</w:t>
      </w:r>
      <w:r w:rsidRPr="004C59BB">
        <w:rPr>
          <w:color w:val="0000FF"/>
        </w:rPr>
        <w:t>封。</w:t>
      </w:r>
    </w:p>
  </w:footnote>
  <w:footnote w:id="837">
    <w:p w14:paraId="54CDDA1B" w14:textId="5E6A58A9"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安布罗斯《论该隐与亚伯》第二卷</w:t>
      </w:r>
      <w:r w:rsidRPr="0097554A">
        <w:rPr>
          <w:color w:val="0000FF"/>
          <w:lang w:val="el-GR"/>
        </w:rPr>
        <w:t>，</w:t>
      </w:r>
      <w:r w:rsidRPr="004C59BB">
        <w:rPr>
          <w:color w:val="0000FF"/>
        </w:rPr>
        <w:t>第二章</w:t>
      </w:r>
      <w:r w:rsidRPr="0097554A">
        <w:rPr>
          <w:color w:val="0000FF"/>
          <w:lang w:val="el-GR"/>
        </w:rPr>
        <w:t>，</w:t>
      </w:r>
      <w:r w:rsidRPr="004C59BB">
        <w:rPr>
          <w:color w:val="0000FF"/>
        </w:rPr>
        <w:t>第</w:t>
      </w:r>
      <w:r w:rsidRPr="0097554A">
        <w:rPr>
          <w:color w:val="0000FF"/>
          <w:lang w:val="el-GR"/>
        </w:rPr>
        <w:t>8</w:t>
      </w:r>
      <w:r w:rsidRPr="004C59BB">
        <w:rPr>
          <w:color w:val="0000FF"/>
        </w:rPr>
        <w:t>节</w:t>
      </w:r>
      <w:r w:rsidRPr="0097554A">
        <w:rPr>
          <w:color w:val="0000FF"/>
          <w:lang w:val="el-GR"/>
        </w:rPr>
        <w:t>；</w:t>
      </w:r>
      <w:r w:rsidRPr="004C59BB">
        <w:rPr>
          <w:color w:val="0000FF"/>
        </w:rPr>
        <w:t>耶罗尼莫《以赛亚书注释》第XXV</w:t>
      </w:r>
      <w:r w:rsidRPr="0097554A">
        <w:rPr>
          <w:color w:val="0000FF"/>
          <w:lang w:val="el-GR"/>
        </w:rPr>
        <w:t>Ï</w:t>
      </w:r>
      <w:r w:rsidRPr="004C59BB">
        <w:rPr>
          <w:color w:val="0000FF"/>
        </w:rPr>
        <w:t>章</w:t>
      </w:r>
      <w:r w:rsidRPr="0097554A">
        <w:rPr>
          <w:color w:val="0000FF"/>
          <w:lang w:val="el-GR"/>
        </w:rPr>
        <w:t>：“</w:t>
      </w:r>
      <w:r w:rsidRPr="004C59BB">
        <w:rPr>
          <w:color w:val="0000FF"/>
        </w:rPr>
        <w:t>因为仅凭信仰这道防线是不够的</w:t>
      </w:r>
      <w:r w:rsidRPr="0097554A">
        <w:rPr>
          <w:color w:val="0000FF"/>
          <w:lang w:val="el-GR"/>
        </w:rPr>
        <w:t>，</w:t>
      </w:r>
      <w:r w:rsidRPr="004C59BB">
        <w:rPr>
          <w:color w:val="0000FF"/>
        </w:rPr>
        <w:t>除非信仰本身通过善行得到巩固</w:t>
      </w:r>
      <w:r w:rsidRPr="0097554A">
        <w:rPr>
          <w:color w:val="0000FF"/>
          <w:lang w:val="el-GR"/>
        </w:rPr>
        <w:t xml:space="preserve">”； </w:t>
      </w:r>
      <w:r w:rsidRPr="004C59BB">
        <w:rPr>
          <w:color w:val="0000FF"/>
        </w:rPr>
        <w:t>奥古斯丁</w:t>
      </w:r>
      <w:r w:rsidRPr="0097554A">
        <w:rPr>
          <w:color w:val="0000FF"/>
          <w:lang w:val="el-GR"/>
        </w:rPr>
        <w:t>，</w:t>
      </w:r>
      <w:r w:rsidRPr="004C59BB">
        <w:rPr>
          <w:color w:val="0000FF"/>
        </w:rPr>
        <w:t>《反佩拉吉乌斯书》第二卷</w:t>
      </w:r>
      <w:r w:rsidRPr="0097554A">
        <w:rPr>
          <w:color w:val="0000FF"/>
          <w:lang w:val="el-GR"/>
        </w:rPr>
        <w:t>，5，</w:t>
      </w:r>
      <w:r w:rsidRPr="004C59BB">
        <w:rPr>
          <w:color w:val="0000FF"/>
        </w:rPr>
        <w:t>注</w:t>
      </w:r>
      <w:r w:rsidRPr="0097554A">
        <w:rPr>
          <w:color w:val="0000FF"/>
          <w:lang w:val="el-GR"/>
        </w:rPr>
        <w:t>14：</w:t>
      </w:r>
      <w:r w:rsidRPr="004C59BB">
        <w:rPr>
          <w:color w:val="0000FF"/>
        </w:rPr>
        <w:t>这种</w:t>
      </w:r>
      <w:r w:rsidRPr="0097554A">
        <w:rPr>
          <w:color w:val="0000FF"/>
          <w:lang w:val="el-GR"/>
        </w:rPr>
        <w:t>（</w:t>
      </w:r>
      <w:r w:rsidRPr="004C59BB">
        <w:rPr>
          <w:color w:val="0000FF"/>
        </w:rPr>
        <w:t>信仰</w:t>
      </w:r>
      <w:r w:rsidRPr="0097554A">
        <w:rPr>
          <w:color w:val="0000FF"/>
          <w:lang w:val="el-GR"/>
        </w:rPr>
        <w:t>）</w:t>
      </w:r>
      <w:r w:rsidRPr="004C59BB">
        <w:rPr>
          <w:color w:val="0000FF"/>
        </w:rPr>
        <w:t>若无善行</w:t>
      </w:r>
      <w:r w:rsidRPr="0097554A">
        <w:rPr>
          <w:color w:val="0000FF"/>
          <w:lang w:val="el-GR"/>
        </w:rPr>
        <w:t>，</w:t>
      </w:r>
      <w:r w:rsidRPr="004C59BB">
        <w:rPr>
          <w:color w:val="0000FF"/>
        </w:rPr>
        <w:t>便不能拯救任何人</w:t>
      </w:r>
      <w:r w:rsidRPr="0097554A">
        <w:rPr>
          <w:color w:val="0000FF"/>
          <w:lang w:val="el-GR"/>
        </w:rPr>
        <w:t>；</w:t>
      </w:r>
      <w:r w:rsidRPr="004C59BB">
        <w:rPr>
          <w:color w:val="0000FF"/>
        </w:rPr>
        <w:t>约翰</w:t>
      </w:r>
      <w:r w:rsidRPr="0097554A">
        <w:rPr>
          <w:color w:val="0000FF"/>
          <w:lang w:val="el-GR"/>
        </w:rPr>
        <w:t>·</w:t>
      </w:r>
      <w:r w:rsidRPr="004C59BB">
        <w:rPr>
          <w:color w:val="0000FF"/>
        </w:rPr>
        <w:t>达马斯库斯</w:t>
      </w:r>
      <w:r w:rsidRPr="0097554A">
        <w:rPr>
          <w:color w:val="0000FF"/>
          <w:lang w:val="el-GR"/>
        </w:rPr>
        <w:t>，</w:t>
      </w:r>
      <w:r w:rsidRPr="004C59BB">
        <w:rPr>
          <w:color w:val="0000FF"/>
          <w:lang w:val="ru-RU"/>
        </w:rPr>
        <w:t>《正统信仰精要》</w:t>
      </w:r>
      <w:r w:rsidRPr="004C59BB">
        <w:rPr>
          <w:color w:val="0000FF"/>
        </w:rPr>
        <w:t>第四</w:t>
      </w:r>
      <w:r w:rsidRPr="004C59BB">
        <w:rPr>
          <w:color w:val="0000FF"/>
          <w:lang w:val="ru-RU"/>
        </w:rPr>
        <w:t>卷</w:t>
      </w:r>
      <w:r w:rsidRPr="0097554A">
        <w:rPr>
          <w:color w:val="0000FF"/>
          <w:lang w:val="el-GR"/>
        </w:rPr>
        <w:t>，</w:t>
      </w:r>
      <w:r w:rsidRPr="004C59BB">
        <w:rPr>
          <w:color w:val="0000FF"/>
          <w:lang w:val="ru-RU"/>
        </w:rPr>
        <w:t>第九章</w:t>
      </w:r>
      <w:r w:rsidRPr="0097554A">
        <w:rPr>
          <w:color w:val="0000FF"/>
          <w:lang w:val="el-GR"/>
        </w:rPr>
        <w:t>，</w:t>
      </w:r>
      <w:r w:rsidRPr="004C59BB">
        <w:rPr>
          <w:color w:val="0000FF"/>
          <w:lang w:val="ru-RU"/>
        </w:rPr>
        <w:t>第</w:t>
      </w:r>
      <w:r w:rsidRPr="0097554A">
        <w:rPr>
          <w:color w:val="0000FF"/>
          <w:lang w:val="el-GR"/>
        </w:rPr>
        <w:t>237</w:t>
      </w:r>
      <w:r w:rsidRPr="004C59BB">
        <w:rPr>
          <w:color w:val="0000FF"/>
          <w:lang w:val="ru-RU"/>
        </w:rPr>
        <w:t>页。</w:t>
      </w:r>
    </w:p>
  </w:footnote>
  <w:footnote w:id="838">
    <w:p w14:paraId="66798C46" w14:textId="57F8EAC4"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谁若只强迫自己祈祷</w:t>
      </w:r>
      <w:r w:rsidRPr="0097554A">
        <w:rPr>
          <w:color w:val="0000FF"/>
          <w:lang w:val="el-GR"/>
        </w:rPr>
        <w:t>，</w:t>
      </w:r>
      <w:r w:rsidRPr="004C59BB">
        <w:rPr>
          <w:color w:val="0000FF"/>
          <w:lang w:val="ru-RU"/>
        </w:rPr>
        <w:t>却不强迫自己去实践谦卑、仁爱、温和及其他美德</w:t>
      </w:r>
      <w:r w:rsidRPr="0097554A">
        <w:rPr>
          <w:color w:val="0000FF"/>
          <w:lang w:val="el-GR"/>
        </w:rPr>
        <w:t>，</w:t>
      </w:r>
      <w:r w:rsidRPr="004C59BB">
        <w:rPr>
          <w:color w:val="0000FF"/>
          <w:lang w:val="ru-RU"/>
        </w:rPr>
        <w:t>也不在这些美德上精进</w:t>
      </w:r>
      <w:r w:rsidRPr="0097554A">
        <w:rPr>
          <w:color w:val="0000FF"/>
          <w:lang w:val="el-GR"/>
        </w:rPr>
        <w:t>，</w:t>
      </w:r>
      <w:r w:rsidRPr="004C59BB">
        <w:rPr>
          <w:color w:val="0000FF"/>
          <w:lang w:val="ru-RU"/>
        </w:rPr>
        <w:t>那么</w:t>
      </w:r>
      <w:r w:rsidRPr="0097554A">
        <w:rPr>
          <w:color w:val="0000FF"/>
          <w:lang w:val="el-GR"/>
        </w:rPr>
        <w:t>，</w:t>
      </w:r>
      <w:r w:rsidRPr="004C59BB">
        <w:rPr>
          <w:color w:val="0000FF"/>
          <w:lang w:val="ru-RU"/>
        </w:rPr>
        <w:t>有时根据他的祈求</w:t>
      </w:r>
      <w:r w:rsidRPr="0097554A">
        <w:rPr>
          <w:color w:val="0000FF"/>
          <w:lang w:val="el-GR"/>
        </w:rPr>
        <w:t>，</w:t>
      </w:r>
      <w:r w:rsidRPr="004C59BB">
        <w:rPr>
          <w:color w:val="0000FF"/>
          <w:lang w:val="ru-RU"/>
        </w:rPr>
        <w:t>上帝的恩典仍会赐予他</w:t>
      </w:r>
      <w:r w:rsidRPr="0097554A">
        <w:rPr>
          <w:color w:val="0000FF"/>
          <w:lang w:val="el-GR"/>
        </w:rPr>
        <w:t>：</w:t>
      </w:r>
      <w:r w:rsidRPr="004C59BB">
        <w:rPr>
          <w:color w:val="0000FF"/>
          <w:lang w:val="ru-RU"/>
        </w:rPr>
        <w:t>因为上帝是仁慈的</w:t>
      </w:r>
      <w:r w:rsidRPr="0097554A">
        <w:rPr>
          <w:color w:val="0000FF"/>
          <w:lang w:val="el-GR"/>
        </w:rPr>
        <w:t>，</w:t>
      </w:r>
      <w:r w:rsidRPr="004C59BB">
        <w:rPr>
          <w:color w:val="0000FF"/>
          <w:lang w:val="ru-RU"/>
        </w:rPr>
        <w:t>会满怀仁爱地将所求之物赐予祈求者。</w:t>
      </w:r>
      <w:r w:rsidRPr="0097554A">
        <w:rPr>
          <w:color w:val="0000FF"/>
          <w:lang w:val="el-GR"/>
        </w:rPr>
        <w:t xml:space="preserve"> </w:t>
      </w:r>
      <w:r w:rsidRPr="004C59BB">
        <w:rPr>
          <w:color w:val="0000FF"/>
          <w:lang w:val="ru-RU"/>
        </w:rPr>
        <w:t>但既然这样的人没有在美德上操练</w:t>
      </w:r>
      <w:r w:rsidRPr="0097554A">
        <w:rPr>
          <w:color w:val="0000FF"/>
          <w:lang w:val="el-GR"/>
        </w:rPr>
        <w:t>，</w:t>
      </w:r>
      <w:r w:rsidRPr="004C59BB">
        <w:rPr>
          <w:color w:val="0000FF"/>
          <w:lang w:val="ru-RU"/>
        </w:rPr>
        <w:t>也没有养成践行美德的习惯</w:t>
      </w:r>
      <w:r w:rsidRPr="0097554A">
        <w:rPr>
          <w:color w:val="0000FF"/>
          <w:lang w:val="el-GR"/>
        </w:rPr>
        <w:t>：</w:t>
      </w:r>
      <w:r w:rsidRPr="004C59BB">
        <w:rPr>
          <w:color w:val="0000FF"/>
          <w:lang w:val="ru-RU"/>
        </w:rPr>
        <w:t>那么</w:t>
      </w:r>
      <w:r w:rsidRPr="0097554A">
        <w:rPr>
          <w:color w:val="0000FF"/>
          <w:lang w:val="el-GR"/>
        </w:rPr>
        <w:t>，</w:t>
      </w:r>
      <w:r w:rsidRPr="004C59BB">
        <w:rPr>
          <w:color w:val="0000FF"/>
          <w:lang w:val="ru-RU"/>
        </w:rPr>
        <w:t>他要么因陷入骄傲而失去所获得的恩典</w:t>
      </w:r>
      <w:r w:rsidRPr="0097554A">
        <w:rPr>
          <w:color w:val="0000FF"/>
          <w:lang w:val="el-GR"/>
        </w:rPr>
        <w:t>，</w:t>
      </w:r>
      <w:r w:rsidRPr="004C59BB">
        <w:rPr>
          <w:color w:val="0000FF"/>
          <w:lang w:val="ru-RU"/>
        </w:rPr>
        <w:t>要么无法在恩典中获得更多</w:t>
      </w:r>
      <w:r w:rsidRPr="0097554A">
        <w:rPr>
          <w:color w:val="0000FF"/>
          <w:lang w:val="el-GR"/>
        </w:rPr>
        <w:t>，</w:t>
      </w:r>
      <w:r w:rsidRPr="004C59BB">
        <w:rPr>
          <w:color w:val="0000FF"/>
          <w:lang w:val="ru-RU"/>
        </w:rPr>
        <w:t>也无法在其中成长</w:t>
      </w:r>
      <w:r w:rsidRPr="0097554A">
        <w:rPr>
          <w:color w:val="0000FF"/>
          <w:lang w:val="el-GR"/>
        </w:rPr>
        <w:t>”（</w:t>
      </w:r>
      <w:r w:rsidRPr="004C59BB">
        <w:rPr>
          <w:color w:val="0000FF"/>
          <w:lang w:val="ru-RU"/>
        </w:rPr>
        <w:t>圣马卡尔</w:t>
      </w:r>
      <w:r w:rsidRPr="0097554A">
        <w:rPr>
          <w:color w:val="0000FF"/>
          <w:lang w:val="el-GR"/>
        </w:rPr>
        <w:t>，</w:t>
      </w:r>
      <w:r w:rsidRPr="004C59BB">
        <w:rPr>
          <w:color w:val="0000FF"/>
          <w:lang w:val="ru-RU"/>
        </w:rPr>
        <w:t>《论心灵的自由》</w:t>
      </w:r>
      <w:r w:rsidRPr="0097554A">
        <w:rPr>
          <w:color w:val="0000FF"/>
          <w:lang w:val="el-GR"/>
        </w:rPr>
        <w:t>，</w:t>
      </w:r>
      <w:r w:rsidRPr="004C59BB">
        <w:rPr>
          <w:color w:val="0000FF"/>
          <w:lang w:val="ru-RU"/>
        </w:rPr>
        <w:t>第</w:t>
      </w:r>
      <w:r w:rsidRPr="0097554A">
        <w:rPr>
          <w:color w:val="0000FF"/>
          <w:lang w:val="el-GR"/>
        </w:rPr>
        <w:t>19</w:t>
      </w:r>
      <w:r w:rsidRPr="004C59BB">
        <w:rPr>
          <w:color w:val="0000FF"/>
          <w:lang w:val="ru-RU"/>
        </w:rPr>
        <w:t>节</w:t>
      </w:r>
      <w:r w:rsidRPr="0097554A">
        <w:rPr>
          <w:color w:val="0000FF"/>
          <w:lang w:val="el-GR"/>
        </w:rPr>
        <w:t>；</w:t>
      </w:r>
      <w:r w:rsidRPr="004C59BB">
        <w:rPr>
          <w:color w:val="0000FF"/>
          <w:lang w:val="ru-RU"/>
        </w:rPr>
        <w:t>《谈话集》</w:t>
      </w:r>
      <w:r w:rsidRPr="004C59BB">
        <w:rPr>
          <w:color w:val="0000FF"/>
        </w:rPr>
        <w:t>第十九</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6</w:t>
      </w:r>
      <w:r w:rsidRPr="004C59BB">
        <w:rPr>
          <w:color w:val="0000FF"/>
          <w:lang w:val="ru-RU"/>
        </w:rPr>
        <w:t>节</w:t>
      </w:r>
      <w:r w:rsidRPr="0097554A">
        <w:rPr>
          <w:color w:val="0000FF"/>
          <w:lang w:val="el-GR"/>
        </w:rPr>
        <w:t>）</w:t>
      </w:r>
      <w:r w:rsidRPr="004C59BB">
        <w:rPr>
          <w:color w:val="0000FF"/>
          <w:lang w:val="ru-RU"/>
        </w:rPr>
        <w:t>。</w:t>
      </w:r>
    </w:p>
  </w:footnote>
  <w:footnote w:id="839">
    <w:p w14:paraId="252D4E64" w14:textId="5DC8D233"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el-GR"/>
        </w:rPr>
        <w:t xml:space="preserve"> </w:t>
      </w:r>
      <w:r w:rsidRPr="004C59BB">
        <w:rPr>
          <w:color w:val="0000FF"/>
          <w:lang w:val="ru-RU"/>
        </w:rPr>
        <w:t>在此不得不提及圣约翰</w:t>
      </w:r>
      <w:r w:rsidRPr="0097554A">
        <w:rPr>
          <w:color w:val="0000FF"/>
          <w:lang w:val="el-GR"/>
        </w:rPr>
        <w:t>·</w:t>
      </w:r>
      <w:r w:rsidRPr="004C59BB">
        <w:rPr>
          <w:color w:val="0000FF"/>
          <w:lang w:val="ru-RU"/>
        </w:rPr>
        <w:t>金口的一段论述</w:t>
      </w:r>
      <w:r w:rsidRPr="0097554A">
        <w:rPr>
          <w:color w:val="0000FF"/>
          <w:lang w:val="el-GR"/>
        </w:rPr>
        <w:t>：“</w:t>
      </w:r>
      <w:r w:rsidRPr="004C59BB">
        <w:rPr>
          <w:color w:val="0000FF"/>
          <w:lang w:val="ru-RU"/>
        </w:rPr>
        <w:t>基督并未将任何感官之物赐予我们</w:t>
      </w:r>
      <w:r w:rsidRPr="0097554A">
        <w:rPr>
          <w:color w:val="0000FF"/>
          <w:lang w:val="el-GR"/>
        </w:rPr>
        <w:t>，</w:t>
      </w:r>
      <w:r w:rsidRPr="004C59BB">
        <w:rPr>
          <w:color w:val="0000FF"/>
          <w:lang w:val="ru-RU"/>
        </w:rPr>
        <w:t>而是将一切属灵之物</w:t>
      </w:r>
      <w:r w:rsidRPr="0097554A">
        <w:rPr>
          <w:color w:val="0000FF"/>
          <w:lang w:val="el-GR"/>
        </w:rPr>
        <w:t>，</w:t>
      </w:r>
      <w:r w:rsidRPr="004C59BB">
        <w:rPr>
          <w:color w:val="0000FF"/>
          <w:lang w:val="ru-RU"/>
        </w:rPr>
        <w:t>仅通过感官之物来传递。正如在洗礼中，通过感官之物——水——传递恩赐，而属灵的作用则体现在重生与更新之中。 “倘若你是无形的，基督便会以无形的方式将这些恩赐赐予你；但既然你的灵魂与身体结合在一起，属灵的恩赐便通过感官的事物传给你。”（《马太福音讲道集》第</w:t>
      </w:r>
      <w:r w:rsidRPr="004C59BB">
        <w:rPr>
          <w:color w:val="0000FF"/>
        </w:rPr>
        <w:t>L</w:t>
      </w:r>
      <w:r w:rsidRPr="004C59BB">
        <w:rPr>
          <w:color w:val="0000FF"/>
          <w:lang w:val="ru-RU"/>
        </w:rPr>
        <w:t>XXXII篇，第4段，第420–421页，</w:t>
      </w:r>
      <w:r w:rsidRPr="004C59BB">
        <w:rPr>
          <w:color w:val="0000FF"/>
        </w:rPr>
        <w:t>第III</w:t>
      </w:r>
      <w:r w:rsidRPr="004C59BB">
        <w:rPr>
          <w:color w:val="0000FF"/>
          <w:lang w:val="ru-RU"/>
        </w:rPr>
        <w:t>卷，俄文译本）。</w:t>
      </w:r>
    </w:p>
  </w:footnote>
  <w:footnote w:id="840">
    <w:p w14:paraId="71490B1D" w14:textId="1B8845DD"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路德</w:t>
      </w:r>
      <w:r w:rsidRPr="004C59BB">
        <w:rPr>
          <w:color w:val="0000FF"/>
          <w:lang w:val="ru-RU"/>
        </w:rPr>
        <w:t>《</w:t>
      </w:r>
      <w:r w:rsidRPr="004C59BB">
        <w:rPr>
          <w:color w:val="0000FF"/>
        </w:rPr>
        <w:t>文集</w:t>
      </w:r>
      <w:r w:rsidRPr="004C59BB">
        <w:rPr>
          <w:color w:val="0000FF"/>
          <w:lang w:val="ru-RU"/>
        </w:rPr>
        <w:t>》</w:t>
      </w:r>
      <w:r w:rsidRPr="004C59BB">
        <w:rPr>
          <w:color w:val="0000FF"/>
        </w:rPr>
        <w:t>第III卷</w:t>
      </w:r>
      <w:r w:rsidRPr="004C59BB">
        <w:rPr>
          <w:color w:val="0000FF"/>
          <w:lang w:val="ru-RU"/>
        </w:rPr>
        <w:t>，第266页，</w:t>
      </w:r>
      <w:r w:rsidRPr="004C59BB">
        <w:rPr>
          <w:color w:val="0000FF"/>
        </w:rPr>
        <w:t>耶拿</w:t>
      </w:r>
      <w:r w:rsidRPr="004C59BB">
        <w:rPr>
          <w:color w:val="0000FF"/>
          <w:lang w:val="ru-RU"/>
        </w:rPr>
        <w:t>版</w:t>
      </w:r>
      <w:r w:rsidRPr="0097554A">
        <w:rPr>
          <w:color w:val="0000FF"/>
          <w:lang w:val="ru-RU"/>
        </w:rPr>
        <w:t>；</w:t>
      </w:r>
      <w:r w:rsidRPr="004C59BB">
        <w:rPr>
          <w:color w:val="0000FF"/>
        </w:rPr>
        <w:t>梅兰希顿《神学论著》</w:t>
      </w:r>
      <w:r w:rsidRPr="0097554A">
        <w:rPr>
          <w:color w:val="0000FF"/>
          <w:lang w:val="ru-RU"/>
        </w:rPr>
        <w:t>，</w:t>
      </w:r>
      <w:r w:rsidRPr="004C59BB">
        <w:rPr>
          <w:color w:val="0000FF"/>
        </w:rPr>
        <w:t>第</w:t>
      </w:r>
      <w:r w:rsidRPr="0097554A">
        <w:rPr>
          <w:color w:val="0000FF"/>
          <w:lang w:val="ru-RU"/>
        </w:rPr>
        <w:t>46</w:t>
      </w:r>
      <w:r w:rsidRPr="004C59BB">
        <w:rPr>
          <w:color w:val="0000FF"/>
        </w:rPr>
        <w:t>、</w:t>
      </w:r>
      <w:r w:rsidRPr="0097554A">
        <w:rPr>
          <w:color w:val="0000FF"/>
          <w:lang w:val="ru-RU"/>
        </w:rPr>
        <w:t>141</w:t>
      </w:r>
      <w:r w:rsidRPr="004C59BB">
        <w:rPr>
          <w:color w:val="0000FF"/>
        </w:rPr>
        <w:t>页。</w:t>
      </w:r>
    </w:p>
  </w:footnote>
  <w:footnote w:id="841">
    <w:p w14:paraId="632D79E9" w14:textId="3DBCFC5D"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加尔文。《基督教要义》第IV卷</w:t>
      </w:r>
      <w:r w:rsidRPr="0097554A">
        <w:rPr>
          <w:color w:val="0000FF"/>
          <w:lang w:val="ru-RU"/>
        </w:rPr>
        <w:t>，</w:t>
      </w:r>
      <w:r w:rsidRPr="004C59BB">
        <w:rPr>
          <w:color w:val="0000FF"/>
        </w:rPr>
        <w:t>第</w:t>
      </w:r>
      <w:r w:rsidRPr="0097554A">
        <w:rPr>
          <w:color w:val="0000FF"/>
          <w:lang w:val="ru-RU"/>
        </w:rPr>
        <w:t>4</w:t>
      </w:r>
      <w:r w:rsidRPr="004C59BB">
        <w:rPr>
          <w:color w:val="0000FF"/>
        </w:rPr>
        <w:t>章</w:t>
      </w:r>
      <w:r w:rsidRPr="0097554A">
        <w:rPr>
          <w:color w:val="0000FF"/>
          <w:lang w:val="ru-RU"/>
        </w:rPr>
        <w:t>，</w:t>
      </w:r>
      <w:r w:rsidRPr="004C59BB">
        <w:rPr>
          <w:color w:val="0000FF"/>
        </w:rPr>
        <w:t>第</w:t>
      </w:r>
      <w:r w:rsidRPr="0097554A">
        <w:rPr>
          <w:color w:val="0000FF"/>
          <w:lang w:val="ru-RU"/>
        </w:rPr>
        <w:t>1</w:t>
      </w:r>
      <w:r w:rsidRPr="004C59BB">
        <w:rPr>
          <w:color w:val="0000FF"/>
        </w:rPr>
        <w:t>、</w:t>
      </w:r>
      <w:r w:rsidRPr="0097554A">
        <w:rPr>
          <w:color w:val="0000FF"/>
          <w:lang w:val="ru-RU"/>
        </w:rPr>
        <w:t>17</w:t>
      </w:r>
      <w:r w:rsidRPr="004C59BB">
        <w:rPr>
          <w:color w:val="0000FF"/>
        </w:rPr>
        <w:t>、</w:t>
      </w:r>
      <w:r w:rsidRPr="0097554A">
        <w:rPr>
          <w:color w:val="0000FF"/>
          <w:lang w:val="ru-RU"/>
        </w:rPr>
        <w:t>18</w:t>
      </w:r>
      <w:r w:rsidRPr="004C59BB">
        <w:rPr>
          <w:color w:val="0000FF"/>
        </w:rPr>
        <w:t>节</w:t>
      </w:r>
      <w:r w:rsidRPr="0097554A">
        <w:rPr>
          <w:color w:val="0000FF"/>
          <w:lang w:val="ru-RU"/>
        </w:rPr>
        <w:t>；</w:t>
      </w:r>
      <w:r w:rsidRPr="004C59BB">
        <w:rPr>
          <w:color w:val="0000FF"/>
        </w:rPr>
        <w:t>茨温利。《致查理大帝的信》，载于《文集》第II卷，第477、511页。</w:t>
      </w:r>
    </w:p>
  </w:footnote>
  <w:footnote w:id="842">
    <w:p w14:paraId="7C1EDC9A" w14:textId="14A022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索西尼派。《拉科夫教理问答》第六卷，第3条；阿尔敏派。《抗议信》第二十二章，第3条。</w:t>
      </w:r>
    </w:p>
  </w:footnote>
  <w:footnote w:id="843">
    <w:p w14:paraId="563A61DE" w14:textId="15E2F7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参见莫勒，《教义符号学》第II卷，第185页及以下。</w:t>
      </w:r>
    </w:p>
  </w:footnote>
  <w:footnote w:id="844">
    <w:p w14:paraId="5D5F79DF" w14:textId="3238F3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同上，第II卷，第330页及后续。</w:t>
      </w:r>
    </w:p>
  </w:footnote>
  <w:footnote w:id="845">
    <w:p w14:paraId="2E099856" w14:textId="467BB59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关于</w:t>
      </w:r>
      <w:r w:rsidRPr="004C59BB">
        <w:rPr>
          <w:color w:val="0000FF"/>
          <w:lang w:val="ru-RU"/>
        </w:rPr>
        <w:t>贵格会</w:t>
      </w:r>
      <w:r w:rsidRPr="0097554A">
        <w:rPr>
          <w:color w:val="0000FF"/>
        </w:rPr>
        <w:t>，</w:t>
      </w:r>
      <w:r w:rsidRPr="004C59BB">
        <w:rPr>
          <w:color w:val="0000FF"/>
          <w:lang w:val="ru-RU"/>
        </w:rPr>
        <w:t>参见</w:t>
      </w:r>
      <w:r w:rsidRPr="004C59BB">
        <w:rPr>
          <w:color w:val="0000FF"/>
        </w:rPr>
        <w:t>同上</w:t>
      </w:r>
      <w:r w:rsidRPr="0097554A">
        <w:rPr>
          <w:color w:val="0000FF"/>
        </w:rPr>
        <w:t>，</w:t>
      </w:r>
      <w:r w:rsidRPr="004C59BB">
        <w:rPr>
          <w:color w:val="0000FF"/>
          <w:lang w:val="ru-RU"/>
        </w:rPr>
        <w:t>第</w:t>
      </w:r>
      <w:r w:rsidRPr="0097554A">
        <w:rPr>
          <w:color w:val="0000FF"/>
        </w:rPr>
        <w:t>235</w:t>
      </w:r>
      <w:r w:rsidRPr="004C59BB">
        <w:rPr>
          <w:color w:val="0000FF"/>
        </w:rPr>
        <w:t>页</w:t>
      </w:r>
      <w:r w:rsidRPr="0097554A">
        <w:rPr>
          <w:color w:val="0000FF"/>
        </w:rPr>
        <w:t>；</w:t>
      </w:r>
      <w:r w:rsidRPr="004C59BB">
        <w:rPr>
          <w:color w:val="0000FF"/>
        </w:rPr>
        <w:t>关于</w:t>
      </w:r>
      <w:r w:rsidRPr="004C59BB">
        <w:rPr>
          <w:color w:val="0000FF"/>
          <w:lang w:val="ru-RU"/>
        </w:rPr>
        <w:t>杜霍博尔派</w:t>
      </w:r>
      <w:r w:rsidRPr="0097554A">
        <w:rPr>
          <w:color w:val="0000FF"/>
        </w:rPr>
        <w:t>，</w:t>
      </w:r>
      <w:r w:rsidRPr="004C59BB">
        <w:rPr>
          <w:color w:val="0000FF"/>
          <w:lang w:val="ru-RU"/>
        </w:rPr>
        <w:t>参见诺维茨基关于该派的论述。</w:t>
      </w:r>
    </w:p>
  </w:footnote>
  <w:footnote w:id="846">
    <w:p w14:paraId="3C6D669E" w14:textId="713B67B5"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例如</w:t>
      </w:r>
      <w:r w:rsidRPr="0097554A">
        <w:rPr>
          <w:color w:val="0000FF"/>
        </w:rPr>
        <w:t>，</w:t>
      </w:r>
      <w:r w:rsidRPr="004C59BB">
        <w:rPr>
          <w:color w:val="0000FF"/>
          <w:lang w:val="ru-RU"/>
        </w:rPr>
        <w:t>路德和梅兰希顿有时将洗礼、圣餐和忏悔视为三大圣礼</w:t>
      </w:r>
      <w:r w:rsidRPr="0097554A">
        <w:rPr>
          <w:color w:val="0000FF"/>
        </w:rPr>
        <w:t>，</w:t>
      </w:r>
      <w:r w:rsidRPr="004C59BB">
        <w:rPr>
          <w:color w:val="0000FF"/>
          <w:lang w:val="ru-RU"/>
        </w:rPr>
        <w:t>尽管他们认为前两者最为重要</w:t>
      </w:r>
      <w:r w:rsidRPr="0097554A">
        <w:rPr>
          <w:color w:val="0000FF"/>
        </w:rPr>
        <w:t>（</w:t>
      </w:r>
      <w:r w:rsidRPr="004C59BB">
        <w:rPr>
          <w:color w:val="0000FF"/>
        </w:rPr>
        <w:t>路德《论巴比伦</w:t>
      </w:r>
      <w:r w:rsidRPr="004C59BB">
        <w:rPr>
          <w:color w:val="0000FF"/>
          <w:lang w:val="ru-RU"/>
        </w:rPr>
        <w:t>之囚》</w:t>
      </w:r>
      <w:r w:rsidRPr="0097554A">
        <w:rPr>
          <w:color w:val="0000FF"/>
        </w:rPr>
        <w:t>，</w:t>
      </w:r>
      <w:r w:rsidRPr="004C59BB">
        <w:rPr>
          <w:color w:val="0000FF"/>
          <w:lang w:val="ru-RU"/>
        </w:rPr>
        <w:t>第</w:t>
      </w:r>
      <w:r w:rsidRPr="0097554A">
        <w:rPr>
          <w:color w:val="0000FF"/>
        </w:rPr>
        <w:t>276</w:t>
      </w:r>
      <w:r w:rsidRPr="004C59BB">
        <w:rPr>
          <w:color w:val="0000FF"/>
          <w:lang w:val="ru-RU"/>
        </w:rPr>
        <w:t>页</w:t>
      </w:r>
      <w:r w:rsidRPr="004C59BB">
        <w:rPr>
          <w:color w:val="0000FF"/>
        </w:rPr>
        <w:t>，耶拿</w:t>
      </w:r>
      <w:r w:rsidRPr="0097554A">
        <w:rPr>
          <w:color w:val="0000FF"/>
        </w:rPr>
        <w:t>，1680</w:t>
      </w:r>
      <w:r w:rsidRPr="004C59BB">
        <w:rPr>
          <w:color w:val="0000FF"/>
          <w:lang w:val="ru-RU"/>
        </w:rPr>
        <w:t>年</w:t>
      </w:r>
      <w:r w:rsidRPr="0097554A">
        <w:rPr>
          <w:color w:val="0000FF"/>
        </w:rPr>
        <w:t>；</w:t>
      </w:r>
      <w:r w:rsidRPr="004C59BB">
        <w:rPr>
          <w:color w:val="0000FF"/>
        </w:rPr>
        <w:t>梅兰希顿</w:t>
      </w:r>
      <w:r w:rsidRPr="004C59BB">
        <w:rPr>
          <w:color w:val="0000FF"/>
          <w:lang w:val="ru-RU"/>
        </w:rPr>
        <w:t>《</w:t>
      </w:r>
      <w:r w:rsidRPr="004C59BB">
        <w:rPr>
          <w:color w:val="0000FF"/>
        </w:rPr>
        <w:t>辩护书</w:t>
      </w:r>
      <w:r w:rsidRPr="004C59BB">
        <w:rPr>
          <w:color w:val="0000FF"/>
          <w:lang w:val="ru-RU"/>
        </w:rPr>
        <w:t>》</w:t>
      </w:r>
      <w:r w:rsidRPr="004C59BB">
        <w:rPr>
          <w:color w:val="0000FF"/>
        </w:rPr>
        <w:t>第五</w:t>
      </w:r>
      <w:r w:rsidRPr="004C59BB">
        <w:rPr>
          <w:color w:val="0000FF"/>
          <w:lang w:val="ru-RU"/>
        </w:rPr>
        <w:t>卷</w:t>
      </w:r>
      <w:r w:rsidRPr="0097554A">
        <w:rPr>
          <w:color w:val="0000FF"/>
        </w:rPr>
        <w:t>，</w:t>
      </w:r>
      <w:r w:rsidRPr="004C59BB">
        <w:rPr>
          <w:color w:val="0000FF"/>
          <w:lang w:val="ru-RU"/>
        </w:rPr>
        <w:t>第</w:t>
      </w:r>
      <w:r w:rsidRPr="0097554A">
        <w:rPr>
          <w:color w:val="0000FF"/>
        </w:rPr>
        <w:t>167</w:t>
      </w:r>
      <w:r w:rsidRPr="004C59BB">
        <w:rPr>
          <w:color w:val="0000FF"/>
          <w:lang w:val="ru-RU"/>
        </w:rPr>
        <w:t>页</w:t>
      </w:r>
      <w:r w:rsidRPr="0097554A">
        <w:rPr>
          <w:color w:val="0000FF"/>
        </w:rPr>
        <w:t>；</w:t>
      </w:r>
      <w:r w:rsidRPr="004C59BB">
        <w:rPr>
          <w:color w:val="0000FF"/>
        </w:rPr>
        <w:t>第七卷</w:t>
      </w:r>
      <w:r w:rsidRPr="0097554A">
        <w:rPr>
          <w:color w:val="0000FF"/>
        </w:rPr>
        <w:t>，</w:t>
      </w:r>
      <w:r w:rsidRPr="004C59BB">
        <w:rPr>
          <w:color w:val="0000FF"/>
          <w:lang w:val="ru-RU"/>
        </w:rPr>
        <w:t>第</w:t>
      </w:r>
      <w:r w:rsidRPr="0097554A">
        <w:rPr>
          <w:color w:val="0000FF"/>
        </w:rPr>
        <w:t>200</w:t>
      </w:r>
      <w:r w:rsidRPr="004C59BB">
        <w:rPr>
          <w:color w:val="0000FF"/>
          <w:lang w:val="ru-RU"/>
        </w:rPr>
        <w:t>页</w:t>
      </w:r>
      <w:r w:rsidRPr="0097554A">
        <w:rPr>
          <w:color w:val="0000FF"/>
        </w:rPr>
        <w:t xml:space="preserve">）； </w:t>
      </w:r>
      <w:r w:rsidRPr="004C59BB">
        <w:rPr>
          <w:color w:val="0000FF"/>
          <w:lang w:val="ru-RU"/>
        </w:rPr>
        <w:t>茨温利和加尔文有时也承认这三项圣礼</w:t>
      </w:r>
      <w:r w:rsidRPr="0097554A">
        <w:rPr>
          <w:color w:val="0000FF"/>
        </w:rPr>
        <w:t>，</w:t>
      </w:r>
      <w:r w:rsidRPr="004C59BB">
        <w:rPr>
          <w:color w:val="0000FF"/>
          <w:lang w:val="ru-RU"/>
        </w:rPr>
        <w:t>只是前者将婚姻视为第三项圣礼</w:t>
      </w:r>
      <w:r w:rsidRPr="0097554A">
        <w:rPr>
          <w:color w:val="0000FF"/>
        </w:rPr>
        <w:t>，</w:t>
      </w:r>
      <w:r w:rsidRPr="004C59BB">
        <w:rPr>
          <w:color w:val="0000FF"/>
          <w:lang w:val="ru-RU"/>
        </w:rPr>
        <w:t>而非告解</w:t>
      </w:r>
      <w:r w:rsidRPr="0097554A">
        <w:rPr>
          <w:color w:val="0000FF"/>
        </w:rPr>
        <w:t>；</w:t>
      </w:r>
      <w:r w:rsidRPr="004C59BB">
        <w:rPr>
          <w:color w:val="0000FF"/>
          <w:lang w:val="ru-RU"/>
        </w:rPr>
        <w:t>而后者则将圣职视为第三项圣礼</w:t>
      </w:r>
      <w:r w:rsidRPr="0097554A">
        <w:rPr>
          <w:color w:val="0000FF"/>
        </w:rPr>
        <w:t>（</w:t>
      </w:r>
      <w:r w:rsidRPr="004C59BB">
        <w:rPr>
          <w:color w:val="0000FF"/>
        </w:rPr>
        <w:t>加尔文</w:t>
      </w:r>
      <w:r w:rsidRPr="004C59BB">
        <w:rPr>
          <w:color w:val="0000FF"/>
          <w:lang w:val="ru-RU"/>
        </w:rPr>
        <w:t>《</w:t>
      </w:r>
      <w:r w:rsidRPr="004C59BB">
        <w:rPr>
          <w:color w:val="0000FF"/>
        </w:rPr>
        <w:t>基督教要义》第IV卷，第18章）。</w:t>
      </w:r>
    </w:p>
  </w:footnote>
  <w:footnote w:id="847">
    <w:p w14:paraId="6B536BF1" w14:textId="1EE225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莫勒（Moehler），《信条》（Symbol），第1卷，第303页及后续。</w:t>
      </w:r>
    </w:p>
  </w:footnote>
  <w:footnote w:id="848">
    <w:p w14:paraId="67209079" w14:textId="2B7969B1"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圣</w:t>
      </w:r>
      <w:r w:rsidRPr="004C59BB">
        <w:rPr>
          <w:color w:val="0000FF"/>
          <w:lang w:val="ru-RU"/>
        </w:rPr>
        <w:t>依纳爵</w:t>
      </w:r>
      <w:r w:rsidRPr="004C59BB">
        <w:rPr>
          <w:color w:val="0000FF"/>
        </w:rPr>
        <w:t>论</w:t>
      </w:r>
      <w:r w:rsidRPr="004C59BB">
        <w:rPr>
          <w:color w:val="0000FF"/>
          <w:lang w:val="ru-RU"/>
        </w:rPr>
        <w:t>教会圣事</w:t>
      </w:r>
      <w:r w:rsidRPr="0097554A">
        <w:rPr>
          <w:color w:val="0000FF"/>
        </w:rPr>
        <w:t>，</w:t>
      </w:r>
      <w:r w:rsidRPr="004C59BB">
        <w:rPr>
          <w:color w:val="0000FF"/>
          <w:lang w:val="ru-RU"/>
        </w:rPr>
        <w:t>第</w:t>
      </w:r>
      <w:r w:rsidRPr="0097554A">
        <w:rPr>
          <w:color w:val="0000FF"/>
        </w:rPr>
        <w:t>89</w:t>
      </w:r>
      <w:r w:rsidRPr="004C59BB">
        <w:rPr>
          <w:color w:val="0000FF"/>
          <w:lang w:val="ru-RU"/>
        </w:rPr>
        <w:t>页</w:t>
      </w:r>
      <w:r w:rsidRPr="0097554A">
        <w:rPr>
          <w:color w:val="0000FF"/>
        </w:rPr>
        <w:t>，</w:t>
      </w:r>
      <w:r w:rsidRPr="004C59BB">
        <w:rPr>
          <w:color w:val="0000FF"/>
          <w:lang w:val="ru-RU"/>
        </w:rPr>
        <w:t>圣彼得堡</w:t>
      </w:r>
      <w:r w:rsidRPr="0097554A">
        <w:rPr>
          <w:color w:val="0000FF"/>
        </w:rPr>
        <w:t>，1849</w:t>
      </w:r>
      <w:r w:rsidRPr="004C59BB">
        <w:rPr>
          <w:color w:val="0000FF"/>
          <w:lang w:val="ru-RU"/>
        </w:rPr>
        <w:t>年。</w:t>
      </w:r>
    </w:p>
  </w:footnote>
  <w:footnote w:id="849">
    <w:p w14:paraId="023526DC" w14:textId="122F8E94"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《论私人弥撒》，载于贝拉明《论圣事》</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24</w:t>
      </w:r>
      <w:r w:rsidRPr="004C59BB">
        <w:rPr>
          <w:color w:val="0000FF"/>
        </w:rPr>
        <w:t>章</w:t>
      </w:r>
      <w:r w:rsidRPr="0097554A">
        <w:rPr>
          <w:color w:val="0000FF"/>
        </w:rPr>
        <w:t>，</w:t>
      </w:r>
      <w:r w:rsidRPr="004C59BB">
        <w:rPr>
          <w:color w:val="0000FF"/>
          <w:lang w:val="ru-RU"/>
        </w:rPr>
        <w:t>第</w:t>
      </w:r>
      <w:r w:rsidRPr="0097554A">
        <w:rPr>
          <w:color w:val="0000FF"/>
        </w:rPr>
        <w:t>2</w:t>
      </w:r>
      <w:r w:rsidRPr="004C59BB">
        <w:rPr>
          <w:color w:val="0000FF"/>
          <w:lang w:val="ru-RU"/>
        </w:rPr>
        <w:t>节。</w:t>
      </w:r>
    </w:p>
  </w:footnote>
  <w:footnote w:id="850">
    <w:p w14:paraId="37B540DA" w14:textId="7628602A"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伊格纳提乌斯主教</w:t>
      </w:r>
      <w:r w:rsidRPr="004C59BB">
        <w:rPr>
          <w:color w:val="0000FF"/>
        </w:rPr>
        <w:t>论教会的</w:t>
      </w:r>
      <w:r w:rsidRPr="004C59BB">
        <w:rPr>
          <w:color w:val="0000FF"/>
          <w:lang w:val="ru-RU"/>
        </w:rPr>
        <w:t>圣事</w:t>
      </w:r>
      <w:r w:rsidRPr="004C59BB">
        <w:rPr>
          <w:color w:val="0000FF"/>
        </w:rPr>
        <w:t>，第5页，第266–270页。</w:t>
      </w:r>
    </w:p>
  </w:footnote>
  <w:footnote w:id="851">
    <w:p w14:paraId="36598720" w14:textId="2AD8F5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见纳塔尔·亚历山大《教会史》第十一、十二卷，第4章，第13条，第2节；第十三、十四卷，第3章，第1条，第2节；第22条，第4节；第十五、十六卷，第2章，第1条，第2节。</w:t>
      </w:r>
    </w:p>
  </w:footnote>
  <w:footnote w:id="852">
    <w:p w14:paraId="08631A92" w14:textId="2453EE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路德，《论巴比伦的俘虏》，第II卷，第286页，耶拿版；《奥古斯丁信条》，第十三条；《辩护书》，第三条，第155号及以下。</w:t>
      </w:r>
    </w:p>
  </w:footnote>
  <w:footnote w:id="853">
    <w:p w14:paraId="6ED74601" w14:textId="47D662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亚历山大的西里尔，《约翰福音注释》第20章，17节；奥古斯丁，《论罪、功德与赦免》第1卷，20、26节。</w:t>
      </w:r>
    </w:p>
  </w:footnote>
  <w:footnote w:id="854">
    <w:p w14:paraId="2EBC56E2" w14:textId="1C0D80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Λοΰτρον——贾斯汀《辩护书》第1卷，第62章；亚历山大的克莱门特《教导》第1卷，第6章；金口若望《论人的不可理解性》第IV卷，第5节。Lavacrum——特土良《论洗礼》第5、7、16章。</w:t>
      </w:r>
    </w:p>
  </w:footnote>
  <w:footnote w:id="855">
    <w:p w14:paraId="5A0F3950" w14:textId="2151B1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sacer——奥古斯丁《上帝之城》第13卷，第7章。</w:t>
      </w:r>
    </w:p>
  </w:footnote>
  <w:footnote w:id="856">
    <w:p w14:paraId="66078EC7" w14:textId="6875C5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巴拿巴《书信》第II章；亚历山大·克莱门特《教导》第1卷第6章；西普里安《书信》第XIII卷。</w:t>
      </w:r>
    </w:p>
  </w:footnote>
  <w:footnote w:id="857">
    <w:p w14:paraId="5BA597F6" w14:textId="1E8A69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Φως φωτισμός, φώτισμα。贾斯汀《护教辞》第1卷，第61节；亚历山大的克莱门特《教导》第1卷，第6节；尼西的格雷戈里《教理问答》第XXXII章；提奥多雷特《论神的旨意》第V卷，第18节。</w:t>
      </w:r>
    </w:p>
  </w:footnote>
  <w:footnote w:id="858">
    <w:p w14:paraId="1F9B91B5" w14:textId="226B85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Χάρισμα。亚历山大的克莱门特《教导》1, 6。</w:t>
      </w:r>
    </w:p>
  </w:footnote>
  <w:footnote w:id="859">
    <w:p w14:paraId="0F81674C" w14:textId="2FD2DC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Αναγέννησις——贾斯汀《护教辞》第1卷，第61节；Παλιγγενεσία——格雷戈里·尼西阿斯《教理问答》第XXXII卷；Secunda nativitas——特土良《劝诫贞洁》第1章。</w:t>
      </w:r>
    </w:p>
  </w:footnote>
  <w:footnote w:id="860">
    <w:p w14:paraId="3FA1C934" w14:textId="7BECE1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尼西亚的格雷戈里，《教理问答》第XXV、XL章；提奥多雷特，《雅歌注释》第1章。</w:t>
      </w:r>
    </w:p>
  </w:footnote>
  <w:footnote w:id="861">
    <w:p w14:paraId="01829805" w14:textId="556D1F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“在基督里的印记”——埃皮法尼乌斯，《论心灵与分量》，第15节。</w:t>
      </w:r>
    </w:p>
  </w:footnote>
  <w:footnote w:id="862">
    <w:p w14:paraId="196AC5D0" w14:textId="4A04D5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以弗所的以弗所，《论仁爱与怜悯》，载于第II卷，第254页，希腊文版。</w:t>
      </w:r>
    </w:p>
  </w:footnote>
  <w:footnote w:id="863">
    <w:p w14:paraId="6CAADA34" w14:textId="4A1820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亚历山大的尤洛格，《反诺瓦特》第三卷。</w:t>
      </w:r>
    </w:p>
  </w:footnote>
  <w:footnote w:id="864">
    <w:p w14:paraId="25BB52B8" w14:textId="0FB786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“神秘的洗礼”（Λοΰτρον μυστικόν）——格雷戈里·尼西阿斯，《赞美圣巴西尔》，第III卷，第483页，莫雷尔版。</w:t>
      </w:r>
    </w:p>
  </w:footnote>
  <w:footnote w:id="865">
    <w:p w14:paraId="62019098" w14:textId="2D9F5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贾斯汀，《与特里弗的对话》第十三章；“救赎之浴”——安布罗斯，《论大卫的质问》第11卷第4章，注14。</w:t>
      </w:r>
    </w:p>
  </w:footnote>
  <w:footnote w:id="866">
    <w:p w14:paraId="76F4C5E8" w14:textId="5870F660"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Λοΰτρον τής μετανοίας και γνώσεως——</w:t>
      </w:r>
      <w:r w:rsidRPr="004C59BB">
        <w:rPr>
          <w:color w:val="0000FF"/>
        </w:rPr>
        <w:t>贾斯汀《与特里弗的对话》第XIV章。</w:t>
      </w:r>
    </w:p>
  </w:footnote>
  <w:footnote w:id="867">
    <w:p w14:paraId="7494A182" w14:textId="1C1C382A"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重生之洗礼</w:t>
      </w:r>
      <w:r w:rsidRPr="0097554A">
        <w:rPr>
          <w:color w:val="0000FF"/>
          <w:lang w:val="el-GR"/>
        </w:rPr>
        <w:t>——</w:t>
      </w:r>
      <w:r w:rsidRPr="004C59BB">
        <w:rPr>
          <w:color w:val="0000FF"/>
        </w:rPr>
        <w:t>西奥菲勒《致奥托利库斯书》第二卷第</w:t>
      </w:r>
      <w:r w:rsidRPr="0097554A">
        <w:rPr>
          <w:color w:val="0000FF"/>
          <w:lang w:val="el-GR"/>
        </w:rPr>
        <w:t>16</w:t>
      </w:r>
      <w:r w:rsidRPr="004C59BB">
        <w:rPr>
          <w:color w:val="0000FF"/>
        </w:rPr>
        <w:t>章</w:t>
      </w:r>
      <w:r w:rsidRPr="0097554A">
        <w:rPr>
          <w:color w:val="0000FF"/>
          <w:lang w:val="el-GR"/>
        </w:rPr>
        <w:t>；</w:t>
      </w:r>
      <w:r w:rsidRPr="004C59BB">
        <w:rPr>
          <w:color w:val="0000FF"/>
        </w:rPr>
        <w:t>金口若望《以赛亚书讲道集》第一篇</w:t>
      </w:r>
      <w:r w:rsidRPr="0097554A">
        <w:rPr>
          <w:color w:val="0000FF"/>
          <w:lang w:val="el-GR"/>
        </w:rPr>
        <w:t>，</w:t>
      </w:r>
      <w:r w:rsidRPr="004C59BB">
        <w:rPr>
          <w:color w:val="0000FF"/>
        </w:rPr>
        <w:t>注释</w:t>
      </w:r>
      <w:r w:rsidRPr="0097554A">
        <w:rPr>
          <w:color w:val="0000FF"/>
          <w:lang w:val="el-GR"/>
        </w:rPr>
        <w:t>2；</w:t>
      </w:r>
      <w:r w:rsidRPr="004C59BB">
        <w:rPr>
          <w:color w:val="0000FF"/>
        </w:rPr>
        <w:t>优西比乌《诗篇注释》第XVIII卷第</w:t>
      </w:r>
      <w:r w:rsidRPr="0097554A">
        <w:rPr>
          <w:color w:val="0000FF"/>
          <w:lang w:val="el-GR"/>
        </w:rPr>
        <w:t>73</w:t>
      </w:r>
      <w:r w:rsidRPr="004C59BB">
        <w:rPr>
          <w:color w:val="0000FF"/>
        </w:rPr>
        <w:t>节。</w:t>
      </w:r>
    </w:p>
  </w:footnote>
  <w:footnote w:id="868">
    <w:p w14:paraId="604F6420" w14:textId="06D02F01"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《使徒宪章》第二卷</w:t>
      </w:r>
      <w:r w:rsidRPr="0097554A">
        <w:rPr>
          <w:color w:val="0000FF"/>
          <w:lang w:val="el-GR"/>
        </w:rPr>
        <w:t>，</w:t>
      </w:r>
      <w:r w:rsidRPr="004C59BB">
        <w:rPr>
          <w:color w:val="0000FF"/>
        </w:rPr>
        <w:t>第</w:t>
      </w:r>
      <w:r w:rsidRPr="0097554A">
        <w:rPr>
          <w:color w:val="0000FF"/>
          <w:lang w:val="el-GR"/>
        </w:rPr>
        <w:t>7</w:t>
      </w:r>
      <w:r w:rsidRPr="004C59BB">
        <w:rPr>
          <w:color w:val="0000FF"/>
        </w:rPr>
        <w:t>章。</w:t>
      </w:r>
    </w:p>
  </w:footnote>
  <w:footnote w:id="869">
    <w:p w14:paraId="5DE109CF" w14:textId="69B6C07F"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永生之水</w:t>
      </w:r>
      <w:r w:rsidRPr="0097554A">
        <w:rPr>
          <w:color w:val="0000FF"/>
          <w:lang w:val="el-GR"/>
        </w:rPr>
        <w:t>——</w:t>
      </w:r>
      <w:r w:rsidRPr="004C59BB">
        <w:rPr>
          <w:color w:val="0000FF"/>
        </w:rPr>
        <w:t>塞浦路斯《致塞西利乌斯书》第LXIII封</w:t>
      </w:r>
      <w:r w:rsidRPr="0097554A">
        <w:rPr>
          <w:color w:val="0000FF"/>
          <w:lang w:val="el-GR"/>
        </w:rPr>
        <w:t>；</w:t>
      </w:r>
      <w:r w:rsidRPr="004C59BB">
        <w:rPr>
          <w:color w:val="0000FF"/>
        </w:rPr>
        <w:t>贾斯汀《与特里丰的对话》第XIV章</w:t>
      </w:r>
      <w:r w:rsidRPr="0097554A">
        <w:rPr>
          <w:color w:val="0000FF"/>
          <w:lang w:val="el-GR"/>
        </w:rPr>
        <w:t>，</w:t>
      </w:r>
    </w:p>
  </w:footnote>
  <w:footnote w:id="870">
    <w:p w14:paraId="308EB7EF" w14:textId="2E9141FF"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神圣之泉</w:t>
      </w:r>
      <w:r w:rsidRPr="0097554A">
        <w:rPr>
          <w:color w:val="0000FF"/>
          <w:lang w:val="el-GR"/>
        </w:rPr>
        <w:t>——</w:t>
      </w:r>
      <w:r w:rsidRPr="004C59BB">
        <w:rPr>
          <w:color w:val="0000FF"/>
        </w:rPr>
        <w:t>卡西奥多《雅歌注释》第七章。</w:t>
      </w:r>
    </w:p>
  </w:footnote>
  <w:footnote w:id="871">
    <w:p w14:paraId="7E451192" w14:textId="589A0DA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我们圣水的福乐圣事</w:t>
      </w:r>
      <w:r w:rsidRPr="0097554A">
        <w:rPr>
          <w:color w:val="0000FF"/>
          <w:lang w:val="el-GR"/>
        </w:rPr>
        <w:t>——</w:t>
      </w:r>
      <w:r w:rsidRPr="004C59BB">
        <w:rPr>
          <w:color w:val="0000FF"/>
        </w:rPr>
        <w:t>特土良《论洗礼》第十一章。</w:t>
      </w:r>
    </w:p>
  </w:footnote>
  <w:footnote w:id="872">
    <w:p w14:paraId="1140EBBE" w14:textId="0F6A7F78"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我们重生的圣事</w:t>
      </w:r>
      <w:r w:rsidRPr="0097554A">
        <w:rPr>
          <w:color w:val="0000FF"/>
          <w:lang w:val="el-GR"/>
        </w:rPr>
        <w:t>——</w:t>
      </w:r>
      <w:r w:rsidRPr="004C59BB">
        <w:rPr>
          <w:color w:val="0000FF"/>
        </w:rPr>
        <w:t>希拉里《诗篇注释》第LXIII篇</w:t>
      </w:r>
      <w:r w:rsidRPr="0097554A">
        <w:rPr>
          <w:color w:val="0000FF"/>
          <w:lang w:val="el-GR"/>
        </w:rPr>
        <w:t>，</w:t>
      </w:r>
      <w:r w:rsidRPr="004C59BB">
        <w:rPr>
          <w:color w:val="0000FF"/>
        </w:rPr>
        <w:t>第</w:t>
      </w:r>
      <w:r w:rsidRPr="0097554A">
        <w:rPr>
          <w:color w:val="0000FF"/>
          <w:lang w:val="el-GR"/>
        </w:rPr>
        <w:t>11</w:t>
      </w:r>
      <w:r w:rsidRPr="004C59BB">
        <w:rPr>
          <w:color w:val="0000FF"/>
        </w:rPr>
        <w:t>节</w:t>
      </w:r>
      <w:r w:rsidRPr="0097554A">
        <w:rPr>
          <w:color w:val="0000FF"/>
          <w:lang w:val="el-GR"/>
        </w:rPr>
        <w:t>；</w:t>
      </w:r>
      <w:r w:rsidRPr="004C59BB">
        <w:rPr>
          <w:color w:val="0000FF"/>
        </w:rPr>
        <w:t>奥古斯丁《论罪、功德与赦免》</w:t>
      </w:r>
      <w:r w:rsidRPr="004C59BB">
        <w:rPr>
          <w:color w:val="0000FF"/>
          <w:lang w:val="ru-RU"/>
        </w:rPr>
        <w:t>第</w:t>
      </w:r>
      <w:r w:rsidRPr="0097554A">
        <w:rPr>
          <w:color w:val="0000FF"/>
          <w:lang w:val="el-GR"/>
        </w:rPr>
        <w:t>11</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27</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37</w:t>
      </w:r>
      <w:r w:rsidRPr="004C59BB">
        <w:rPr>
          <w:color w:val="0000FF"/>
          <w:lang w:val="ru-RU"/>
        </w:rPr>
        <w:t>节。</w:t>
      </w:r>
    </w:p>
  </w:footnote>
  <w:footnote w:id="873">
    <w:p w14:paraId="4DFFBEB2" w14:textId="043F2C5A"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el-GR"/>
        </w:rPr>
        <w:t xml:space="preserve"> “</w:t>
      </w:r>
      <w:r w:rsidRPr="004C59BB">
        <w:rPr>
          <w:color w:val="0000FF"/>
          <w:lang w:val="ru-RU"/>
        </w:rPr>
        <w:t>使徒保罗说</w:t>
      </w:r>
      <w:r w:rsidRPr="0097554A">
        <w:rPr>
          <w:color w:val="0000FF"/>
          <w:lang w:val="el-GR"/>
        </w:rPr>
        <w:t>：‘</w:t>
      </w:r>
      <w:r w:rsidRPr="004C59BB">
        <w:rPr>
          <w:color w:val="0000FF"/>
          <w:lang w:val="ru-RU"/>
        </w:rPr>
        <w:t>约翰所施的是悔改的洗礼</w:t>
      </w:r>
      <w:r w:rsidRPr="0097554A">
        <w:rPr>
          <w:color w:val="0000FF"/>
          <w:lang w:val="el-GR"/>
        </w:rPr>
        <w:t>，</w:t>
      </w:r>
      <w:r w:rsidRPr="004C59BB">
        <w:rPr>
          <w:color w:val="0000FF"/>
          <w:lang w:val="ru-RU"/>
        </w:rPr>
        <w:t>并没有说</w:t>
      </w:r>
      <w:r w:rsidRPr="0097554A">
        <w:rPr>
          <w:color w:val="0000FF"/>
          <w:lang w:val="el-GR"/>
        </w:rPr>
        <w:t>‘</w:t>
      </w:r>
      <w:r w:rsidRPr="004C59BB">
        <w:rPr>
          <w:color w:val="0000FF"/>
          <w:lang w:val="ru-RU"/>
        </w:rPr>
        <w:t>赦罪的洗礼</w:t>
      </w:r>
      <w:r w:rsidRPr="0097554A">
        <w:rPr>
          <w:color w:val="0000FF"/>
          <w:lang w:val="el-GR"/>
        </w:rPr>
        <w:t>’，</w:t>
      </w:r>
      <w:r w:rsidRPr="004C59BB">
        <w:rPr>
          <w:color w:val="0000FF"/>
          <w:lang w:val="ru-RU"/>
        </w:rPr>
        <w:t>为要叫人信那将要来临的</w:t>
      </w:r>
      <w:r w:rsidRPr="0097554A">
        <w:rPr>
          <w:color w:val="0000FF"/>
          <w:lang w:val="el-GR"/>
        </w:rPr>
        <w:t>（</w:t>
      </w:r>
      <w:r w:rsidRPr="004C59BB">
        <w:rPr>
          <w:color w:val="0000FF"/>
          <w:lang w:val="ru-RU"/>
        </w:rPr>
        <w:t>使徒行传</w:t>
      </w:r>
      <w:r w:rsidRPr="0097554A">
        <w:rPr>
          <w:color w:val="0000FF"/>
          <w:lang w:val="el-GR"/>
        </w:rPr>
        <w:t> 19, 4）</w:t>
      </w:r>
      <w:r w:rsidRPr="004C59BB">
        <w:rPr>
          <w:color w:val="0000FF"/>
          <w:lang w:val="ru-RU"/>
        </w:rPr>
        <w:t>。</w:t>
      </w:r>
      <w:r w:rsidRPr="0097554A">
        <w:rPr>
          <w:color w:val="0000FF"/>
          <w:lang w:val="el-GR"/>
        </w:rPr>
        <w:t xml:space="preserve"> </w:t>
      </w:r>
      <w:r w:rsidRPr="004C59BB">
        <w:rPr>
          <w:color w:val="0000FF"/>
          <w:lang w:val="ru-RU"/>
        </w:rPr>
        <w:t>然而</w:t>
      </w:r>
      <w:r w:rsidRPr="0097554A">
        <w:rPr>
          <w:color w:val="0000FF"/>
          <w:lang w:val="el-GR"/>
        </w:rPr>
        <w:t>，</w:t>
      </w:r>
      <w:r w:rsidRPr="004C59BB">
        <w:rPr>
          <w:color w:val="0000FF"/>
          <w:lang w:val="ru-RU"/>
        </w:rPr>
        <w:t>在尚未献上祭物、圣灵尚未降临、罪孽尚未被赎清、仇恨尚未平息、咒诅尚未消除之时</w:t>
      </w:r>
      <w:r w:rsidRPr="0097554A">
        <w:rPr>
          <w:color w:val="0000FF"/>
          <w:lang w:val="el-GR"/>
        </w:rPr>
        <w:t>，</w:t>
      </w:r>
      <w:r w:rsidRPr="004C59BB">
        <w:rPr>
          <w:color w:val="0000FF"/>
          <w:lang w:val="ru-RU"/>
        </w:rPr>
        <w:t>罪孽又如何能被赦免呢</w:t>
      </w:r>
      <w:r w:rsidRPr="0097554A">
        <w:rPr>
          <w:color w:val="0000FF"/>
          <w:lang w:val="el-GR"/>
        </w:rPr>
        <w:t xml:space="preserve">？…… </w:t>
      </w:r>
      <w:r w:rsidRPr="004C59BB">
        <w:rPr>
          <w:color w:val="0000FF"/>
          <w:lang w:val="ru-RU"/>
        </w:rPr>
        <w:t>看</w:t>
      </w:r>
      <w:r w:rsidRPr="0097554A">
        <w:rPr>
          <w:color w:val="0000FF"/>
          <w:lang w:val="el-GR"/>
        </w:rPr>
        <w:t>，</w:t>
      </w:r>
      <w:r w:rsidRPr="004C59BB">
        <w:rPr>
          <w:color w:val="0000FF"/>
          <w:lang w:val="ru-RU"/>
        </w:rPr>
        <w:t>福音书作者是多么精准地阐述了这一点</w:t>
      </w:r>
      <w:r w:rsidRPr="0097554A">
        <w:rPr>
          <w:color w:val="0000FF"/>
          <w:lang w:val="el-GR"/>
        </w:rPr>
        <w:t>——</w:t>
      </w:r>
      <w:r w:rsidRPr="004C59BB">
        <w:rPr>
          <w:color w:val="0000FF"/>
          <w:lang w:val="ru-RU"/>
        </w:rPr>
        <w:t>因为他提到约翰来传讲悔改的洗礼和犹太人的旷野生活后</w:t>
      </w:r>
      <w:r w:rsidRPr="0097554A">
        <w:rPr>
          <w:color w:val="0000FF"/>
          <w:lang w:val="el-GR"/>
        </w:rPr>
        <w:t>，</w:t>
      </w:r>
      <w:r w:rsidRPr="004C59BB">
        <w:rPr>
          <w:color w:val="0000FF"/>
          <w:lang w:val="ru-RU"/>
        </w:rPr>
        <w:t>又补充道</w:t>
      </w:r>
      <w:r w:rsidRPr="0097554A">
        <w:rPr>
          <w:color w:val="0000FF"/>
          <w:lang w:val="el-GR"/>
        </w:rPr>
        <w:t>：“</w:t>
      </w:r>
      <w:r w:rsidRPr="004C59BB">
        <w:rPr>
          <w:color w:val="0000FF"/>
          <w:lang w:val="ru-RU"/>
        </w:rPr>
        <w:t>为赦罪</w:t>
      </w:r>
      <w:r w:rsidRPr="0097554A">
        <w:rPr>
          <w:color w:val="0000FF"/>
          <w:lang w:val="el-GR"/>
        </w:rPr>
        <w:t xml:space="preserve">”； </w:t>
      </w:r>
      <w:r w:rsidRPr="004C59BB">
        <w:rPr>
          <w:color w:val="0000FF"/>
          <w:lang w:val="ru-RU"/>
        </w:rPr>
        <w:t>这仿佛在说</w:t>
      </w:r>
      <w:r w:rsidRPr="0097554A">
        <w:rPr>
          <w:color w:val="0000FF"/>
          <w:lang w:val="el-GR"/>
        </w:rPr>
        <w:t>：</w:t>
      </w:r>
      <w:r w:rsidRPr="004C59BB">
        <w:rPr>
          <w:color w:val="0000FF"/>
          <w:lang w:val="ru-RU"/>
        </w:rPr>
        <w:t>他劝导他们认罪悔改</w:t>
      </w:r>
      <w:r w:rsidRPr="0097554A">
        <w:rPr>
          <w:color w:val="0000FF"/>
          <w:lang w:val="el-GR"/>
        </w:rPr>
        <w:t>，</w:t>
      </w:r>
      <w:r w:rsidRPr="004C59BB">
        <w:rPr>
          <w:color w:val="0000FF"/>
          <w:lang w:val="ru-RU"/>
        </w:rPr>
        <w:t>并非为了惩罚他们</w:t>
      </w:r>
      <w:r w:rsidRPr="0097554A">
        <w:rPr>
          <w:color w:val="0000FF"/>
          <w:lang w:val="el-GR"/>
        </w:rPr>
        <w:t>，</w:t>
      </w:r>
      <w:r w:rsidRPr="004C59BB">
        <w:rPr>
          <w:color w:val="0000FF"/>
          <w:lang w:val="ru-RU"/>
        </w:rPr>
        <w:t>而是为了使他们更容易获得随后将要赐下的赦免。因为如果他们不先自我定罪，就不会去求取怜悯；而不寻求怜悯，也就无法蒙受罪孽的赦免。 因此，约翰的洗礼为另一项洗礼铺平了道路”（圣金口若望《马太福音讲道集》</w:t>
      </w:r>
      <w:r w:rsidRPr="004C59BB">
        <w:rPr>
          <w:color w:val="0000FF"/>
        </w:rPr>
        <w:t>第十</w:t>
      </w:r>
      <w:r w:rsidRPr="004C59BB">
        <w:rPr>
          <w:color w:val="0000FF"/>
          <w:lang w:val="ru-RU"/>
        </w:rPr>
        <w:t>卷，第1、2节，第1卷，第177、179页；注释195）。</w:t>
      </w:r>
    </w:p>
  </w:footnote>
  <w:footnote w:id="874">
    <w:p w14:paraId="19A6AE87" w14:textId="1F4785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金口若望《马太福音讲道集》</w:t>
      </w:r>
      <w:r w:rsidRPr="004C59BB">
        <w:rPr>
          <w:color w:val="0000FF"/>
        </w:rPr>
        <w:t>第十二</w:t>
      </w:r>
      <w:r w:rsidRPr="004C59BB">
        <w:rPr>
          <w:color w:val="0000FF"/>
          <w:lang w:val="ru-RU"/>
        </w:rPr>
        <w:t>卷，第3节，第1卷，第225页，根据俄文译本。</w:t>
      </w:r>
    </w:p>
  </w:footnote>
  <w:footnote w:id="875">
    <w:p w14:paraId="3D7E2F4C" w14:textId="53C0B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基里尔·耶路撒冷，《教义概要》</w:t>
      </w:r>
      <w:r w:rsidRPr="004C59BB">
        <w:rPr>
          <w:color w:val="0000FF"/>
        </w:rPr>
        <w:t>第三</w:t>
      </w:r>
      <w:r w:rsidRPr="004C59BB">
        <w:rPr>
          <w:color w:val="0000FF"/>
          <w:lang w:val="ru-RU"/>
        </w:rPr>
        <w:t>卷，第8节，第51页。</w:t>
      </w:r>
    </w:p>
  </w:footnote>
  <w:footnote w:id="876">
    <w:p w14:paraId="40ADF49E" w14:textId="7F9B13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“在（主耶稣）受洗时，鸽子显现，是为了向在场的人和约翰指明——仿佛用手指着——神的儿子，同时也为了让你知道，当你受洗时，圣灵也会降临在你身上”（金口若望，《马太福音讲道集》第十二篇， 第2节，第1卷，第223页）。“圣灵以鸽子的形体降临在主身上，以此昭示我们受洗的开端”（大马士革，《正统信仰精确阐述》</w:t>
      </w:r>
      <w:r w:rsidRPr="004C59BB">
        <w:rPr>
          <w:color w:val="0000FF"/>
        </w:rPr>
        <w:t>第IV卷</w:t>
      </w:r>
      <w:r w:rsidRPr="004C59BB">
        <w:rPr>
          <w:color w:val="0000FF"/>
          <w:lang w:val="ru-RU"/>
        </w:rPr>
        <w:t>，第9章，第239页）。</w:t>
      </w:r>
    </w:p>
  </w:footnote>
  <w:footnote w:id="877">
    <w:p w14:paraId="2EF681EF" w14:textId="3FBF8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参见下文注释881及其所指的原文。</w:t>
      </w:r>
    </w:p>
  </w:footnote>
  <w:footnote w:id="878">
    <w:p w14:paraId="2CF503F0" w14:textId="40DC8AB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《论洗礼》第X、XI、XIII章</w:t>
      </w:r>
      <w:r w:rsidRPr="0097554A">
        <w:rPr>
          <w:color w:val="0000FF"/>
          <w:lang w:val="ru-RU"/>
        </w:rPr>
        <w:t>，</w:t>
      </w:r>
      <w:r w:rsidRPr="004C59BB">
        <w:rPr>
          <w:color w:val="0000FF"/>
        </w:rPr>
        <w:t>载于《教父全集》第I卷</w:t>
      </w:r>
      <w:r w:rsidRPr="0097554A">
        <w:rPr>
          <w:color w:val="0000FF"/>
          <w:lang w:val="ru-RU"/>
        </w:rPr>
        <w:t>，</w:t>
      </w:r>
      <w:r w:rsidRPr="004C59BB">
        <w:rPr>
          <w:color w:val="0000FF"/>
        </w:rPr>
        <w:t>第</w:t>
      </w:r>
      <w:r w:rsidRPr="0097554A">
        <w:rPr>
          <w:color w:val="0000FF"/>
          <w:lang w:val="ru-RU"/>
        </w:rPr>
        <w:t>1211</w:t>
      </w:r>
      <w:r w:rsidRPr="004C59BB">
        <w:rPr>
          <w:color w:val="0000FF"/>
        </w:rPr>
        <w:t>、</w:t>
      </w:r>
      <w:r w:rsidRPr="0097554A">
        <w:rPr>
          <w:color w:val="0000FF"/>
          <w:lang w:val="ru-RU"/>
        </w:rPr>
        <w:t>1212……1215</w:t>
      </w:r>
      <w:r w:rsidRPr="004C59BB">
        <w:rPr>
          <w:color w:val="0000FF"/>
        </w:rPr>
        <w:t>页</w:t>
      </w:r>
      <w:r w:rsidRPr="0097554A">
        <w:rPr>
          <w:color w:val="0000FF"/>
          <w:lang w:val="ru-RU"/>
        </w:rPr>
        <w:t>……</w:t>
      </w:r>
      <w:r w:rsidRPr="004C59BB">
        <w:rPr>
          <w:color w:val="0000FF"/>
        </w:rPr>
        <w:t>洗礼圣事得到了扩展</w:t>
      </w:r>
      <w:r w:rsidRPr="0097554A">
        <w:rPr>
          <w:color w:val="0000FF"/>
          <w:lang w:val="ru-RU"/>
        </w:rPr>
        <w:t>，</w:t>
      </w:r>
      <w:r w:rsidRPr="004C59BB">
        <w:rPr>
          <w:color w:val="0000FF"/>
        </w:rPr>
        <w:t>洗礼的印记</w:t>
      </w:r>
      <w:r w:rsidRPr="0097554A">
        <w:rPr>
          <w:color w:val="0000FF"/>
          <w:lang w:val="ru-RU"/>
        </w:rPr>
        <w:t>……</w:t>
      </w:r>
      <w:r w:rsidRPr="004C59BB">
        <w:rPr>
          <w:color w:val="0000FF"/>
        </w:rPr>
        <w:t>规定了浸礼的律法并确立了仪式形式。</w:t>
      </w:r>
    </w:p>
  </w:footnote>
  <w:footnote w:id="879">
    <w:p w14:paraId="11CA4940" w14:textId="3A044954"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《关于受洗的劝勉》</w:t>
      </w:r>
      <w:r w:rsidRPr="0097554A">
        <w:rPr>
          <w:color w:val="0000FF"/>
          <w:lang w:val="ru-RU"/>
        </w:rPr>
        <w:t>，</w:t>
      </w:r>
      <w:r w:rsidRPr="004C59BB">
        <w:rPr>
          <w:color w:val="0000FF"/>
        </w:rPr>
        <w:t>载于《圣教</w:t>
      </w:r>
      <w:r w:rsidRPr="004C59BB">
        <w:rPr>
          <w:color w:val="0000FF"/>
          <w:lang w:val="ru-RU"/>
        </w:rPr>
        <w:t>父文集</w:t>
      </w:r>
      <w:r w:rsidRPr="004C59BB">
        <w:rPr>
          <w:color w:val="0000FF"/>
        </w:rPr>
        <w:t>》第八卷</w:t>
      </w:r>
      <w:r w:rsidRPr="004C59BB">
        <w:rPr>
          <w:color w:val="0000FF"/>
          <w:lang w:val="ru-RU"/>
        </w:rPr>
        <w:t>，第225–226页。</w:t>
      </w:r>
    </w:p>
  </w:footnote>
  <w:footnote w:id="880">
    <w:p w14:paraId="2297D1E8" w14:textId="7E275E89"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《讲道集》第39篇，论</w:t>
      </w:r>
      <w:r w:rsidRPr="004C59BB">
        <w:rPr>
          <w:color w:val="0000FF"/>
        </w:rPr>
        <w:t>主</w:t>
      </w:r>
      <w:r w:rsidRPr="004C59BB">
        <w:rPr>
          <w:color w:val="0000FF"/>
          <w:lang w:val="ru-RU"/>
        </w:rPr>
        <w:t>显节</w:t>
      </w:r>
      <w:r w:rsidRPr="0097554A">
        <w:rPr>
          <w:color w:val="0000FF"/>
          <w:lang w:val="ru-RU"/>
        </w:rPr>
        <w:t>，</w:t>
      </w:r>
      <w:r w:rsidRPr="004C59BB">
        <w:rPr>
          <w:color w:val="0000FF"/>
        </w:rPr>
        <w:t>同上</w:t>
      </w:r>
      <w:r w:rsidRPr="0097554A">
        <w:rPr>
          <w:color w:val="0000FF"/>
          <w:lang w:val="ru-RU"/>
        </w:rPr>
        <w:t>——</w:t>
      </w:r>
      <w:r w:rsidRPr="004C59BB">
        <w:rPr>
          <w:color w:val="0000FF"/>
        </w:rPr>
        <w:t>第三</w:t>
      </w:r>
      <w:r w:rsidRPr="004C59BB">
        <w:rPr>
          <w:color w:val="0000FF"/>
          <w:lang w:val="el-GR"/>
        </w:rPr>
        <w:t>卷</w:t>
      </w:r>
      <w:r w:rsidRPr="0097554A">
        <w:rPr>
          <w:color w:val="0000FF"/>
          <w:lang w:val="ru-RU"/>
        </w:rPr>
        <w:t>，</w:t>
      </w:r>
      <w:r w:rsidRPr="004C59BB">
        <w:rPr>
          <w:color w:val="0000FF"/>
          <w:lang w:val="el-GR"/>
        </w:rPr>
        <w:t>第</w:t>
      </w:r>
      <w:r w:rsidRPr="0097554A">
        <w:rPr>
          <w:color w:val="0000FF"/>
          <w:lang w:val="ru-RU"/>
        </w:rPr>
        <w:t>267</w:t>
      </w:r>
      <w:r w:rsidRPr="004C59BB">
        <w:rPr>
          <w:color w:val="0000FF"/>
          <w:lang w:val="el-GR"/>
        </w:rPr>
        <w:t>页。</w:t>
      </w:r>
    </w:p>
  </w:footnote>
  <w:footnote w:id="881">
    <w:p w14:paraId="29532DD2" w14:textId="60BDEE9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我们说</w:t>
      </w:r>
      <w:r w:rsidRPr="0097554A">
        <w:rPr>
          <w:color w:val="0000FF"/>
          <w:lang w:val="ru-RU"/>
        </w:rPr>
        <w:t>，</w:t>
      </w:r>
      <w:r w:rsidRPr="004C59BB">
        <w:rPr>
          <w:color w:val="0000FF"/>
          <w:lang w:val="el-GR"/>
        </w:rPr>
        <w:t>没有任何事物</w:t>
      </w:r>
      <w:r w:rsidRPr="0097554A">
        <w:rPr>
          <w:color w:val="0000FF"/>
          <w:lang w:val="ru-RU"/>
        </w:rPr>
        <w:t>，</w:t>
      </w:r>
      <w:r w:rsidRPr="004C59BB">
        <w:rPr>
          <w:color w:val="0000FF"/>
          <w:lang w:val="el-GR"/>
        </w:rPr>
        <w:t>因为两者都同样分享了来自圣灵的恩典</w:t>
      </w:r>
      <w:r w:rsidRPr="0097554A">
        <w:rPr>
          <w:color w:val="0000FF"/>
          <w:lang w:val="ru-RU"/>
        </w:rPr>
        <w:t>……</w:t>
      </w:r>
      <w:r w:rsidRPr="004C59BB">
        <w:rPr>
          <w:color w:val="0000FF"/>
        </w:rPr>
        <w:t>见《约翰福音讲道集》第XXIX篇</w:t>
      </w:r>
      <w:r w:rsidRPr="0097554A">
        <w:rPr>
          <w:color w:val="0000FF"/>
          <w:lang w:val="ru-RU"/>
        </w:rPr>
        <w:t>，</w:t>
      </w:r>
      <w:r w:rsidRPr="004C59BB">
        <w:rPr>
          <w:color w:val="0000FF"/>
        </w:rPr>
        <w:t>第</w:t>
      </w:r>
      <w:r w:rsidRPr="0097554A">
        <w:rPr>
          <w:color w:val="0000FF"/>
          <w:lang w:val="ru-RU"/>
        </w:rPr>
        <w:t>1</w:t>
      </w:r>
      <w:r w:rsidRPr="004C59BB">
        <w:rPr>
          <w:color w:val="0000FF"/>
        </w:rPr>
        <w:t>节</w:t>
      </w:r>
      <w:r w:rsidRPr="0097554A">
        <w:rPr>
          <w:color w:val="0000FF"/>
          <w:lang w:val="ru-RU"/>
        </w:rPr>
        <w:t>，</w:t>
      </w:r>
      <w:r w:rsidRPr="004C59BB">
        <w:rPr>
          <w:color w:val="0000FF"/>
        </w:rPr>
        <w:t>收录于《著作集》第VIII卷</w:t>
      </w:r>
      <w:r w:rsidRPr="0097554A">
        <w:rPr>
          <w:color w:val="0000FF"/>
          <w:lang w:val="ru-RU"/>
        </w:rPr>
        <w:t>，</w:t>
      </w:r>
      <w:r w:rsidRPr="004C59BB">
        <w:rPr>
          <w:color w:val="0000FF"/>
        </w:rPr>
        <w:t>第</w:t>
      </w:r>
      <w:r w:rsidRPr="0097554A">
        <w:rPr>
          <w:color w:val="0000FF"/>
          <w:lang w:val="ru-RU"/>
        </w:rPr>
        <w:t>164</w:t>
      </w:r>
      <w:r w:rsidRPr="004C59BB">
        <w:rPr>
          <w:color w:val="0000FF"/>
        </w:rPr>
        <w:t>、</w:t>
      </w:r>
      <w:r w:rsidRPr="0097554A">
        <w:rPr>
          <w:color w:val="0000FF"/>
          <w:lang w:val="ru-RU"/>
        </w:rPr>
        <w:t>165</w:t>
      </w:r>
      <w:r w:rsidRPr="004C59BB">
        <w:rPr>
          <w:color w:val="0000FF"/>
        </w:rPr>
        <w:t>页</w:t>
      </w:r>
      <w:r w:rsidRPr="0097554A">
        <w:rPr>
          <w:color w:val="0000FF"/>
          <w:lang w:val="ru-RU"/>
        </w:rPr>
        <w:t>，</w:t>
      </w:r>
      <w:r w:rsidRPr="004C59BB">
        <w:rPr>
          <w:color w:val="0000FF"/>
        </w:rPr>
        <w:t>威尼斯版。</w:t>
      </w:r>
    </w:p>
  </w:footnote>
  <w:footnote w:id="882">
    <w:p w14:paraId="577ED507" w14:textId="6486E39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《马太福音讲道集》第十二篇</w:t>
      </w:r>
      <w:r w:rsidRPr="0097554A">
        <w:rPr>
          <w:color w:val="0000FF"/>
          <w:lang w:val="ru-RU"/>
        </w:rPr>
        <w:t>，</w:t>
      </w:r>
      <w:r w:rsidRPr="004C59BB">
        <w:rPr>
          <w:color w:val="0000FF"/>
        </w:rPr>
        <w:t>第</w:t>
      </w:r>
      <w:r w:rsidRPr="0097554A">
        <w:rPr>
          <w:color w:val="0000FF"/>
          <w:lang w:val="ru-RU"/>
        </w:rPr>
        <w:t>3</w:t>
      </w:r>
      <w:r w:rsidRPr="004C59BB">
        <w:rPr>
          <w:color w:val="0000FF"/>
        </w:rPr>
        <w:t>节</w:t>
      </w:r>
      <w:r w:rsidRPr="0097554A">
        <w:rPr>
          <w:color w:val="0000FF"/>
          <w:lang w:val="ru-RU"/>
        </w:rPr>
        <w:t>，</w:t>
      </w:r>
      <w:r w:rsidRPr="004C59BB">
        <w:rPr>
          <w:color w:val="0000FF"/>
        </w:rPr>
        <w:t>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225</w:t>
      </w:r>
      <w:r w:rsidRPr="004C59BB">
        <w:rPr>
          <w:color w:val="0000FF"/>
        </w:rPr>
        <w:t>页。</w:t>
      </w:r>
    </w:p>
  </w:footnote>
  <w:footnote w:id="883">
    <w:p w14:paraId="7CF53FF1" w14:textId="39E152B8"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《约翰福音注释》第二卷</w:t>
      </w:r>
      <w:r w:rsidRPr="004C59BB">
        <w:rPr>
          <w:color w:val="0000FF"/>
          <w:lang w:val="ru-RU"/>
        </w:rPr>
        <w:t>，第57</w:t>
      </w:r>
      <w:r w:rsidRPr="004C59BB">
        <w:rPr>
          <w:color w:val="0000FF"/>
        </w:rPr>
        <w:t>章</w:t>
      </w:r>
      <w:r w:rsidRPr="004C59BB">
        <w:rPr>
          <w:color w:val="0000FF"/>
          <w:lang w:val="ru-RU"/>
        </w:rPr>
        <w:t>。</w:t>
      </w:r>
    </w:p>
  </w:footnote>
  <w:footnote w:id="884">
    <w:p w14:paraId="1EA9417B" w14:textId="446B3A88"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“他（约翰）在约旦河施洗；整个耶路撒冷的人都前往那里，接受初次洗礼”（《教义概要》</w:t>
      </w:r>
      <w:r w:rsidRPr="004C59BB">
        <w:rPr>
          <w:color w:val="0000FF"/>
        </w:rPr>
        <w:t>第三卷</w:t>
      </w:r>
      <w:r w:rsidRPr="0097554A">
        <w:rPr>
          <w:color w:val="0000FF"/>
          <w:lang w:val="ru-RU"/>
        </w:rPr>
        <w:t>，</w:t>
      </w:r>
      <w:r w:rsidRPr="004C59BB">
        <w:rPr>
          <w:color w:val="0000FF"/>
        </w:rPr>
        <w:t>第</w:t>
      </w:r>
      <w:r w:rsidRPr="0097554A">
        <w:rPr>
          <w:color w:val="0000FF"/>
          <w:lang w:val="ru-RU"/>
        </w:rPr>
        <w:t>4</w:t>
      </w:r>
      <w:r w:rsidRPr="004C59BB">
        <w:rPr>
          <w:color w:val="0000FF"/>
        </w:rPr>
        <w:t>节</w:t>
      </w:r>
      <w:r w:rsidRPr="0097554A">
        <w:rPr>
          <w:color w:val="0000FF"/>
          <w:lang w:val="ru-RU"/>
        </w:rPr>
        <w:t>，</w:t>
      </w:r>
      <w:r w:rsidRPr="004C59BB">
        <w:rPr>
          <w:color w:val="0000FF"/>
        </w:rPr>
        <w:t>第</w:t>
      </w:r>
      <w:r w:rsidRPr="0097554A">
        <w:rPr>
          <w:color w:val="0000FF"/>
          <w:lang w:val="ru-RU"/>
        </w:rPr>
        <w:t>48</w:t>
      </w:r>
      <w:r w:rsidRPr="004C59BB">
        <w:rPr>
          <w:color w:val="0000FF"/>
        </w:rPr>
        <w:t>页</w:t>
      </w:r>
      <w:r w:rsidRPr="0097554A">
        <w:rPr>
          <w:color w:val="0000FF"/>
          <w:lang w:val="ru-RU"/>
        </w:rPr>
        <w:t>；</w:t>
      </w:r>
      <w:r w:rsidRPr="004C59BB">
        <w:rPr>
          <w:color w:val="0000FF"/>
        </w:rPr>
        <w:t>《讲道集》第十七卷</w:t>
      </w:r>
      <w:r w:rsidRPr="0097554A">
        <w:rPr>
          <w:color w:val="0000FF"/>
          <w:lang w:val="ru-RU"/>
        </w:rPr>
        <w:t>，</w:t>
      </w:r>
      <w:r w:rsidRPr="004C59BB">
        <w:rPr>
          <w:color w:val="0000FF"/>
        </w:rPr>
        <w:t>第</w:t>
      </w:r>
      <w:r w:rsidRPr="0097554A">
        <w:rPr>
          <w:color w:val="0000FF"/>
          <w:lang w:val="ru-RU"/>
        </w:rPr>
        <w:t>8</w:t>
      </w:r>
      <w:r w:rsidRPr="004C59BB">
        <w:rPr>
          <w:color w:val="0000FF"/>
        </w:rPr>
        <w:t>节</w:t>
      </w:r>
      <w:r w:rsidRPr="0097554A">
        <w:rPr>
          <w:color w:val="0000FF"/>
          <w:lang w:val="ru-RU"/>
        </w:rPr>
        <w:t>，</w:t>
      </w:r>
      <w:r w:rsidRPr="004C59BB">
        <w:rPr>
          <w:color w:val="0000FF"/>
        </w:rPr>
        <w:t>第</w:t>
      </w:r>
      <w:r w:rsidRPr="0097554A">
        <w:rPr>
          <w:color w:val="0000FF"/>
          <w:lang w:val="ru-RU"/>
        </w:rPr>
        <w:t>378</w:t>
      </w:r>
      <w:r w:rsidRPr="004C59BB">
        <w:rPr>
          <w:color w:val="0000FF"/>
        </w:rPr>
        <w:t>页</w:t>
      </w:r>
      <w:r w:rsidRPr="0097554A">
        <w:rPr>
          <w:color w:val="0000FF"/>
          <w:lang w:val="ru-RU"/>
        </w:rPr>
        <w:t>）</w:t>
      </w:r>
      <w:r w:rsidRPr="004C59BB">
        <w:rPr>
          <w:color w:val="0000FF"/>
        </w:rPr>
        <w:t>。</w:t>
      </w:r>
    </w:p>
  </w:footnote>
  <w:footnote w:id="885">
    <w:p w14:paraId="5947AC24" w14:textId="2FA89C4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见《马太福音》第三卷</w:t>
      </w:r>
      <w:r w:rsidRPr="0097554A">
        <w:rPr>
          <w:color w:val="0000FF"/>
          <w:lang w:val="ru-RU"/>
        </w:rPr>
        <w:t>，</w:t>
      </w:r>
      <w:r w:rsidRPr="004C59BB">
        <w:rPr>
          <w:color w:val="0000FF"/>
        </w:rPr>
        <w:t>第二章</w:t>
      </w:r>
      <w:r w:rsidRPr="0097554A">
        <w:rPr>
          <w:color w:val="0000FF"/>
          <w:lang w:val="ru-RU"/>
        </w:rPr>
        <w:t>（</w:t>
      </w:r>
      <w:r w:rsidRPr="004C59BB">
        <w:rPr>
          <w:color w:val="0000FF"/>
        </w:rPr>
        <w:t>残篇见加兰德版第五卷</w:t>
      </w:r>
      <w:r w:rsidRPr="0097554A">
        <w:rPr>
          <w:color w:val="0000FF"/>
          <w:lang w:val="ru-RU"/>
        </w:rPr>
        <w:t>，</w:t>
      </w:r>
      <w:r w:rsidRPr="004C59BB">
        <w:rPr>
          <w:color w:val="0000FF"/>
        </w:rPr>
        <w:t>第</w:t>
      </w:r>
      <w:r w:rsidRPr="0097554A">
        <w:rPr>
          <w:color w:val="0000FF"/>
          <w:lang w:val="ru-RU"/>
        </w:rPr>
        <w:t>176</w:t>
      </w:r>
      <w:r w:rsidRPr="004C59BB">
        <w:rPr>
          <w:color w:val="0000FF"/>
        </w:rPr>
        <w:t>页</w:t>
      </w:r>
      <w:r w:rsidRPr="0097554A">
        <w:rPr>
          <w:color w:val="0000FF"/>
          <w:lang w:val="ru-RU"/>
        </w:rPr>
        <w:t>）</w:t>
      </w:r>
      <w:r w:rsidRPr="004C59BB">
        <w:rPr>
          <w:color w:val="0000FF"/>
        </w:rPr>
        <w:t>。</w:t>
      </w:r>
    </w:p>
  </w:footnote>
  <w:footnote w:id="886">
    <w:p w14:paraId="648536B2" w14:textId="0622EA3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《反多纳图斯论》第五卷</w:t>
      </w:r>
      <w:r w:rsidRPr="0097554A">
        <w:rPr>
          <w:color w:val="0000FF"/>
          <w:lang w:val="ru-RU"/>
        </w:rPr>
        <w:t>，</w:t>
      </w:r>
      <w:r w:rsidRPr="004C59BB">
        <w:rPr>
          <w:color w:val="0000FF"/>
        </w:rPr>
        <w:t>第</w:t>
      </w:r>
      <w:r w:rsidRPr="0097554A">
        <w:rPr>
          <w:color w:val="0000FF"/>
          <w:lang w:val="ru-RU"/>
        </w:rPr>
        <w:t>10</w:t>
      </w:r>
      <w:r w:rsidRPr="004C59BB">
        <w:rPr>
          <w:color w:val="0000FF"/>
        </w:rPr>
        <w:t>章</w:t>
      </w:r>
      <w:r w:rsidRPr="0097554A">
        <w:rPr>
          <w:color w:val="0000FF"/>
          <w:lang w:val="ru-RU"/>
        </w:rPr>
        <w:t>，</w:t>
      </w:r>
      <w:r w:rsidRPr="004C59BB">
        <w:rPr>
          <w:color w:val="0000FF"/>
        </w:rPr>
        <w:t>注</w:t>
      </w:r>
      <w:r w:rsidRPr="0097554A">
        <w:rPr>
          <w:color w:val="0000FF"/>
          <w:lang w:val="ru-RU"/>
        </w:rPr>
        <w:t>12；</w:t>
      </w:r>
      <w:r w:rsidRPr="004C59BB">
        <w:rPr>
          <w:color w:val="0000FF"/>
        </w:rPr>
        <w:t>《致埃莱乌西乌斯书》第六十四封</w:t>
      </w:r>
      <w:r w:rsidRPr="0097554A">
        <w:rPr>
          <w:color w:val="0000FF"/>
          <w:lang w:val="ru-RU"/>
        </w:rPr>
        <w:t>，</w:t>
      </w:r>
      <w:r w:rsidRPr="004C59BB">
        <w:rPr>
          <w:color w:val="0000FF"/>
        </w:rPr>
        <w:t>注</w:t>
      </w:r>
      <w:r w:rsidRPr="0097554A">
        <w:rPr>
          <w:color w:val="0000FF"/>
          <w:lang w:val="ru-RU"/>
        </w:rPr>
        <w:t>10</w:t>
      </w:r>
      <w:r w:rsidRPr="004C59BB">
        <w:rPr>
          <w:color w:val="0000FF"/>
        </w:rPr>
        <w:t>。</w:t>
      </w:r>
    </w:p>
  </w:footnote>
  <w:footnote w:id="887">
    <w:p w14:paraId="67547F1A" w14:textId="487D1AD9"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《反路西弗对话录》</w:t>
      </w:r>
      <w:r w:rsidRPr="004C59BB">
        <w:rPr>
          <w:color w:val="0000FF"/>
          <w:lang w:val="ru-RU"/>
        </w:rPr>
        <w:t>，第3</w:t>
      </w:r>
      <w:r w:rsidRPr="004C59BB">
        <w:rPr>
          <w:color w:val="0000FF"/>
        </w:rPr>
        <w:t>章</w:t>
      </w:r>
      <w:r w:rsidRPr="004C59BB">
        <w:rPr>
          <w:color w:val="0000FF"/>
          <w:lang w:val="ru-RU"/>
        </w:rPr>
        <w:t>。</w:t>
      </w:r>
    </w:p>
  </w:footnote>
  <w:footnote w:id="888">
    <w:p w14:paraId="1110A264" w14:textId="337FA8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“约翰的洗礼是预备性的，旨在引导受洗者悔改，使他们信靠基督。因为约翰曾说：‘我用水给你们施洗，但在我之后来的那位，要用圣灵与火给你们施洗’（马太福音3:11）。 因此，约翰用水预先洁净信徒，使他们能领受圣灵”（</w:t>
      </w:r>
      <w:r w:rsidRPr="004C59BB">
        <w:rPr>
          <w:color w:val="0000FF"/>
        </w:rPr>
        <w:t>《</w:t>
      </w:r>
      <w:r w:rsidRPr="004C59BB">
        <w:rPr>
          <w:color w:val="0000FF"/>
          <w:lang w:val="ru-RU"/>
        </w:rPr>
        <w:t>正统信仰精确阐述</w:t>
      </w:r>
      <w:r w:rsidRPr="004C59BB">
        <w:rPr>
          <w:color w:val="0000FF"/>
        </w:rPr>
        <w:t>》第IV卷</w:t>
      </w:r>
      <w:r w:rsidRPr="0097554A">
        <w:rPr>
          <w:color w:val="0000FF"/>
          <w:lang w:val="ru-RU"/>
        </w:rPr>
        <w:t>，</w:t>
      </w:r>
      <w:r w:rsidRPr="004C59BB">
        <w:rPr>
          <w:color w:val="0000FF"/>
        </w:rPr>
        <w:t>第</w:t>
      </w:r>
      <w:r w:rsidRPr="0097554A">
        <w:rPr>
          <w:color w:val="0000FF"/>
          <w:lang w:val="ru-RU"/>
        </w:rPr>
        <w:t>9</w:t>
      </w:r>
      <w:r w:rsidRPr="004C59BB">
        <w:rPr>
          <w:color w:val="0000FF"/>
        </w:rPr>
        <w:t>章</w:t>
      </w:r>
      <w:r w:rsidRPr="0097554A">
        <w:rPr>
          <w:color w:val="0000FF"/>
          <w:lang w:val="ru-RU"/>
        </w:rPr>
        <w:t>，</w:t>
      </w:r>
      <w:r w:rsidRPr="004C59BB">
        <w:rPr>
          <w:color w:val="0000FF"/>
        </w:rPr>
        <w:t>第</w:t>
      </w:r>
      <w:r w:rsidRPr="0097554A">
        <w:rPr>
          <w:color w:val="0000FF"/>
          <w:lang w:val="ru-RU"/>
        </w:rPr>
        <w:t>238</w:t>
      </w:r>
      <w:r w:rsidRPr="004C59BB">
        <w:rPr>
          <w:color w:val="0000FF"/>
        </w:rPr>
        <w:t>页</w:t>
      </w:r>
      <w:r w:rsidRPr="0097554A">
        <w:rPr>
          <w:color w:val="0000FF"/>
          <w:lang w:val="ru-RU"/>
        </w:rPr>
        <w:t>）</w:t>
      </w:r>
      <w:r w:rsidRPr="004C59BB">
        <w:rPr>
          <w:color w:val="0000FF"/>
        </w:rPr>
        <w:t>。参见格雷戈里·大帝《福音讲道集》第1卷，第XX篇，第2节；狄奥菲拉克特《马太福音注释》第III章；《马可福音注释》第I章；《路加福音注释》第III章。</w:t>
      </w:r>
    </w:p>
  </w:footnote>
  <w:footnote w:id="889">
    <w:p w14:paraId="6DD6FD83" w14:textId="5A1E866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辩护书</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79</w:t>
      </w:r>
      <w:r w:rsidRPr="004C59BB">
        <w:rPr>
          <w:color w:val="0000FF"/>
          <w:lang w:val="ru-RU"/>
        </w:rPr>
        <w:t>节</w:t>
      </w:r>
      <w:r w:rsidRPr="0097554A">
        <w:rPr>
          <w:color w:val="0000FF"/>
        </w:rPr>
        <w:t>，</w:t>
      </w:r>
      <w:r w:rsidRPr="004C59BB">
        <w:rPr>
          <w:color w:val="0000FF"/>
          <w:lang w:val="ru-RU"/>
        </w:rPr>
        <w:t>载于《基督教读本》</w:t>
      </w:r>
      <w:r w:rsidRPr="0097554A">
        <w:rPr>
          <w:color w:val="0000FF"/>
        </w:rPr>
        <w:t>1825</w:t>
      </w:r>
      <w:r w:rsidRPr="004C59BB">
        <w:rPr>
          <w:color w:val="0000FF"/>
          <w:lang w:val="ru-RU"/>
        </w:rPr>
        <w:t>年版</w:t>
      </w:r>
      <w:r w:rsidRPr="0097554A">
        <w:rPr>
          <w:color w:val="0000FF"/>
        </w:rPr>
        <w:t>，</w:t>
      </w:r>
      <w:r w:rsidRPr="004C59BB">
        <w:rPr>
          <w:color w:val="0000FF"/>
        </w:rPr>
        <w:t>第XVII卷</w:t>
      </w:r>
      <w:r w:rsidRPr="0097554A">
        <w:rPr>
          <w:color w:val="0000FF"/>
        </w:rPr>
        <w:t>，</w:t>
      </w:r>
      <w:r w:rsidRPr="004C59BB">
        <w:rPr>
          <w:color w:val="0000FF"/>
          <w:lang w:val="ru-RU"/>
        </w:rPr>
        <w:t>第</w:t>
      </w:r>
      <w:r w:rsidRPr="0097554A">
        <w:rPr>
          <w:color w:val="0000FF"/>
        </w:rPr>
        <w:t>91–92</w:t>
      </w:r>
      <w:r w:rsidRPr="004C59BB">
        <w:rPr>
          <w:color w:val="0000FF"/>
          <w:lang w:val="ru-RU"/>
        </w:rPr>
        <w:t>页。</w:t>
      </w:r>
    </w:p>
  </w:footnote>
  <w:footnote w:id="890">
    <w:p w14:paraId="2CF884F0" w14:textId="36C557CD"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《教义概要》</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2</w:t>
      </w:r>
      <w:r w:rsidRPr="004C59BB">
        <w:rPr>
          <w:color w:val="0000FF"/>
          <w:lang w:val="ru-RU"/>
        </w:rPr>
        <w:t>节</w:t>
      </w:r>
      <w:r w:rsidRPr="0097554A">
        <w:rPr>
          <w:color w:val="0000FF"/>
        </w:rPr>
        <w:t>，</w:t>
      </w:r>
      <w:r w:rsidRPr="004C59BB">
        <w:rPr>
          <w:color w:val="0000FF"/>
          <w:lang w:val="ru-RU"/>
        </w:rPr>
        <w:t>第</w:t>
      </w:r>
      <w:r w:rsidRPr="0097554A">
        <w:rPr>
          <w:color w:val="0000FF"/>
        </w:rPr>
        <w:t>44–45</w:t>
      </w:r>
      <w:r w:rsidRPr="004C59BB">
        <w:rPr>
          <w:color w:val="0000FF"/>
          <w:lang w:val="ru-RU"/>
        </w:rPr>
        <w:t>段。</w:t>
      </w:r>
    </w:p>
  </w:footnote>
  <w:footnote w:id="891">
    <w:p w14:paraId="60E39B49" w14:textId="125D57A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《论圣洗礼》</w:t>
      </w:r>
      <w:r w:rsidRPr="0097554A">
        <w:rPr>
          <w:color w:val="0000FF"/>
        </w:rPr>
        <w:t>，</w:t>
      </w:r>
      <w:r w:rsidRPr="004C59BB">
        <w:rPr>
          <w:color w:val="0000FF"/>
          <w:lang w:val="ru-RU"/>
        </w:rPr>
        <w:t>载于《圣教父著作集》</w:t>
      </w:r>
      <w:r w:rsidRPr="004C59BB">
        <w:rPr>
          <w:color w:val="0000FF"/>
        </w:rPr>
        <w:t>第三卷</w:t>
      </w:r>
      <w:r w:rsidRPr="0097554A">
        <w:rPr>
          <w:color w:val="0000FF"/>
        </w:rPr>
        <w:t>，</w:t>
      </w:r>
      <w:r w:rsidRPr="004C59BB">
        <w:rPr>
          <w:color w:val="0000FF"/>
          <w:lang w:val="ru-RU"/>
        </w:rPr>
        <w:t>第</w:t>
      </w:r>
      <w:r w:rsidRPr="0097554A">
        <w:rPr>
          <w:color w:val="0000FF"/>
        </w:rPr>
        <w:t>277</w:t>
      </w:r>
      <w:r w:rsidRPr="004C59BB">
        <w:rPr>
          <w:color w:val="0000FF"/>
          <w:lang w:val="ru-RU"/>
        </w:rPr>
        <w:t>页。</w:t>
      </w:r>
    </w:p>
  </w:footnote>
  <w:footnote w:id="892">
    <w:p w14:paraId="69A4F1D0" w14:textId="5D48EA27"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《论圣灵》第</w:t>
      </w:r>
      <w:r w:rsidRPr="0097554A">
        <w:rPr>
          <w:color w:val="0000FF"/>
        </w:rPr>
        <w:t>15</w:t>
      </w:r>
      <w:r w:rsidRPr="004C59BB">
        <w:rPr>
          <w:color w:val="0000FF"/>
          <w:lang w:val="ru-RU"/>
        </w:rPr>
        <w:t>章</w:t>
      </w:r>
      <w:r w:rsidRPr="0097554A">
        <w:rPr>
          <w:color w:val="0000FF"/>
        </w:rPr>
        <w:t>；</w:t>
      </w:r>
      <w:r w:rsidRPr="004C59BB">
        <w:rPr>
          <w:color w:val="0000FF"/>
          <w:lang w:val="ru-RU"/>
        </w:rPr>
        <w:t>同上</w:t>
      </w:r>
      <w:r w:rsidRPr="0097554A">
        <w:rPr>
          <w:color w:val="0000FF"/>
        </w:rPr>
        <w:t>，</w:t>
      </w:r>
      <w:r w:rsidRPr="004C59BB">
        <w:rPr>
          <w:color w:val="0000FF"/>
        </w:rPr>
        <w:t>第七卷</w:t>
      </w:r>
      <w:r w:rsidRPr="0097554A">
        <w:rPr>
          <w:color w:val="0000FF"/>
        </w:rPr>
        <w:t>，</w:t>
      </w:r>
      <w:r w:rsidRPr="004C59BB">
        <w:rPr>
          <w:color w:val="0000FF"/>
          <w:lang w:val="ru-RU"/>
        </w:rPr>
        <w:t>第</w:t>
      </w:r>
      <w:r w:rsidRPr="0097554A">
        <w:rPr>
          <w:color w:val="0000FF"/>
        </w:rPr>
        <w:t>283–284</w:t>
      </w:r>
      <w:r w:rsidRPr="004C59BB">
        <w:rPr>
          <w:color w:val="0000FF"/>
          <w:lang w:val="ru-RU"/>
        </w:rPr>
        <w:t>页。</w:t>
      </w:r>
    </w:p>
  </w:footnote>
  <w:footnote w:id="893">
    <w:p w14:paraId="7ACA9224" w14:textId="0F88D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《约翰福音讲道集》第十五篇，注4。</w:t>
      </w:r>
    </w:p>
  </w:footnote>
  <w:footnote w:id="894">
    <w:p w14:paraId="4208C6A3" w14:textId="4BFBA7F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《正统信仰精要》</w:t>
      </w:r>
      <w:r w:rsidRPr="004C59BB">
        <w:rPr>
          <w:color w:val="0000FF"/>
        </w:rPr>
        <w:t>第IV</w:t>
      </w:r>
      <w:r w:rsidRPr="004C59BB">
        <w:rPr>
          <w:color w:val="0000FF"/>
          <w:lang w:val="ru-RU"/>
        </w:rPr>
        <w:t>卷</w:t>
      </w:r>
      <w:r w:rsidRPr="0097554A">
        <w:rPr>
          <w:color w:val="0000FF"/>
        </w:rPr>
        <w:t>，</w:t>
      </w:r>
      <w:r w:rsidRPr="004C59BB">
        <w:rPr>
          <w:color w:val="0000FF"/>
          <w:lang w:val="ru-RU"/>
        </w:rPr>
        <w:t>第</w:t>
      </w:r>
      <w:r w:rsidRPr="0097554A">
        <w:rPr>
          <w:color w:val="0000FF"/>
        </w:rPr>
        <w:t>9</w:t>
      </w:r>
      <w:r w:rsidRPr="004C59BB">
        <w:rPr>
          <w:color w:val="0000FF"/>
          <w:lang w:val="ru-RU"/>
        </w:rPr>
        <w:t>章</w:t>
      </w:r>
      <w:r w:rsidRPr="0097554A">
        <w:rPr>
          <w:color w:val="0000FF"/>
        </w:rPr>
        <w:t>，</w:t>
      </w:r>
      <w:r w:rsidRPr="004C59BB">
        <w:rPr>
          <w:color w:val="0000FF"/>
          <w:lang w:val="ru-RU"/>
        </w:rPr>
        <w:t>第</w:t>
      </w:r>
      <w:r w:rsidRPr="0097554A">
        <w:rPr>
          <w:color w:val="0000FF"/>
        </w:rPr>
        <w:t>236</w:t>
      </w:r>
      <w:r w:rsidRPr="004C59BB">
        <w:rPr>
          <w:color w:val="0000FF"/>
          <w:lang w:val="ru-RU"/>
        </w:rPr>
        <w:t>页。</w:t>
      </w:r>
    </w:p>
  </w:footnote>
  <w:footnote w:id="895">
    <w:p w14:paraId="0EFFB0A3" w14:textId="4FBCCCBC"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例如</w:t>
      </w:r>
      <w:r w:rsidRPr="0097554A">
        <w:rPr>
          <w:color w:val="0000FF"/>
        </w:rPr>
        <w:t>，</w:t>
      </w:r>
      <w:r w:rsidRPr="004C59BB">
        <w:rPr>
          <w:color w:val="0000FF"/>
          <w:lang w:val="ru-RU"/>
        </w:rPr>
        <w:t>帕夫利尼派便是如此。</w:t>
      </w:r>
      <w:r w:rsidRPr="004C59BB">
        <w:rPr>
          <w:color w:val="0000FF"/>
        </w:rPr>
        <w:t>福提乌斯，《反摩尼教论》第1卷，第9章。</w:t>
      </w:r>
    </w:p>
  </w:footnote>
  <w:footnote w:id="896">
    <w:p w14:paraId="18A52623" w14:textId="64F237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参见贝拉明《论洗礼》第2卷。</w:t>
      </w:r>
    </w:p>
  </w:footnote>
  <w:footnote w:id="897">
    <w:p w14:paraId="36D0CA7D" w14:textId="45F04B4D"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若有人在同一圣礼中</w:t>
      </w:r>
      <w:r w:rsidRPr="0097554A">
        <w:rPr>
          <w:color w:val="0000FF"/>
        </w:rPr>
        <w:t>，</w:t>
      </w:r>
      <w:r w:rsidRPr="004C59BB">
        <w:rPr>
          <w:color w:val="0000FF"/>
          <w:lang w:val="ru-RU"/>
        </w:rPr>
        <w:t>不施行三次浸礼</w:t>
      </w:r>
      <w:r w:rsidRPr="0097554A">
        <w:rPr>
          <w:color w:val="0000FF"/>
        </w:rPr>
        <w:t>，</w:t>
      </w:r>
      <w:r w:rsidRPr="004C59BB">
        <w:rPr>
          <w:color w:val="0000FF"/>
          <w:lang w:val="ru-RU"/>
        </w:rPr>
        <w:t>而仅施行一次浸礼</w:t>
      </w:r>
      <w:r w:rsidRPr="0097554A">
        <w:rPr>
          <w:color w:val="0000FF"/>
        </w:rPr>
        <w:t>，</w:t>
      </w:r>
      <w:r w:rsidRPr="004C59BB">
        <w:rPr>
          <w:color w:val="0000FF"/>
          <w:lang w:val="ru-RU"/>
        </w:rPr>
        <w:t>将其归入主的死亡之中</w:t>
      </w:r>
      <w:r w:rsidRPr="0097554A">
        <w:rPr>
          <w:color w:val="0000FF"/>
        </w:rPr>
        <w:t>：</w:t>
      </w:r>
      <w:r w:rsidRPr="004C59BB">
        <w:rPr>
          <w:color w:val="0000FF"/>
          <w:lang w:val="ru-RU"/>
        </w:rPr>
        <w:t>此人当被逐出。因为主并未说：‘以我的死亡施洗’；而是说：‘你们要去，使万民作我的门徒，奉父、子、圣灵的名给他们施洗’</w:t>
      </w:r>
      <w:r w:rsidRPr="004C59BB">
        <w:rPr>
          <w:color w:val="0000FF"/>
        </w:rPr>
        <w:t>。”《正信》第50章。</w:t>
      </w:r>
    </w:p>
  </w:footnote>
  <w:footnote w:id="898">
    <w:p w14:paraId="1237B04B" w14:textId="0D06A0C4"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特土良《反普拉克斯》第26章；金口若望《约翰福音讲道集》第25篇，第2节；安布罗斯《论圣事》第II卷</w:t>
      </w:r>
      <w:r w:rsidRPr="0097554A">
        <w:rPr>
          <w:color w:val="0000FF"/>
        </w:rPr>
        <w:t>，</w:t>
      </w:r>
      <w:r w:rsidRPr="004C59BB">
        <w:rPr>
          <w:color w:val="0000FF"/>
          <w:lang w:val="ru-RU"/>
        </w:rPr>
        <w:t>第</w:t>
      </w:r>
      <w:r w:rsidRPr="0097554A">
        <w:rPr>
          <w:color w:val="0000FF"/>
        </w:rPr>
        <w:t>7</w:t>
      </w:r>
      <w:r w:rsidRPr="004C59BB">
        <w:rPr>
          <w:color w:val="0000FF"/>
          <w:lang w:val="ru-RU"/>
        </w:rPr>
        <w:t>章</w:t>
      </w:r>
      <w:r w:rsidRPr="0097554A">
        <w:rPr>
          <w:color w:val="0000FF"/>
        </w:rPr>
        <w:t>；</w:t>
      </w:r>
      <w:r w:rsidRPr="004C59BB">
        <w:rPr>
          <w:color w:val="0000FF"/>
        </w:rPr>
        <w:t>耶罗尼莫</w:t>
      </w:r>
      <w:r w:rsidRPr="004C59BB">
        <w:rPr>
          <w:color w:val="0000FF"/>
          <w:lang w:val="ru-RU"/>
        </w:rPr>
        <w:t>《</w:t>
      </w:r>
      <w:r w:rsidRPr="004C59BB">
        <w:rPr>
          <w:color w:val="0000FF"/>
        </w:rPr>
        <w:t>反路西弗</w:t>
      </w:r>
      <w:r w:rsidRPr="004C59BB">
        <w:rPr>
          <w:color w:val="0000FF"/>
          <w:lang w:val="ru-RU"/>
        </w:rPr>
        <w:t>》第</w:t>
      </w:r>
      <w:r w:rsidRPr="0097554A">
        <w:rPr>
          <w:color w:val="0000FF"/>
        </w:rPr>
        <w:t>4</w:t>
      </w:r>
      <w:r w:rsidRPr="004C59BB">
        <w:rPr>
          <w:color w:val="0000FF"/>
          <w:lang w:val="ru-RU"/>
        </w:rPr>
        <w:t>章。</w:t>
      </w:r>
      <w:r w:rsidRPr="0097554A">
        <w:rPr>
          <w:color w:val="0000FF"/>
        </w:rPr>
        <w:t xml:space="preserve"> “</w:t>
      </w:r>
      <w:r w:rsidRPr="004C59BB">
        <w:rPr>
          <w:color w:val="0000FF"/>
          <w:lang w:val="ru-RU"/>
        </w:rPr>
        <w:t>伟大的洗礼圣事通过三次浸入以及与之相等的三次呼求来完成</w:t>
      </w:r>
      <w:r w:rsidRPr="0097554A">
        <w:rPr>
          <w:color w:val="0000FF"/>
        </w:rPr>
        <w:t>，</w:t>
      </w:r>
      <w:r w:rsidRPr="004C59BB">
        <w:rPr>
          <w:color w:val="0000FF"/>
          <w:lang w:val="ru-RU"/>
        </w:rPr>
        <w:t>以便死亡的形象印刻在我们心中</w:t>
      </w:r>
      <w:r w:rsidRPr="0097554A">
        <w:rPr>
          <w:color w:val="0000FF"/>
        </w:rPr>
        <w:t>，</w:t>
      </w:r>
      <w:r w:rsidRPr="004C59BB">
        <w:rPr>
          <w:color w:val="0000FF"/>
          <w:lang w:val="ru-RU"/>
        </w:rPr>
        <w:t>受洗者的灵魂也能通过传授给他们的神学知识而得到启迪</w:t>
      </w:r>
      <w:r w:rsidRPr="0097554A">
        <w:rPr>
          <w:color w:val="0000FF"/>
        </w:rPr>
        <w:t>（</w:t>
      </w:r>
      <w:r w:rsidRPr="004C59BB">
        <w:rPr>
          <w:color w:val="0000FF"/>
          <w:lang w:val="ru-RU"/>
        </w:rPr>
        <w:t>大巴西勒《论圣灵》第</w:t>
      </w:r>
      <w:r w:rsidRPr="0097554A">
        <w:rPr>
          <w:color w:val="0000FF"/>
        </w:rPr>
        <w:t>15</w:t>
      </w:r>
      <w:r w:rsidRPr="004C59BB">
        <w:rPr>
          <w:color w:val="0000FF"/>
          <w:lang w:val="ru-RU"/>
        </w:rPr>
        <w:t>章</w:t>
      </w:r>
      <w:r w:rsidRPr="0097554A">
        <w:rPr>
          <w:color w:val="0000FF"/>
        </w:rPr>
        <w:t>，</w:t>
      </w:r>
      <w:r w:rsidRPr="004C59BB">
        <w:rPr>
          <w:color w:val="0000FF"/>
          <w:lang w:val="ru-RU"/>
        </w:rPr>
        <w:t>载于《圣教父著作集》</w:t>
      </w:r>
      <w:r w:rsidRPr="004C59BB">
        <w:rPr>
          <w:color w:val="0000FF"/>
        </w:rPr>
        <w:t>第八卷</w:t>
      </w:r>
      <w:r w:rsidRPr="0097554A">
        <w:rPr>
          <w:color w:val="0000FF"/>
        </w:rPr>
        <w:t>，284</w:t>
      </w:r>
      <w:r w:rsidRPr="004C59BB">
        <w:rPr>
          <w:color w:val="0000FF"/>
          <w:lang w:val="ru-RU"/>
        </w:rPr>
        <w:t>页</w:t>
      </w:r>
      <w:r w:rsidRPr="0097554A">
        <w:rPr>
          <w:color w:val="0000FF"/>
        </w:rPr>
        <w:t xml:space="preserve">； </w:t>
      </w:r>
      <w:r w:rsidRPr="004C59BB">
        <w:rPr>
          <w:color w:val="0000FF"/>
          <w:lang w:val="ru-RU"/>
        </w:rPr>
        <w:t>已删除章节</w:t>
      </w:r>
      <w:r w:rsidRPr="0097554A">
        <w:rPr>
          <w:color w:val="0000FF"/>
        </w:rPr>
        <w:t>，</w:t>
      </w:r>
      <w:r w:rsidRPr="004C59BB">
        <w:rPr>
          <w:color w:val="0000FF"/>
          <w:lang w:val="ru-RU"/>
        </w:rPr>
        <w:t>第</w:t>
      </w:r>
      <w:r w:rsidRPr="0097554A">
        <w:rPr>
          <w:color w:val="0000FF"/>
        </w:rPr>
        <w:t>333</w:t>
      </w:r>
      <w:r w:rsidRPr="004C59BB">
        <w:rPr>
          <w:color w:val="0000FF"/>
          <w:lang w:val="ru-RU"/>
        </w:rPr>
        <w:t>页</w:t>
      </w:r>
      <w:r w:rsidRPr="0097554A">
        <w:rPr>
          <w:color w:val="0000FF"/>
        </w:rPr>
        <w:t>）</w:t>
      </w:r>
      <w:r w:rsidRPr="004C59BB">
        <w:rPr>
          <w:color w:val="0000FF"/>
          <w:lang w:val="ru-RU"/>
        </w:rPr>
        <w:t>。</w:t>
      </w:r>
    </w:p>
  </w:footnote>
  <w:footnote w:id="899">
    <w:p w14:paraId="38062C32" w14:textId="77FE3D7C"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基里尔</w:t>
      </w:r>
      <w:r w:rsidRPr="0097554A">
        <w:rPr>
          <w:color w:val="0000FF"/>
        </w:rPr>
        <w:t>·</w:t>
      </w:r>
      <w:r w:rsidRPr="004C59BB">
        <w:rPr>
          <w:color w:val="0000FF"/>
          <w:lang w:val="ru-RU"/>
        </w:rPr>
        <w:t>耶路撒冷</w:t>
      </w:r>
      <w:r w:rsidRPr="0097554A">
        <w:rPr>
          <w:color w:val="0000FF"/>
        </w:rPr>
        <w:t>，</w:t>
      </w:r>
      <w:r w:rsidRPr="004C59BB">
        <w:rPr>
          <w:color w:val="0000FF"/>
          <w:lang w:val="ru-RU"/>
        </w:rPr>
        <w:t>《关于圣礼的教导》</w:t>
      </w:r>
      <w:r w:rsidRPr="004C59BB">
        <w:rPr>
          <w:color w:val="0000FF"/>
        </w:rPr>
        <w:t>第二</w:t>
      </w:r>
      <w:r w:rsidRPr="004C59BB">
        <w:rPr>
          <w:color w:val="0000FF"/>
          <w:lang w:val="ru-RU"/>
        </w:rPr>
        <w:t>卷</w:t>
      </w:r>
      <w:r w:rsidRPr="0097554A">
        <w:rPr>
          <w:color w:val="0000FF"/>
        </w:rPr>
        <w:t>，</w:t>
      </w:r>
      <w:r w:rsidRPr="004C59BB">
        <w:rPr>
          <w:color w:val="0000FF"/>
          <w:lang w:val="ru-RU"/>
        </w:rPr>
        <w:t>第</w:t>
      </w:r>
      <w:r w:rsidRPr="0097554A">
        <w:rPr>
          <w:color w:val="0000FF"/>
        </w:rPr>
        <w:t>4</w:t>
      </w:r>
      <w:r w:rsidRPr="004C59BB">
        <w:rPr>
          <w:color w:val="0000FF"/>
          <w:lang w:val="ru-RU"/>
        </w:rPr>
        <w:t>节</w:t>
      </w:r>
      <w:r w:rsidRPr="0097554A">
        <w:rPr>
          <w:color w:val="0000FF"/>
        </w:rPr>
        <w:t>，</w:t>
      </w:r>
      <w:r w:rsidRPr="004C59BB">
        <w:rPr>
          <w:color w:val="0000FF"/>
          <w:lang w:val="ru-RU"/>
        </w:rPr>
        <w:t>第</w:t>
      </w:r>
      <w:r w:rsidRPr="0097554A">
        <w:rPr>
          <w:color w:val="0000FF"/>
        </w:rPr>
        <w:t>446</w:t>
      </w:r>
      <w:r w:rsidRPr="004C59BB">
        <w:rPr>
          <w:color w:val="0000FF"/>
          <w:lang w:val="ru-RU"/>
        </w:rPr>
        <w:t>页</w:t>
      </w:r>
      <w:r w:rsidRPr="0097554A">
        <w:rPr>
          <w:color w:val="0000FF"/>
        </w:rPr>
        <w:t>；</w:t>
      </w:r>
      <w:r w:rsidRPr="004C59BB">
        <w:rPr>
          <w:color w:val="0000FF"/>
          <w:lang w:val="ru-RU"/>
        </w:rPr>
        <w:t>格雷戈里</w:t>
      </w:r>
      <w:r w:rsidRPr="004C59BB">
        <w:rPr>
          <w:color w:val="0000FF"/>
        </w:rPr>
        <w:t>·尼西阿斯，《论基督的洗礼》，载于《圣教父著作集》第三卷，第327页（莫雷尔版）；《教理问答》第XXXV章；利奥，《致西西里主教书》第3章。</w:t>
      </w:r>
    </w:p>
  </w:footnote>
  <w:footnote w:id="900">
    <w:p w14:paraId="6E1006C1" w14:textId="1C3592BE"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埃夫诺米安派仅以一次浸礼为受洗礼者施洗</w:t>
      </w:r>
      <w:r w:rsidRPr="0097554A">
        <w:rPr>
          <w:color w:val="0000FF"/>
        </w:rPr>
        <w:t>，</w:t>
      </w:r>
      <w:r w:rsidRPr="004C59BB">
        <w:rPr>
          <w:color w:val="0000FF"/>
          <w:lang w:val="ru-RU"/>
        </w:rPr>
        <w:t>将其归入蒙塔诺派</w:t>
      </w:r>
      <w:r w:rsidRPr="0097554A">
        <w:rPr>
          <w:color w:val="0000FF"/>
        </w:rPr>
        <w:t>……</w:t>
      </w:r>
      <w:r w:rsidRPr="004C59BB">
        <w:rPr>
          <w:color w:val="0000FF"/>
          <w:lang w:val="ru-RU"/>
        </w:rPr>
        <w:t>其中那些希望加入正统教义者</w:t>
      </w:r>
      <w:r w:rsidRPr="0097554A">
        <w:rPr>
          <w:color w:val="0000FF"/>
        </w:rPr>
        <w:t>，</w:t>
      </w:r>
      <w:r w:rsidRPr="004C59BB">
        <w:rPr>
          <w:color w:val="0000FF"/>
          <w:lang w:val="ru-RU"/>
        </w:rPr>
        <w:t>他将其接纳</w:t>
      </w:r>
      <w:r w:rsidRPr="0097554A">
        <w:rPr>
          <w:color w:val="0000FF"/>
        </w:rPr>
        <w:t>，</w:t>
      </w:r>
      <w:r w:rsidRPr="004C59BB">
        <w:rPr>
          <w:color w:val="0000FF"/>
          <w:lang w:val="ru-RU"/>
        </w:rPr>
        <w:t>如同接纳异教徒一般。（</w:t>
      </w:r>
      <w:r w:rsidRPr="004C59BB">
        <w:rPr>
          <w:color w:val="0000FF"/>
        </w:rPr>
        <w:t>第二次</w:t>
      </w:r>
      <w:r w:rsidRPr="004C59BB">
        <w:rPr>
          <w:color w:val="0000FF"/>
          <w:lang w:val="ru-RU"/>
        </w:rPr>
        <w:t>大公会议，第7条）。</w:t>
      </w:r>
    </w:p>
  </w:footnote>
  <w:footnote w:id="901">
    <w:p w14:paraId="4F52F283" w14:textId="2BDF1018"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卡巴苏特</w:t>
      </w:r>
      <w:r w:rsidRPr="0097554A">
        <w:rPr>
          <w:color w:val="0000FF"/>
          <w:lang w:val="ru-RU"/>
        </w:rPr>
        <w:t>（</w:t>
      </w:r>
      <w:r w:rsidRPr="004C59BB">
        <w:rPr>
          <w:color w:val="0000FF"/>
        </w:rPr>
        <w:t>Cabassut</w:t>
      </w:r>
      <w:r w:rsidRPr="004C59BB">
        <w:rPr>
          <w:color w:val="0000FF"/>
          <w:lang w:val="ru-RU"/>
        </w:rPr>
        <w:t>），</w:t>
      </w:r>
      <w:r w:rsidRPr="004C59BB">
        <w:rPr>
          <w:color w:val="0000FF"/>
        </w:rPr>
        <w:t>《教义概要</w:t>
      </w:r>
      <w:r w:rsidRPr="004C59BB">
        <w:rPr>
          <w:color w:val="0000FF"/>
          <w:lang w:val="ru-RU"/>
        </w:rPr>
        <w:t>》（</w:t>
      </w:r>
      <w:r w:rsidRPr="004C59BB">
        <w:rPr>
          <w:color w:val="0000FF"/>
        </w:rPr>
        <w:t>Synops</w:t>
      </w:r>
      <w:r w:rsidRPr="004C59BB">
        <w:rPr>
          <w:color w:val="0000FF"/>
          <w:lang w:val="ru-RU"/>
        </w:rPr>
        <w:t>. Concil.）</w:t>
      </w:r>
      <w:r w:rsidRPr="004C59BB">
        <w:rPr>
          <w:color w:val="0000FF"/>
        </w:rPr>
        <w:t>第三卷</w:t>
      </w:r>
      <w:r w:rsidRPr="004C59BB">
        <w:rPr>
          <w:color w:val="0000FF"/>
          <w:lang w:val="ru-RU"/>
        </w:rPr>
        <w:t>，第331页，</w:t>
      </w:r>
      <w:r w:rsidRPr="004C59BB">
        <w:rPr>
          <w:color w:val="0000FF"/>
        </w:rPr>
        <w:t>巴黎</w:t>
      </w:r>
      <w:r w:rsidRPr="004C59BB">
        <w:rPr>
          <w:color w:val="0000FF"/>
          <w:lang w:val="ru-RU"/>
        </w:rPr>
        <w:t>，</w:t>
      </w:r>
      <w:r w:rsidRPr="0097554A">
        <w:rPr>
          <w:color w:val="0000FF"/>
          <w:lang w:val="ru-RU"/>
        </w:rPr>
        <w:t>1838</w:t>
      </w:r>
      <w:r w:rsidRPr="004C59BB">
        <w:rPr>
          <w:color w:val="0000FF"/>
        </w:rPr>
        <w:t>年</w:t>
      </w:r>
      <w:r w:rsidRPr="0097554A">
        <w:rPr>
          <w:color w:val="0000FF"/>
          <w:lang w:val="ru-RU"/>
        </w:rPr>
        <w:t>；</w:t>
      </w:r>
      <w:r w:rsidRPr="004C59BB">
        <w:rPr>
          <w:color w:val="0000FF"/>
        </w:rPr>
        <w:t>克莱</w:t>
      </w:r>
      <w:r w:rsidRPr="0097554A">
        <w:rPr>
          <w:color w:val="0000FF"/>
          <w:lang w:val="ru-RU"/>
        </w:rPr>
        <w:t>（</w:t>
      </w:r>
      <w:r w:rsidRPr="004C59BB">
        <w:rPr>
          <w:color w:val="0000FF"/>
        </w:rPr>
        <w:t>Klee</w:t>
      </w:r>
      <w:r w:rsidRPr="0097554A">
        <w:rPr>
          <w:color w:val="0000FF"/>
          <w:lang w:val="ru-RU"/>
        </w:rPr>
        <w:t>），</w:t>
      </w:r>
      <w:r w:rsidRPr="004C59BB">
        <w:rPr>
          <w:color w:val="0000FF"/>
        </w:rPr>
        <w:t>《天主教教义学》</w:t>
      </w:r>
      <w:r w:rsidRPr="0097554A">
        <w:rPr>
          <w:color w:val="0000FF"/>
          <w:lang w:val="ru-RU"/>
        </w:rPr>
        <w:t>（</w:t>
      </w:r>
      <w:r w:rsidRPr="004C59BB">
        <w:rPr>
          <w:color w:val="0000FF"/>
        </w:rPr>
        <w:t>Kathol</w:t>
      </w:r>
      <w:r w:rsidRPr="0097554A">
        <w:rPr>
          <w:color w:val="0000FF"/>
          <w:lang w:val="ru-RU"/>
        </w:rPr>
        <w:t xml:space="preserve">. </w:t>
      </w:r>
      <w:r w:rsidRPr="004C59BB">
        <w:rPr>
          <w:color w:val="0000FF"/>
        </w:rPr>
        <w:t>Dogmat</w:t>
      </w:r>
      <w:r w:rsidRPr="0097554A">
        <w:rPr>
          <w:color w:val="0000FF"/>
          <w:lang w:val="ru-RU"/>
        </w:rPr>
        <w:t>.）</w:t>
      </w:r>
      <w:r w:rsidRPr="004C59BB">
        <w:rPr>
          <w:color w:val="0000FF"/>
        </w:rPr>
        <w:t>第三卷</w:t>
      </w:r>
      <w:r w:rsidRPr="0097554A">
        <w:rPr>
          <w:color w:val="0000FF"/>
          <w:lang w:val="ru-RU"/>
        </w:rPr>
        <w:t>，</w:t>
      </w:r>
      <w:r w:rsidRPr="004C59BB">
        <w:rPr>
          <w:color w:val="0000FF"/>
        </w:rPr>
        <w:t>第</w:t>
      </w:r>
      <w:r w:rsidRPr="0097554A">
        <w:rPr>
          <w:color w:val="0000FF"/>
          <w:lang w:val="ru-RU"/>
        </w:rPr>
        <w:t>5</w:t>
      </w:r>
      <w:r w:rsidRPr="004C59BB">
        <w:rPr>
          <w:color w:val="0000FF"/>
        </w:rPr>
        <w:t>章</w:t>
      </w:r>
      <w:r w:rsidRPr="0097554A">
        <w:rPr>
          <w:color w:val="0000FF"/>
          <w:lang w:val="ru-RU"/>
        </w:rPr>
        <w:t>，</w:t>
      </w:r>
      <w:r w:rsidRPr="004C59BB">
        <w:rPr>
          <w:color w:val="0000FF"/>
        </w:rPr>
        <w:t>第</w:t>
      </w:r>
      <w:r w:rsidRPr="0097554A">
        <w:rPr>
          <w:color w:val="0000FF"/>
          <w:lang w:val="ru-RU"/>
        </w:rPr>
        <w:t>128</w:t>
      </w:r>
      <w:r w:rsidRPr="004C59BB">
        <w:rPr>
          <w:color w:val="0000FF"/>
        </w:rPr>
        <w:t>页</w:t>
      </w:r>
      <w:r w:rsidRPr="0097554A">
        <w:rPr>
          <w:color w:val="0000FF"/>
          <w:lang w:val="ru-RU"/>
        </w:rPr>
        <w:t>，</w:t>
      </w:r>
      <w:r w:rsidRPr="004C59BB">
        <w:rPr>
          <w:color w:val="0000FF"/>
        </w:rPr>
        <w:t>美因茨</w:t>
      </w:r>
      <w:r w:rsidRPr="0097554A">
        <w:rPr>
          <w:color w:val="0000FF"/>
          <w:lang w:val="ru-RU"/>
        </w:rPr>
        <w:t>，1845</w:t>
      </w:r>
      <w:r w:rsidRPr="004C59BB">
        <w:rPr>
          <w:color w:val="0000FF"/>
        </w:rPr>
        <w:t>年</w:t>
      </w:r>
      <w:r w:rsidRPr="0097554A">
        <w:rPr>
          <w:color w:val="0000FF"/>
          <w:lang w:val="ru-RU"/>
        </w:rPr>
        <w:t>；</w:t>
      </w:r>
      <w:r w:rsidRPr="004C59BB">
        <w:rPr>
          <w:color w:val="0000FF"/>
        </w:rPr>
        <w:t>《基督教教义史手册》</w:t>
      </w:r>
      <w:r w:rsidRPr="0097554A">
        <w:rPr>
          <w:color w:val="0000FF"/>
          <w:lang w:val="ru-RU"/>
        </w:rPr>
        <w:t>（</w:t>
      </w:r>
      <w:r w:rsidRPr="004C59BB">
        <w:rPr>
          <w:color w:val="0000FF"/>
        </w:rPr>
        <w:t>Manuel</w:t>
      </w:r>
      <w:r w:rsidRPr="0097554A">
        <w:rPr>
          <w:color w:val="0000FF"/>
          <w:lang w:val="ru-RU"/>
        </w:rPr>
        <w:t xml:space="preserve"> </w:t>
      </w:r>
      <w:r w:rsidRPr="004C59BB">
        <w:rPr>
          <w:color w:val="0000FF"/>
        </w:rPr>
        <w:t>de</w:t>
      </w:r>
      <w:r w:rsidRPr="0097554A">
        <w:rPr>
          <w:color w:val="0000FF"/>
          <w:lang w:val="ru-RU"/>
        </w:rPr>
        <w:t xml:space="preserve"> </w:t>
      </w:r>
      <w:r w:rsidRPr="004C59BB">
        <w:rPr>
          <w:color w:val="0000FF"/>
        </w:rPr>
        <w:t>l</w:t>
      </w:r>
      <w:r w:rsidRPr="0097554A">
        <w:rPr>
          <w:color w:val="0000FF"/>
          <w:lang w:val="ru-RU"/>
        </w:rPr>
        <w:t>’</w:t>
      </w:r>
      <w:r w:rsidRPr="004C59BB">
        <w:rPr>
          <w:color w:val="0000FF"/>
        </w:rPr>
        <w:t>hist</w:t>
      </w:r>
      <w:r w:rsidRPr="0097554A">
        <w:rPr>
          <w:color w:val="0000FF"/>
          <w:lang w:val="ru-RU"/>
        </w:rPr>
        <w:t xml:space="preserve">. </w:t>
      </w:r>
      <w:r w:rsidRPr="004C59BB">
        <w:rPr>
          <w:color w:val="0000FF"/>
        </w:rPr>
        <w:t>des</w:t>
      </w:r>
      <w:r w:rsidRPr="0097554A">
        <w:rPr>
          <w:color w:val="0000FF"/>
          <w:lang w:val="ru-RU"/>
        </w:rPr>
        <w:t xml:space="preserve"> </w:t>
      </w:r>
      <w:r w:rsidRPr="004C59BB">
        <w:rPr>
          <w:color w:val="0000FF"/>
        </w:rPr>
        <w:t>dogm</w:t>
      </w:r>
      <w:r w:rsidRPr="0097554A">
        <w:rPr>
          <w:color w:val="0000FF"/>
          <w:lang w:val="ru-RU"/>
        </w:rPr>
        <w:t xml:space="preserve">. </w:t>
      </w:r>
      <w:r w:rsidRPr="004C59BB">
        <w:rPr>
          <w:color w:val="0000FF"/>
        </w:rPr>
        <w:t>chr</w:t>
      </w:r>
      <w:r w:rsidRPr="0097554A">
        <w:rPr>
          <w:color w:val="0000FF"/>
          <w:lang w:val="ru-RU"/>
        </w:rPr>
        <w:t>é</w:t>
      </w:r>
      <w:r w:rsidRPr="004C59BB">
        <w:rPr>
          <w:color w:val="0000FF"/>
        </w:rPr>
        <w:t>ts</w:t>
      </w:r>
      <w:r w:rsidRPr="0097554A">
        <w:rPr>
          <w:color w:val="0000FF"/>
          <w:lang w:val="ru-RU"/>
        </w:rPr>
        <w:t>.）</w:t>
      </w:r>
      <w:r w:rsidRPr="004C59BB">
        <w:rPr>
          <w:color w:val="0000FF"/>
        </w:rPr>
        <w:t>第二卷</w:t>
      </w:r>
      <w:r w:rsidRPr="0097554A">
        <w:rPr>
          <w:color w:val="0000FF"/>
          <w:lang w:val="ru-RU"/>
        </w:rPr>
        <w:t>，</w:t>
      </w:r>
      <w:r w:rsidRPr="004C59BB">
        <w:rPr>
          <w:color w:val="0000FF"/>
        </w:rPr>
        <w:t>第</w:t>
      </w:r>
      <w:r w:rsidRPr="0097554A">
        <w:rPr>
          <w:color w:val="0000FF"/>
          <w:lang w:val="ru-RU"/>
        </w:rPr>
        <w:t>209</w:t>
      </w:r>
      <w:r w:rsidRPr="004C59BB">
        <w:rPr>
          <w:color w:val="0000FF"/>
        </w:rPr>
        <w:t>页</w:t>
      </w:r>
      <w:r w:rsidRPr="0097554A">
        <w:rPr>
          <w:color w:val="0000FF"/>
          <w:lang w:val="ru-RU"/>
        </w:rPr>
        <w:t>，</w:t>
      </w:r>
      <w:r w:rsidRPr="004C59BB">
        <w:rPr>
          <w:color w:val="0000FF"/>
        </w:rPr>
        <w:t>巴黎</w:t>
      </w:r>
      <w:r w:rsidRPr="0097554A">
        <w:rPr>
          <w:color w:val="0000FF"/>
          <w:lang w:val="ru-RU"/>
        </w:rPr>
        <w:t>，1848</w:t>
      </w:r>
      <w:r w:rsidRPr="004C59BB">
        <w:rPr>
          <w:color w:val="0000FF"/>
        </w:rPr>
        <w:t>年。</w:t>
      </w:r>
    </w:p>
  </w:footnote>
  <w:footnote w:id="902">
    <w:p w14:paraId="311A77A6" w14:textId="0ED2AF4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《论教会层级》第II章</w:t>
      </w:r>
      <w:r w:rsidRPr="0097554A">
        <w:rPr>
          <w:color w:val="0000FF"/>
          <w:lang w:val="ru-RU"/>
        </w:rPr>
        <w:t>，</w:t>
      </w:r>
      <w:r w:rsidRPr="004C59BB">
        <w:rPr>
          <w:color w:val="0000FF"/>
        </w:rPr>
        <w:t>第</w:t>
      </w:r>
      <w:r w:rsidRPr="0097554A">
        <w:rPr>
          <w:color w:val="0000FF"/>
          <w:lang w:val="ru-RU"/>
        </w:rPr>
        <w:t>7</w:t>
      </w:r>
      <w:r w:rsidRPr="004C59BB">
        <w:rPr>
          <w:color w:val="0000FF"/>
        </w:rPr>
        <w:t>节。</w:t>
      </w:r>
    </w:p>
  </w:footnote>
  <w:footnote w:id="903">
    <w:p w14:paraId="637D5C35" w14:textId="157AD381"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我们并非只受洗一次</w:t>
      </w:r>
      <w:r w:rsidRPr="0097554A">
        <w:rPr>
          <w:color w:val="0000FF"/>
          <w:lang w:val="ru-RU"/>
        </w:rPr>
        <w:t>，</w:t>
      </w:r>
      <w:r w:rsidRPr="004C59BB">
        <w:rPr>
          <w:color w:val="0000FF"/>
        </w:rPr>
        <w:t>而是三次</w:t>
      </w:r>
      <w:r w:rsidRPr="0097554A">
        <w:rPr>
          <w:color w:val="0000FF"/>
          <w:lang w:val="ru-RU"/>
        </w:rPr>
        <w:t>，</w:t>
      </w:r>
      <w:r w:rsidRPr="004C59BB">
        <w:rPr>
          <w:color w:val="0000FF"/>
        </w:rPr>
        <w:t>以使每个名字都与每位圣位相契合</w:t>
      </w:r>
      <w:r w:rsidRPr="0097554A">
        <w:rPr>
          <w:color w:val="0000FF"/>
          <w:lang w:val="ru-RU"/>
        </w:rPr>
        <w:t>”（</w:t>
      </w:r>
      <w:r w:rsidRPr="004C59BB">
        <w:rPr>
          <w:color w:val="0000FF"/>
        </w:rPr>
        <w:t>《反普拉克斯》第XXVI章</w:t>
      </w:r>
      <w:r w:rsidRPr="0097554A">
        <w:rPr>
          <w:color w:val="0000FF"/>
          <w:lang w:val="ru-RU"/>
        </w:rPr>
        <w:t>）</w:t>
      </w:r>
      <w:r w:rsidRPr="004C59BB">
        <w:rPr>
          <w:color w:val="0000FF"/>
        </w:rPr>
        <w:t>。“当我们将要进入水中的时候……要浸入三次……”（《论战士的冠冕》第III章）。参见上文注释878。</w:t>
      </w:r>
    </w:p>
  </w:footnote>
  <w:footnote w:id="904">
    <w:p w14:paraId="2108AB78" w14:textId="437F7A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参见上文注898。</w:t>
      </w:r>
    </w:p>
  </w:footnote>
  <w:footnote w:id="905">
    <w:p w14:paraId="44CE0620" w14:textId="34F1E9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格雷戈里·尼西阿斯，《教理讲道集》第XXXV章。</w:t>
      </w:r>
    </w:p>
  </w:footnote>
  <w:footnote w:id="906">
    <w:p w14:paraId="3D324119" w14:textId="327DBD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特土良，《论忏悔》第六章；优西比乌，《教会史》第六卷，第43章；奥古斯丁，《约翰福音讲道集》第八十篇。</w:t>
      </w:r>
    </w:p>
  </w:footnote>
  <w:footnote w:id="907">
    <w:p w14:paraId="6FDE114B" w14:textId="16C719DA"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没有人应该对此感到惊讶，即病人在领受主祷文恩典时，看似被洒水或浇水，因为圣经通过以西结先知如此说：“我要将洁净的水洒在你们身上，你们就从一切污秽中洁净了……” 由此可见，洒水亦能如同救赎的洗礼一样发挥功效……《书信集》第LXXVI封</w:t>
      </w:r>
      <w:r w:rsidRPr="004C59BB">
        <w:rPr>
          <w:color w:val="0000FF"/>
          <w:lang w:val="ru-RU"/>
        </w:rPr>
        <w:t>。</w:t>
      </w:r>
    </w:p>
  </w:footnote>
  <w:footnote w:id="908">
    <w:p w14:paraId="222557FF" w14:textId="0F5FE81D"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参见著作</w:t>
      </w:r>
      <w:r w:rsidRPr="0097554A">
        <w:rPr>
          <w:color w:val="0000FF"/>
        </w:rPr>
        <w:t>：</w:t>
      </w:r>
      <w:r w:rsidRPr="004C59BB">
        <w:rPr>
          <w:color w:val="0000FF"/>
          <w:lang w:val="ru-RU"/>
        </w:rPr>
        <w:t>《为受洗者以浇灌式洗礼的基督徒辩护》</w:t>
      </w:r>
      <w:r w:rsidRPr="0097554A">
        <w:rPr>
          <w:color w:val="0000FF"/>
        </w:rPr>
        <w:t>，1701</w:t>
      </w:r>
      <w:r w:rsidRPr="004C59BB">
        <w:rPr>
          <w:color w:val="0000FF"/>
          <w:lang w:val="ru-RU"/>
        </w:rPr>
        <w:t>年出版。</w:t>
      </w:r>
    </w:p>
  </w:footnote>
  <w:footnote w:id="909">
    <w:p w14:paraId="054D3560" w14:textId="62E85A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参见注释889、898、903。</w:t>
      </w:r>
    </w:p>
  </w:footnote>
  <w:footnote w:id="910">
    <w:p w14:paraId="4EB607C3" w14:textId="3289A3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《论原则》第3章，第2节。</w:t>
      </w:r>
    </w:p>
  </w:footnote>
  <w:footnote w:id="911">
    <w:p w14:paraId="54B8D850" w14:textId="1DCCB2C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……在圆满且合一的圣三一中受洗。《致朱巴伊书》第LXXIII封。</w:t>
      </w:r>
    </w:p>
  </w:footnote>
  <w:footnote w:id="912">
    <w:p w14:paraId="32353A02" w14:textId="364436E9"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《致塞拉皮姆书》</w:t>
      </w:r>
      <w:r w:rsidRPr="0097554A">
        <w:rPr>
          <w:color w:val="0000FF"/>
        </w:rPr>
        <w:t>1，</w:t>
      </w:r>
      <w:r w:rsidRPr="004C59BB">
        <w:rPr>
          <w:color w:val="0000FF"/>
          <w:lang w:val="ru-RU"/>
        </w:rPr>
        <w:t>第</w:t>
      </w:r>
      <w:r w:rsidRPr="0097554A">
        <w:rPr>
          <w:color w:val="0000FF"/>
        </w:rPr>
        <w:t>30</w:t>
      </w:r>
      <w:r w:rsidRPr="004C59BB">
        <w:rPr>
          <w:color w:val="0000FF"/>
          <w:lang w:val="ru-RU"/>
        </w:rPr>
        <w:t>节。</w:t>
      </w:r>
    </w:p>
  </w:footnote>
  <w:footnote w:id="913">
    <w:p w14:paraId="18B36CCF" w14:textId="422423FB"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《论圣灵》</w:t>
      </w:r>
      <w:r w:rsidRPr="0097554A">
        <w:rPr>
          <w:color w:val="0000FF"/>
        </w:rPr>
        <w:t>，</w:t>
      </w:r>
      <w:r w:rsidRPr="004C59BB">
        <w:rPr>
          <w:color w:val="0000FF"/>
          <w:lang w:val="ru-RU"/>
        </w:rPr>
        <w:t>第</w:t>
      </w:r>
      <w:r w:rsidRPr="0097554A">
        <w:rPr>
          <w:color w:val="0000FF"/>
        </w:rPr>
        <w:t>19</w:t>
      </w:r>
      <w:r w:rsidRPr="004C59BB">
        <w:rPr>
          <w:color w:val="0000FF"/>
          <w:lang w:val="ru-RU"/>
        </w:rPr>
        <w:t>章</w:t>
      </w:r>
      <w:r w:rsidRPr="0097554A">
        <w:rPr>
          <w:color w:val="0000FF"/>
        </w:rPr>
        <w:t>，</w:t>
      </w:r>
      <w:r w:rsidRPr="004C59BB">
        <w:rPr>
          <w:color w:val="0000FF"/>
          <w:lang w:val="ru-RU"/>
        </w:rPr>
        <w:t>载于《教父著作集》</w:t>
      </w:r>
      <w:r w:rsidRPr="004C59BB">
        <w:rPr>
          <w:color w:val="0000FF"/>
        </w:rPr>
        <w:t>第七卷</w:t>
      </w:r>
      <w:r w:rsidRPr="0097554A">
        <w:rPr>
          <w:color w:val="0000FF"/>
        </w:rPr>
        <w:t>，</w:t>
      </w:r>
      <w:r w:rsidRPr="004C59BB">
        <w:rPr>
          <w:color w:val="0000FF"/>
          <w:lang w:val="ru-RU"/>
        </w:rPr>
        <w:t>第</w:t>
      </w:r>
      <w:r w:rsidRPr="0097554A">
        <w:rPr>
          <w:color w:val="0000FF"/>
        </w:rPr>
        <w:t>273</w:t>
      </w:r>
      <w:r w:rsidRPr="004C59BB">
        <w:rPr>
          <w:color w:val="0000FF"/>
          <w:lang w:val="ru-RU"/>
        </w:rPr>
        <w:t>页。参见注释898。</w:t>
      </w:r>
    </w:p>
  </w:footnote>
  <w:footnote w:id="914">
    <w:p w14:paraId="3D009E0F" w14:textId="033A2A84"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格雷戈里</w:t>
      </w:r>
      <w:r w:rsidRPr="0097554A">
        <w:rPr>
          <w:color w:val="0000FF"/>
          <w:lang w:val="ru-RU"/>
        </w:rPr>
        <w:t>·</w:t>
      </w:r>
      <w:r w:rsidRPr="004C59BB">
        <w:rPr>
          <w:color w:val="0000FF"/>
        </w:rPr>
        <w:t>尼西阿斯</w:t>
      </w:r>
      <w:r w:rsidRPr="0097554A">
        <w:rPr>
          <w:color w:val="0000FF"/>
          <w:lang w:val="ru-RU"/>
        </w:rPr>
        <w:t>，</w:t>
      </w:r>
      <w:r w:rsidRPr="004C59BB">
        <w:rPr>
          <w:color w:val="0000FF"/>
        </w:rPr>
        <w:t>《论尤诺米乌斯》第二篇</w:t>
      </w:r>
      <w:r w:rsidRPr="0097554A">
        <w:rPr>
          <w:color w:val="0000FF"/>
          <w:lang w:val="ru-RU"/>
        </w:rPr>
        <w:t>，</w:t>
      </w:r>
      <w:r w:rsidRPr="004C59BB">
        <w:rPr>
          <w:color w:val="0000FF"/>
        </w:rPr>
        <w:t>第二卷</w:t>
      </w:r>
      <w:r w:rsidRPr="0097554A">
        <w:rPr>
          <w:color w:val="0000FF"/>
          <w:lang w:val="ru-RU"/>
        </w:rPr>
        <w:t>，</w:t>
      </w:r>
      <w:r w:rsidRPr="004C59BB">
        <w:rPr>
          <w:color w:val="0000FF"/>
        </w:rPr>
        <w:t>第</w:t>
      </w:r>
      <w:r w:rsidRPr="0097554A">
        <w:rPr>
          <w:color w:val="0000FF"/>
          <w:lang w:val="ru-RU"/>
        </w:rPr>
        <w:t>430</w:t>
      </w:r>
      <w:r w:rsidRPr="004C59BB">
        <w:rPr>
          <w:color w:val="0000FF"/>
        </w:rPr>
        <w:t>页</w:t>
      </w:r>
      <w:r w:rsidRPr="0097554A">
        <w:rPr>
          <w:color w:val="0000FF"/>
          <w:lang w:val="ru-RU"/>
        </w:rPr>
        <w:t>，</w:t>
      </w:r>
      <w:r w:rsidRPr="004C59BB">
        <w:rPr>
          <w:color w:val="0000FF"/>
        </w:rPr>
        <w:t>莫雷尔版</w:t>
      </w:r>
      <w:r w:rsidRPr="0097554A">
        <w:rPr>
          <w:color w:val="0000FF"/>
          <w:lang w:val="ru-RU"/>
        </w:rPr>
        <w:t>；</w:t>
      </w:r>
      <w:r w:rsidRPr="004C59BB">
        <w:rPr>
          <w:color w:val="0000FF"/>
        </w:rPr>
        <w:t>安布罗斯</w:t>
      </w:r>
      <w:r w:rsidRPr="0097554A">
        <w:rPr>
          <w:color w:val="0000FF"/>
          <w:lang w:val="ru-RU"/>
        </w:rPr>
        <w:t>，</w:t>
      </w:r>
      <w:r w:rsidRPr="004C59BB">
        <w:rPr>
          <w:color w:val="0000FF"/>
        </w:rPr>
        <w:t>《路加福音注》第八章</w:t>
      </w:r>
      <w:r w:rsidRPr="0097554A">
        <w:rPr>
          <w:color w:val="0000FF"/>
          <w:lang w:val="ru-RU"/>
        </w:rPr>
        <w:t>，</w:t>
      </w:r>
      <w:r w:rsidRPr="004C59BB">
        <w:rPr>
          <w:color w:val="0000FF"/>
        </w:rPr>
        <w:t>第</w:t>
      </w:r>
      <w:r w:rsidRPr="0097554A">
        <w:rPr>
          <w:color w:val="0000FF"/>
          <w:lang w:val="ru-RU"/>
        </w:rPr>
        <w:t>67</w:t>
      </w:r>
      <w:r w:rsidRPr="004C59BB">
        <w:rPr>
          <w:color w:val="0000FF"/>
        </w:rPr>
        <w:t>节</w:t>
      </w:r>
      <w:r w:rsidRPr="0097554A">
        <w:rPr>
          <w:color w:val="0000FF"/>
          <w:lang w:val="ru-RU"/>
        </w:rPr>
        <w:t>；</w:t>
      </w:r>
      <w:r w:rsidRPr="004C59BB">
        <w:rPr>
          <w:color w:val="0000FF"/>
        </w:rPr>
        <w:t>《论圣礼》第四篇</w:t>
      </w:r>
      <w:r w:rsidRPr="0097554A">
        <w:rPr>
          <w:color w:val="0000FF"/>
          <w:lang w:val="ru-RU"/>
        </w:rPr>
        <w:t>，</w:t>
      </w:r>
      <w:r w:rsidRPr="004C59BB">
        <w:rPr>
          <w:color w:val="0000FF"/>
        </w:rPr>
        <w:t>第</w:t>
      </w:r>
      <w:r w:rsidRPr="0097554A">
        <w:rPr>
          <w:color w:val="0000FF"/>
          <w:lang w:val="ru-RU"/>
        </w:rPr>
        <w:t>20</w:t>
      </w:r>
      <w:r w:rsidRPr="004C59BB">
        <w:rPr>
          <w:color w:val="0000FF"/>
        </w:rPr>
        <w:t>节</w:t>
      </w:r>
      <w:r w:rsidRPr="0097554A">
        <w:rPr>
          <w:color w:val="0000FF"/>
          <w:lang w:val="ru-RU"/>
        </w:rPr>
        <w:t>；</w:t>
      </w:r>
      <w:r w:rsidRPr="004C59BB">
        <w:rPr>
          <w:color w:val="0000FF"/>
        </w:rPr>
        <w:t>亚历山大的西里尔</w:t>
      </w:r>
      <w:r w:rsidRPr="0097554A">
        <w:rPr>
          <w:color w:val="0000FF"/>
          <w:lang w:val="ru-RU"/>
        </w:rPr>
        <w:t>，</w:t>
      </w:r>
      <w:r w:rsidRPr="004C59BB">
        <w:rPr>
          <w:color w:val="0000FF"/>
        </w:rPr>
        <w:t>《以赛亚书注》第二卷</w:t>
      </w:r>
      <w:r w:rsidRPr="0097554A">
        <w:rPr>
          <w:color w:val="0000FF"/>
          <w:lang w:val="ru-RU"/>
        </w:rPr>
        <w:t>，</w:t>
      </w:r>
      <w:r w:rsidRPr="004C59BB">
        <w:rPr>
          <w:color w:val="0000FF"/>
        </w:rPr>
        <w:t>第四卷</w:t>
      </w:r>
      <w:r w:rsidRPr="0097554A">
        <w:rPr>
          <w:color w:val="0000FF"/>
          <w:lang w:val="ru-RU"/>
        </w:rPr>
        <w:t>，</w:t>
      </w:r>
      <w:r w:rsidRPr="004C59BB">
        <w:rPr>
          <w:color w:val="0000FF"/>
        </w:rPr>
        <w:t>第</w:t>
      </w:r>
      <w:r w:rsidRPr="0097554A">
        <w:rPr>
          <w:color w:val="0000FF"/>
          <w:lang w:val="ru-RU"/>
        </w:rPr>
        <w:t>283</w:t>
      </w:r>
      <w:r w:rsidRPr="004C59BB">
        <w:rPr>
          <w:color w:val="0000FF"/>
        </w:rPr>
        <w:t>页</w:t>
      </w:r>
      <w:r w:rsidRPr="0097554A">
        <w:rPr>
          <w:color w:val="0000FF"/>
          <w:lang w:val="ru-RU"/>
        </w:rPr>
        <w:t>，</w:t>
      </w:r>
      <w:r w:rsidRPr="004C59BB">
        <w:rPr>
          <w:color w:val="0000FF"/>
        </w:rPr>
        <w:t>奥布版。</w:t>
      </w:r>
    </w:p>
  </w:footnote>
  <w:footnote w:id="915">
    <w:p w14:paraId="57FB85F9" w14:textId="6F0EEF5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我们奉圣父、圣子及圣灵之名施洗</w:t>
      </w:r>
      <w:r w:rsidRPr="0097554A">
        <w:rPr>
          <w:color w:val="0000FF"/>
          <w:lang w:val="ru-RU"/>
        </w:rPr>
        <w:t>，</w:t>
      </w:r>
      <w:r w:rsidRPr="004C59BB">
        <w:rPr>
          <w:color w:val="0000FF"/>
        </w:rPr>
        <w:t>并三次浸入水中</w:t>
      </w:r>
      <w:r w:rsidRPr="0097554A">
        <w:rPr>
          <w:color w:val="0000FF"/>
          <w:lang w:val="ru-RU"/>
        </w:rPr>
        <w:t>”（</w:t>
      </w:r>
      <w:r w:rsidRPr="004C59BB">
        <w:rPr>
          <w:color w:val="0000FF"/>
        </w:rPr>
        <w:t>《以弗所书》第IV章</w:t>
      </w:r>
      <w:r w:rsidRPr="0097554A">
        <w:rPr>
          <w:color w:val="0000FF"/>
          <w:lang w:val="ru-RU"/>
        </w:rPr>
        <w:t>）</w:t>
      </w:r>
      <w:r w:rsidRPr="004C59BB">
        <w:rPr>
          <w:color w:val="0000FF"/>
        </w:rPr>
        <w:t>。</w:t>
      </w:r>
    </w:p>
  </w:footnote>
  <w:footnote w:id="916">
    <w:p w14:paraId="314709BA" w14:textId="439764F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福音中的某些话语是确定的</w:t>
      </w:r>
      <w:r w:rsidRPr="0097554A">
        <w:rPr>
          <w:color w:val="0000FF"/>
          <w:lang w:val="ru-RU"/>
        </w:rPr>
        <w:t>，</w:t>
      </w:r>
      <w:r w:rsidRPr="004C59BB">
        <w:rPr>
          <w:color w:val="0000FF"/>
        </w:rPr>
        <w:t>若无这些话语</w:t>
      </w:r>
      <w:r w:rsidRPr="0097554A">
        <w:rPr>
          <w:color w:val="0000FF"/>
          <w:lang w:val="ru-RU"/>
        </w:rPr>
        <w:t>，</w:t>
      </w:r>
      <w:r w:rsidRPr="004C59BB">
        <w:rPr>
          <w:color w:val="0000FF"/>
        </w:rPr>
        <w:t>洗礼便无法成立</w:t>
      </w:r>
      <w:r w:rsidRPr="0097554A">
        <w:rPr>
          <w:color w:val="0000FF"/>
          <w:lang w:val="ru-RU"/>
        </w:rPr>
        <w:t>……”（</w:t>
      </w:r>
      <w:r w:rsidRPr="004C59BB">
        <w:rPr>
          <w:color w:val="0000FF"/>
        </w:rPr>
        <w:t>《论洗礼》第六卷</w:t>
      </w:r>
      <w:r w:rsidRPr="0097554A">
        <w:rPr>
          <w:color w:val="0000FF"/>
          <w:lang w:val="ru-RU"/>
        </w:rPr>
        <w:t>，</w:t>
      </w:r>
      <w:r w:rsidRPr="004C59BB">
        <w:rPr>
          <w:color w:val="0000FF"/>
        </w:rPr>
        <w:t>第</w:t>
      </w:r>
      <w:r w:rsidRPr="0097554A">
        <w:rPr>
          <w:color w:val="0000FF"/>
          <w:lang w:val="ru-RU"/>
        </w:rPr>
        <w:t>25</w:t>
      </w:r>
      <w:r w:rsidRPr="004C59BB">
        <w:rPr>
          <w:color w:val="0000FF"/>
        </w:rPr>
        <w:t>章</w:t>
      </w:r>
      <w:r w:rsidRPr="0097554A">
        <w:rPr>
          <w:color w:val="0000FF"/>
          <w:lang w:val="ru-RU"/>
        </w:rPr>
        <w:t>）</w:t>
      </w:r>
      <w:r w:rsidRPr="004C59BB">
        <w:rPr>
          <w:color w:val="0000FF"/>
        </w:rPr>
        <w:t>。</w:t>
      </w:r>
    </w:p>
  </w:footnote>
  <w:footnote w:id="917">
    <w:p w14:paraId="74C69677" w14:textId="5A9AFDD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见福提乌斯《图书馆》手稿CCLXX</w:t>
      </w:r>
      <w:r w:rsidRPr="0097554A">
        <w:rPr>
          <w:color w:val="0000FF"/>
          <w:lang w:val="ru-RU"/>
        </w:rPr>
        <w:t>，</w:t>
      </w:r>
      <w:r w:rsidRPr="004C59BB">
        <w:rPr>
          <w:color w:val="0000FF"/>
        </w:rPr>
        <w:t>第</w:t>
      </w:r>
      <w:r w:rsidRPr="0097554A">
        <w:rPr>
          <w:color w:val="0000FF"/>
          <w:lang w:val="ru-RU"/>
        </w:rPr>
        <w:t>833</w:t>
      </w:r>
      <w:r w:rsidRPr="004C59BB">
        <w:rPr>
          <w:color w:val="0000FF"/>
        </w:rPr>
        <w:t>页。</w:t>
      </w:r>
    </w:p>
  </w:footnote>
  <w:footnote w:id="918">
    <w:p w14:paraId="70C496F5" w14:textId="7510FA50"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《论</w:t>
      </w:r>
      <w:r w:rsidRPr="004C59BB">
        <w:rPr>
          <w:color w:val="0000FF"/>
          <w:lang w:val="ru-RU"/>
        </w:rPr>
        <w:t>圣灵</w:t>
      </w:r>
      <w:r w:rsidRPr="004C59BB">
        <w:rPr>
          <w:color w:val="0000FF"/>
        </w:rPr>
        <w:t>》</w:t>
      </w:r>
      <w:r w:rsidRPr="004C59BB">
        <w:rPr>
          <w:color w:val="0000FF"/>
          <w:lang w:val="ru-RU"/>
        </w:rPr>
        <w:t>第12章，载于《教父</w:t>
      </w:r>
      <w:r w:rsidRPr="004C59BB">
        <w:rPr>
          <w:color w:val="0000FF"/>
        </w:rPr>
        <w:t>著作集》第七卷</w:t>
      </w:r>
      <w:r w:rsidRPr="0097554A">
        <w:rPr>
          <w:color w:val="0000FF"/>
          <w:lang w:val="ru-RU"/>
        </w:rPr>
        <w:t>，</w:t>
      </w:r>
      <w:r w:rsidRPr="004C59BB">
        <w:rPr>
          <w:color w:val="0000FF"/>
        </w:rPr>
        <w:t>第</w:t>
      </w:r>
      <w:r w:rsidRPr="0097554A">
        <w:rPr>
          <w:color w:val="0000FF"/>
          <w:lang w:val="ru-RU"/>
        </w:rPr>
        <w:t>272</w:t>
      </w:r>
      <w:r w:rsidRPr="004C59BB">
        <w:rPr>
          <w:color w:val="0000FF"/>
        </w:rPr>
        <w:t>页。</w:t>
      </w:r>
    </w:p>
  </w:footnote>
  <w:footnote w:id="919">
    <w:p w14:paraId="50EEE7F9" w14:textId="13A75BD3"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富尔金特《反法比安书》第X卷</w:t>
      </w:r>
      <w:r w:rsidRPr="0097554A">
        <w:rPr>
          <w:color w:val="0000FF"/>
          <w:lang w:val="ru-RU"/>
        </w:rPr>
        <w:t>，</w:t>
      </w:r>
      <w:r w:rsidRPr="004C59BB">
        <w:rPr>
          <w:color w:val="0000FF"/>
        </w:rPr>
        <w:t>片段</w:t>
      </w:r>
      <w:r w:rsidRPr="0097554A">
        <w:rPr>
          <w:color w:val="0000FF"/>
          <w:lang w:val="ru-RU"/>
        </w:rPr>
        <w:t>37，</w:t>
      </w:r>
      <w:r w:rsidRPr="004C59BB">
        <w:rPr>
          <w:color w:val="0000FF"/>
        </w:rPr>
        <w:t>载于《教父全集》第LXV</w:t>
      </w:r>
      <w:r w:rsidRPr="004C59BB">
        <w:rPr>
          <w:color w:val="0000FF"/>
          <w:lang w:val="ru-RU"/>
        </w:rPr>
        <w:t>卷，第832栏。</w:t>
      </w:r>
    </w:p>
  </w:footnote>
  <w:footnote w:id="920">
    <w:p w14:paraId="3B95490C" w14:textId="4A164F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《正统信仰精确阐述》，</w:t>
      </w:r>
      <w:r w:rsidRPr="004C59BB">
        <w:rPr>
          <w:color w:val="0000FF"/>
        </w:rPr>
        <w:t>第IV</w:t>
      </w:r>
      <w:r w:rsidRPr="004C59BB">
        <w:rPr>
          <w:color w:val="0000FF"/>
          <w:lang w:val="ru-RU"/>
        </w:rPr>
        <w:t>卷，第9章，第334–236页。</w:t>
      </w:r>
    </w:p>
  </w:footnote>
  <w:footnote w:id="921">
    <w:p w14:paraId="2450FCA7" w14:textId="60C3A1B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参见《使徒规条》第49条。</w:t>
      </w:r>
    </w:p>
  </w:footnote>
  <w:footnote w:id="922">
    <w:p w14:paraId="7926AE3F" w14:textId="4F759FC6"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《使徒规条》</w:t>
      </w:r>
      <w:r w:rsidRPr="004C59BB">
        <w:rPr>
          <w:color w:val="0000FF"/>
        </w:rPr>
        <w:t>第</w:t>
      </w:r>
      <w:r w:rsidRPr="0097554A">
        <w:rPr>
          <w:color w:val="0000FF"/>
          <w:lang w:val="ru-RU"/>
        </w:rPr>
        <w:t>50</w:t>
      </w:r>
      <w:r w:rsidRPr="004C59BB">
        <w:rPr>
          <w:color w:val="0000FF"/>
        </w:rPr>
        <w:t>条</w:t>
      </w:r>
      <w:r w:rsidRPr="0097554A">
        <w:rPr>
          <w:color w:val="0000FF"/>
          <w:lang w:val="ru-RU"/>
        </w:rPr>
        <w:t>；</w:t>
      </w:r>
      <w:r w:rsidRPr="004C59BB">
        <w:rPr>
          <w:color w:val="0000FF"/>
        </w:rPr>
        <w:t>奥利金《罗马书注》第六卷</w:t>
      </w:r>
      <w:r w:rsidRPr="0097554A">
        <w:rPr>
          <w:color w:val="0000FF"/>
          <w:lang w:val="ru-RU"/>
        </w:rPr>
        <w:t>，</w:t>
      </w:r>
      <w:r w:rsidRPr="004C59BB">
        <w:rPr>
          <w:color w:val="0000FF"/>
        </w:rPr>
        <w:t>第</w:t>
      </w:r>
      <w:r w:rsidRPr="0097554A">
        <w:rPr>
          <w:color w:val="0000FF"/>
          <w:lang w:val="ru-RU"/>
        </w:rPr>
        <w:t>3</w:t>
      </w:r>
      <w:r w:rsidRPr="004C59BB">
        <w:rPr>
          <w:color w:val="0000FF"/>
        </w:rPr>
        <w:t>章</w:t>
      </w:r>
      <w:r w:rsidRPr="0097554A">
        <w:rPr>
          <w:color w:val="0000FF"/>
          <w:lang w:val="ru-RU"/>
        </w:rPr>
        <w:t>；</w:t>
      </w:r>
      <w:r w:rsidRPr="004C59BB">
        <w:rPr>
          <w:color w:val="0000FF"/>
        </w:rPr>
        <w:t>索克拉底《异端驳论》第五卷</w:t>
      </w:r>
      <w:r w:rsidRPr="0097554A">
        <w:rPr>
          <w:color w:val="0000FF"/>
          <w:lang w:val="ru-RU"/>
        </w:rPr>
        <w:t>，</w:t>
      </w:r>
      <w:r w:rsidRPr="004C59BB">
        <w:rPr>
          <w:color w:val="0000FF"/>
        </w:rPr>
        <w:t>第</w:t>
      </w:r>
      <w:r w:rsidRPr="0097554A">
        <w:rPr>
          <w:color w:val="0000FF"/>
          <w:lang w:val="ru-RU"/>
        </w:rPr>
        <w:t>24</w:t>
      </w:r>
      <w:r w:rsidRPr="004C59BB">
        <w:rPr>
          <w:color w:val="0000FF"/>
        </w:rPr>
        <w:t>章。</w:t>
      </w:r>
    </w:p>
  </w:footnote>
  <w:footnote w:id="923">
    <w:p w14:paraId="305ABD46" w14:textId="12805836"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埃里哈普</w:t>
      </w:r>
      <w:r w:rsidRPr="0097554A">
        <w:rPr>
          <w:color w:val="0000FF"/>
          <w:lang w:val="ru-RU"/>
        </w:rPr>
        <w:t>，</w:t>
      </w:r>
      <w:r w:rsidRPr="004C59BB">
        <w:rPr>
          <w:color w:val="0000FF"/>
        </w:rPr>
        <w:t>《异端论》第XXXIV章</w:t>
      </w:r>
      <w:r w:rsidRPr="0097554A">
        <w:rPr>
          <w:color w:val="0000FF"/>
          <w:lang w:val="ru-RU"/>
        </w:rPr>
        <w:t>；</w:t>
      </w:r>
      <w:r w:rsidRPr="004C59BB">
        <w:rPr>
          <w:color w:val="0000FF"/>
        </w:rPr>
        <w:t>优西比乌</w:t>
      </w:r>
      <w:r w:rsidRPr="0097554A">
        <w:rPr>
          <w:color w:val="0000FF"/>
          <w:lang w:val="ru-RU"/>
        </w:rPr>
        <w:t>，</w:t>
      </w:r>
      <w:r w:rsidRPr="004C59BB">
        <w:rPr>
          <w:color w:val="0000FF"/>
        </w:rPr>
        <w:t>《教会史》第IV卷</w:t>
      </w:r>
      <w:r w:rsidRPr="0097554A">
        <w:rPr>
          <w:color w:val="0000FF"/>
          <w:lang w:val="ru-RU"/>
        </w:rPr>
        <w:t>，</w:t>
      </w:r>
      <w:r w:rsidRPr="004C59BB">
        <w:rPr>
          <w:color w:val="0000FF"/>
        </w:rPr>
        <w:t>第II章</w:t>
      </w:r>
      <w:r w:rsidRPr="0097554A">
        <w:rPr>
          <w:color w:val="0000FF"/>
          <w:lang w:val="ru-RU"/>
        </w:rPr>
        <w:t>；</w:t>
      </w:r>
      <w:r w:rsidRPr="004C59BB">
        <w:rPr>
          <w:color w:val="0000FF"/>
        </w:rPr>
        <w:t>狄奥多尔</w:t>
      </w:r>
      <w:r w:rsidRPr="0097554A">
        <w:rPr>
          <w:color w:val="0000FF"/>
          <w:lang w:val="ru-RU"/>
        </w:rPr>
        <w:t>，</w:t>
      </w:r>
      <w:r w:rsidRPr="004C59BB">
        <w:rPr>
          <w:color w:val="0000FF"/>
        </w:rPr>
        <w:t>《异端论》第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9</w:t>
      </w:r>
      <w:r w:rsidRPr="004C59BB">
        <w:rPr>
          <w:color w:val="0000FF"/>
        </w:rPr>
        <w:t>章。</w:t>
      </w:r>
    </w:p>
  </w:footnote>
  <w:footnote w:id="924">
    <w:p w14:paraId="50B99621" w14:textId="70A1D2B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埃皮法尼乌斯</w:t>
      </w:r>
      <w:r w:rsidRPr="0097554A">
        <w:rPr>
          <w:color w:val="0000FF"/>
          <w:lang w:val="ru-RU"/>
        </w:rPr>
        <w:t>，</w:t>
      </w:r>
      <w:r w:rsidRPr="004C59BB">
        <w:rPr>
          <w:color w:val="0000FF"/>
        </w:rPr>
        <w:t>《异端论》第LXXVI章。</w:t>
      </w:r>
    </w:p>
  </w:footnote>
  <w:footnote w:id="925">
    <w:p w14:paraId="2653B514" w14:textId="465CC6D1"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参</w:t>
      </w:r>
      <w:r w:rsidRPr="004C59BB">
        <w:rPr>
          <w:color w:val="0000FF"/>
        </w:rPr>
        <w:t>见上文注</w:t>
      </w:r>
      <w:r w:rsidRPr="004C59BB">
        <w:rPr>
          <w:color w:val="0000FF"/>
          <w:lang w:val="el-GR"/>
        </w:rPr>
        <w:t>释</w:t>
      </w:r>
      <w:r w:rsidRPr="0097554A">
        <w:rPr>
          <w:color w:val="0000FF"/>
          <w:lang w:val="ru-RU"/>
        </w:rPr>
        <w:t>867</w:t>
      </w:r>
      <w:r w:rsidRPr="004C59BB">
        <w:rPr>
          <w:color w:val="0000FF"/>
          <w:lang w:val="el-GR"/>
        </w:rPr>
        <w:t>。</w:t>
      </w:r>
    </w:p>
  </w:footnote>
  <w:footnote w:id="926">
    <w:p w14:paraId="0FAAF996" w14:textId="0CA392A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为赦免罪过</w:t>
      </w:r>
      <w:r w:rsidRPr="0097554A">
        <w:rPr>
          <w:color w:val="0000FF"/>
          <w:lang w:val="ru-RU"/>
        </w:rPr>
        <w:t>……</w:t>
      </w:r>
      <w:r w:rsidRPr="004C59BB">
        <w:rPr>
          <w:color w:val="0000FF"/>
        </w:rPr>
        <w:t>《书信》第XI封。</w:t>
      </w:r>
    </w:p>
  </w:footnote>
  <w:footnote w:id="927">
    <w:p w14:paraId="3CCD1B01" w14:textId="284A92B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《与特里丰的对话》</w:t>
      </w:r>
      <w:r w:rsidRPr="0097554A">
        <w:rPr>
          <w:color w:val="0000FF"/>
          <w:lang w:val="ru-RU"/>
        </w:rPr>
        <w:t>，</w:t>
      </w:r>
      <w:r w:rsidRPr="004C59BB">
        <w:rPr>
          <w:color w:val="0000FF"/>
        </w:rPr>
        <w:t>第</w:t>
      </w:r>
      <w:r w:rsidRPr="0097554A">
        <w:rPr>
          <w:color w:val="0000FF"/>
          <w:lang w:val="ru-RU"/>
        </w:rPr>
        <w:t>44</w:t>
      </w:r>
      <w:r w:rsidRPr="004C59BB">
        <w:rPr>
          <w:color w:val="0000FF"/>
        </w:rPr>
        <w:t>章。</w:t>
      </w:r>
    </w:p>
  </w:footnote>
  <w:footnote w:id="928">
    <w:p w14:paraId="5718DA40" w14:textId="11EC0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教导</w:t>
      </w:r>
      <w:r w:rsidRPr="004C59BB">
        <w:rPr>
          <w:color w:val="0000FF"/>
          <w:lang w:val="ru-RU"/>
        </w:rPr>
        <w:t>》</w:t>
      </w:r>
      <w:r w:rsidRPr="004C59BB">
        <w:rPr>
          <w:color w:val="0000FF"/>
        </w:rPr>
        <w:t>第三卷</w:t>
      </w:r>
      <w:r w:rsidRPr="004C59BB">
        <w:rPr>
          <w:color w:val="0000FF"/>
          <w:lang w:val="ru-RU"/>
        </w:rPr>
        <w:t>，第6页。</w:t>
      </w:r>
    </w:p>
  </w:footnote>
  <w:footnote w:id="929">
    <w:p w14:paraId="4FEB4E81" w14:textId="5983EC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《训诫》序言第16段，第13页。</w:t>
      </w:r>
    </w:p>
  </w:footnote>
  <w:footnote w:id="930">
    <w:p w14:paraId="76615EA2" w14:textId="77D991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《论洗礼的劝勉》，载于《圣教父文集》</w:t>
      </w:r>
      <w:r w:rsidRPr="004C59BB">
        <w:rPr>
          <w:color w:val="0000FF"/>
        </w:rPr>
        <w:t>第八卷</w:t>
      </w:r>
      <w:r w:rsidRPr="004C59BB">
        <w:rPr>
          <w:color w:val="0000FF"/>
          <w:lang w:val="ru-RU"/>
        </w:rPr>
        <w:t>，第233页。</w:t>
      </w:r>
    </w:p>
  </w:footnote>
  <w:footnote w:id="931">
    <w:p w14:paraId="6C575F85" w14:textId="5799139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《论圣洗礼词》，同上，</w:t>
      </w:r>
      <w:r w:rsidRPr="004C59BB">
        <w:rPr>
          <w:color w:val="0000FF"/>
        </w:rPr>
        <w:t>第三卷</w:t>
      </w:r>
      <w:r w:rsidRPr="004C59BB">
        <w:rPr>
          <w:color w:val="0000FF"/>
          <w:lang w:val="ru-RU"/>
        </w:rPr>
        <w:t>，第277页。</w:t>
      </w:r>
    </w:p>
  </w:footnote>
  <w:footnote w:id="932">
    <w:p w14:paraId="4B1BC892" w14:textId="55719B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同上，第306、299、281页。</w:t>
      </w:r>
    </w:p>
  </w:footnote>
  <w:footnote w:id="933">
    <w:p w14:paraId="24A89D20" w14:textId="5D369A57"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ru-RU"/>
        </w:rPr>
        <w:t xml:space="preserve"> </w:t>
      </w:r>
      <w:r w:rsidRPr="004C59BB">
        <w:rPr>
          <w:color w:val="0000FF"/>
        </w:rPr>
        <w:t>《教理</w:t>
      </w:r>
      <w:r w:rsidRPr="004C59BB">
        <w:rPr>
          <w:color w:val="0000FF"/>
          <w:lang w:val="el-GR"/>
        </w:rPr>
        <w:t>讲授》第</w:t>
      </w:r>
      <w:r w:rsidRPr="0097554A">
        <w:rPr>
          <w:color w:val="0000FF"/>
          <w:lang w:val="ru-RU"/>
        </w:rPr>
        <w:t>3</w:t>
      </w:r>
      <w:r w:rsidRPr="004C59BB">
        <w:rPr>
          <w:color w:val="0000FF"/>
          <w:lang w:val="el-GR"/>
        </w:rPr>
        <w:t>条。</w:t>
      </w:r>
      <w:r w:rsidRPr="004C59BB">
        <w:rPr>
          <w:color w:val="0000FF"/>
        </w:rPr>
        <w:t>另见</w:t>
      </w:r>
      <w:r w:rsidRPr="004C59BB">
        <w:rPr>
          <w:color w:val="0000FF"/>
          <w:lang w:val="el-GR"/>
        </w:rPr>
        <w:t>：</w:t>
      </w:r>
      <w:r w:rsidRPr="0097554A">
        <w:rPr>
          <w:color w:val="0000FF"/>
          <w:lang w:val="el-GR"/>
        </w:rPr>
        <w:t>“</w:t>
      </w:r>
      <w:r w:rsidRPr="004C59BB">
        <w:rPr>
          <w:color w:val="0000FF"/>
        </w:rPr>
        <w:t>一个重要的教义</w:t>
      </w:r>
      <w:r w:rsidRPr="004C59BB">
        <w:rPr>
          <w:color w:val="0000FF"/>
          <w:lang w:val="el-GR"/>
        </w:rPr>
        <w:t>，即受洗者完全洗净了罪孽”（《</w:t>
      </w:r>
      <w:r w:rsidRPr="004C59BB">
        <w:rPr>
          <w:color w:val="0000FF"/>
        </w:rPr>
        <w:t>讲道集</w:t>
      </w:r>
      <w:r w:rsidRPr="004C59BB">
        <w:rPr>
          <w:color w:val="0000FF"/>
          <w:lang w:val="el-GR"/>
        </w:rPr>
        <w:t>》</w:t>
      </w:r>
      <w:r w:rsidRPr="004C59BB">
        <w:rPr>
          <w:color w:val="0000FF"/>
        </w:rPr>
        <w:t>第十一卷</w:t>
      </w:r>
      <w:r w:rsidRPr="0097554A">
        <w:rPr>
          <w:color w:val="0000FF"/>
          <w:lang w:val="el-GR"/>
        </w:rPr>
        <w:t>，</w:t>
      </w:r>
      <w:r w:rsidRPr="004C59BB">
        <w:rPr>
          <w:color w:val="0000FF"/>
          <w:lang w:val="ru-RU"/>
        </w:rPr>
        <w:t>第</w:t>
      </w:r>
      <w:r w:rsidRPr="0097554A">
        <w:rPr>
          <w:color w:val="0000FF"/>
          <w:lang w:val="el-GR"/>
        </w:rPr>
        <w:t>2</w:t>
      </w:r>
      <w:r w:rsidRPr="004C59BB">
        <w:rPr>
          <w:color w:val="0000FF"/>
          <w:lang w:val="ru-RU"/>
        </w:rPr>
        <w:t>条</w:t>
      </w:r>
      <w:r w:rsidRPr="0097554A">
        <w:rPr>
          <w:color w:val="0000FF"/>
          <w:lang w:val="el-GR"/>
        </w:rPr>
        <w:t>）</w:t>
      </w:r>
      <w:r w:rsidRPr="004C59BB">
        <w:rPr>
          <w:color w:val="0000FF"/>
          <w:lang w:val="ru-RU"/>
        </w:rPr>
        <w:t>。</w:t>
      </w:r>
      <w:r w:rsidRPr="0097554A">
        <w:rPr>
          <w:color w:val="0000FF"/>
          <w:lang w:val="el-GR"/>
        </w:rPr>
        <w:t xml:space="preserve"> </w:t>
      </w:r>
      <w:r w:rsidRPr="004C59BB">
        <w:rPr>
          <w:color w:val="0000FF"/>
          <w:lang w:val="ru-RU"/>
        </w:rPr>
        <w:t>此外</w:t>
      </w:r>
      <w:r w:rsidRPr="0097554A">
        <w:rPr>
          <w:color w:val="0000FF"/>
          <w:lang w:val="el-GR"/>
        </w:rPr>
        <w:t>：“</w:t>
      </w:r>
      <w:r w:rsidRPr="004C59BB">
        <w:rPr>
          <w:color w:val="0000FF"/>
          <w:lang w:val="ru-RU"/>
        </w:rPr>
        <w:t>在洗礼中</w:t>
      </w:r>
      <w:r w:rsidRPr="0097554A">
        <w:rPr>
          <w:color w:val="0000FF"/>
          <w:lang w:val="el-GR"/>
        </w:rPr>
        <w:t>，</w:t>
      </w:r>
      <w:r w:rsidRPr="004C59BB">
        <w:rPr>
          <w:color w:val="0000FF"/>
          <w:lang w:val="ru-RU"/>
        </w:rPr>
        <w:t>通过感官之物</w:t>
      </w:r>
      <w:r w:rsidRPr="0097554A">
        <w:rPr>
          <w:color w:val="0000FF"/>
          <w:lang w:val="el-GR"/>
        </w:rPr>
        <w:t>——</w:t>
      </w:r>
      <w:r w:rsidRPr="004C59BB">
        <w:rPr>
          <w:color w:val="0000FF"/>
          <w:lang w:val="ru-RU"/>
        </w:rPr>
        <w:t>水</w:t>
      </w:r>
      <w:r w:rsidRPr="0097554A">
        <w:rPr>
          <w:color w:val="0000FF"/>
          <w:lang w:val="el-GR"/>
        </w:rPr>
        <w:t>——</w:t>
      </w:r>
      <w:r w:rsidRPr="004C59BB">
        <w:rPr>
          <w:color w:val="0000FF"/>
          <w:lang w:val="ru-RU"/>
        </w:rPr>
        <w:t>传递恩赐</w:t>
      </w:r>
      <w:r w:rsidRPr="0097554A">
        <w:rPr>
          <w:color w:val="0000FF"/>
          <w:lang w:val="el-GR"/>
        </w:rPr>
        <w:t>，</w:t>
      </w:r>
      <w:r w:rsidRPr="004C59BB">
        <w:rPr>
          <w:color w:val="0000FF"/>
          <w:lang w:val="ru-RU"/>
        </w:rPr>
        <w:t>而属灵的作用则在于诞生与重生</w:t>
      </w:r>
      <w:r w:rsidRPr="0097554A">
        <w:rPr>
          <w:color w:val="0000FF"/>
          <w:lang w:val="el-GR"/>
        </w:rPr>
        <w:t>，</w:t>
      </w:r>
      <w:r w:rsidRPr="004C59BB">
        <w:rPr>
          <w:color w:val="0000FF"/>
          <w:lang w:val="ru-RU"/>
        </w:rPr>
        <w:t>或更新</w:t>
      </w:r>
      <w:r w:rsidRPr="0097554A">
        <w:rPr>
          <w:color w:val="0000FF"/>
          <w:lang w:val="el-GR"/>
        </w:rPr>
        <w:t>”（</w:t>
      </w:r>
      <w:r w:rsidRPr="004C59BB">
        <w:rPr>
          <w:color w:val="0000FF"/>
          <w:lang w:val="ru-RU"/>
        </w:rPr>
        <w:t>《马太福音讲道集》</w:t>
      </w:r>
      <w:r w:rsidRPr="004C59BB">
        <w:rPr>
          <w:color w:val="0000FF"/>
        </w:rPr>
        <w:t>LXXXII</w:t>
      </w:r>
      <w:r w:rsidRPr="0097554A">
        <w:rPr>
          <w:color w:val="0000FF"/>
          <w:lang w:val="el-GR"/>
        </w:rPr>
        <w:t>，</w:t>
      </w:r>
      <w:r w:rsidRPr="004C59BB">
        <w:rPr>
          <w:color w:val="0000FF"/>
        </w:rPr>
        <w:t>第</w:t>
      </w:r>
      <w:r w:rsidRPr="0097554A">
        <w:rPr>
          <w:color w:val="0000FF"/>
          <w:lang w:val="el-GR"/>
        </w:rPr>
        <w:t>4</w:t>
      </w:r>
      <w:r w:rsidRPr="004C59BB">
        <w:rPr>
          <w:color w:val="0000FF"/>
        </w:rPr>
        <w:t>段</w:t>
      </w:r>
      <w:r w:rsidRPr="0097554A">
        <w:rPr>
          <w:color w:val="0000FF"/>
          <w:lang w:val="el-GR"/>
        </w:rPr>
        <w:t>，</w:t>
      </w:r>
      <w:r w:rsidRPr="004C59BB">
        <w:rPr>
          <w:color w:val="0000FF"/>
        </w:rPr>
        <w:t>第III卷</w:t>
      </w:r>
      <w:r w:rsidRPr="0097554A">
        <w:rPr>
          <w:color w:val="0000FF"/>
          <w:lang w:val="el-GR"/>
        </w:rPr>
        <w:t>，</w:t>
      </w:r>
      <w:r w:rsidRPr="004C59BB">
        <w:rPr>
          <w:color w:val="0000FF"/>
        </w:rPr>
        <w:t>第</w:t>
      </w:r>
      <w:r w:rsidRPr="0097554A">
        <w:rPr>
          <w:color w:val="0000FF"/>
          <w:lang w:val="el-GR"/>
        </w:rPr>
        <w:t>421</w:t>
      </w:r>
      <w:r w:rsidRPr="004C59BB">
        <w:rPr>
          <w:color w:val="0000FF"/>
        </w:rPr>
        <w:t>页</w:t>
      </w:r>
      <w:r w:rsidRPr="0097554A">
        <w:rPr>
          <w:color w:val="0000FF"/>
          <w:lang w:val="el-GR"/>
        </w:rPr>
        <w:t>）</w:t>
      </w:r>
      <w:r w:rsidRPr="004C59BB">
        <w:rPr>
          <w:color w:val="0000FF"/>
        </w:rPr>
        <w:t>。</w:t>
      </w:r>
    </w:p>
  </w:footnote>
  <w:footnote w:id="934">
    <w:p w14:paraId="732BC7DC" w14:textId="10CEC100"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《致奥托利库斯书》第二卷</w:t>
      </w:r>
      <w:r w:rsidRPr="0097554A">
        <w:rPr>
          <w:color w:val="0000FF"/>
          <w:lang w:val="el-GR"/>
        </w:rPr>
        <w:t>，</w:t>
      </w:r>
      <w:r w:rsidRPr="004C59BB">
        <w:rPr>
          <w:color w:val="0000FF"/>
        </w:rPr>
        <w:t>第</w:t>
      </w:r>
      <w:r w:rsidRPr="0097554A">
        <w:rPr>
          <w:color w:val="0000FF"/>
          <w:lang w:val="el-GR"/>
        </w:rPr>
        <w:t>16</w:t>
      </w:r>
      <w:r w:rsidRPr="004C59BB">
        <w:rPr>
          <w:color w:val="0000FF"/>
        </w:rPr>
        <w:t>章。</w:t>
      </w:r>
    </w:p>
  </w:footnote>
  <w:footnote w:id="935">
    <w:p w14:paraId="1E8D5C5E" w14:textId="40073290"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在洗礼中</w:t>
      </w:r>
      <w:r w:rsidRPr="0097554A">
        <w:rPr>
          <w:color w:val="0000FF"/>
          <w:lang w:val="el-GR"/>
        </w:rPr>
        <w:t>，</w:t>
      </w:r>
      <w:r w:rsidRPr="004C59BB">
        <w:rPr>
          <w:color w:val="0000FF"/>
        </w:rPr>
        <w:t>一切过犯皆得洗净。《论圣事》第三卷</w:t>
      </w:r>
      <w:r w:rsidRPr="0097554A">
        <w:rPr>
          <w:color w:val="0000FF"/>
          <w:lang w:val="el-GR"/>
        </w:rPr>
        <w:t>，</w:t>
      </w:r>
      <w:r w:rsidRPr="004C59BB">
        <w:rPr>
          <w:color w:val="0000FF"/>
        </w:rPr>
        <w:t>第</w:t>
      </w:r>
      <w:r w:rsidRPr="0097554A">
        <w:rPr>
          <w:color w:val="0000FF"/>
          <w:lang w:val="el-GR"/>
        </w:rPr>
        <w:t>17</w:t>
      </w:r>
      <w:r w:rsidRPr="004C59BB">
        <w:rPr>
          <w:color w:val="0000FF"/>
        </w:rPr>
        <w:t>节</w:t>
      </w:r>
      <w:r w:rsidRPr="0097554A">
        <w:rPr>
          <w:color w:val="0000FF"/>
          <w:lang w:val="el-GR"/>
        </w:rPr>
        <w:t>；</w:t>
      </w:r>
      <w:r w:rsidRPr="004C59BB">
        <w:rPr>
          <w:color w:val="0000FF"/>
        </w:rPr>
        <w:t>参见《路加福音讲道集》第六卷</w:t>
      </w:r>
      <w:r w:rsidRPr="004C59BB">
        <w:rPr>
          <w:color w:val="0000FF"/>
          <w:lang w:val="el-GR"/>
        </w:rPr>
        <w:t>，第3节；</w:t>
      </w:r>
      <w:r w:rsidRPr="004C59BB">
        <w:rPr>
          <w:color w:val="0000FF"/>
        </w:rPr>
        <w:t>第八</w:t>
      </w:r>
      <w:r w:rsidRPr="004C59BB">
        <w:rPr>
          <w:color w:val="0000FF"/>
          <w:lang w:val="el-GR"/>
        </w:rPr>
        <w:t>卷，第24节。</w:t>
      </w:r>
    </w:p>
  </w:footnote>
  <w:footnote w:id="936">
    <w:p w14:paraId="20E53416" w14:textId="15B67BBE"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洗礼即为罪的净化、过犯的赦免，以及更新与重生的缘由。</w:t>
      </w:r>
      <w:r w:rsidRPr="004C59BB">
        <w:rPr>
          <w:color w:val="0000FF"/>
        </w:rPr>
        <w:t>《论基督的洗礼》第三卷</w:t>
      </w:r>
      <w:r w:rsidRPr="0097554A">
        <w:rPr>
          <w:color w:val="0000FF"/>
          <w:lang w:val="el-GR"/>
        </w:rPr>
        <w:t>，</w:t>
      </w:r>
      <w:r w:rsidRPr="004C59BB">
        <w:rPr>
          <w:color w:val="0000FF"/>
        </w:rPr>
        <w:t>第</w:t>
      </w:r>
      <w:r w:rsidRPr="0097554A">
        <w:rPr>
          <w:color w:val="0000FF"/>
          <w:lang w:val="el-GR"/>
        </w:rPr>
        <w:t>366</w:t>
      </w:r>
      <w:r w:rsidRPr="004C59BB">
        <w:rPr>
          <w:color w:val="0000FF"/>
        </w:rPr>
        <w:t>页</w:t>
      </w:r>
      <w:r w:rsidRPr="0097554A">
        <w:rPr>
          <w:color w:val="0000FF"/>
          <w:lang w:val="el-GR"/>
        </w:rPr>
        <w:t>，</w:t>
      </w:r>
      <w:r w:rsidRPr="004C59BB">
        <w:rPr>
          <w:color w:val="0000FF"/>
        </w:rPr>
        <w:t>莫雷尔版。</w:t>
      </w:r>
    </w:p>
  </w:footnote>
  <w:footnote w:id="937">
    <w:p w14:paraId="3DAA946C" w14:textId="0B9DFBD5"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那些藉水与圣灵重生的人</w:t>
      </w:r>
      <w:r w:rsidRPr="0097554A">
        <w:rPr>
          <w:color w:val="0000FF"/>
          <w:lang w:val="el-GR"/>
        </w:rPr>
        <w:t>，</w:t>
      </w:r>
      <w:r w:rsidRPr="004C59BB">
        <w:rPr>
          <w:color w:val="0000FF"/>
        </w:rPr>
        <w:t>无论其罪过是源于亚当</w:t>
      </w:r>
      <w:r w:rsidRPr="0097554A">
        <w:rPr>
          <w:color w:val="0000FF"/>
          <w:lang w:val="el-GR"/>
        </w:rPr>
        <w:t>——</w:t>
      </w:r>
      <w:r w:rsidRPr="004C59BB">
        <w:rPr>
          <w:color w:val="0000FF"/>
        </w:rPr>
        <w:t>因在亚当里众人皆已犯罪</w:t>
      </w:r>
      <w:r w:rsidRPr="0097554A">
        <w:rPr>
          <w:color w:val="0000FF"/>
          <w:lang w:val="el-GR"/>
        </w:rPr>
        <w:t>——</w:t>
      </w:r>
      <w:r w:rsidRPr="004C59BB">
        <w:rPr>
          <w:color w:val="0000FF"/>
        </w:rPr>
        <w:t>还是源于我们自身的行为、言语或意念</w:t>
      </w:r>
      <w:r w:rsidRPr="0097554A">
        <w:rPr>
          <w:color w:val="0000FF"/>
          <w:lang w:val="el-GR"/>
        </w:rPr>
        <w:t>，</w:t>
      </w:r>
      <w:r w:rsidRPr="004C59BB">
        <w:rPr>
          <w:color w:val="0000FF"/>
        </w:rPr>
        <w:t>都在那洗礼的洁净中被洗净了</w:t>
      </w:r>
      <w:r w:rsidRPr="0097554A">
        <w:rPr>
          <w:color w:val="0000FF"/>
          <w:lang w:val="el-GR"/>
        </w:rPr>
        <w:t>（</w:t>
      </w:r>
      <w:r w:rsidRPr="004C59BB">
        <w:rPr>
          <w:color w:val="0000FF"/>
        </w:rPr>
        <w:t>致达尔丹</w:t>
      </w:r>
      <w:r w:rsidRPr="004C59BB">
        <w:rPr>
          <w:color w:val="0000FF"/>
          <w:lang w:val="ru-RU"/>
        </w:rPr>
        <w:t>书</w:t>
      </w:r>
      <w:r w:rsidRPr="0097554A">
        <w:rPr>
          <w:color w:val="0000FF"/>
          <w:lang w:val="el-GR"/>
        </w:rPr>
        <w:t>，</w:t>
      </w:r>
      <w:r w:rsidRPr="004C59BB">
        <w:rPr>
          <w:color w:val="0000FF"/>
        </w:rPr>
        <w:t>第CLXXXVII</w:t>
      </w:r>
      <w:r w:rsidRPr="004C59BB">
        <w:rPr>
          <w:color w:val="0000FF"/>
          <w:lang w:val="ru-RU"/>
        </w:rPr>
        <w:t>封</w:t>
      </w:r>
      <w:r w:rsidRPr="0097554A">
        <w:rPr>
          <w:color w:val="0000FF"/>
          <w:lang w:val="el-GR"/>
        </w:rPr>
        <w:t>，</w:t>
      </w:r>
      <w:r w:rsidRPr="004C59BB">
        <w:rPr>
          <w:color w:val="0000FF"/>
          <w:lang w:val="ru-RU"/>
        </w:rPr>
        <w:t>第</w:t>
      </w:r>
      <w:r w:rsidRPr="0097554A">
        <w:rPr>
          <w:color w:val="0000FF"/>
          <w:lang w:val="el-GR"/>
        </w:rPr>
        <w:t>28</w:t>
      </w:r>
      <w:r w:rsidRPr="004C59BB">
        <w:rPr>
          <w:color w:val="0000FF"/>
          <w:lang w:val="ru-RU"/>
        </w:rPr>
        <w:t>节</w:t>
      </w:r>
      <w:r w:rsidRPr="0097554A">
        <w:rPr>
          <w:color w:val="0000FF"/>
          <w:lang w:val="el-GR"/>
        </w:rPr>
        <w:t>）</w:t>
      </w:r>
      <w:r w:rsidRPr="004C59BB">
        <w:rPr>
          <w:color w:val="0000FF"/>
          <w:lang w:val="ru-RU"/>
        </w:rPr>
        <w:t>。</w:t>
      </w:r>
    </w:p>
  </w:footnote>
  <w:footnote w:id="938">
    <w:p w14:paraId="4DF5CE2D" w14:textId="6CD676C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它</w:t>
      </w:r>
      <w:r w:rsidRPr="0097554A">
        <w:rPr>
          <w:color w:val="0000FF"/>
          <w:lang w:val="el-GR"/>
        </w:rPr>
        <w:t>（</w:t>
      </w:r>
      <w:r w:rsidRPr="004C59BB">
        <w:rPr>
          <w:color w:val="0000FF"/>
          <w:lang w:val="ru-RU"/>
        </w:rPr>
        <w:t>洗礼</w:t>
      </w:r>
      <w:r w:rsidRPr="0097554A">
        <w:rPr>
          <w:color w:val="0000FF"/>
          <w:lang w:val="el-GR"/>
        </w:rPr>
        <w:t>）</w:t>
      </w:r>
      <w:r w:rsidRPr="004C59BB">
        <w:rPr>
          <w:color w:val="0000FF"/>
          <w:lang w:val="ru-RU"/>
        </w:rPr>
        <w:t>不仅赐予我们昔日罪孽的赦免</w:t>
      </w:r>
      <w:r w:rsidRPr="0097554A">
        <w:rPr>
          <w:color w:val="0000FF"/>
          <w:lang w:val="el-GR"/>
        </w:rPr>
        <w:t>，</w:t>
      </w:r>
      <w:r w:rsidRPr="004C59BB">
        <w:rPr>
          <w:color w:val="0000FF"/>
          <w:lang w:val="ru-RU"/>
        </w:rPr>
        <w:t>更使我们对应许的福分怀有希望</w:t>
      </w:r>
      <w:r w:rsidRPr="0097554A">
        <w:rPr>
          <w:color w:val="0000FF"/>
          <w:lang w:val="el-GR"/>
        </w:rPr>
        <w:t>，</w:t>
      </w:r>
      <w:r w:rsidRPr="004C59BB">
        <w:rPr>
          <w:color w:val="0000FF"/>
          <w:lang w:val="ru-RU"/>
        </w:rPr>
        <w:t>使我们成为主之死与复活的参与者</w:t>
      </w:r>
      <w:r w:rsidRPr="0097554A">
        <w:rPr>
          <w:color w:val="0000FF"/>
          <w:lang w:val="el-GR"/>
        </w:rPr>
        <w:t>，</w:t>
      </w:r>
      <w:r w:rsidRPr="004C59BB">
        <w:rPr>
          <w:color w:val="0000FF"/>
          <w:lang w:val="ru-RU"/>
        </w:rPr>
        <w:t>赐予我们圣灵的恩赐</w:t>
      </w:r>
      <w:r w:rsidRPr="0097554A">
        <w:rPr>
          <w:color w:val="0000FF"/>
          <w:lang w:val="el-GR"/>
        </w:rPr>
        <w:t>，</w:t>
      </w:r>
      <w:r w:rsidRPr="004C59BB">
        <w:rPr>
          <w:color w:val="0000FF"/>
          <w:lang w:val="ru-RU"/>
        </w:rPr>
        <w:t>并使我们成为上帝的儿女</w:t>
      </w:r>
      <w:r w:rsidRPr="0097554A">
        <w:rPr>
          <w:color w:val="0000FF"/>
          <w:lang w:val="el-GR"/>
        </w:rPr>
        <w:t>；</w:t>
      </w:r>
      <w:r w:rsidRPr="004C59BB">
        <w:rPr>
          <w:color w:val="0000FF"/>
          <w:lang w:val="ru-RU"/>
        </w:rPr>
        <w:t>不仅如此</w:t>
      </w:r>
      <w:r w:rsidRPr="0097554A">
        <w:rPr>
          <w:color w:val="0000FF"/>
          <w:lang w:val="el-GR"/>
        </w:rPr>
        <w:t>，</w:t>
      </w:r>
      <w:r w:rsidRPr="004C59BB">
        <w:rPr>
          <w:color w:val="0000FF"/>
          <w:lang w:val="ru-RU"/>
        </w:rPr>
        <w:t>我们更是上帝的继承人</w:t>
      </w:r>
      <w:r w:rsidRPr="0097554A">
        <w:rPr>
          <w:color w:val="0000FF"/>
          <w:lang w:val="el-GR"/>
        </w:rPr>
        <w:t>，</w:t>
      </w:r>
      <w:r w:rsidRPr="004C59BB">
        <w:rPr>
          <w:color w:val="0000FF"/>
          <w:lang w:val="ru-RU"/>
        </w:rPr>
        <w:t>也是基督的共同继承人</w:t>
      </w:r>
      <w:r w:rsidRPr="0097554A">
        <w:rPr>
          <w:color w:val="0000FF"/>
          <w:lang w:val="el-GR"/>
        </w:rPr>
        <w:t>” （</w:t>
      </w:r>
      <w:r w:rsidRPr="004C59BB">
        <w:rPr>
          <w:color w:val="0000FF"/>
          <w:lang w:val="ru-RU"/>
        </w:rPr>
        <w:t>《</w:t>
      </w:r>
      <w:r w:rsidRPr="004C59BB">
        <w:rPr>
          <w:color w:val="0000FF"/>
        </w:rPr>
        <w:t>神学教义</w:t>
      </w:r>
      <w:r w:rsidRPr="004C59BB">
        <w:rPr>
          <w:color w:val="0000FF"/>
          <w:lang w:val="ru-RU"/>
        </w:rPr>
        <w:t>简明论</w:t>
      </w:r>
      <w:r w:rsidRPr="004C59BB">
        <w:rPr>
          <w:color w:val="0000FF"/>
        </w:rPr>
        <w:t>》第</w:t>
      </w:r>
      <w:r w:rsidRPr="0097554A">
        <w:rPr>
          <w:color w:val="0000FF"/>
          <w:lang w:val="el-GR"/>
        </w:rPr>
        <w:t>18</w:t>
      </w:r>
      <w:r w:rsidRPr="004C59BB">
        <w:rPr>
          <w:color w:val="0000FF"/>
        </w:rPr>
        <w:t>章</w:t>
      </w:r>
      <w:r w:rsidRPr="0097554A">
        <w:rPr>
          <w:color w:val="0000FF"/>
          <w:lang w:val="el-GR"/>
        </w:rPr>
        <w:t>，</w:t>
      </w:r>
      <w:r w:rsidRPr="004C59BB">
        <w:rPr>
          <w:color w:val="0000FF"/>
        </w:rPr>
        <w:t>载于《基督教读本》</w:t>
      </w:r>
      <w:r w:rsidRPr="0097554A">
        <w:rPr>
          <w:color w:val="0000FF"/>
          <w:lang w:val="el-GR"/>
        </w:rPr>
        <w:t>1844</w:t>
      </w:r>
      <w:r w:rsidRPr="004C59BB">
        <w:rPr>
          <w:color w:val="0000FF"/>
        </w:rPr>
        <w:t>年版</w:t>
      </w:r>
      <w:r w:rsidRPr="0097554A">
        <w:rPr>
          <w:color w:val="0000FF"/>
          <w:lang w:val="el-GR"/>
        </w:rPr>
        <w:t>，</w:t>
      </w:r>
      <w:r w:rsidRPr="004C59BB">
        <w:rPr>
          <w:color w:val="0000FF"/>
        </w:rPr>
        <w:t>第IV卷</w:t>
      </w:r>
      <w:r w:rsidRPr="0097554A">
        <w:rPr>
          <w:color w:val="0000FF"/>
          <w:lang w:val="el-GR"/>
        </w:rPr>
        <w:t>，</w:t>
      </w:r>
      <w:r w:rsidRPr="004C59BB">
        <w:rPr>
          <w:color w:val="0000FF"/>
        </w:rPr>
        <w:t>第</w:t>
      </w:r>
      <w:r w:rsidRPr="0097554A">
        <w:rPr>
          <w:color w:val="0000FF"/>
          <w:lang w:val="el-GR"/>
        </w:rPr>
        <w:t>338</w:t>
      </w:r>
      <w:r w:rsidRPr="004C59BB">
        <w:rPr>
          <w:color w:val="0000FF"/>
        </w:rPr>
        <w:t>页</w:t>
      </w:r>
      <w:r w:rsidRPr="0097554A">
        <w:rPr>
          <w:color w:val="0000FF"/>
          <w:lang w:val="el-GR"/>
        </w:rPr>
        <w:t>）</w:t>
      </w:r>
      <w:r w:rsidRPr="004C59BB">
        <w:rPr>
          <w:color w:val="0000FF"/>
        </w:rPr>
        <w:t>。</w:t>
      </w:r>
    </w:p>
  </w:footnote>
  <w:footnote w:id="939">
    <w:p w14:paraId="45D525BB" w14:textId="312E1AAF"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耶罗尼姆《致奥克亚努斯书信》第</w:t>
      </w:r>
      <w:r w:rsidRPr="0097554A">
        <w:rPr>
          <w:color w:val="0000FF"/>
          <w:lang w:val="el-GR"/>
        </w:rPr>
        <w:t>83</w:t>
      </w:r>
      <w:r w:rsidRPr="004C59BB">
        <w:rPr>
          <w:color w:val="0000FF"/>
        </w:rPr>
        <w:t>封</w:t>
      </w:r>
      <w:r w:rsidRPr="0097554A">
        <w:rPr>
          <w:color w:val="0000FF"/>
          <w:lang w:val="el-GR"/>
        </w:rPr>
        <w:t>，</w:t>
      </w:r>
      <w:r w:rsidRPr="004C59BB">
        <w:rPr>
          <w:color w:val="0000FF"/>
        </w:rPr>
        <w:t>第</w:t>
      </w:r>
      <w:r w:rsidRPr="0097554A">
        <w:rPr>
          <w:color w:val="0000FF"/>
          <w:lang w:val="el-GR"/>
        </w:rPr>
        <w:t>2</w:t>
      </w:r>
      <w:r w:rsidRPr="004C59BB">
        <w:rPr>
          <w:color w:val="0000FF"/>
        </w:rPr>
        <w:t>章</w:t>
      </w:r>
      <w:r w:rsidRPr="0097554A">
        <w:rPr>
          <w:color w:val="0000FF"/>
          <w:lang w:val="el-GR"/>
        </w:rPr>
        <w:t>；</w:t>
      </w:r>
      <w:r w:rsidRPr="004C59BB">
        <w:rPr>
          <w:color w:val="0000FF"/>
        </w:rPr>
        <w:t>希拉里《诗篇注释》第</w:t>
      </w:r>
      <w:r w:rsidRPr="0097554A">
        <w:rPr>
          <w:color w:val="0000FF"/>
          <w:lang w:val="el-GR"/>
        </w:rPr>
        <w:t>93</w:t>
      </w:r>
      <w:r w:rsidRPr="004C59BB">
        <w:rPr>
          <w:color w:val="0000FF"/>
        </w:rPr>
        <w:t>篇</w:t>
      </w:r>
      <w:r w:rsidRPr="0097554A">
        <w:rPr>
          <w:color w:val="0000FF"/>
          <w:lang w:val="el-GR"/>
        </w:rPr>
        <w:t>，</w:t>
      </w:r>
      <w:r w:rsidRPr="004C59BB">
        <w:rPr>
          <w:color w:val="0000FF"/>
        </w:rPr>
        <w:t>第II节</w:t>
      </w:r>
      <w:r w:rsidRPr="0097554A">
        <w:rPr>
          <w:color w:val="0000FF"/>
          <w:lang w:val="el-GR"/>
        </w:rPr>
        <w:t>；</w:t>
      </w:r>
      <w:r w:rsidRPr="004C59BB">
        <w:rPr>
          <w:color w:val="0000FF"/>
        </w:rPr>
        <w:t>迪迪莫斯《论三位一体》第II卷</w:t>
      </w:r>
      <w:r w:rsidRPr="0097554A">
        <w:rPr>
          <w:color w:val="0000FF"/>
          <w:lang w:val="el-GR"/>
        </w:rPr>
        <w:t>，</w:t>
      </w:r>
      <w:r w:rsidRPr="004C59BB">
        <w:rPr>
          <w:color w:val="0000FF"/>
          <w:lang w:val="ru-RU"/>
        </w:rPr>
        <w:t>第</w:t>
      </w:r>
      <w:r w:rsidRPr="0097554A">
        <w:rPr>
          <w:color w:val="0000FF"/>
          <w:lang w:val="el-GR"/>
        </w:rPr>
        <w:t>13</w:t>
      </w:r>
      <w:r w:rsidRPr="004C59BB">
        <w:rPr>
          <w:color w:val="0000FF"/>
          <w:lang w:val="ru-RU"/>
        </w:rPr>
        <w:t>章。</w:t>
      </w:r>
    </w:p>
  </w:footnote>
  <w:footnote w:id="940">
    <w:p w14:paraId="5EE72949" w14:textId="1A145572"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此处将洗礼描述为</w:t>
      </w:r>
      <w:r w:rsidRPr="0097554A">
        <w:rPr>
          <w:color w:val="0000FF"/>
          <w:lang w:val="el-GR"/>
        </w:rPr>
        <w:t>“</w:t>
      </w:r>
      <w:r w:rsidRPr="004C59BB">
        <w:rPr>
          <w:color w:val="0000FF"/>
        </w:rPr>
        <w:t>不可摧毁之印记的传递</w:t>
      </w:r>
      <w:r w:rsidRPr="0097554A">
        <w:rPr>
          <w:color w:val="0000FF"/>
          <w:lang w:val="el-GR"/>
        </w:rPr>
        <w:t>”，</w:t>
      </w:r>
      <w:r w:rsidRPr="004C59BB">
        <w:rPr>
          <w:color w:val="0000FF"/>
        </w:rPr>
        <w:t>第三</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16</w:t>
      </w:r>
      <w:r w:rsidRPr="004C59BB">
        <w:rPr>
          <w:color w:val="0000FF"/>
        </w:rPr>
        <w:t>章</w:t>
      </w:r>
      <w:r w:rsidRPr="004C59BB">
        <w:rPr>
          <w:color w:val="0000FF"/>
          <w:lang w:val="ru-RU"/>
        </w:rPr>
        <w:t>。</w:t>
      </w:r>
    </w:p>
  </w:footnote>
  <w:footnote w:id="941">
    <w:p w14:paraId="604FFC9C" w14:textId="396CD082" w:rsidR="00254F25" w:rsidRPr="004C59BB" w:rsidRDefault="00000000">
      <w:pPr>
        <w:pStyle w:val="FootnoteText"/>
        <w:rPr>
          <w:color w:val="0000FF"/>
        </w:rPr>
      </w:pPr>
      <w:r w:rsidRPr="004C59BB">
        <w:rPr>
          <w:rStyle w:val="FootnoteReference"/>
          <w:color w:val="0000FF"/>
        </w:rPr>
        <w:footnoteRef/>
      </w:r>
      <w:r w:rsidRPr="0097554A">
        <w:rPr>
          <w:color w:val="0000FF"/>
          <w:lang w:val="el-GR"/>
        </w:rPr>
        <w:t xml:space="preserve"> Σφραγίς，</w:t>
      </w:r>
      <w:r w:rsidRPr="004C59BB">
        <w:rPr>
          <w:color w:val="0000FF"/>
        </w:rPr>
        <w:t>sigillum</w:t>
      </w:r>
      <w:r w:rsidRPr="0097554A">
        <w:rPr>
          <w:color w:val="0000FF"/>
          <w:lang w:val="el-GR"/>
        </w:rPr>
        <w:t>，</w:t>
      </w:r>
      <w:r w:rsidRPr="004C59BB">
        <w:rPr>
          <w:color w:val="0000FF"/>
        </w:rPr>
        <w:t>signaculum。《牧人书》第三卷，第九篇，第16章。</w:t>
      </w:r>
    </w:p>
  </w:footnote>
  <w:footnote w:id="942">
    <w:p w14:paraId="294031D8" w14:textId="559672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《论神性救恩》第XLII章。</w:t>
      </w:r>
    </w:p>
  </w:footnote>
  <w:footnote w:id="943">
    <w:p w14:paraId="73B4F7BF" w14:textId="2B42B6D7"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奥古斯丁，《论自由意志》第三卷</w:t>
      </w:r>
      <w:r w:rsidRPr="0097554A">
        <w:rPr>
          <w:color w:val="0000FF"/>
        </w:rPr>
        <w:t>，</w:t>
      </w:r>
      <w:r w:rsidRPr="004C59BB">
        <w:rPr>
          <w:color w:val="0000FF"/>
          <w:lang w:val="ru-RU"/>
        </w:rPr>
        <w:t>第</w:t>
      </w:r>
      <w:r w:rsidRPr="0097554A">
        <w:rPr>
          <w:color w:val="0000FF"/>
        </w:rPr>
        <w:t>23</w:t>
      </w:r>
      <w:r w:rsidRPr="004C59BB">
        <w:rPr>
          <w:color w:val="0000FF"/>
          <w:lang w:val="ru-RU"/>
        </w:rPr>
        <w:t>章</w:t>
      </w:r>
      <w:r w:rsidRPr="0097554A">
        <w:rPr>
          <w:color w:val="0000FF"/>
        </w:rPr>
        <w:t>，</w:t>
      </w:r>
      <w:r w:rsidRPr="004C59BB">
        <w:rPr>
          <w:color w:val="0000FF"/>
          <w:lang w:val="ru-RU"/>
        </w:rPr>
        <w:t>注</w:t>
      </w:r>
      <w:r w:rsidRPr="0097554A">
        <w:rPr>
          <w:color w:val="0000FF"/>
        </w:rPr>
        <w:t>67</w:t>
      </w:r>
      <w:r w:rsidRPr="004C59BB">
        <w:rPr>
          <w:color w:val="0000FF"/>
          <w:lang w:val="ru-RU"/>
        </w:rPr>
        <w:t>。</w:t>
      </w:r>
    </w:p>
  </w:footnote>
  <w:footnote w:id="944">
    <w:p w14:paraId="1D5D05E5" w14:textId="04114B8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《讲道集》</w:t>
      </w:r>
      <w:r w:rsidRPr="004C59BB">
        <w:rPr>
          <w:color w:val="0000FF"/>
        </w:rPr>
        <w:t>序言</w:t>
      </w:r>
      <w:r w:rsidRPr="0097554A">
        <w:rPr>
          <w:color w:val="0000FF"/>
        </w:rPr>
        <w:t>，</w:t>
      </w:r>
      <w:r w:rsidRPr="004C59BB">
        <w:rPr>
          <w:color w:val="0000FF"/>
          <w:lang w:val="ru-RU"/>
        </w:rPr>
        <w:t>第</w:t>
      </w:r>
      <w:r w:rsidRPr="0097554A">
        <w:rPr>
          <w:color w:val="0000FF"/>
        </w:rPr>
        <w:t>16</w:t>
      </w:r>
      <w:r w:rsidRPr="004C59BB">
        <w:rPr>
          <w:color w:val="0000FF"/>
          <w:lang w:val="ru-RU"/>
        </w:rPr>
        <w:t>条</w:t>
      </w:r>
      <w:r w:rsidRPr="0097554A">
        <w:rPr>
          <w:color w:val="0000FF"/>
        </w:rPr>
        <w:t>，</w:t>
      </w:r>
      <w:r w:rsidRPr="004C59BB">
        <w:rPr>
          <w:color w:val="0000FF"/>
          <w:lang w:val="ru-RU"/>
        </w:rPr>
        <w:t>第</w:t>
      </w:r>
      <w:r w:rsidRPr="0097554A">
        <w:rPr>
          <w:color w:val="0000FF"/>
        </w:rPr>
        <w:t>13</w:t>
      </w:r>
      <w:r w:rsidRPr="004C59BB">
        <w:rPr>
          <w:color w:val="0000FF"/>
          <w:lang w:val="ru-RU"/>
        </w:rPr>
        <w:t>页。</w:t>
      </w:r>
    </w:p>
  </w:footnote>
  <w:footnote w:id="945">
    <w:p w14:paraId="48F79987" w14:textId="468592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《哥林多后书讲道集》第三卷，注7。</w:t>
      </w:r>
    </w:p>
  </w:footnote>
  <w:footnote w:id="946">
    <w:p w14:paraId="60752DE4" w14:textId="3CA2C6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“神的印记”是：正如人起初是按着神的形象和样式被造的，同样，在第二次重生中，凡领受了圣灵的人，都蒙祂所印记，并领受造物主的形象。见《以弗所书》1:13。</w:t>
      </w:r>
    </w:p>
  </w:footnote>
  <w:footnote w:id="947">
    <w:p w14:paraId="7BA08A8A" w14:textId="082602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这种（主的印记）在那些我们接纳却未重新施洗的人身上，绝不会受到任何侵犯。《致博尼法斯书》第CLXXXV封，第23条。参见《论洗礼》第六卷，第1章；《诗篇》第XXXIX篇，讲道集，第1条。</w:t>
      </w:r>
    </w:p>
  </w:footnote>
  <w:footnote w:id="948">
    <w:p w14:paraId="388D44F1" w14:textId="0B4C7972"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大马士革。《正统信仰精确阐述》</w:t>
      </w:r>
      <w:r w:rsidRPr="004C59BB">
        <w:rPr>
          <w:color w:val="0000FF"/>
        </w:rPr>
        <w:t>第四</w:t>
      </w:r>
      <w:r w:rsidRPr="004C59BB">
        <w:rPr>
          <w:color w:val="0000FF"/>
          <w:lang w:val="ru-RU"/>
        </w:rPr>
        <w:t>卷</w:t>
      </w:r>
      <w:r w:rsidRPr="004C59BB">
        <w:rPr>
          <w:color w:val="0000FF"/>
        </w:rPr>
        <w:t>，第九章，第237页。</w:t>
      </w:r>
    </w:p>
  </w:footnote>
  <w:footnote w:id="949">
    <w:p w14:paraId="21C9C007" w14:textId="118E637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狄奥尼修斯·亚历山大（见优西比乌《教会史》第七卷，第9章）；基普里安《致尤巴伊书》第LXXIX封；奥普塔提乌斯《论多纳图斯派分裂》第五卷，第3章； 埃皮法尼乌斯，《天主教信仰阐释》第XVIII章；尼卢斯——第1卷，第XXIV封书信；奥古斯丁，《诗篇》第XXXIX篇注释，第1节。</w:t>
      </w:r>
    </w:p>
  </w:footnote>
  <w:footnote w:id="950">
    <w:p w14:paraId="49629EF8" w14:textId="7683D2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不得再次洗净。《贞洁论》第1章。</w:t>
      </w:r>
    </w:p>
  </w:footnote>
  <w:footnote w:id="951">
    <w:p w14:paraId="2AC83CC7" w14:textId="01C521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《希伯来书讲道集》第十一讲，第3节。</w:t>
      </w:r>
    </w:p>
  </w:footnote>
  <w:footnote w:id="952">
    <w:p w14:paraId="0100C6C5" w14:textId="152336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《叙利亚文著作集》第II卷，第440页。</w:t>
      </w:r>
    </w:p>
  </w:footnote>
  <w:footnote w:id="953">
    <w:p w14:paraId="324F7201" w14:textId="6B33CCB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《希伯来书</w:t>
      </w:r>
      <w:r w:rsidRPr="004C59BB">
        <w:rPr>
          <w:color w:val="0000FF"/>
          <w:lang w:val="ru-RU"/>
        </w:rPr>
        <w:t>》</w:t>
      </w:r>
      <w:r w:rsidRPr="004C59BB">
        <w:rPr>
          <w:color w:val="0000FF"/>
        </w:rPr>
        <w:t>第六章</w:t>
      </w:r>
      <w:r w:rsidRPr="0097554A">
        <w:rPr>
          <w:color w:val="0000FF"/>
        </w:rPr>
        <w:t>，</w:t>
      </w:r>
      <w:r w:rsidRPr="004C59BB">
        <w:rPr>
          <w:color w:val="0000FF"/>
          <w:lang w:val="ru-RU"/>
        </w:rPr>
        <w:t>第</w:t>
      </w:r>
      <w:r w:rsidRPr="0097554A">
        <w:rPr>
          <w:color w:val="0000FF"/>
        </w:rPr>
        <w:t>6</w:t>
      </w:r>
      <w:r w:rsidRPr="004C59BB">
        <w:rPr>
          <w:color w:val="0000FF"/>
          <w:lang w:val="ru-RU"/>
        </w:rPr>
        <w:t>节。</w:t>
      </w:r>
    </w:p>
  </w:footnote>
  <w:footnote w:id="954">
    <w:p w14:paraId="7B73E503" w14:textId="4AD4BCB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《信仰真义》</w:t>
      </w:r>
      <w:r w:rsidRPr="004C59BB">
        <w:rPr>
          <w:color w:val="0000FF"/>
        </w:rPr>
        <w:t>第四</w:t>
      </w:r>
      <w:r w:rsidRPr="004C59BB">
        <w:rPr>
          <w:color w:val="0000FF"/>
          <w:lang w:val="ru-RU"/>
        </w:rPr>
        <w:t>卷</w:t>
      </w:r>
      <w:r w:rsidRPr="0097554A">
        <w:rPr>
          <w:color w:val="0000FF"/>
        </w:rPr>
        <w:t>，</w:t>
      </w:r>
      <w:r w:rsidRPr="004C59BB">
        <w:rPr>
          <w:color w:val="0000FF"/>
          <w:lang w:val="ru-RU"/>
        </w:rPr>
        <w:t>第九章</w:t>
      </w:r>
      <w:r w:rsidRPr="0097554A">
        <w:rPr>
          <w:color w:val="0000FF"/>
        </w:rPr>
        <w:t>，</w:t>
      </w:r>
      <w:r w:rsidRPr="004C59BB">
        <w:rPr>
          <w:color w:val="0000FF"/>
          <w:lang w:val="ru-RU"/>
        </w:rPr>
        <w:t>第</w:t>
      </w:r>
      <w:r w:rsidRPr="0097554A">
        <w:rPr>
          <w:color w:val="0000FF"/>
        </w:rPr>
        <w:t>233–234</w:t>
      </w:r>
      <w:r w:rsidRPr="004C59BB">
        <w:rPr>
          <w:color w:val="0000FF"/>
          <w:lang w:val="ru-RU"/>
        </w:rPr>
        <w:t>页。</w:t>
      </w:r>
    </w:p>
  </w:footnote>
  <w:footnote w:id="955">
    <w:p w14:paraId="37604D40" w14:textId="71065AF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第一次</w:t>
      </w:r>
      <w:r w:rsidRPr="004C59BB">
        <w:rPr>
          <w:color w:val="0000FF"/>
          <w:lang w:val="ru-RU"/>
        </w:rPr>
        <w:t>大公会议第</w:t>
      </w:r>
      <w:r w:rsidRPr="0097554A">
        <w:rPr>
          <w:color w:val="0000FF"/>
        </w:rPr>
        <w:t>8</w:t>
      </w:r>
      <w:r w:rsidRPr="004C59BB">
        <w:rPr>
          <w:color w:val="0000FF"/>
          <w:lang w:val="ru-RU"/>
        </w:rPr>
        <w:t>条</w:t>
      </w:r>
      <w:r w:rsidRPr="0097554A">
        <w:rPr>
          <w:color w:val="0000FF"/>
        </w:rPr>
        <w:t>；</w:t>
      </w:r>
      <w:r w:rsidRPr="004C59BB">
        <w:rPr>
          <w:color w:val="0000FF"/>
        </w:rPr>
        <w:t>第二次</w:t>
      </w:r>
      <w:r w:rsidRPr="004C59BB">
        <w:rPr>
          <w:color w:val="0000FF"/>
          <w:lang w:val="ru-RU"/>
        </w:rPr>
        <w:t>大公会议第</w:t>
      </w:r>
      <w:r w:rsidRPr="0097554A">
        <w:rPr>
          <w:color w:val="0000FF"/>
        </w:rPr>
        <w:t>7</w:t>
      </w:r>
      <w:r w:rsidRPr="004C59BB">
        <w:rPr>
          <w:color w:val="0000FF"/>
          <w:lang w:val="ru-RU"/>
        </w:rPr>
        <w:t>条</w:t>
      </w:r>
      <w:r w:rsidRPr="0097554A">
        <w:rPr>
          <w:color w:val="0000FF"/>
        </w:rPr>
        <w:t>；</w:t>
      </w:r>
      <w:r w:rsidRPr="004C59BB">
        <w:rPr>
          <w:color w:val="0000FF"/>
        </w:rPr>
        <w:t>第六次</w:t>
      </w:r>
      <w:r w:rsidRPr="004C59BB">
        <w:rPr>
          <w:color w:val="0000FF"/>
          <w:lang w:val="ru-RU"/>
        </w:rPr>
        <w:t>大公会议第</w:t>
      </w:r>
      <w:r w:rsidRPr="0097554A">
        <w:rPr>
          <w:color w:val="0000FF"/>
        </w:rPr>
        <w:t>95</w:t>
      </w:r>
      <w:r w:rsidRPr="004C59BB">
        <w:rPr>
          <w:color w:val="0000FF"/>
          <w:lang w:val="ru-RU"/>
        </w:rPr>
        <w:t>条</w:t>
      </w:r>
      <w:r w:rsidRPr="0097554A">
        <w:rPr>
          <w:color w:val="0000FF"/>
        </w:rPr>
        <w:t>；</w:t>
      </w:r>
      <w:r w:rsidRPr="004C59BB">
        <w:rPr>
          <w:color w:val="0000FF"/>
          <w:lang w:val="ru-RU"/>
        </w:rPr>
        <w:t>巴西尔大帝第</w:t>
      </w:r>
      <w:r w:rsidRPr="0097554A">
        <w:rPr>
          <w:color w:val="0000FF"/>
        </w:rPr>
        <w:t>1</w:t>
      </w:r>
      <w:r w:rsidRPr="004C59BB">
        <w:rPr>
          <w:color w:val="0000FF"/>
          <w:lang w:val="ru-RU"/>
        </w:rPr>
        <w:t>条。</w:t>
      </w:r>
    </w:p>
  </w:footnote>
  <w:footnote w:id="956">
    <w:p w14:paraId="114000E1" w14:textId="7144B576" w:rsidR="00254F25" w:rsidRPr="0097554A"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依照古老的礼仪</w:t>
      </w:r>
      <w:r w:rsidRPr="0097554A">
        <w:rPr>
          <w:color w:val="0000FF"/>
        </w:rPr>
        <w:t>，</w:t>
      </w:r>
      <w:r w:rsidRPr="004C59BB">
        <w:rPr>
          <w:color w:val="0000FF"/>
          <w:lang w:val="ru-RU"/>
        </w:rPr>
        <w:t>通过按手礼</w:t>
      </w:r>
      <w:r w:rsidRPr="0097554A">
        <w:rPr>
          <w:color w:val="0000FF"/>
        </w:rPr>
        <w:t>，（</w:t>
      </w:r>
      <w:r w:rsidRPr="004C59BB">
        <w:rPr>
          <w:color w:val="0000FF"/>
          <w:lang w:val="ru-RU"/>
        </w:rPr>
        <w:t>受洗的唐纳图派信徒</w:t>
      </w:r>
      <w:r w:rsidRPr="0097554A">
        <w:rPr>
          <w:color w:val="0000FF"/>
        </w:rPr>
        <w:t>）</w:t>
      </w:r>
      <w:r w:rsidRPr="004C59BB">
        <w:rPr>
          <w:color w:val="0000FF"/>
          <w:lang w:val="ru-RU"/>
        </w:rPr>
        <w:t>应被接纳进入普世天主教会</w:t>
      </w:r>
      <w:r w:rsidRPr="0097554A">
        <w:rPr>
          <w:color w:val="0000FF"/>
        </w:rPr>
        <w:t>……”</w:t>
      </w:r>
      <w:r w:rsidRPr="004C59BB">
        <w:rPr>
          <w:color w:val="0000FF"/>
          <w:lang w:val="ru-RU"/>
        </w:rPr>
        <w:t>迦太基大公会议法规第</w:t>
      </w:r>
      <w:r w:rsidRPr="0097554A">
        <w:rPr>
          <w:color w:val="0000FF"/>
        </w:rPr>
        <w:t>68</w:t>
      </w:r>
      <w:r w:rsidRPr="004C59BB">
        <w:rPr>
          <w:color w:val="0000FF"/>
          <w:lang w:val="ru-RU"/>
        </w:rPr>
        <w:t>条。</w:t>
      </w:r>
      <w:r w:rsidRPr="004C59BB">
        <w:rPr>
          <w:color w:val="0000FF"/>
        </w:rPr>
        <w:t>参见迪奥尼修斯</w:t>
      </w:r>
      <w:r w:rsidRPr="0097554A">
        <w:rPr>
          <w:color w:val="0000FF"/>
          <w:lang w:val="ru-RU"/>
        </w:rPr>
        <w:t>·</w:t>
      </w:r>
      <w:r w:rsidRPr="004C59BB">
        <w:rPr>
          <w:color w:val="0000FF"/>
        </w:rPr>
        <w:t>亚历山大</w:t>
      </w:r>
      <w:r w:rsidRPr="004C59BB">
        <w:rPr>
          <w:color w:val="0000FF"/>
          <w:lang w:val="ru-RU"/>
        </w:rPr>
        <w:t>《</w:t>
      </w:r>
      <w:r w:rsidRPr="004C59BB">
        <w:rPr>
          <w:color w:val="0000FF"/>
        </w:rPr>
        <w:t>致斯蒂芬书》</w:t>
      </w:r>
      <w:r w:rsidRPr="0097554A">
        <w:rPr>
          <w:color w:val="0000FF"/>
          <w:lang w:val="ru-RU"/>
        </w:rPr>
        <w:t>（</w:t>
      </w:r>
      <w:r w:rsidRPr="004C59BB">
        <w:rPr>
          <w:color w:val="0000FF"/>
        </w:rPr>
        <w:t>见优西比乌《教会史》第七卷第</w:t>
      </w:r>
      <w:r w:rsidRPr="0097554A">
        <w:rPr>
          <w:color w:val="0000FF"/>
          <w:lang w:val="ru-RU"/>
        </w:rPr>
        <w:t>3</w:t>
      </w:r>
      <w:r w:rsidRPr="004C59BB">
        <w:rPr>
          <w:color w:val="0000FF"/>
        </w:rPr>
        <w:t>章</w:t>
      </w:r>
      <w:r w:rsidRPr="0097554A">
        <w:rPr>
          <w:color w:val="0000FF"/>
          <w:lang w:val="ru-RU"/>
        </w:rPr>
        <w:t>）；</w:t>
      </w:r>
      <w:r w:rsidRPr="004C59BB">
        <w:rPr>
          <w:color w:val="0000FF"/>
        </w:rPr>
        <w:t>西普里安《书信集》第LXXIV封。</w:t>
      </w:r>
    </w:p>
  </w:footnote>
  <w:footnote w:id="957">
    <w:p w14:paraId="4E0ADB81" w14:textId="3155AFFD"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第二次大公会议决议</w:t>
      </w:r>
      <w:r w:rsidRPr="004C59BB">
        <w:rPr>
          <w:color w:val="0000FF"/>
          <w:lang w:val="ru-RU"/>
        </w:rPr>
        <w:t>第7</w:t>
      </w:r>
      <w:r w:rsidRPr="004C59BB">
        <w:rPr>
          <w:color w:val="0000FF"/>
        </w:rPr>
        <w:t>条</w:t>
      </w:r>
      <w:r w:rsidRPr="004C59BB">
        <w:rPr>
          <w:color w:val="0000FF"/>
          <w:lang w:val="ru-RU"/>
        </w:rPr>
        <w:t>；拉奥迪凯亚会议决议第7条。</w:t>
      </w:r>
    </w:p>
  </w:footnote>
  <w:footnote w:id="958">
    <w:p w14:paraId="25D78A74" w14:textId="1372B52C"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拉奥迪凯亚大公会议第8条；第二次大公会议第7条；第四次大公会议第95条。“凡未以圣三之名受洗者，均须重新受洗。”大马士革，《信仰准则精确阐述》</w:t>
      </w:r>
      <w:r w:rsidRPr="004C59BB">
        <w:rPr>
          <w:color w:val="0000FF"/>
        </w:rPr>
        <w:t>第IV卷</w:t>
      </w:r>
      <w:r w:rsidRPr="0097554A">
        <w:rPr>
          <w:color w:val="0000FF"/>
          <w:lang w:val="ru-RU"/>
        </w:rPr>
        <w:t>，</w:t>
      </w:r>
      <w:r w:rsidRPr="004C59BB">
        <w:rPr>
          <w:color w:val="0000FF"/>
        </w:rPr>
        <w:t>第</w:t>
      </w:r>
      <w:r w:rsidRPr="0097554A">
        <w:rPr>
          <w:color w:val="0000FF"/>
          <w:lang w:val="ru-RU"/>
        </w:rPr>
        <w:t>9</w:t>
      </w:r>
      <w:r w:rsidRPr="004C59BB">
        <w:rPr>
          <w:color w:val="0000FF"/>
        </w:rPr>
        <w:t>章</w:t>
      </w:r>
      <w:r w:rsidRPr="0097554A">
        <w:rPr>
          <w:color w:val="0000FF"/>
          <w:lang w:val="ru-RU"/>
        </w:rPr>
        <w:t>，</w:t>
      </w:r>
      <w:r w:rsidRPr="004C59BB">
        <w:rPr>
          <w:color w:val="0000FF"/>
        </w:rPr>
        <w:t>第</w:t>
      </w:r>
      <w:r w:rsidRPr="0097554A">
        <w:rPr>
          <w:color w:val="0000FF"/>
          <w:lang w:val="ru-RU"/>
        </w:rPr>
        <w:t>234</w:t>
      </w:r>
      <w:r w:rsidRPr="004C59BB">
        <w:rPr>
          <w:color w:val="0000FF"/>
        </w:rPr>
        <w:t>页。</w:t>
      </w:r>
    </w:p>
  </w:footnote>
  <w:footnote w:id="959">
    <w:p w14:paraId="0A578AB2" w14:textId="4745E2F6"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爱任纽《反异端》第五卷</w:t>
      </w:r>
      <w:r w:rsidRPr="0097554A">
        <w:rPr>
          <w:color w:val="0000FF"/>
          <w:lang w:val="ru-RU"/>
        </w:rPr>
        <w:t>，15，3；</w:t>
      </w:r>
      <w:r w:rsidRPr="004C59BB">
        <w:rPr>
          <w:color w:val="0000FF"/>
        </w:rPr>
        <w:t>特土良《论洗礼》第十一、十二、十三、十八章</w:t>
      </w:r>
      <w:r w:rsidRPr="0097554A">
        <w:rPr>
          <w:color w:val="0000FF"/>
          <w:lang w:val="ru-RU"/>
        </w:rPr>
        <w:t>；</w:t>
      </w:r>
      <w:r w:rsidRPr="004C59BB">
        <w:rPr>
          <w:color w:val="0000FF"/>
        </w:rPr>
        <w:t>迪迪莫《论圣三一》第二卷</w:t>
      </w:r>
      <w:r w:rsidRPr="0097554A">
        <w:rPr>
          <w:color w:val="0000FF"/>
          <w:lang w:val="ru-RU"/>
        </w:rPr>
        <w:t>，12；</w:t>
      </w:r>
      <w:r w:rsidRPr="004C59BB">
        <w:rPr>
          <w:color w:val="0000FF"/>
        </w:rPr>
        <w:t>金口若望《腓立比书讲道集》第三篇</w:t>
      </w:r>
      <w:r w:rsidRPr="0097554A">
        <w:rPr>
          <w:color w:val="0000FF"/>
          <w:lang w:val="ru-RU"/>
        </w:rPr>
        <w:t>，</w:t>
      </w:r>
      <w:r w:rsidRPr="004C59BB">
        <w:rPr>
          <w:color w:val="0000FF"/>
        </w:rPr>
        <w:t>第</w:t>
      </w:r>
      <w:r w:rsidRPr="0097554A">
        <w:rPr>
          <w:color w:val="0000FF"/>
          <w:lang w:val="ru-RU"/>
        </w:rPr>
        <w:t>4</w:t>
      </w:r>
      <w:r w:rsidRPr="004C59BB">
        <w:rPr>
          <w:color w:val="0000FF"/>
        </w:rPr>
        <w:t>段。</w:t>
      </w:r>
    </w:p>
  </w:footnote>
  <w:footnote w:id="960">
    <w:p w14:paraId="3F84D80B" w14:textId="06C912B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《慕道者教理》第三卷</w:t>
      </w:r>
      <w:r w:rsidRPr="0097554A">
        <w:rPr>
          <w:color w:val="0000FF"/>
          <w:lang w:val="ru-RU"/>
        </w:rPr>
        <w:t>，</w:t>
      </w:r>
      <w:r w:rsidRPr="004C59BB">
        <w:rPr>
          <w:color w:val="0000FF"/>
        </w:rPr>
        <w:t>第</w:t>
      </w:r>
      <w:r w:rsidRPr="0097554A">
        <w:rPr>
          <w:color w:val="0000FF"/>
          <w:lang w:val="ru-RU"/>
        </w:rPr>
        <w:t>2</w:t>
      </w:r>
      <w:r w:rsidRPr="004C59BB">
        <w:rPr>
          <w:color w:val="0000FF"/>
        </w:rPr>
        <w:t>节</w:t>
      </w:r>
      <w:r w:rsidRPr="0097554A">
        <w:rPr>
          <w:color w:val="0000FF"/>
          <w:lang w:val="ru-RU"/>
        </w:rPr>
        <w:t>，</w:t>
      </w:r>
      <w:r w:rsidRPr="004C59BB">
        <w:rPr>
          <w:color w:val="0000FF"/>
        </w:rPr>
        <w:t>第</w:t>
      </w:r>
      <w:r w:rsidRPr="0097554A">
        <w:rPr>
          <w:color w:val="0000FF"/>
          <w:lang w:val="ru-RU"/>
        </w:rPr>
        <w:t>45</w:t>
      </w:r>
      <w:r w:rsidRPr="004C59BB">
        <w:rPr>
          <w:color w:val="0000FF"/>
        </w:rPr>
        <w:t>页。</w:t>
      </w:r>
    </w:p>
  </w:footnote>
  <w:footnote w:id="961">
    <w:p w14:paraId="65FC98E3" w14:textId="1136A994"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《论圣灵》，第10章，载于《圣教父</w:t>
      </w:r>
      <w:r w:rsidRPr="004C59BB">
        <w:rPr>
          <w:color w:val="0000FF"/>
        </w:rPr>
        <w:t>著作集》第七卷</w:t>
      </w:r>
      <w:r w:rsidRPr="0097554A">
        <w:rPr>
          <w:color w:val="0000FF"/>
          <w:lang w:val="ru-RU"/>
        </w:rPr>
        <w:t>，</w:t>
      </w:r>
      <w:r w:rsidRPr="004C59BB">
        <w:rPr>
          <w:color w:val="0000FF"/>
        </w:rPr>
        <w:t>第</w:t>
      </w:r>
      <w:r w:rsidRPr="0097554A">
        <w:rPr>
          <w:color w:val="0000FF"/>
          <w:lang w:val="ru-RU"/>
        </w:rPr>
        <w:t>269</w:t>
      </w:r>
      <w:r w:rsidRPr="004C59BB">
        <w:rPr>
          <w:color w:val="0000FF"/>
        </w:rPr>
        <w:t>页。</w:t>
      </w:r>
    </w:p>
  </w:footnote>
  <w:footnote w:id="962">
    <w:p w14:paraId="7D0A4DCA" w14:textId="2D6CE1D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《论亚伯拉罕》第二卷</w:t>
      </w:r>
      <w:r w:rsidRPr="0097554A">
        <w:rPr>
          <w:color w:val="0000FF"/>
          <w:lang w:val="ru-RU"/>
        </w:rPr>
        <w:t>，</w:t>
      </w:r>
      <w:r w:rsidRPr="004C59BB">
        <w:rPr>
          <w:color w:val="0000FF"/>
        </w:rPr>
        <w:t>第二章</w:t>
      </w:r>
      <w:r w:rsidRPr="0097554A">
        <w:rPr>
          <w:color w:val="0000FF"/>
          <w:lang w:val="ru-RU"/>
        </w:rPr>
        <w:t>，</w:t>
      </w:r>
      <w:r w:rsidRPr="004C59BB">
        <w:rPr>
          <w:color w:val="0000FF"/>
        </w:rPr>
        <w:t>第</w:t>
      </w:r>
      <w:r w:rsidRPr="0097554A">
        <w:rPr>
          <w:color w:val="0000FF"/>
          <w:lang w:val="ru-RU"/>
        </w:rPr>
        <w:t>79</w:t>
      </w:r>
      <w:r w:rsidRPr="004C59BB">
        <w:rPr>
          <w:color w:val="0000FF"/>
        </w:rPr>
        <w:t>节。</w:t>
      </w:r>
    </w:p>
  </w:footnote>
  <w:footnote w:id="963">
    <w:p w14:paraId="440DFE97" w14:textId="6BE375D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《论奥秘》第</w:t>
      </w:r>
      <w:r w:rsidRPr="0097554A">
        <w:rPr>
          <w:color w:val="0000FF"/>
          <w:lang w:val="ru-RU"/>
        </w:rPr>
        <w:t>4</w:t>
      </w:r>
      <w:r w:rsidRPr="004C59BB">
        <w:rPr>
          <w:color w:val="0000FF"/>
        </w:rPr>
        <w:t>章。</w:t>
      </w:r>
    </w:p>
  </w:footnote>
  <w:footnote w:id="964">
    <w:p w14:paraId="1FBC2B8F" w14:textId="2BAF854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《论教会教义》第</w:t>
      </w:r>
      <w:r w:rsidRPr="0097554A">
        <w:rPr>
          <w:color w:val="0000FF"/>
          <w:lang w:val="ru-RU"/>
        </w:rPr>
        <w:t>74</w:t>
      </w:r>
      <w:r w:rsidRPr="004C59BB">
        <w:rPr>
          <w:color w:val="0000FF"/>
        </w:rPr>
        <w:t>章。</w:t>
      </w:r>
    </w:p>
  </w:footnote>
  <w:footnote w:id="965">
    <w:p w14:paraId="7516D247" w14:textId="3CB7332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至于未受洗便去世的婴孩的归宿：关于这一点，古代教会导师们有两种主要观点。 有些人认为，这些婴孩会遭受痛苦（</w:t>
      </w:r>
      <w:r w:rsidRPr="004C59BB">
        <w:rPr>
          <w:color w:val="0000FF"/>
        </w:rPr>
        <w:t>奥古斯丁</w:t>
      </w:r>
      <w:r w:rsidRPr="004C59BB">
        <w:rPr>
          <w:color w:val="0000FF"/>
          <w:lang w:val="ru-RU"/>
        </w:rPr>
        <w:t>，《</w:t>
      </w:r>
      <w:r w:rsidRPr="004C59BB">
        <w:rPr>
          <w:color w:val="0000FF"/>
        </w:rPr>
        <w:t>论罪、惩罚与应得</w:t>
      </w:r>
      <w:r w:rsidRPr="004C59BB">
        <w:rPr>
          <w:color w:val="0000FF"/>
          <w:lang w:val="ru-RU"/>
        </w:rPr>
        <w:t>》</w:t>
      </w:r>
      <w:r w:rsidRPr="0097554A">
        <w:rPr>
          <w:color w:val="0000FF"/>
          <w:lang w:val="ru-RU"/>
        </w:rPr>
        <w:t>，</w:t>
      </w:r>
      <w:r w:rsidRPr="004C59BB">
        <w:rPr>
          <w:color w:val="0000FF"/>
        </w:rPr>
        <w:t>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16</w:t>
      </w:r>
      <w:r w:rsidRPr="004C59BB">
        <w:rPr>
          <w:color w:val="0000FF"/>
        </w:rPr>
        <w:t>章</w:t>
      </w:r>
      <w:r w:rsidRPr="0097554A">
        <w:rPr>
          <w:color w:val="0000FF"/>
          <w:lang w:val="ru-RU"/>
        </w:rPr>
        <w:t>，</w:t>
      </w:r>
      <w:r w:rsidRPr="004C59BB">
        <w:rPr>
          <w:color w:val="0000FF"/>
        </w:rPr>
        <w:t>第</w:t>
      </w:r>
      <w:r w:rsidRPr="0097554A">
        <w:rPr>
          <w:color w:val="0000FF"/>
          <w:lang w:val="ru-RU"/>
        </w:rPr>
        <w:t>21</w:t>
      </w:r>
      <w:r w:rsidRPr="004C59BB">
        <w:rPr>
          <w:color w:val="0000FF"/>
        </w:rPr>
        <w:t>节</w:t>
      </w:r>
      <w:r w:rsidRPr="0097554A">
        <w:rPr>
          <w:color w:val="0000FF"/>
          <w:lang w:val="ru-RU"/>
        </w:rPr>
        <w:t>；</w:t>
      </w:r>
      <w:r w:rsidRPr="004C59BB">
        <w:rPr>
          <w:color w:val="0000FF"/>
        </w:rPr>
        <w:t>富尔根特</w:t>
      </w:r>
      <w:r w:rsidRPr="0097554A">
        <w:rPr>
          <w:color w:val="0000FF"/>
          <w:lang w:val="ru-RU"/>
        </w:rPr>
        <w:t>，</w:t>
      </w:r>
      <w:r w:rsidRPr="004C59BB">
        <w:rPr>
          <w:color w:val="0000FF"/>
        </w:rPr>
        <w:t>《致彼得论信仰》</w:t>
      </w:r>
      <w:r w:rsidRPr="0097554A">
        <w:rPr>
          <w:color w:val="0000FF"/>
          <w:lang w:val="ru-RU"/>
        </w:rPr>
        <w:t>，</w:t>
      </w:r>
      <w:r w:rsidRPr="004C59BB">
        <w:rPr>
          <w:color w:val="0000FF"/>
        </w:rPr>
        <w:t>第</w:t>
      </w:r>
      <w:r w:rsidRPr="0097554A">
        <w:rPr>
          <w:color w:val="0000FF"/>
          <w:lang w:val="ru-RU"/>
        </w:rPr>
        <w:t>8</w:t>
      </w:r>
      <w:r w:rsidRPr="004C59BB">
        <w:rPr>
          <w:color w:val="0000FF"/>
        </w:rPr>
        <w:t>章</w:t>
      </w:r>
      <w:r w:rsidRPr="0097554A">
        <w:rPr>
          <w:color w:val="0000FF"/>
          <w:lang w:val="ru-RU"/>
        </w:rPr>
        <w:t>，</w:t>
      </w:r>
      <w:r w:rsidRPr="004C59BB">
        <w:rPr>
          <w:color w:val="0000FF"/>
        </w:rPr>
        <w:t>第</w:t>
      </w:r>
      <w:r w:rsidRPr="0097554A">
        <w:rPr>
          <w:color w:val="0000FF"/>
          <w:lang w:val="ru-RU"/>
        </w:rPr>
        <w:t>27</w:t>
      </w:r>
      <w:r w:rsidRPr="004C59BB">
        <w:rPr>
          <w:color w:val="0000FF"/>
        </w:rPr>
        <w:t>节</w:t>
      </w:r>
      <w:r w:rsidRPr="0097554A">
        <w:rPr>
          <w:color w:val="0000FF"/>
          <w:lang w:val="ru-RU"/>
        </w:rPr>
        <w:t>），</w:t>
      </w:r>
      <w:r w:rsidRPr="004C59BB">
        <w:rPr>
          <w:color w:val="0000FF"/>
        </w:rPr>
        <w:t>尽管这种痛苦在可能范围内是较轻的</w:t>
      </w:r>
      <w:r w:rsidRPr="0097554A">
        <w:rPr>
          <w:color w:val="0000FF"/>
          <w:lang w:val="ru-RU"/>
        </w:rPr>
        <w:t>（</w:t>
      </w:r>
      <w:r w:rsidRPr="004C59BB">
        <w:rPr>
          <w:color w:val="0000FF"/>
        </w:rPr>
        <w:t>奥古斯丁</w:t>
      </w:r>
      <w:r w:rsidRPr="0097554A">
        <w:rPr>
          <w:color w:val="0000FF"/>
          <w:lang w:val="ru-RU"/>
        </w:rPr>
        <w:t>，</w:t>
      </w:r>
      <w:r w:rsidRPr="004C59BB">
        <w:rPr>
          <w:color w:val="0000FF"/>
        </w:rPr>
        <w:t>《手册》</w:t>
      </w:r>
      <w:r w:rsidRPr="0097554A">
        <w:rPr>
          <w:color w:val="0000FF"/>
          <w:lang w:val="ru-RU"/>
        </w:rPr>
        <w:t>，</w:t>
      </w:r>
      <w:r w:rsidRPr="004C59BB">
        <w:rPr>
          <w:color w:val="0000FF"/>
        </w:rPr>
        <w:t>第ΧLΙΙI章</w:t>
      </w:r>
      <w:r w:rsidRPr="0097554A">
        <w:rPr>
          <w:color w:val="0000FF"/>
          <w:lang w:val="ru-RU"/>
        </w:rPr>
        <w:t>）</w:t>
      </w:r>
      <w:r w:rsidRPr="004C59BB">
        <w:rPr>
          <w:color w:val="0000FF"/>
        </w:rPr>
        <w:t>。</w:t>
      </w:r>
      <w:r w:rsidRPr="0097554A">
        <w:rPr>
          <w:color w:val="0000FF"/>
          <w:lang w:val="ru-RU"/>
        </w:rPr>
        <w:t xml:space="preserve"> </w:t>
      </w:r>
      <w:r w:rsidRPr="004C59BB">
        <w:rPr>
          <w:color w:val="0000FF"/>
          <w:lang w:val="ru-RU"/>
        </w:rPr>
        <w:t>另一些人则将他们置于幸福与受审判之间的一种中间状态。表达这一后一种观点的有：</w:t>
      </w:r>
      <w:r w:rsidRPr="004C59BB">
        <w:rPr>
          <w:color w:val="0000FF"/>
        </w:rPr>
        <w:t>a</w:t>
      </w:r>
      <w:r w:rsidRPr="004C59BB">
        <w:rPr>
          <w:color w:val="0000FF"/>
          <w:lang w:val="ru-RU"/>
        </w:rPr>
        <w:t>) 圣格里高利·尼撒：“婴孩的早逝尚不足以让人认为，以这种方式结束生命者属于不幸之列； 同样，也不意味着他们会与那些在今生以各种美德净化自身的人承受相同的命运”（致吉阿里乌斯书：论被过早死亡夺去的婴孩，《基督教读物》1838年，</w:t>
      </w:r>
      <w:r w:rsidRPr="004C59BB">
        <w:rPr>
          <w:color w:val="0000FF"/>
        </w:rPr>
        <w:t>第四卷</w:t>
      </w:r>
      <w:r w:rsidRPr="004C59BB">
        <w:rPr>
          <w:color w:val="0000FF"/>
          <w:lang w:val="ru-RU"/>
        </w:rPr>
        <w:t>）； b) 圣格里高利·神学家：“后者（因年幼而未能受洗者）在公义的审判者面前既不会受到嘉奖，也不会受到惩罚；因为，虽然他们未受圣礼印记，但并非恶人，而且他们所承受的苦难远多于他们所造成的伤害。 因为并非所有不配受惩罚的人都已配得荣耀；同样，也并非所有不配得荣耀的人都已配受惩罚”（</w:t>
      </w:r>
      <w:r w:rsidRPr="004C59BB">
        <w:rPr>
          <w:color w:val="0000FF"/>
        </w:rPr>
        <w:t>圣洗节</w:t>
      </w:r>
      <w:r w:rsidRPr="004C59BB">
        <w:rPr>
          <w:color w:val="0000FF"/>
          <w:lang w:val="ru-RU"/>
        </w:rPr>
        <w:t>讲道</w:t>
      </w:r>
      <w:r w:rsidRPr="0097554A">
        <w:rPr>
          <w:color w:val="0000FF"/>
          <w:lang w:val="ru-RU"/>
        </w:rPr>
        <w:t>，</w:t>
      </w:r>
      <w:r w:rsidRPr="004C59BB">
        <w:rPr>
          <w:color w:val="0000FF"/>
        </w:rPr>
        <w:t>载于《圣教父文集》第三卷</w:t>
      </w:r>
      <w:r w:rsidRPr="0097554A">
        <w:rPr>
          <w:color w:val="0000FF"/>
          <w:lang w:val="ru-RU"/>
        </w:rPr>
        <w:t>，</w:t>
      </w:r>
      <w:r w:rsidRPr="004C59BB">
        <w:rPr>
          <w:color w:val="0000FF"/>
        </w:rPr>
        <w:t>第</w:t>
      </w:r>
      <w:r w:rsidRPr="0097554A">
        <w:rPr>
          <w:color w:val="0000FF"/>
          <w:lang w:val="ru-RU"/>
        </w:rPr>
        <w:t>294</w:t>
      </w:r>
      <w:r w:rsidRPr="004C59BB">
        <w:rPr>
          <w:color w:val="0000FF"/>
        </w:rPr>
        <w:t>页</w:t>
      </w:r>
      <w:r w:rsidRPr="0097554A">
        <w:rPr>
          <w:color w:val="0000FF"/>
          <w:lang w:val="ru-RU"/>
        </w:rPr>
        <w:t>）</w:t>
      </w:r>
      <w:r w:rsidRPr="004C59BB">
        <w:rPr>
          <w:color w:val="0000FF"/>
        </w:rPr>
        <w:t>。参见塞维里安《约翰福音注释》第三卷（载于《经文链》）。</w:t>
      </w:r>
    </w:p>
  </w:footnote>
  <w:footnote w:id="966">
    <w:p w14:paraId="06226B28" w14:textId="5080F0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《反异端》11, 22, n. 4；参见 V, 15, n. 3。</w:t>
      </w:r>
    </w:p>
  </w:footnote>
  <w:footnote w:id="967">
    <w:p w14:paraId="38E76E30" w14:textId="0191B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《罗马书》第五至第六章注释。</w:t>
      </w:r>
    </w:p>
  </w:footnote>
  <w:footnote w:id="968">
    <w:p w14:paraId="71645096" w14:textId="62949D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《路加福音讲道集》第十四篇；《利未记讲道集》第八篇，注3。</w:t>
      </w:r>
    </w:p>
  </w:footnote>
  <w:footnote w:id="969">
    <w:p w14:paraId="5A85E817" w14:textId="638DA392"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致菲杜姆书信第LIX封，载于《教父全集》第III</w:t>
      </w:r>
      <w:r w:rsidRPr="004C59BB">
        <w:rPr>
          <w:color w:val="0000FF"/>
          <w:lang w:val="ru-RU"/>
        </w:rPr>
        <w:t>卷</w:t>
      </w:r>
      <w:r w:rsidRPr="0097554A">
        <w:rPr>
          <w:color w:val="0000FF"/>
        </w:rPr>
        <w:t>，</w:t>
      </w:r>
      <w:r w:rsidRPr="004C59BB">
        <w:rPr>
          <w:color w:val="0000FF"/>
          <w:lang w:val="ru-RU"/>
        </w:rPr>
        <w:t>第</w:t>
      </w:r>
      <w:r w:rsidRPr="0097554A">
        <w:rPr>
          <w:color w:val="0000FF"/>
        </w:rPr>
        <w:t>1013</w:t>
      </w:r>
      <w:r w:rsidRPr="004C59BB">
        <w:rPr>
          <w:color w:val="0000FF"/>
          <w:lang w:val="ru-RU"/>
        </w:rPr>
        <w:t>栏。</w:t>
      </w:r>
    </w:p>
  </w:footnote>
  <w:footnote w:id="970">
    <w:p w14:paraId="7E6BEE85" w14:textId="4BAB778C"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《主显节讲道集》</w:t>
      </w:r>
      <w:r w:rsidRPr="0097554A">
        <w:rPr>
          <w:color w:val="0000FF"/>
        </w:rPr>
        <w:t>，</w:t>
      </w:r>
      <w:r w:rsidRPr="004C59BB">
        <w:rPr>
          <w:color w:val="0000FF"/>
          <w:lang w:val="ru-RU"/>
        </w:rPr>
        <w:t>载于《圣</w:t>
      </w:r>
      <w:r w:rsidRPr="004C59BB">
        <w:rPr>
          <w:color w:val="0000FF"/>
        </w:rPr>
        <w:t>教父文</w:t>
      </w:r>
      <w:r w:rsidRPr="004C59BB">
        <w:rPr>
          <w:color w:val="0000FF"/>
          <w:lang w:val="ru-RU"/>
        </w:rPr>
        <w:t>集》</w:t>
      </w:r>
      <w:r w:rsidRPr="004C59BB">
        <w:rPr>
          <w:color w:val="0000FF"/>
        </w:rPr>
        <w:t>第三卷，第287页。</w:t>
      </w:r>
    </w:p>
  </w:footnote>
  <w:footnote w:id="971">
    <w:p w14:paraId="0A379C9D" w14:textId="2143B9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第CLXXVI篇讲道，论使徒之言，注2。另见：母教会为婴孩施洗的惯例绝不可轻视，亦不可视为毫无必要，更不可全盘采信，除非这是使徒的传统（《创世记注》，致X书信，23，注30）。</w:t>
      </w:r>
    </w:p>
  </w:footnote>
  <w:footnote w:id="972">
    <w:p w14:paraId="55833188" w14:textId="73A1198A"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使徒宪章》第六卷，第15章；狄奥尼修斯·阿雷奥帕戈斯《论教会层级》第七章，第11节；亚历山大的克莱门特《教导》第三卷，第11章；伊西多尔·韦伊乌斯，第三卷，第CXCV封书信；安布罗斯《论亚伯拉罕》第二</w:t>
      </w:r>
      <w:r w:rsidRPr="004C59BB">
        <w:rPr>
          <w:color w:val="0000FF"/>
          <w:lang w:val="ru-RU"/>
        </w:rPr>
        <w:t>卷</w:t>
      </w:r>
      <w:r w:rsidRPr="0097554A">
        <w:rPr>
          <w:color w:val="0000FF"/>
        </w:rPr>
        <w:t>，</w:t>
      </w:r>
      <w:r w:rsidRPr="004C59BB">
        <w:rPr>
          <w:color w:val="0000FF"/>
          <w:lang w:val="ru-RU"/>
        </w:rPr>
        <w:t>第</w:t>
      </w:r>
      <w:r w:rsidRPr="0097554A">
        <w:rPr>
          <w:color w:val="0000FF"/>
        </w:rPr>
        <w:t>81</w:t>
      </w:r>
      <w:r w:rsidRPr="004C59BB">
        <w:rPr>
          <w:color w:val="0000FF"/>
          <w:lang w:val="ru-RU"/>
        </w:rPr>
        <w:t>节</w:t>
      </w:r>
      <w:r w:rsidRPr="0097554A">
        <w:rPr>
          <w:color w:val="0000FF"/>
        </w:rPr>
        <w:t>；</w:t>
      </w:r>
      <w:r w:rsidRPr="004C59BB">
        <w:rPr>
          <w:color w:val="0000FF"/>
          <w:lang w:val="ru-RU"/>
        </w:rPr>
        <w:t>金口若望《</w:t>
      </w:r>
      <w:r w:rsidRPr="004C59BB">
        <w:rPr>
          <w:color w:val="0000FF"/>
        </w:rPr>
        <w:t>致</w:t>
      </w:r>
      <w:r w:rsidRPr="004C59BB">
        <w:rPr>
          <w:color w:val="0000FF"/>
          <w:lang w:val="ru-RU"/>
        </w:rPr>
        <w:t>新教徒讲道集》。</w:t>
      </w:r>
    </w:p>
  </w:footnote>
  <w:footnote w:id="973">
    <w:p w14:paraId="361CD49A" w14:textId="55CACB08"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从教会将一万四千名在伯利恒被希律王为基督之故杀害的婴孩列为圣人</w:t>
      </w:r>
      <w:r w:rsidRPr="0097554A">
        <w:rPr>
          <w:color w:val="0000FF"/>
        </w:rPr>
        <w:t>（12</w:t>
      </w:r>
      <w:r w:rsidRPr="004C59BB">
        <w:rPr>
          <w:color w:val="0000FF"/>
          <w:lang w:val="ru-RU"/>
        </w:rPr>
        <w:t>月</w:t>
      </w:r>
      <w:r w:rsidRPr="0097554A">
        <w:rPr>
          <w:color w:val="0000FF"/>
        </w:rPr>
        <w:t>29</w:t>
      </w:r>
      <w:r w:rsidRPr="004C59BB">
        <w:rPr>
          <w:color w:val="0000FF"/>
          <w:lang w:val="ru-RU"/>
        </w:rPr>
        <w:t>日</w:t>
      </w:r>
      <w:r w:rsidRPr="0097554A">
        <w:rPr>
          <w:color w:val="0000FF"/>
        </w:rPr>
        <w:t>）</w:t>
      </w:r>
      <w:r w:rsidRPr="004C59BB">
        <w:rPr>
          <w:color w:val="0000FF"/>
          <w:lang w:val="ru-RU"/>
        </w:rPr>
        <w:t>并予以纪念这一事实中</w:t>
      </w:r>
      <w:r w:rsidRPr="0097554A">
        <w:rPr>
          <w:color w:val="0000FF"/>
        </w:rPr>
        <w:t>，</w:t>
      </w:r>
      <w:r w:rsidRPr="004C59BB">
        <w:rPr>
          <w:color w:val="0000FF"/>
          <w:lang w:val="ru-RU"/>
        </w:rPr>
        <w:t>可以看出教会的这一信仰。</w:t>
      </w:r>
    </w:p>
  </w:footnote>
  <w:footnote w:id="974">
    <w:p w14:paraId="39C3F64A" w14:textId="38060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致朱巴伊安书第LXXVIII封；《劝勉殉道者》序言。</w:t>
      </w:r>
    </w:p>
  </w:footnote>
  <w:footnote w:id="975">
    <w:p w14:paraId="01566234" w14:textId="17B9548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《教义概要》</w:t>
      </w:r>
      <w:r w:rsidRPr="004C59BB">
        <w:rPr>
          <w:color w:val="0000FF"/>
        </w:rPr>
        <w:t>第三</w:t>
      </w:r>
      <w:r w:rsidRPr="004C59BB">
        <w:rPr>
          <w:color w:val="0000FF"/>
          <w:lang w:val="ru-RU"/>
        </w:rPr>
        <w:t>卷</w:t>
      </w:r>
      <w:r w:rsidRPr="0097554A">
        <w:rPr>
          <w:color w:val="0000FF"/>
        </w:rPr>
        <w:t>，</w:t>
      </w:r>
      <w:r w:rsidRPr="004C59BB">
        <w:rPr>
          <w:color w:val="0000FF"/>
        </w:rPr>
        <w:t>第</w:t>
      </w:r>
      <w:r w:rsidRPr="0097554A">
        <w:rPr>
          <w:color w:val="0000FF"/>
        </w:rPr>
        <w:t>8</w:t>
      </w:r>
      <w:r w:rsidRPr="004C59BB">
        <w:rPr>
          <w:color w:val="0000FF"/>
          <w:lang w:val="ru-RU"/>
        </w:rPr>
        <w:t>条</w:t>
      </w:r>
      <w:r w:rsidRPr="0097554A">
        <w:rPr>
          <w:color w:val="0000FF"/>
        </w:rPr>
        <w:t>，</w:t>
      </w:r>
      <w:r w:rsidRPr="004C59BB">
        <w:rPr>
          <w:color w:val="0000FF"/>
          <w:lang w:val="ru-RU"/>
        </w:rPr>
        <w:t>第</w:t>
      </w:r>
      <w:r w:rsidRPr="0097554A">
        <w:rPr>
          <w:color w:val="0000FF"/>
        </w:rPr>
        <w:t>50–51</w:t>
      </w:r>
      <w:r w:rsidRPr="004C59BB">
        <w:rPr>
          <w:color w:val="0000FF"/>
          <w:lang w:val="ru-RU"/>
        </w:rPr>
        <w:t>页。</w:t>
      </w:r>
    </w:p>
  </w:footnote>
  <w:footnote w:id="976">
    <w:p w14:paraId="204B2505" w14:textId="134E285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《论圣灵》</w:t>
      </w:r>
      <w:r w:rsidRPr="0097554A">
        <w:rPr>
          <w:color w:val="0000FF"/>
        </w:rPr>
        <w:t>，</w:t>
      </w:r>
      <w:r w:rsidRPr="004C59BB">
        <w:rPr>
          <w:color w:val="0000FF"/>
          <w:lang w:val="ru-RU"/>
        </w:rPr>
        <w:t>第</w:t>
      </w:r>
      <w:r w:rsidRPr="0097554A">
        <w:rPr>
          <w:color w:val="0000FF"/>
        </w:rPr>
        <w:t>15</w:t>
      </w:r>
      <w:r w:rsidRPr="004C59BB">
        <w:rPr>
          <w:color w:val="0000FF"/>
          <w:lang w:val="ru-RU"/>
        </w:rPr>
        <w:t>章</w:t>
      </w:r>
      <w:r w:rsidRPr="0097554A">
        <w:rPr>
          <w:color w:val="0000FF"/>
        </w:rPr>
        <w:t>，</w:t>
      </w:r>
      <w:r w:rsidRPr="004C59BB">
        <w:rPr>
          <w:color w:val="0000FF"/>
          <w:lang w:val="ru-RU"/>
        </w:rPr>
        <w:t>载于《圣教父著作集》</w:t>
      </w:r>
      <w:r w:rsidRPr="004C59BB">
        <w:rPr>
          <w:color w:val="0000FF"/>
        </w:rPr>
        <w:t>第七卷</w:t>
      </w:r>
      <w:r w:rsidRPr="0097554A">
        <w:rPr>
          <w:color w:val="0000FF"/>
        </w:rPr>
        <w:t>，</w:t>
      </w:r>
      <w:r w:rsidRPr="004C59BB">
        <w:rPr>
          <w:color w:val="0000FF"/>
          <w:lang w:val="ru-RU"/>
        </w:rPr>
        <w:t>第</w:t>
      </w:r>
      <w:r w:rsidRPr="0097554A">
        <w:rPr>
          <w:color w:val="0000FF"/>
        </w:rPr>
        <w:t>285</w:t>
      </w:r>
      <w:r w:rsidRPr="004C59BB">
        <w:rPr>
          <w:color w:val="0000FF"/>
          <w:lang w:val="ru-RU"/>
        </w:rPr>
        <w:t>页。</w:t>
      </w:r>
    </w:p>
  </w:footnote>
  <w:footnote w:id="977">
    <w:p w14:paraId="779ED52E" w14:textId="2330A62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《论主显节的圣光》一文</w:t>
      </w:r>
      <w:r w:rsidRPr="0097554A">
        <w:rPr>
          <w:color w:val="0000FF"/>
        </w:rPr>
        <w:t>，</w:t>
      </w:r>
      <w:r w:rsidRPr="004C59BB">
        <w:rPr>
          <w:color w:val="0000FF"/>
          <w:lang w:val="ru-RU"/>
        </w:rPr>
        <w:t>同上</w:t>
      </w:r>
      <w:r w:rsidRPr="0097554A">
        <w:rPr>
          <w:color w:val="0000FF"/>
        </w:rPr>
        <w:t>——</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268</w:t>
      </w:r>
      <w:r w:rsidRPr="004C59BB">
        <w:rPr>
          <w:color w:val="0000FF"/>
          <w:lang w:val="ru-RU"/>
        </w:rPr>
        <w:t>页。</w:t>
      </w:r>
    </w:p>
  </w:footnote>
  <w:footnote w:id="978">
    <w:p w14:paraId="1A048A72" w14:textId="0C638CBC"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以基督亲自为我们所受的血与殉道之洗礼</w:t>
      </w:r>
      <w:r w:rsidRPr="0097554A">
        <w:rPr>
          <w:color w:val="0000FF"/>
        </w:rPr>
        <w:t>，</w:t>
      </w:r>
      <w:r w:rsidRPr="004C59BB">
        <w:rPr>
          <w:color w:val="0000FF"/>
          <w:lang w:val="ru-RU"/>
        </w:rPr>
        <w:t>是最荣耀、最幸福的</w:t>
      </w:r>
      <w:r w:rsidRPr="0097554A">
        <w:rPr>
          <w:color w:val="0000FF"/>
        </w:rPr>
        <w:t>，</w:t>
      </w:r>
      <w:r w:rsidRPr="004C59BB">
        <w:rPr>
          <w:color w:val="0000FF"/>
          <w:lang w:val="ru-RU"/>
        </w:rPr>
        <w:t>因为它不会再被后续的污秽所玷污</w:t>
      </w:r>
      <w:r w:rsidRPr="0097554A">
        <w:rPr>
          <w:color w:val="0000FF"/>
        </w:rPr>
        <w:t>”（</w:t>
      </w:r>
      <w:r w:rsidRPr="004C59BB">
        <w:rPr>
          <w:color w:val="0000FF"/>
          <w:lang w:val="ru-RU"/>
        </w:rPr>
        <w:t>《正统信仰精要》</w:t>
      </w:r>
      <w:r w:rsidRPr="004C59BB">
        <w:rPr>
          <w:color w:val="0000FF"/>
        </w:rPr>
        <w:t>第四</w:t>
      </w:r>
      <w:r w:rsidRPr="004C59BB">
        <w:rPr>
          <w:color w:val="0000FF"/>
          <w:lang w:val="ru-RU"/>
        </w:rPr>
        <w:t>卷</w:t>
      </w:r>
      <w:r w:rsidRPr="004C59BB">
        <w:rPr>
          <w:color w:val="0000FF"/>
        </w:rPr>
        <w:t>，第九章，第239页）。</w:t>
      </w:r>
    </w:p>
  </w:footnote>
  <w:footnote w:id="979">
    <w:p w14:paraId="37951095" w14:textId="4C5CF688"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《约翰福音注释》第VI卷，第26节；《致殉道者劝勉》，第30条；《犹大书讲道集》第七篇，第20条。</w:t>
      </w:r>
    </w:p>
  </w:footnote>
  <w:footnote w:id="980">
    <w:p w14:paraId="21E5FC43" w14:textId="751228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《论洗礼》第XVI章；《反斯柯皮亚斯》第VI章。</w:t>
      </w:r>
    </w:p>
  </w:footnote>
  <w:footnote w:id="981">
    <w:p w14:paraId="4CFB7431" w14:textId="0F6C8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《圣潘菲利乌斯殉道录》第VI章。</w:t>
      </w:r>
    </w:p>
  </w:footnote>
  <w:footnote w:id="982">
    <w:p w14:paraId="7244A1A4" w14:textId="3C94C4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见《诗篇》第18篇，第14节；《瓦伦丁殡葬讲道集》，第53节。</w:t>
      </w:r>
    </w:p>
  </w:footnote>
  <w:footnote w:id="983">
    <w:p w14:paraId="392EEF3F" w14:textId="46133E1C"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金口若望，《圣卢西安殉道者讲道集》，第2章；迪迪莫，《论三位一体》，</w:t>
      </w:r>
      <w:r w:rsidRPr="004C59BB">
        <w:rPr>
          <w:color w:val="0000FF"/>
          <w:lang w:val="ru-RU"/>
        </w:rPr>
        <w:t>第</w:t>
      </w:r>
      <w:r w:rsidRPr="0097554A">
        <w:rPr>
          <w:color w:val="0000FF"/>
        </w:rPr>
        <w:t>11</w:t>
      </w:r>
      <w:r w:rsidRPr="004C59BB">
        <w:rPr>
          <w:color w:val="0000FF"/>
          <w:lang w:val="ru-RU"/>
        </w:rPr>
        <w:t>、</w:t>
      </w:r>
      <w:r w:rsidRPr="0097554A">
        <w:rPr>
          <w:color w:val="0000FF"/>
        </w:rPr>
        <w:t>12</w:t>
      </w:r>
      <w:r w:rsidRPr="004C59BB">
        <w:rPr>
          <w:color w:val="0000FF"/>
          <w:lang w:val="ru-RU"/>
        </w:rPr>
        <w:t>章</w:t>
      </w:r>
      <w:r w:rsidRPr="0097554A">
        <w:rPr>
          <w:color w:val="0000FF"/>
        </w:rPr>
        <w:t>；</w:t>
      </w:r>
      <w:r w:rsidRPr="004C59BB">
        <w:rPr>
          <w:color w:val="0000FF"/>
        </w:rPr>
        <w:t>奥古斯丁</w:t>
      </w:r>
      <w:r w:rsidRPr="0097554A">
        <w:rPr>
          <w:color w:val="0000FF"/>
        </w:rPr>
        <w:t>，</w:t>
      </w:r>
      <w:r w:rsidRPr="004C59BB">
        <w:rPr>
          <w:color w:val="0000FF"/>
          <w:lang w:val="ru-RU"/>
        </w:rPr>
        <w:t>《论洗礼》</w:t>
      </w:r>
      <w:r w:rsidRPr="0097554A">
        <w:rPr>
          <w:color w:val="0000FF"/>
        </w:rPr>
        <w:t>，</w:t>
      </w:r>
      <w:r w:rsidRPr="004C59BB">
        <w:rPr>
          <w:color w:val="0000FF"/>
        </w:rPr>
        <w:t>第四</w:t>
      </w:r>
      <w:r w:rsidRPr="004C59BB">
        <w:rPr>
          <w:color w:val="0000FF"/>
          <w:lang w:val="ru-RU"/>
        </w:rPr>
        <w:t>卷</w:t>
      </w:r>
      <w:r w:rsidRPr="0097554A">
        <w:rPr>
          <w:color w:val="0000FF"/>
        </w:rPr>
        <w:t>，</w:t>
      </w:r>
      <w:r w:rsidRPr="004C59BB">
        <w:rPr>
          <w:color w:val="0000FF"/>
          <w:lang w:val="ru-RU"/>
        </w:rPr>
        <w:t>第</w:t>
      </w:r>
      <w:r w:rsidRPr="0097554A">
        <w:rPr>
          <w:color w:val="0000FF"/>
        </w:rPr>
        <w:t>22</w:t>
      </w:r>
      <w:r w:rsidRPr="004C59BB">
        <w:rPr>
          <w:color w:val="0000FF"/>
          <w:lang w:val="ru-RU"/>
        </w:rPr>
        <w:t>章</w:t>
      </w:r>
      <w:r w:rsidRPr="0097554A">
        <w:rPr>
          <w:color w:val="0000FF"/>
        </w:rPr>
        <w:t>，</w:t>
      </w:r>
      <w:r w:rsidRPr="004C59BB">
        <w:rPr>
          <w:color w:val="0000FF"/>
          <w:lang w:val="ru-RU"/>
        </w:rPr>
        <w:t>第</w:t>
      </w:r>
      <w:r w:rsidRPr="0097554A">
        <w:rPr>
          <w:color w:val="0000FF"/>
        </w:rPr>
        <w:t>28</w:t>
      </w:r>
      <w:r w:rsidRPr="004C59BB">
        <w:rPr>
          <w:color w:val="0000FF"/>
          <w:lang w:val="ru-RU"/>
        </w:rPr>
        <w:t>节</w:t>
      </w:r>
      <w:r w:rsidRPr="0097554A">
        <w:rPr>
          <w:color w:val="0000FF"/>
        </w:rPr>
        <w:t>；</w:t>
      </w:r>
      <w:r w:rsidRPr="004C59BB">
        <w:rPr>
          <w:color w:val="0000FF"/>
        </w:rPr>
        <w:t>《上帝之城</w:t>
      </w:r>
      <w:r w:rsidRPr="004C59BB">
        <w:rPr>
          <w:color w:val="0000FF"/>
          <w:lang w:val="ru-RU"/>
        </w:rPr>
        <w:t>》</w:t>
      </w:r>
      <w:r w:rsidRPr="0097554A">
        <w:rPr>
          <w:color w:val="0000FF"/>
        </w:rPr>
        <w:t>，</w:t>
      </w:r>
      <w:r w:rsidRPr="004C59BB">
        <w:rPr>
          <w:color w:val="0000FF"/>
        </w:rPr>
        <w:t>第十三卷</w:t>
      </w:r>
      <w:r w:rsidRPr="0097554A">
        <w:rPr>
          <w:color w:val="0000FF"/>
        </w:rPr>
        <w:t>，</w:t>
      </w:r>
      <w:r w:rsidRPr="004C59BB">
        <w:rPr>
          <w:color w:val="0000FF"/>
          <w:lang w:val="ru-RU"/>
        </w:rPr>
        <w:t>第</w:t>
      </w:r>
      <w:r w:rsidRPr="0097554A">
        <w:rPr>
          <w:color w:val="0000FF"/>
        </w:rPr>
        <w:t>7</w:t>
      </w:r>
      <w:r w:rsidRPr="004C59BB">
        <w:rPr>
          <w:color w:val="0000FF"/>
          <w:lang w:val="ru-RU"/>
        </w:rPr>
        <w:t>章。</w:t>
      </w:r>
    </w:p>
  </w:footnote>
  <w:footnote w:id="984">
    <w:p w14:paraId="2039C0FB" w14:textId="3A54CE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格纳迪乌斯《论教会教义》第LXI章；卡西安《文集》第XX卷，第8章。</w:t>
      </w:r>
    </w:p>
  </w:footnote>
  <w:footnote w:id="985">
    <w:p w14:paraId="556E027F" w14:textId="307797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针对这一规定，瓦尔萨蒙作如下评注：正因如此，制定者仅提及主教和长老，因为其他人无权施洗。</w:t>
      </w:r>
    </w:p>
  </w:footnote>
  <w:footnote w:id="986">
    <w:p w14:paraId="07562C62" w14:textId="49AA5DF4"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但仅指在执事辅佐下的主教和长老。</w:t>
      </w:r>
      <w:r w:rsidRPr="004C59BB">
        <w:rPr>
          <w:color w:val="0000FF"/>
        </w:rPr>
        <w:t>第三卷，第11章。</w:t>
      </w:r>
    </w:p>
  </w:footnote>
  <w:footnote w:id="987">
    <w:p w14:paraId="5C7689DD" w14:textId="05E897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《致士麦那书》第VIII章。</w:t>
      </w:r>
    </w:p>
  </w:footnote>
  <w:footnote w:id="988">
    <w:p w14:paraId="61B25A39" w14:textId="255EBF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《论洗礼》第XVII章。</w:t>
      </w:r>
    </w:p>
  </w:footnote>
  <w:footnote w:id="989">
    <w:p w14:paraId="24157570" w14:textId="4CE5D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狄奥尼修斯·阿雷奥帕戈斯《论圣事与教会》第II章，第11节，第7段；安布罗斯《论圣事》第III章，第8节；《论圣礼》第III卷，第1章；耶罗尼姆《反路西弗》第IV章；埃皮法尼乌斯《论异端》第VII卷，第34节； LXXIX，第3条，第7款；希拉里《诗篇注释》LXVII，32；亚历山大的迪迪莫斯《论三位一体》11，12；奥古斯丁《上帝之城》XXII，18；《反帕尔梅尼德书信》11，13。</w:t>
      </w:r>
    </w:p>
  </w:footnote>
  <w:footnote w:id="990">
    <w:p w14:paraId="3B4C82FA" w14:textId="49AD0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特土良《论洗礼》第十七章；耶路撒冷的西里尔《讲道集》第十七章，第35节，第401–402页；提奥多雷特《历代志下注释》问题1。</w:t>
      </w:r>
    </w:p>
  </w:footnote>
  <w:footnote w:id="991">
    <w:p w14:paraId="2F997760" w14:textId="2928F2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“执事……不得施洗。”第八卷，第28章。</w:t>
      </w:r>
    </w:p>
  </w:footnote>
  <w:footnote w:id="992">
    <w:p w14:paraId="485E4319" w14:textId="22EB6A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《异端论》第LXXXIX章，第4节。</w:t>
      </w:r>
    </w:p>
  </w:footnote>
  <w:footnote w:id="993">
    <w:p w14:paraId="6FDCEB3B" w14:textId="7B27A7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否则，平信徒也有……（特土良《论洗礼》第17章）。我们知道，若确有必要，平信徒施洗也是被允许的（耶罗尼莫《反路西弗》第4章）。</w:t>
      </w:r>
    </w:p>
  </w:footnote>
  <w:footnote w:id="994">
    <w:p w14:paraId="1CB9872E" w14:textId="275EC485" w:rsidR="00254F25" w:rsidRPr="0097554A" w:rsidRDefault="00000000">
      <w:pPr>
        <w:pStyle w:val="FootnoteText"/>
        <w:rPr>
          <w:color w:val="0000FF"/>
          <w:lang w:val="ru-RU"/>
        </w:rPr>
      </w:pPr>
      <w:r w:rsidRPr="004C59BB">
        <w:rPr>
          <w:rStyle w:val="FootnoteReference"/>
          <w:color w:val="0000FF"/>
        </w:rPr>
        <w:footnoteRef/>
      </w:r>
      <w:r w:rsidRPr="004C59BB">
        <w:rPr>
          <w:color w:val="0000FF"/>
        </w:rPr>
        <w:t xml:space="preserve"> 莫斯库斯，《灵性实践》第III章；尼西弗鲁斯，《忏悔录》第LI条</w:t>
      </w:r>
      <w:r w:rsidRPr="004C59BB">
        <w:rPr>
          <w:color w:val="0000FF"/>
          <w:lang w:val="ru-RU"/>
        </w:rPr>
        <w:t xml:space="preserve">。不过，如果一名婴儿因必要由平信徒以浸礼方式，奉至圣三位一体之名受洗后仍存活，根据教会规定，除已完成的仪式外，其余所有洗礼仪式均须由神父为该婴儿补行。 </w:t>
      </w:r>
      <w:r w:rsidRPr="004C59BB">
        <w:rPr>
          <w:color w:val="0000FF"/>
        </w:rPr>
        <w:t>参见《圣礼书》</w:t>
      </w:r>
      <w:r w:rsidRPr="0097554A">
        <w:rPr>
          <w:color w:val="0000FF"/>
          <w:lang w:val="ru-RU"/>
        </w:rPr>
        <w:t>（</w:t>
      </w:r>
      <w:r w:rsidRPr="004C59BB">
        <w:rPr>
          <w:color w:val="0000FF"/>
        </w:rPr>
        <w:t>或称《礼仪手册》</w:t>
      </w:r>
      <w:r w:rsidRPr="0097554A">
        <w:rPr>
          <w:color w:val="0000FF"/>
          <w:lang w:val="ru-RU"/>
        </w:rPr>
        <w:t>），</w:t>
      </w:r>
      <w:r w:rsidRPr="004C59BB">
        <w:rPr>
          <w:color w:val="0000FF"/>
        </w:rPr>
        <w:t>基辅</w:t>
      </w:r>
      <w:r w:rsidRPr="0097554A">
        <w:rPr>
          <w:color w:val="0000FF"/>
          <w:lang w:val="ru-RU"/>
        </w:rPr>
        <w:t>1651</w:t>
      </w:r>
      <w:r w:rsidRPr="004C59BB">
        <w:rPr>
          <w:color w:val="0000FF"/>
        </w:rPr>
        <w:t>年版</w:t>
      </w:r>
      <w:r w:rsidRPr="0097554A">
        <w:rPr>
          <w:color w:val="0000FF"/>
          <w:lang w:val="ru-RU"/>
        </w:rPr>
        <w:t>，</w:t>
      </w:r>
      <w:r w:rsidRPr="004C59BB">
        <w:rPr>
          <w:color w:val="0000FF"/>
        </w:rPr>
        <w:t>第</w:t>
      </w:r>
      <w:r w:rsidRPr="0097554A">
        <w:rPr>
          <w:color w:val="0000FF"/>
          <w:lang w:val="ru-RU"/>
        </w:rPr>
        <w:t>40</w:t>
      </w:r>
      <w:r w:rsidRPr="004C59BB">
        <w:rPr>
          <w:color w:val="0000FF"/>
        </w:rPr>
        <w:t>页。</w:t>
      </w:r>
    </w:p>
  </w:footnote>
  <w:footnote w:id="995">
    <w:p w14:paraId="208621D7" w14:textId="3766E1F3"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妇女不得在教堂中说话</w:t>
      </w:r>
      <w:r w:rsidRPr="0097554A">
        <w:rPr>
          <w:color w:val="0000FF"/>
          <w:lang w:val="ru-RU"/>
        </w:rPr>
        <w:t>，</w:t>
      </w:r>
      <w:r w:rsidRPr="004C59BB">
        <w:rPr>
          <w:color w:val="0000FF"/>
        </w:rPr>
        <w:t>也不得讲道、涂抹圣油或献祭</w:t>
      </w:r>
      <w:r w:rsidRPr="0097554A">
        <w:rPr>
          <w:color w:val="0000FF"/>
          <w:lang w:val="ru-RU"/>
        </w:rPr>
        <w:t>……”（</w:t>
      </w:r>
      <w:r w:rsidRPr="004C59BB">
        <w:rPr>
          <w:color w:val="0000FF"/>
        </w:rPr>
        <w:t>特土良《论蒙面贞女》第</w:t>
      </w:r>
      <w:r w:rsidRPr="0097554A">
        <w:rPr>
          <w:color w:val="0000FF"/>
          <w:lang w:val="ru-RU"/>
        </w:rPr>
        <w:t>9</w:t>
      </w:r>
      <w:r w:rsidRPr="004C59BB">
        <w:rPr>
          <w:color w:val="0000FF"/>
        </w:rPr>
        <w:t>章</w:t>
      </w:r>
      <w:r w:rsidRPr="0097554A">
        <w:rPr>
          <w:color w:val="0000FF"/>
          <w:lang w:val="ru-RU"/>
        </w:rPr>
        <w:t>）</w:t>
      </w:r>
      <w:r w:rsidRPr="004C59BB">
        <w:rPr>
          <w:color w:val="0000FF"/>
        </w:rPr>
        <w:t>。“这些异端妇女，多么放肆！竟敢讲道……甚至或许还敢涂抹圣油”（《论异端禁令》第XLI章）。</w:t>
      </w:r>
    </w:p>
  </w:footnote>
  <w:footnote w:id="996">
    <w:p w14:paraId="316BB4B6" w14:textId="1DF60A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埃皮法尼乌斯《异端论》第LXXIX章；参见《使徒宪章》第三卷第9章。</w:t>
      </w:r>
    </w:p>
  </w:footnote>
  <w:footnote w:id="997">
    <w:p w14:paraId="1C108AD0" w14:textId="14592A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埃皮法尼乌斯《异端论》第XXII章。参见巴尔萨姆《特鲁尔公会议注释》第XCV章。</w:t>
      </w:r>
    </w:p>
  </w:footnote>
  <w:footnote w:id="998">
    <w:p w14:paraId="0990071A" w14:textId="0D561F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赫尔米特·西蒙《论西蒙》第九章，第17节；贾斯汀《护教辞》第一卷，第61节；希波吕托斯《论苏珊》第17节；金口若望《讲道集》第一卷，第2节。</w:t>
      </w:r>
    </w:p>
  </w:footnote>
  <w:footnote w:id="999">
    <w:p w14:paraId="1020877E" w14:textId="06F6F2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《使徒宪章》第七卷，第39、40节；圣西里尔·耶路撒冷，《讲道集》。</w:t>
      </w:r>
    </w:p>
  </w:footnote>
  <w:footnote w:id="1000">
    <w:p w14:paraId="560EFD2B" w14:textId="0BE7B7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亚历山大的克莱门特，《杂论》第五卷，第11章；特土良，《论洗礼》第二十章</w:t>
      </w:r>
      <w:r w:rsidRPr="0097554A">
        <w:rPr>
          <w:color w:val="0000FF"/>
        </w:rPr>
        <w:t>；</w:t>
      </w:r>
      <w:r w:rsidRPr="004C59BB">
        <w:rPr>
          <w:color w:val="0000FF"/>
          <w:lang w:val="ru-RU"/>
        </w:rPr>
        <w:t>耶路撒冷的西里尔</w:t>
      </w:r>
      <w:r w:rsidRPr="0097554A">
        <w:rPr>
          <w:color w:val="0000FF"/>
        </w:rPr>
        <w:t>，</w:t>
      </w:r>
      <w:r w:rsidRPr="004C59BB">
        <w:rPr>
          <w:color w:val="0000FF"/>
          <w:lang w:val="ru-RU"/>
        </w:rPr>
        <w:t>《洗礼前讲道》</w:t>
      </w:r>
      <w:r w:rsidRPr="004C59BB">
        <w:rPr>
          <w:color w:val="0000FF"/>
        </w:rPr>
        <w:t>第一卷，第25节，第18–21页；金口若望，《以弗所讲道集》第一卷，第3节。</w:t>
      </w:r>
    </w:p>
  </w:footnote>
  <w:footnote w:id="1001">
    <w:p w14:paraId="459DD9F0" w14:textId="436C5D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特土良《论军事加冕》第3章；</w:t>
      </w:r>
      <w:r w:rsidRPr="004C59BB">
        <w:rPr>
          <w:color w:val="0000FF"/>
          <w:lang w:val="ru-RU"/>
        </w:rPr>
        <w:t>《使徒宪章》</w:t>
      </w:r>
      <w:r w:rsidRPr="004C59BB">
        <w:rPr>
          <w:color w:val="0000FF"/>
        </w:rPr>
        <w:t>第七</w:t>
      </w:r>
      <w:r w:rsidRPr="004C59BB">
        <w:rPr>
          <w:color w:val="0000FF"/>
          <w:lang w:val="ru-RU"/>
        </w:rPr>
        <w:t>卷</w:t>
      </w:r>
      <w:r w:rsidRPr="0097554A">
        <w:rPr>
          <w:color w:val="0000FF"/>
        </w:rPr>
        <w:t>，</w:t>
      </w:r>
      <w:r w:rsidRPr="004C59BB">
        <w:rPr>
          <w:color w:val="0000FF"/>
          <w:lang w:val="ru-RU"/>
        </w:rPr>
        <w:t>第</w:t>
      </w:r>
      <w:r w:rsidRPr="0097554A">
        <w:rPr>
          <w:color w:val="0000FF"/>
        </w:rPr>
        <w:t>41</w:t>
      </w:r>
      <w:r w:rsidRPr="004C59BB">
        <w:rPr>
          <w:color w:val="0000FF"/>
          <w:lang w:val="ru-RU"/>
        </w:rPr>
        <w:t>章</w:t>
      </w:r>
      <w:r w:rsidRPr="0097554A">
        <w:rPr>
          <w:color w:val="0000FF"/>
        </w:rPr>
        <w:t>；</w:t>
      </w:r>
      <w:r w:rsidRPr="004C59BB">
        <w:rPr>
          <w:color w:val="0000FF"/>
          <w:lang w:val="ru-RU"/>
        </w:rPr>
        <w:t>耶路撒冷的西里尔《洗礼讲道》</w:t>
      </w:r>
      <w:r w:rsidRPr="004C59BB">
        <w:rPr>
          <w:color w:val="0000FF"/>
        </w:rPr>
        <w:t>第1卷，第2、3条；耶罗尼姆《阿摩司书注释》第六卷，第14章；《马太福音注释》第二十五卷，第26章。</w:t>
      </w:r>
    </w:p>
  </w:footnote>
  <w:footnote w:id="1002">
    <w:p w14:paraId="3A3F2ADF" w14:textId="59022F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《论教会层级》第七卷，第3章，第11节。</w:t>
      </w:r>
    </w:p>
  </w:footnote>
  <w:footnote w:id="1003">
    <w:p w14:paraId="34B7BAF7" w14:textId="2AF138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《论洗礼》第XVIII章。</w:t>
      </w:r>
    </w:p>
  </w:footnote>
  <w:footnote w:id="1004">
    <w:p w14:paraId="57FE0052" w14:textId="645016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关于此事，人们普遍虔诚且正确地认为，那些被呈献受洗的幼儿的信仰是有益的。《论自由意志》第三卷，第23章，第67条；参见《致梅尔卡托书》第333封，第3条。</w:t>
      </w:r>
    </w:p>
  </w:footnote>
  <w:footnote w:id="1005">
    <w:p w14:paraId="72E96736" w14:textId="03C268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金口若望，《诗篇注释》第XIV篇；根纳迪乌斯，《论教会信条》第LIÏ章：倘若被领受洗礼的儿童年幼或愚钝，无法理解教义，则应由按照洗礼惯例代为领受洗礼的人代其回应……</w:t>
      </w:r>
    </w:p>
  </w:footnote>
  <w:footnote w:id="1006">
    <w:p w14:paraId="21DFC045" w14:textId="659D13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特土良，《论洗礼》第VII、VIII章；基普里安，《致扬努斯书》第LXX封；《致尤拜安书》第LXXIII封；安布罗斯，《论圣事》第VII章；金口若望，《使徒行传讲道集》第1篇，注5；拉奥迪卡大公会议第48条。</w:t>
      </w:r>
    </w:p>
  </w:footnote>
  <w:footnote w:id="1007">
    <w:p w14:paraId="17994593" w14:textId="7440A1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Unctio，特土良《论洗礼》第七章；基普里安《致扬努斯书》第LXX封。——Χρίσμα，耶路撒冷的西里尔《教义概要》第十三卷，第1条；狄奥多里特《以赛亚书注释》第LXI章，第2节。</w:t>
      </w:r>
    </w:p>
  </w:footnote>
  <w:footnote w:id="1008">
    <w:p w14:paraId="6E19151F" w14:textId="382780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(1008) 优西比乌，《以赛亚书注释》第XXV章第7节；《福音论证》第1卷第10章。</w:t>
      </w:r>
    </w:p>
  </w:footnote>
  <w:footnote w:id="1009">
    <w:p w14:paraId="7B3005B6" w14:textId="748179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(1009) 《圣膏礼》，奥古斯丁。《反佩蒂利乌斯论》第11卷，第104节；亚历山大的基普。《以赛亚书注释》第XXV章，第6节。</w:t>
      </w:r>
    </w:p>
  </w:footnote>
  <w:footnote w:id="1010">
    <w:p w14:paraId="0F9A7B38" w14:textId="3F77BB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利奥大帝，《讲道集》第XXIV篇，6。</w:t>
      </w:r>
    </w:p>
  </w:footnote>
  <w:footnote w:id="1011">
    <w:p w14:paraId="10A6751F" w14:textId="3BB7E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《论圣灵的本质》，伊西多尔·佩卢斯，第1卷，第450封书信。</w:t>
      </w:r>
    </w:p>
  </w:footnote>
  <w:footnote w:id="1012">
    <w:p w14:paraId="2CB4099D" w14:textId="3EF03A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《圣灵圣事》，特土良，《论异端》，第XXXV章；伊拉里乌斯，《马太福音注释》，第IV章，第27节。</w:t>
      </w:r>
    </w:p>
  </w:footnote>
  <w:footnote w:id="1013">
    <w:p w14:paraId="4346588F" w14:textId="2E51A1A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库普</w:t>
      </w:r>
      <w:r w:rsidRPr="004C59BB">
        <w:rPr>
          <w:color w:val="0000FF"/>
          <w:lang w:val="ru-RU"/>
        </w:rPr>
        <w:t>。耶路撒冷。《秘仪教导》</w:t>
      </w:r>
      <w:r w:rsidRPr="004C59BB">
        <w:rPr>
          <w:color w:val="0000FF"/>
        </w:rPr>
        <w:t>第三卷</w:t>
      </w:r>
      <w:r w:rsidRPr="0097554A">
        <w:rPr>
          <w:color w:val="0000FF"/>
        </w:rPr>
        <w:t>，</w:t>
      </w:r>
      <w:r w:rsidRPr="004C59BB">
        <w:rPr>
          <w:color w:val="0000FF"/>
          <w:lang w:val="ru-RU"/>
        </w:rPr>
        <w:t>第</w:t>
      </w:r>
      <w:r w:rsidRPr="0097554A">
        <w:rPr>
          <w:color w:val="0000FF"/>
        </w:rPr>
        <w:t>1</w:t>
      </w:r>
      <w:r w:rsidRPr="004C59BB">
        <w:rPr>
          <w:color w:val="0000FF"/>
        </w:rPr>
        <w:t>节</w:t>
      </w:r>
      <w:r w:rsidRPr="004C59BB">
        <w:rPr>
          <w:color w:val="0000FF"/>
          <w:lang w:val="ru-RU"/>
        </w:rPr>
        <w:t>。</w:t>
      </w:r>
    </w:p>
  </w:footnote>
  <w:footnote w:id="1014">
    <w:p w14:paraId="41F34375" w14:textId="362A28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Βεβαιωσις，《使徒宪章》第三卷，第17章。Confirmatio，安布罗斯《论洗礼》第七章；大耶罗尼姆《致尼西亚书》第七章。</w:t>
      </w:r>
    </w:p>
  </w:footnote>
  <w:footnote w:id="1015">
    <w:p w14:paraId="2EC0D967" w14:textId="5BF763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“完美”（Τό τέλειον），克利门特·亚历山大，《教导》第1卷第6章。“完善”（Perfectio），安布罗斯，《论圣事》第III章；“圆满”（Consummatio），昆皮安，《致约巴尼安书》第LXXIII章。</w:t>
      </w:r>
    </w:p>
  </w:footnote>
  <w:footnote w:id="1016">
    <w:p w14:paraId="27FE71EC" w14:textId="1F650E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Σφραγις，克利门特，《杂论》II，3；基里尔，《教义概要》XVIII，第33条。</w:t>
      </w:r>
    </w:p>
  </w:footnote>
  <w:footnote w:id="1017">
    <w:p w14:paraId="0C0ACC12" w14:textId="4456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《Signaculum Dominicum》，基普里安致朱巴伊安书，第LXXIII封。</w:t>
      </w:r>
    </w:p>
  </w:footnote>
  <w:footnote w:id="1018">
    <w:p w14:paraId="0BE333D8" w14:textId="7B5007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“属灵的印记”，安布罗斯，《论圣事》第三卷，第二章，第I节；第六卷，第二章，第8节。</w:t>
      </w:r>
    </w:p>
  </w:footnote>
  <w:footnote w:id="1019">
    <w:p w14:paraId="40A3A549" w14:textId="3E983C3F"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《永生之印》，利奥大帝，《讲道</w:t>
      </w:r>
      <w:r w:rsidRPr="004C59BB">
        <w:rPr>
          <w:color w:val="0000FF"/>
          <w:lang w:val="ru-RU"/>
        </w:rPr>
        <w:t>集》</w:t>
      </w:r>
      <w:r w:rsidRPr="004C59BB">
        <w:rPr>
          <w:color w:val="0000FF"/>
        </w:rPr>
        <w:t>第XXIV篇</w:t>
      </w:r>
      <w:r w:rsidRPr="0097554A">
        <w:rPr>
          <w:color w:val="0000FF"/>
        </w:rPr>
        <w:t>，</w:t>
      </w:r>
      <w:r w:rsidRPr="004C59BB">
        <w:rPr>
          <w:color w:val="0000FF"/>
          <w:lang w:val="ru-RU"/>
        </w:rPr>
        <w:t>第</w:t>
      </w:r>
      <w:r w:rsidRPr="0097554A">
        <w:rPr>
          <w:color w:val="0000FF"/>
        </w:rPr>
        <w:t>6</w:t>
      </w:r>
      <w:r w:rsidRPr="004C59BB">
        <w:rPr>
          <w:color w:val="0000FF"/>
          <w:lang w:val="ru-RU"/>
        </w:rPr>
        <w:t>节。</w:t>
      </w:r>
    </w:p>
  </w:footnote>
  <w:footnote w:id="1020">
    <w:p w14:paraId="740BE0EC" w14:textId="06B506F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使徒们便是如此行事的</w:t>
      </w:r>
      <w:r w:rsidRPr="0097554A">
        <w:rPr>
          <w:color w:val="0000FF"/>
        </w:rPr>
        <w:t>，</w:t>
      </w:r>
      <w:r w:rsidRPr="004C59BB">
        <w:rPr>
          <w:color w:val="0000FF"/>
          <w:lang w:val="ru-RU"/>
        </w:rPr>
        <w:t>当他们向基督徒阐述洗礼的内在功效时</w:t>
      </w:r>
      <w:r w:rsidRPr="0097554A">
        <w:rPr>
          <w:color w:val="0000FF"/>
        </w:rPr>
        <w:t>，</w:t>
      </w:r>
      <w:r w:rsidRPr="004C59BB">
        <w:rPr>
          <w:color w:val="0000FF"/>
          <w:lang w:val="ru-RU"/>
        </w:rPr>
        <w:t>即借用了圣礼这一外在神圣仪式的表述方式。</w:t>
      </w:r>
      <w:r w:rsidRPr="0097554A">
        <w:rPr>
          <w:color w:val="0000FF"/>
        </w:rPr>
        <w:t xml:space="preserve"> </w:t>
      </w:r>
      <w:r w:rsidRPr="004C59BB">
        <w:rPr>
          <w:color w:val="0000FF"/>
          <w:lang w:val="ru-RU"/>
        </w:rPr>
        <w:t>例如</w:t>
      </w:r>
      <w:r w:rsidRPr="0097554A">
        <w:rPr>
          <w:color w:val="0000FF"/>
        </w:rPr>
        <w:t>，</w:t>
      </w:r>
      <w:r w:rsidRPr="004C59BB">
        <w:rPr>
          <w:color w:val="0000FF"/>
          <w:lang w:val="ru-RU"/>
        </w:rPr>
        <w:t>圣使徒保罗在致哥林多前书中写道</w:t>
      </w:r>
      <w:r w:rsidRPr="0097554A">
        <w:rPr>
          <w:color w:val="0000FF"/>
        </w:rPr>
        <w:t>：“</w:t>
      </w:r>
      <w:r w:rsidRPr="004C59BB">
        <w:rPr>
          <w:color w:val="0000FF"/>
          <w:lang w:val="ru-RU"/>
        </w:rPr>
        <w:t>你们从前是这些</w:t>
      </w:r>
      <w:r w:rsidRPr="0097554A">
        <w:rPr>
          <w:color w:val="0000FF"/>
        </w:rPr>
        <w:t>（</w:t>
      </w:r>
      <w:r w:rsidRPr="004C59BB">
        <w:rPr>
          <w:color w:val="0000FF"/>
          <w:lang w:val="ru-RU"/>
        </w:rPr>
        <w:t>罪人</w:t>
      </w:r>
      <w:r w:rsidRPr="0097554A">
        <w:rPr>
          <w:color w:val="0000FF"/>
        </w:rPr>
        <w:t>），</w:t>
      </w:r>
      <w:r w:rsidRPr="004C59BB">
        <w:rPr>
          <w:color w:val="0000FF"/>
          <w:lang w:val="ru-RU"/>
        </w:rPr>
        <w:t>但如今已经洗净了</w:t>
      </w:r>
      <w:r w:rsidRPr="0097554A">
        <w:rPr>
          <w:color w:val="0000FF"/>
        </w:rPr>
        <w:t>”（</w:t>
      </w:r>
      <w:r w:rsidRPr="004C59BB">
        <w:rPr>
          <w:color w:val="0000FF"/>
          <w:lang w:val="ru-RU"/>
        </w:rPr>
        <w:t>林前</w:t>
      </w:r>
      <w:r w:rsidRPr="0097554A">
        <w:rPr>
          <w:color w:val="0000FF"/>
        </w:rPr>
        <w:t>6:11）</w:t>
      </w:r>
      <w:r w:rsidRPr="004C59BB">
        <w:rPr>
          <w:color w:val="0000FF"/>
          <w:lang w:val="ru-RU"/>
        </w:rPr>
        <w:t>。</w:t>
      </w:r>
      <w:r w:rsidRPr="0097554A">
        <w:rPr>
          <w:color w:val="0000FF"/>
        </w:rPr>
        <w:t xml:space="preserve"> </w:t>
      </w:r>
      <w:r w:rsidRPr="004C59BB">
        <w:rPr>
          <w:color w:val="0000FF"/>
          <w:lang w:val="ru-RU"/>
        </w:rPr>
        <w:t>在另一处经文中也提到</w:t>
      </w:r>
      <w:r w:rsidRPr="0097554A">
        <w:rPr>
          <w:color w:val="0000FF"/>
        </w:rPr>
        <w:t>：</w:t>
      </w:r>
      <w:r w:rsidRPr="004C59BB">
        <w:rPr>
          <w:color w:val="0000FF"/>
          <w:lang w:val="ru-RU"/>
        </w:rPr>
        <w:t>他凭着自己的怜悯</w:t>
      </w:r>
      <w:r w:rsidRPr="0097554A">
        <w:rPr>
          <w:color w:val="0000FF"/>
        </w:rPr>
        <w:t>，</w:t>
      </w:r>
      <w:r w:rsidRPr="004C59BB">
        <w:rPr>
          <w:color w:val="0000FF"/>
          <w:lang w:val="ru-RU"/>
        </w:rPr>
        <w:t>用重生的洗礼拯救了我们</w:t>
      </w:r>
      <w:r w:rsidRPr="0097554A">
        <w:rPr>
          <w:color w:val="0000FF"/>
        </w:rPr>
        <w:t>（</w:t>
      </w:r>
      <w:r w:rsidRPr="004C59BB">
        <w:rPr>
          <w:color w:val="0000FF"/>
          <w:lang w:val="ru-RU"/>
        </w:rPr>
        <w:t>提摩太前书</w:t>
      </w:r>
      <w:r w:rsidRPr="0097554A">
        <w:rPr>
          <w:color w:val="0000FF"/>
        </w:rPr>
        <w:t xml:space="preserve"> 3:5；</w:t>
      </w:r>
      <w:r w:rsidRPr="004C59BB">
        <w:rPr>
          <w:color w:val="0000FF"/>
          <w:lang w:val="ru-RU"/>
        </w:rPr>
        <w:t>参见以弗所书</w:t>
      </w:r>
      <w:r w:rsidRPr="0097554A">
        <w:rPr>
          <w:color w:val="0000FF"/>
        </w:rPr>
        <w:t xml:space="preserve"> 5:26；</w:t>
      </w:r>
      <w:r w:rsidRPr="004C59BB">
        <w:rPr>
          <w:color w:val="0000FF"/>
          <w:lang w:val="ru-RU"/>
        </w:rPr>
        <w:t>希伯来书</w:t>
      </w:r>
      <w:r w:rsidRPr="0097554A">
        <w:rPr>
          <w:color w:val="0000FF"/>
        </w:rPr>
        <w:t xml:space="preserve"> 10:22）</w:t>
      </w:r>
      <w:r w:rsidRPr="004C59BB">
        <w:rPr>
          <w:color w:val="0000FF"/>
          <w:lang w:val="ru-RU"/>
        </w:rPr>
        <w:t>。</w:t>
      </w:r>
    </w:p>
  </w:footnote>
  <w:footnote w:id="1021">
    <w:p w14:paraId="184163E3" w14:textId="7D3BEB1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狄奥尼修斯</w:t>
      </w:r>
      <w:r w:rsidRPr="0097554A">
        <w:rPr>
          <w:color w:val="0000FF"/>
        </w:rPr>
        <w:t>·</w:t>
      </w:r>
      <w:r w:rsidRPr="004C59BB">
        <w:rPr>
          <w:color w:val="0000FF"/>
          <w:lang w:val="ru-RU"/>
        </w:rPr>
        <w:t>阿雷奥帕戈斯《论教会等级》</w:t>
      </w:r>
      <w:r w:rsidRPr="004C59BB">
        <w:rPr>
          <w:color w:val="0000FF"/>
        </w:rPr>
        <w:t>第七</w:t>
      </w:r>
      <w:r w:rsidRPr="004C59BB">
        <w:rPr>
          <w:color w:val="0000FF"/>
          <w:lang w:val="ru-RU"/>
        </w:rPr>
        <w:t>卷</w:t>
      </w:r>
      <w:r w:rsidRPr="0097554A">
        <w:rPr>
          <w:color w:val="0000FF"/>
        </w:rPr>
        <w:t>，4</w:t>
      </w:r>
      <w:r w:rsidRPr="004C59BB">
        <w:rPr>
          <w:color w:val="0000FF"/>
          <w:lang w:val="ru-RU"/>
        </w:rPr>
        <w:t>、</w:t>
      </w:r>
      <w:r w:rsidRPr="0097554A">
        <w:rPr>
          <w:color w:val="0000FF"/>
        </w:rPr>
        <w:t>5</w:t>
      </w:r>
      <w:r w:rsidRPr="004C59BB">
        <w:rPr>
          <w:color w:val="0000FF"/>
          <w:lang w:val="ru-RU"/>
        </w:rPr>
        <w:t>章</w:t>
      </w:r>
      <w:r w:rsidRPr="0097554A">
        <w:rPr>
          <w:color w:val="0000FF"/>
        </w:rPr>
        <w:t xml:space="preserve">； </w:t>
      </w:r>
      <w:r w:rsidRPr="004C59BB">
        <w:rPr>
          <w:color w:val="0000FF"/>
          <w:lang w:val="ru-RU"/>
        </w:rPr>
        <w:t>基里尔</w:t>
      </w:r>
      <w:r w:rsidRPr="0097554A">
        <w:rPr>
          <w:color w:val="0000FF"/>
        </w:rPr>
        <w:t>·</w:t>
      </w:r>
      <w:r w:rsidRPr="004C59BB">
        <w:rPr>
          <w:color w:val="0000FF"/>
          <w:lang w:val="ru-RU"/>
        </w:rPr>
        <w:t>耶路撒冷</w:t>
      </w:r>
      <w:r w:rsidRPr="0097554A">
        <w:rPr>
          <w:color w:val="0000FF"/>
        </w:rPr>
        <w:t>，</w:t>
      </w:r>
      <w:r w:rsidRPr="004C59BB">
        <w:rPr>
          <w:color w:val="0000FF"/>
          <w:lang w:val="ru-RU"/>
        </w:rPr>
        <w:t>《秘仪教义》</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6</w:t>
      </w:r>
      <w:r w:rsidRPr="004C59BB">
        <w:rPr>
          <w:color w:val="0000FF"/>
          <w:lang w:val="ru-RU"/>
        </w:rPr>
        <w:t>、</w:t>
      </w:r>
      <w:r w:rsidRPr="0097554A">
        <w:rPr>
          <w:color w:val="0000FF"/>
        </w:rPr>
        <w:t>7</w:t>
      </w:r>
      <w:r w:rsidRPr="004C59BB">
        <w:rPr>
          <w:color w:val="0000FF"/>
          <w:lang w:val="ru-RU"/>
        </w:rPr>
        <w:t>章</w:t>
      </w:r>
      <w:r w:rsidRPr="0097554A">
        <w:rPr>
          <w:color w:val="0000FF"/>
        </w:rPr>
        <w:t>；</w:t>
      </w:r>
      <w:r w:rsidRPr="004C59BB">
        <w:rPr>
          <w:color w:val="0000FF"/>
          <w:lang w:val="ru-RU"/>
        </w:rPr>
        <w:t>金口若望</w:t>
      </w:r>
      <w:r w:rsidRPr="0097554A">
        <w:rPr>
          <w:color w:val="0000FF"/>
        </w:rPr>
        <w:t>，</w:t>
      </w:r>
      <w:r w:rsidRPr="004C59BB">
        <w:rPr>
          <w:color w:val="0000FF"/>
          <w:lang w:val="ru-RU"/>
        </w:rPr>
        <w:t>《哥林多后书注释》第一章</w:t>
      </w:r>
      <w:r w:rsidRPr="0097554A">
        <w:rPr>
          <w:color w:val="0000FF"/>
        </w:rPr>
        <w:t>，</w:t>
      </w:r>
      <w:r w:rsidRPr="004C59BB">
        <w:rPr>
          <w:color w:val="0000FF"/>
          <w:lang w:val="ru-RU"/>
        </w:rPr>
        <w:t>第</w:t>
      </w:r>
      <w:r w:rsidRPr="0097554A">
        <w:rPr>
          <w:color w:val="0000FF"/>
        </w:rPr>
        <w:t>23</w:t>
      </w:r>
      <w:r w:rsidRPr="004C59BB">
        <w:rPr>
          <w:color w:val="0000FF"/>
          <w:lang w:val="ru-RU"/>
        </w:rPr>
        <w:t>节</w:t>
      </w:r>
      <w:r w:rsidRPr="0097554A">
        <w:rPr>
          <w:color w:val="0000FF"/>
        </w:rPr>
        <w:t>；</w:t>
      </w:r>
      <w:r w:rsidRPr="004C59BB">
        <w:rPr>
          <w:color w:val="0000FF"/>
          <w:lang w:val="ru-RU"/>
        </w:rPr>
        <w:t>安布罗斯</w:t>
      </w:r>
      <w:r w:rsidRPr="0097554A">
        <w:rPr>
          <w:color w:val="0000FF"/>
        </w:rPr>
        <w:t>，</w:t>
      </w:r>
      <w:r w:rsidRPr="004C59BB">
        <w:rPr>
          <w:color w:val="0000FF"/>
        </w:rPr>
        <w:t>《论受洗者</w:t>
      </w:r>
      <w:r w:rsidRPr="004C59BB">
        <w:rPr>
          <w:color w:val="0000FF"/>
          <w:lang w:val="ru-RU"/>
        </w:rPr>
        <w:t>》第七章</w:t>
      </w:r>
      <w:r w:rsidRPr="0097554A">
        <w:rPr>
          <w:color w:val="0000FF"/>
        </w:rPr>
        <w:t>；</w:t>
      </w:r>
      <w:r w:rsidRPr="004C59BB">
        <w:rPr>
          <w:color w:val="0000FF"/>
          <w:lang w:val="ru-RU"/>
        </w:rPr>
        <w:t>狄奥多里特</w:t>
      </w:r>
      <w:r w:rsidRPr="0097554A">
        <w:rPr>
          <w:color w:val="0000FF"/>
        </w:rPr>
        <w:t>，</w:t>
      </w:r>
      <w:r w:rsidRPr="004C59BB">
        <w:rPr>
          <w:color w:val="0000FF"/>
          <w:lang w:val="ru-RU"/>
        </w:rPr>
        <w:t>《哥林多后书注释》第一章</w:t>
      </w:r>
      <w:r w:rsidRPr="0097554A">
        <w:rPr>
          <w:color w:val="0000FF"/>
        </w:rPr>
        <w:t>，</w:t>
      </w:r>
      <w:r w:rsidRPr="004C59BB">
        <w:rPr>
          <w:color w:val="0000FF"/>
          <w:lang w:val="ru-RU"/>
        </w:rPr>
        <w:t>第</w:t>
      </w:r>
      <w:r w:rsidRPr="0097554A">
        <w:rPr>
          <w:color w:val="0000FF"/>
        </w:rPr>
        <w:t>23</w:t>
      </w:r>
      <w:r w:rsidRPr="004C59BB">
        <w:rPr>
          <w:color w:val="0000FF"/>
          <w:lang w:val="ru-RU"/>
        </w:rPr>
        <w:t>节。</w:t>
      </w:r>
    </w:p>
  </w:footnote>
  <w:footnote w:id="1022">
    <w:p w14:paraId="71FF0911" w14:textId="2EC4EC97" w:rsidR="00254F25" w:rsidRPr="0097554A" w:rsidRDefault="00000000">
      <w:pPr>
        <w:pStyle w:val="FootnoteText"/>
        <w:rPr>
          <w:color w:val="0000FF"/>
          <w:lang w:val="el-GR"/>
        </w:rPr>
      </w:pPr>
      <w:r w:rsidRPr="004C59BB">
        <w:rPr>
          <w:rStyle w:val="FootnoteReference"/>
          <w:color w:val="0000FF"/>
        </w:rPr>
        <w:footnoteRef/>
      </w:r>
      <w:r w:rsidRPr="0097554A">
        <w:rPr>
          <w:color w:val="0000FF"/>
        </w:rPr>
        <w:t xml:space="preserve"> </w:t>
      </w:r>
      <w:r w:rsidRPr="004C59BB">
        <w:rPr>
          <w:color w:val="0000FF"/>
          <w:lang w:val="el-GR"/>
        </w:rPr>
        <w:t>此外</w:t>
      </w:r>
      <w:r w:rsidRPr="0097554A">
        <w:rPr>
          <w:color w:val="0000FF"/>
        </w:rPr>
        <w:t>，</w:t>
      </w:r>
      <w:r w:rsidRPr="004C59BB">
        <w:rPr>
          <w:color w:val="0000FF"/>
          <w:lang w:val="el-GR"/>
        </w:rPr>
        <w:t>还有与此同等级的另一项圣礼</w:t>
      </w:r>
      <w:r w:rsidRPr="0097554A">
        <w:rPr>
          <w:color w:val="0000FF"/>
        </w:rPr>
        <w:t>，</w:t>
      </w:r>
      <w:r w:rsidRPr="004C59BB">
        <w:rPr>
          <w:color w:val="0000FF"/>
          <w:lang w:val="el-GR"/>
        </w:rPr>
        <w:t>我们的主教们将此称为</w:t>
      </w:r>
      <w:r w:rsidRPr="0097554A">
        <w:rPr>
          <w:color w:val="0000FF"/>
        </w:rPr>
        <w:t>“</w:t>
      </w:r>
      <w:r w:rsidRPr="004C59BB">
        <w:rPr>
          <w:color w:val="0000FF"/>
          <w:lang w:val="el-GR"/>
        </w:rPr>
        <w:t>圣油礼</w:t>
      </w:r>
      <w:r w:rsidRPr="0097554A">
        <w:rPr>
          <w:color w:val="0000FF"/>
        </w:rPr>
        <w:t>”</w:t>
      </w:r>
      <w:r w:rsidRPr="004C59BB">
        <w:rPr>
          <w:color w:val="0000FF"/>
          <w:lang w:val="el-GR"/>
        </w:rPr>
        <w:t>。</w:t>
      </w:r>
      <w:r w:rsidRPr="004C59BB">
        <w:rPr>
          <w:color w:val="0000FF"/>
          <w:lang w:val="ru-RU"/>
        </w:rPr>
        <w:t>《论教会圣职人员》</w:t>
      </w:r>
      <w:r w:rsidRPr="004C59BB">
        <w:rPr>
          <w:color w:val="0000FF"/>
        </w:rPr>
        <w:t>第IV</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1</w:t>
      </w:r>
      <w:r w:rsidRPr="004C59BB">
        <w:rPr>
          <w:color w:val="0000FF"/>
          <w:lang w:val="ru-RU"/>
        </w:rPr>
        <w:t>节。</w:t>
      </w:r>
    </w:p>
  </w:footnote>
  <w:footnote w:id="1023">
    <w:p w14:paraId="43A560F3" w14:textId="14ED9B48"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el-GR"/>
        </w:rPr>
        <w:t xml:space="preserve"> </w:t>
      </w:r>
      <w:r w:rsidRPr="004C59BB">
        <w:rPr>
          <w:color w:val="0000FF"/>
          <w:lang w:val="ru-RU"/>
        </w:rPr>
        <w:t>同上</w:t>
      </w:r>
      <w:r w:rsidRPr="0097554A">
        <w:rPr>
          <w:color w:val="0000FF"/>
          <w:lang w:val="el-GR"/>
        </w:rPr>
        <w:t>，</w:t>
      </w:r>
      <w:r w:rsidRPr="004C59BB">
        <w:rPr>
          <w:color w:val="0000FF"/>
        </w:rPr>
        <w:t>第IV</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11</w:t>
      </w:r>
      <w:r w:rsidRPr="004C59BB">
        <w:rPr>
          <w:color w:val="0000FF"/>
          <w:lang w:val="ru-RU"/>
        </w:rPr>
        <w:t>节。注释，第11章，第8节。</w:t>
      </w:r>
    </w:p>
  </w:footnote>
  <w:footnote w:id="1024">
    <w:p w14:paraId="55EAE984" w14:textId="52B36F13"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ru-RU"/>
        </w:rPr>
        <w:t xml:space="preserve"> </w:t>
      </w:r>
      <w:r w:rsidRPr="004C59BB">
        <w:rPr>
          <w:color w:val="0000FF"/>
          <w:lang w:val="el-GR"/>
        </w:rPr>
        <w:t>正因如此</w:t>
      </w:r>
      <w:r w:rsidRPr="0097554A">
        <w:rPr>
          <w:color w:val="0000FF"/>
          <w:lang w:val="ru-RU"/>
        </w:rPr>
        <w:t>，</w:t>
      </w:r>
      <w:r w:rsidRPr="004C59BB">
        <w:rPr>
          <w:color w:val="0000FF"/>
          <w:lang w:val="el-GR"/>
        </w:rPr>
        <w:t>我们被称为基督徒</w:t>
      </w:r>
      <w:r w:rsidRPr="0097554A">
        <w:rPr>
          <w:color w:val="0000FF"/>
          <w:lang w:val="ru-RU"/>
        </w:rPr>
        <w:t>，</w:t>
      </w:r>
      <w:r w:rsidRPr="004C59BB">
        <w:rPr>
          <w:color w:val="0000FF"/>
          <w:lang w:val="el-GR"/>
        </w:rPr>
        <w:t>因为我们被涂抹了上帝的圣油。</w:t>
      </w:r>
      <w:r w:rsidRPr="004C59BB">
        <w:rPr>
          <w:color w:val="0000FF"/>
        </w:rPr>
        <w:t>致奥托利乌斯书</w:t>
      </w:r>
      <w:r w:rsidRPr="0097554A">
        <w:rPr>
          <w:color w:val="0000FF"/>
          <w:lang w:val="el-GR"/>
        </w:rPr>
        <w:t xml:space="preserve"> 1，</w:t>
      </w:r>
      <w:r w:rsidRPr="004C59BB">
        <w:rPr>
          <w:color w:val="0000FF"/>
        </w:rPr>
        <w:t>第</w:t>
      </w:r>
      <w:r w:rsidRPr="0097554A">
        <w:rPr>
          <w:color w:val="0000FF"/>
          <w:lang w:val="el-GR"/>
        </w:rPr>
        <w:t>12</w:t>
      </w:r>
      <w:r w:rsidRPr="004C59BB">
        <w:rPr>
          <w:color w:val="0000FF"/>
        </w:rPr>
        <w:t>条。</w:t>
      </w:r>
    </w:p>
  </w:footnote>
  <w:footnote w:id="1025">
    <w:p w14:paraId="52EC92FA" w14:textId="1583624A"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《论洗礼》第七章</w:t>
      </w:r>
      <w:r w:rsidRPr="0097554A">
        <w:rPr>
          <w:color w:val="0000FF"/>
          <w:lang w:val="el-GR"/>
        </w:rPr>
        <w:t>；</w:t>
      </w:r>
      <w:r w:rsidRPr="004C59BB">
        <w:rPr>
          <w:color w:val="0000FF"/>
        </w:rPr>
        <w:t>参见《论异端规定》第</w:t>
      </w:r>
      <w:r w:rsidRPr="0097554A">
        <w:rPr>
          <w:color w:val="0000FF"/>
          <w:lang w:val="el-GR"/>
        </w:rPr>
        <w:t>37</w:t>
      </w:r>
      <w:r w:rsidRPr="004C59BB">
        <w:rPr>
          <w:color w:val="0000FF"/>
        </w:rPr>
        <w:t>章</w:t>
      </w:r>
      <w:r w:rsidRPr="0097554A">
        <w:rPr>
          <w:color w:val="0000FF"/>
          <w:lang w:val="el-GR"/>
        </w:rPr>
        <w:t>；</w:t>
      </w:r>
      <w:r w:rsidRPr="004C59BB">
        <w:rPr>
          <w:color w:val="0000FF"/>
        </w:rPr>
        <w:t>《反马吉安</w:t>
      </w:r>
      <w:r w:rsidRPr="004C59BB">
        <w:rPr>
          <w:color w:val="0000FF"/>
          <w:lang w:val="el-GR"/>
        </w:rPr>
        <w:t>》</w:t>
      </w:r>
      <w:r w:rsidRPr="004C59BB">
        <w:rPr>
          <w:color w:val="0000FF"/>
        </w:rPr>
        <w:t>第三卷</w:t>
      </w:r>
      <w:r w:rsidRPr="004C59BB">
        <w:rPr>
          <w:color w:val="0000FF"/>
          <w:lang w:val="el-GR"/>
        </w:rPr>
        <w:t>，第22章。</w:t>
      </w:r>
    </w:p>
  </w:footnote>
  <w:footnote w:id="1026">
    <w:p w14:paraId="1C645BAC" w14:textId="067C1F09"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洗礼既非蒙福之事，亦非蒙福之印记。</w:t>
      </w:r>
      <w:r w:rsidRPr="004C59BB">
        <w:rPr>
          <w:color w:val="0000FF"/>
        </w:rPr>
        <w:t>《杂论》</w:t>
      </w:r>
      <w:r w:rsidRPr="0097554A">
        <w:rPr>
          <w:color w:val="0000FF"/>
          <w:lang w:val="el-GR"/>
        </w:rPr>
        <w:t>11, 3</w:t>
      </w:r>
      <w:r w:rsidRPr="004C59BB">
        <w:rPr>
          <w:color w:val="0000FF"/>
        </w:rPr>
        <w:t>。</w:t>
      </w:r>
    </w:p>
  </w:footnote>
  <w:footnote w:id="1027">
    <w:p w14:paraId="61547C1E" w14:textId="5C430B4F" w:rsidR="00254F25" w:rsidRPr="004C59BB" w:rsidRDefault="00000000">
      <w:pPr>
        <w:pStyle w:val="FootnoteText"/>
        <w:rPr>
          <w:color w:val="0000FF"/>
        </w:rPr>
      </w:pPr>
      <w:r w:rsidRPr="004C59BB">
        <w:rPr>
          <w:rStyle w:val="FootnoteReference"/>
          <w:color w:val="0000FF"/>
        </w:rPr>
        <w:footnoteRef/>
      </w:r>
      <w:r w:rsidRPr="0097554A">
        <w:rPr>
          <w:color w:val="0000FF"/>
          <w:lang w:val="el-GR"/>
        </w:rPr>
        <w:t xml:space="preserve"> </w:t>
      </w:r>
      <w:r w:rsidRPr="004C59BB">
        <w:rPr>
          <w:color w:val="0000FF"/>
        </w:rPr>
        <w:t>受洗者还必须接受涂油礼</w:t>
      </w:r>
      <w:r w:rsidRPr="0097554A">
        <w:rPr>
          <w:color w:val="0000FF"/>
          <w:lang w:val="el-GR"/>
        </w:rPr>
        <w:t>，</w:t>
      </w:r>
      <w:r w:rsidRPr="004C59BB">
        <w:rPr>
          <w:color w:val="0000FF"/>
        </w:rPr>
        <w:t>以便在接受圣油</w:t>
      </w:r>
      <w:r w:rsidRPr="0097554A">
        <w:rPr>
          <w:color w:val="0000FF"/>
          <w:lang w:val="el-GR"/>
        </w:rPr>
        <w:t>——</w:t>
      </w:r>
      <w:r w:rsidRPr="004C59BB">
        <w:rPr>
          <w:color w:val="0000FF"/>
        </w:rPr>
        <w:t>即涂油礼</w:t>
      </w:r>
      <w:r w:rsidRPr="0097554A">
        <w:rPr>
          <w:color w:val="0000FF"/>
          <w:lang w:val="el-GR"/>
        </w:rPr>
        <w:t>——</w:t>
      </w:r>
      <w:r w:rsidRPr="004C59BB">
        <w:rPr>
          <w:color w:val="0000FF"/>
        </w:rPr>
        <w:t>后</w:t>
      </w:r>
      <w:r w:rsidRPr="0097554A">
        <w:rPr>
          <w:color w:val="0000FF"/>
          <w:lang w:val="el-GR"/>
        </w:rPr>
        <w:t>，</w:t>
      </w:r>
      <w:r w:rsidRPr="004C59BB">
        <w:rPr>
          <w:color w:val="0000FF"/>
        </w:rPr>
        <w:t>成为蒙神涂油之人</w:t>
      </w:r>
      <w:r w:rsidRPr="0097554A">
        <w:rPr>
          <w:color w:val="0000FF"/>
          <w:lang w:val="el-GR"/>
        </w:rPr>
        <w:t>，</w:t>
      </w:r>
      <w:r w:rsidRPr="004C59BB">
        <w:rPr>
          <w:color w:val="0000FF"/>
        </w:rPr>
        <w:t>并能在自己内拥有基督的恩典。《致扬努阿里乌斯书》第LXX封。</w:t>
      </w:r>
    </w:p>
  </w:footnote>
  <w:footnote w:id="1028">
    <w:p w14:paraId="4C8D1F25" w14:textId="2441ED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致LXXII的书信。</w:t>
      </w:r>
    </w:p>
  </w:footnote>
  <w:footnote w:id="1029">
    <w:p w14:paraId="0EFD083F" w14:textId="6CA502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……如今在我们中间也实行这一礼仪：凡在教会中受洗者，须呈献给教会长老，经我们的祷告和按手后，便得着圣灵，并以主的印记得以成全。致LXXIII书。</w:t>
      </w:r>
    </w:p>
  </w:footnote>
  <w:footnote w:id="1030">
    <w:p w14:paraId="52E8A096" w14:textId="1F903D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参见优西比乌《教会史》第六卷，第四十三章。</w:t>
      </w:r>
    </w:p>
  </w:footnote>
  <w:footnote w:id="1031">
    <w:p w14:paraId="18BB1585" w14:textId="407A255D"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在此亦不可不提及《使徒宪章》中的记载</w:t>
      </w:r>
      <w:r w:rsidRPr="0097554A">
        <w:rPr>
          <w:color w:val="0000FF"/>
          <w:lang w:val="el-GR"/>
        </w:rPr>
        <w:t>，</w:t>
      </w:r>
      <w:r w:rsidRPr="004C59BB">
        <w:rPr>
          <w:color w:val="0000FF"/>
        </w:rPr>
        <w:t>其中写道</w:t>
      </w:r>
      <w:r w:rsidRPr="0097554A">
        <w:rPr>
          <w:color w:val="0000FF"/>
          <w:lang w:val="el-GR"/>
        </w:rPr>
        <w:t>：</w:t>
      </w:r>
      <w:r w:rsidRPr="004C59BB">
        <w:rPr>
          <w:color w:val="0000FF"/>
        </w:rPr>
        <w:t>me</w:t>
      </w:r>
      <w:r w:rsidRPr="0097554A">
        <w:rPr>
          <w:color w:val="0000FF"/>
          <w:lang w:val="el-GR"/>
        </w:rPr>
        <w:t xml:space="preserve">τά </w:t>
      </w:r>
      <w:r w:rsidRPr="004C59BB">
        <w:rPr>
          <w:color w:val="0000FF"/>
        </w:rPr>
        <w:t>tou</w:t>
      </w:r>
      <w:r w:rsidRPr="0097554A">
        <w:rPr>
          <w:color w:val="0000FF"/>
          <w:lang w:val="el-GR"/>
        </w:rPr>
        <w:t xml:space="preserve"> </w:t>
      </w:r>
      <w:r w:rsidRPr="004C59BB">
        <w:rPr>
          <w:color w:val="0000FF"/>
        </w:rPr>
        <w:t>to</w:t>
      </w:r>
      <w:r w:rsidRPr="0097554A">
        <w:rPr>
          <w:color w:val="0000FF"/>
          <w:lang w:val="el-GR"/>
        </w:rPr>
        <w:t xml:space="preserve"> βαπτίσας αυτόν (ό ίερευς) έν τω όνόματι του Πατρος και του Ύιου και του άγιου Πνεύματος, χρισάτω μυρω.... </w:t>
      </w:r>
      <w:r w:rsidRPr="004C59BB">
        <w:rPr>
          <w:color w:val="0000FF"/>
        </w:rPr>
        <w:t>第七卷</w:t>
      </w:r>
      <w:r w:rsidRPr="004C59BB">
        <w:rPr>
          <w:color w:val="0000FF"/>
          <w:lang w:val="el-GR"/>
        </w:rPr>
        <w:t xml:space="preserve">，第43章； </w:t>
      </w:r>
      <w:r w:rsidRPr="004C59BB">
        <w:rPr>
          <w:color w:val="0000FF"/>
        </w:rPr>
        <w:t>参见第三</w:t>
      </w:r>
      <w:r w:rsidRPr="004C59BB">
        <w:rPr>
          <w:color w:val="0000FF"/>
          <w:lang w:val="el-GR"/>
        </w:rPr>
        <w:t>卷，第16章；</w:t>
      </w:r>
      <w:r w:rsidRPr="004C59BB">
        <w:rPr>
          <w:color w:val="0000FF"/>
        </w:rPr>
        <w:t>第七卷</w:t>
      </w:r>
      <w:r w:rsidRPr="004C59BB">
        <w:rPr>
          <w:color w:val="0000FF"/>
          <w:lang w:val="el-GR"/>
        </w:rPr>
        <w:t>，第22</w:t>
      </w:r>
      <w:r w:rsidRPr="004C59BB">
        <w:rPr>
          <w:color w:val="0000FF"/>
        </w:rPr>
        <w:t>章</w:t>
      </w:r>
      <w:r w:rsidRPr="004C59BB">
        <w:rPr>
          <w:color w:val="0000FF"/>
          <w:lang w:val="el-GR"/>
        </w:rPr>
        <w:t>。</w:t>
      </w:r>
    </w:p>
  </w:footnote>
  <w:footnote w:id="1032">
    <w:p w14:paraId="76B0BA56" w14:textId="3BCAE002"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……正如圣灵共融的印记已赐予你们……，</w:t>
      </w:r>
      <w:r w:rsidRPr="004C59BB">
        <w:rPr>
          <w:color w:val="0000FF"/>
        </w:rPr>
        <w:t>《教义纲要</w:t>
      </w:r>
      <w:r w:rsidRPr="004C59BB">
        <w:rPr>
          <w:color w:val="0000FF"/>
          <w:lang w:val="el-GR"/>
        </w:rPr>
        <w:t>》</w:t>
      </w:r>
      <w:r w:rsidRPr="004C59BB">
        <w:rPr>
          <w:color w:val="0000FF"/>
        </w:rPr>
        <w:t>第十八</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33</w:t>
      </w:r>
      <w:r w:rsidRPr="004C59BB">
        <w:rPr>
          <w:color w:val="0000FF"/>
          <w:lang w:val="ru-RU"/>
        </w:rPr>
        <w:t>条</w:t>
      </w:r>
      <w:r w:rsidRPr="0097554A">
        <w:rPr>
          <w:color w:val="0000FF"/>
          <w:lang w:val="el-GR"/>
        </w:rPr>
        <w:t>，</w:t>
      </w:r>
      <w:r w:rsidRPr="004C59BB">
        <w:rPr>
          <w:color w:val="0000FF"/>
          <w:lang w:val="ru-RU"/>
        </w:rPr>
        <w:t>第</w:t>
      </w:r>
      <w:r w:rsidRPr="0097554A">
        <w:rPr>
          <w:color w:val="0000FF"/>
          <w:lang w:val="el-GR"/>
        </w:rPr>
        <w:t>432–433</w:t>
      </w:r>
      <w:r w:rsidRPr="004C59BB">
        <w:rPr>
          <w:color w:val="0000FF"/>
          <w:lang w:val="ru-RU"/>
        </w:rPr>
        <w:t>页。</w:t>
      </w:r>
    </w:p>
  </w:footnote>
  <w:footnote w:id="1033">
    <w:p w14:paraId="7FF66856" w14:textId="26750324"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《秘传教义》</w:t>
      </w:r>
      <w:r w:rsidRPr="004C59BB">
        <w:rPr>
          <w:color w:val="0000FF"/>
        </w:rPr>
        <w:t>第三</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1</w:t>
      </w:r>
      <w:r w:rsidRPr="004C59BB">
        <w:rPr>
          <w:color w:val="0000FF"/>
          <w:lang w:val="ru-RU"/>
        </w:rPr>
        <w:t>条</w:t>
      </w:r>
      <w:r w:rsidRPr="0097554A">
        <w:rPr>
          <w:color w:val="0000FF"/>
          <w:lang w:val="el-GR"/>
        </w:rPr>
        <w:t>，</w:t>
      </w:r>
      <w:r w:rsidRPr="004C59BB">
        <w:rPr>
          <w:color w:val="0000FF"/>
          <w:lang w:val="ru-RU"/>
        </w:rPr>
        <w:t>第</w:t>
      </w:r>
      <w:r w:rsidRPr="0097554A">
        <w:rPr>
          <w:color w:val="0000FF"/>
          <w:lang w:val="el-GR"/>
        </w:rPr>
        <w:t>449</w:t>
      </w:r>
      <w:r w:rsidRPr="004C59BB">
        <w:rPr>
          <w:color w:val="0000FF"/>
          <w:lang w:val="ru-RU"/>
        </w:rPr>
        <w:t>页</w:t>
      </w:r>
      <w:r w:rsidRPr="0097554A">
        <w:rPr>
          <w:color w:val="0000FF"/>
          <w:lang w:val="el-GR"/>
        </w:rPr>
        <w:t>；</w:t>
      </w:r>
      <w:r w:rsidRPr="004C59BB">
        <w:rPr>
          <w:color w:val="0000FF"/>
          <w:lang w:val="ru-RU"/>
        </w:rPr>
        <w:t>第</w:t>
      </w:r>
      <w:r w:rsidRPr="0097554A">
        <w:rPr>
          <w:color w:val="0000FF"/>
          <w:lang w:val="el-GR"/>
        </w:rPr>
        <w:t>3</w:t>
      </w:r>
      <w:r w:rsidRPr="004C59BB">
        <w:rPr>
          <w:color w:val="0000FF"/>
          <w:lang w:val="ru-RU"/>
        </w:rPr>
        <w:t>点</w:t>
      </w:r>
      <w:r w:rsidRPr="0097554A">
        <w:rPr>
          <w:color w:val="0000FF"/>
          <w:lang w:val="el-GR"/>
        </w:rPr>
        <w:t>，</w:t>
      </w:r>
      <w:r w:rsidRPr="004C59BB">
        <w:rPr>
          <w:color w:val="0000FF"/>
          <w:lang w:val="ru-RU"/>
        </w:rPr>
        <w:t>第</w:t>
      </w:r>
      <w:r w:rsidRPr="0097554A">
        <w:rPr>
          <w:color w:val="0000FF"/>
          <w:lang w:val="el-GR"/>
        </w:rPr>
        <w:t>451</w:t>
      </w:r>
      <w:r w:rsidRPr="004C59BB">
        <w:rPr>
          <w:color w:val="0000FF"/>
          <w:lang w:val="ru-RU"/>
        </w:rPr>
        <w:t>页。</w:t>
      </w:r>
    </w:p>
  </w:footnote>
  <w:footnote w:id="1034">
    <w:p w14:paraId="237D87BB" w14:textId="79D2870C"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《圣洗礼讲道》</w:t>
      </w:r>
      <w:r w:rsidRPr="0097554A">
        <w:rPr>
          <w:color w:val="0000FF"/>
          <w:lang w:val="el-GR"/>
        </w:rPr>
        <w:t>，</w:t>
      </w:r>
      <w:r w:rsidRPr="004C59BB">
        <w:rPr>
          <w:color w:val="0000FF"/>
          <w:lang w:val="ru-RU"/>
        </w:rPr>
        <w:t>载于《圣教父著作集》</w:t>
      </w:r>
      <w:r w:rsidRPr="004C59BB">
        <w:rPr>
          <w:color w:val="0000FF"/>
        </w:rPr>
        <w:t>第三卷</w:t>
      </w:r>
      <w:r w:rsidRPr="0097554A">
        <w:rPr>
          <w:color w:val="0000FF"/>
          <w:lang w:val="el-GR"/>
        </w:rPr>
        <w:t>，</w:t>
      </w:r>
      <w:r w:rsidRPr="004C59BB">
        <w:rPr>
          <w:color w:val="0000FF"/>
          <w:lang w:val="ru-RU"/>
        </w:rPr>
        <w:t>第</w:t>
      </w:r>
      <w:r w:rsidRPr="0097554A">
        <w:rPr>
          <w:color w:val="0000FF"/>
          <w:lang w:val="el-GR"/>
        </w:rPr>
        <w:t>285</w:t>
      </w:r>
      <w:r w:rsidRPr="004C59BB">
        <w:rPr>
          <w:color w:val="0000FF"/>
          <w:lang w:val="ru-RU"/>
        </w:rPr>
        <w:t>页。</w:t>
      </w:r>
    </w:p>
  </w:footnote>
  <w:footnote w:id="1035">
    <w:p w14:paraId="6E02E87D" w14:textId="6EB311D7"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诺亚的方舟预示着</w:t>
      </w:r>
      <w:r w:rsidRPr="0097554A">
        <w:rPr>
          <w:color w:val="0000FF"/>
          <w:lang w:val="el-GR"/>
        </w:rPr>
        <w:t>，</w:t>
      </w:r>
      <w:r w:rsidRPr="004C59BB">
        <w:rPr>
          <w:color w:val="0000FF"/>
          <w:lang w:val="ru-RU"/>
        </w:rPr>
        <w:t>将有一位在洪水中建立教会、以圣三一之名使</w:t>
      </w:r>
      <w:r w:rsidRPr="004C59BB">
        <w:rPr>
          <w:color w:val="0000FF"/>
        </w:rPr>
        <w:t>教会</w:t>
      </w:r>
      <w:r w:rsidRPr="004C59BB">
        <w:rPr>
          <w:color w:val="0000FF"/>
          <w:lang w:val="ru-RU"/>
        </w:rPr>
        <w:t>成员获得自由的人降临</w:t>
      </w:r>
      <w:r w:rsidRPr="0097554A">
        <w:rPr>
          <w:color w:val="0000FF"/>
          <w:lang w:val="el-GR"/>
        </w:rPr>
        <w:t>；</w:t>
      </w:r>
      <w:r w:rsidRPr="004C59BB">
        <w:rPr>
          <w:color w:val="0000FF"/>
          <w:lang w:val="ru-RU"/>
        </w:rPr>
        <w:t>而鸽子则象征着圣灵</w:t>
      </w:r>
      <w:r w:rsidRPr="0097554A">
        <w:rPr>
          <w:color w:val="0000FF"/>
          <w:lang w:val="el-GR"/>
        </w:rPr>
        <w:t>，</w:t>
      </w:r>
      <w:r w:rsidRPr="004C59BB">
        <w:rPr>
          <w:color w:val="0000FF"/>
          <w:lang w:val="ru-RU"/>
        </w:rPr>
        <w:t>祂将施行傅油礼</w:t>
      </w:r>
      <w:r w:rsidRPr="0097554A">
        <w:rPr>
          <w:color w:val="0000FF"/>
          <w:lang w:val="el-GR"/>
        </w:rPr>
        <w:t>——</w:t>
      </w:r>
      <w:r w:rsidRPr="004C59BB">
        <w:rPr>
          <w:color w:val="0000FF"/>
          <w:lang w:val="ru-RU"/>
        </w:rPr>
        <w:t>即救赎的圣事</w:t>
      </w:r>
      <w:r w:rsidRPr="0097554A">
        <w:rPr>
          <w:color w:val="0000FF"/>
          <w:lang w:val="el-GR"/>
        </w:rPr>
        <w:t>”（</w:t>
      </w:r>
      <w:r w:rsidRPr="004C59BB">
        <w:rPr>
          <w:color w:val="0000FF"/>
          <w:lang w:val="ru-RU"/>
        </w:rPr>
        <w:t>《反</w:t>
      </w:r>
      <w:r w:rsidRPr="004C59BB">
        <w:rPr>
          <w:color w:val="0000FF"/>
        </w:rPr>
        <w:t>塞拉图斯》</w:t>
      </w:r>
      <w:r w:rsidRPr="0097554A">
        <w:rPr>
          <w:color w:val="0000FF"/>
          <w:lang w:val="el-GR"/>
        </w:rPr>
        <w:t xml:space="preserve">， </w:t>
      </w:r>
      <w:r w:rsidRPr="004C59BB">
        <w:rPr>
          <w:color w:val="0000FF"/>
        </w:rPr>
        <w:t>《讲道集》第XLIX篇</w:t>
      </w:r>
      <w:r w:rsidRPr="0097554A">
        <w:rPr>
          <w:color w:val="0000FF"/>
          <w:lang w:val="el-GR"/>
        </w:rPr>
        <w:t>，</w:t>
      </w:r>
      <w:r w:rsidRPr="004C59BB">
        <w:rPr>
          <w:color w:val="0000FF"/>
        </w:rPr>
        <w:t>叙利亚文著作集第III卷</w:t>
      </w:r>
      <w:r w:rsidRPr="0097554A">
        <w:rPr>
          <w:color w:val="0000FF"/>
          <w:lang w:val="el-GR"/>
        </w:rPr>
        <w:t>，</w:t>
      </w:r>
      <w:r w:rsidRPr="004C59BB">
        <w:rPr>
          <w:color w:val="0000FF"/>
        </w:rPr>
        <w:t>第</w:t>
      </w:r>
      <w:r w:rsidRPr="0097554A">
        <w:rPr>
          <w:color w:val="0000FF"/>
          <w:lang w:val="el-GR"/>
        </w:rPr>
        <w:t>90</w:t>
      </w:r>
      <w:r w:rsidRPr="004C59BB">
        <w:rPr>
          <w:color w:val="0000FF"/>
        </w:rPr>
        <w:t>页</w:t>
      </w:r>
      <w:r w:rsidRPr="0097554A">
        <w:rPr>
          <w:color w:val="0000FF"/>
          <w:lang w:val="el-GR"/>
        </w:rPr>
        <w:t>）</w:t>
      </w:r>
      <w:r w:rsidRPr="004C59BB">
        <w:rPr>
          <w:color w:val="0000FF"/>
        </w:rPr>
        <w:t>。</w:t>
      </w:r>
    </w:p>
  </w:footnote>
  <w:footnote w:id="1036">
    <w:p w14:paraId="6769BC0D" w14:textId="18A43A90" w:rsidR="00254F25" w:rsidRPr="004C59BB" w:rsidRDefault="00000000">
      <w:pPr>
        <w:pStyle w:val="FootnoteText"/>
        <w:rPr>
          <w:color w:val="0000FF"/>
        </w:rPr>
      </w:pPr>
      <w:r w:rsidRPr="004C59BB">
        <w:rPr>
          <w:rStyle w:val="FootnoteReference"/>
          <w:color w:val="0000FF"/>
        </w:rPr>
        <w:footnoteRef/>
      </w:r>
      <w:r w:rsidRPr="0097554A">
        <w:rPr>
          <w:color w:val="0000FF"/>
          <w:lang w:val="el-GR"/>
        </w:rPr>
        <w:t xml:space="preserve"> </w:t>
      </w:r>
      <w:r w:rsidRPr="004C59BB">
        <w:rPr>
          <w:color w:val="0000FF"/>
        </w:rPr>
        <w:t>随后</w:t>
      </w:r>
      <w:r w:rsidRPr="0097554A">
        <w:rPr>
          <w:color w:val="0000FF"/>
          <w:lang w:val="el-GR"/>
        </w:rPr>
        <w:t>（</w:t>
      </w:r>
      <w:r w:rsidRPr="004C59BB">
        <w:rPr>
          <w:color w:val="0000FF"/>
        </w:rPr>
        <w:t>受洗后</w:t>
      </w:r>
      <w:r w:rsidRPr="0097554A">
        <w:rPr>
          <w:color w:val="0000FF"/>
          <w:lang w:val="el-GR"/>
        </w:rPr>
        <w:t>）</w:t>
      </w:r>
      <w:r w:rsidRPr="004C59BB">
        <w:rPr>
          <w:color w:val="0000FF"/>
        </w:rPr>
        <w:t>便有属灵的印记</w:t>
      </w:r>
      <w:r w:rsidRPr="0097554A">
        <w:rPr>
          <w:color w:val="0000FF"/>
          <w:lang w:val="el-GR"/>
        </w:rPr>
        <w:t>……，</w:t>
      </w:r>
      <w:r w:rsidRPr="004C59BB">
        <w:rPr>
          <w:color w:val="0000FF"/>
        </w:rPr>
        <w:t>因为在洗礼池之后</w:t>
      </w:r>
      <w:r w:rsidRPr="0097554A">
        <w:rPr>
          <w:color w:val="0000FF"/>
          <w:lang w:val="el-GR"/>
        </w:rPr>
        <w:t>，</w:t>
      </w:r>
      <w:r w:rsidRPr="004C59BB">
        <w:rPr>
          <w:color w:val="0000FF"/>
        </w:rPr>
        <w:t>为了达到圆满</w:t>
      </w:r>
      <w:r w:rsidRPr="0097554A">
        <w:rPr>
          <w:color w:val="0000FF"/>
          <w:lang w:val="el-GR"/>
        </w:rPr>
        <w:t>，</w:t>
      </w:r>
      <w:r w:rsidRPr="004C59BB">
        <w:rPr>
          <w:color w:val="0000FF"/>
        </w:rPr>
        <w:t>当神父诵念祈祷文时</w:t>
      </w:r>
      <w:r w:rsidRPr="0097554A">
        <w:rPr>
          <w:color w:val="0000FF"/>
          <w:lang w:val="el-GR"/>
        </w:rPr>
        <w:t>，</w:t>
      </w:r>
      <w:r w:rsidRPr="004C59BB">
        <w:rPr>
          <w:color w:val="0000FF"/>
        </w:rPr>
        <w:t>圣灵便被倾注下来</w:t>
      </w:r>
      <w:r w:rsidRPr="0097554A">
        <w:rPr>
          <w:color w:val="0000FF"/>
          <w:lang w:val="el-GR"/>
        </w:rPr>
        <w:t>：</w:t>
      </w:r>
      <w:r w:rsidRPr="004C59BB">
        <w:rPr>
          <w:color w:val="0000FF"/>
        </w:rPr>
        <w:t>智慧与明达之灵、谋略与刚毅之灵、知识与虔敬之灵、圣洁敬畏之灵</w:t>
      </w:r>
      <w:r w:rsidRPr="0097554A">
        <w:rPr>
          <w:color w:val="0000FF"/>
          <w:lang w:val="el-GR"/>
        </w:rPr>
        <w:t>——</w:t>
      </w:r>
      <w:r w:rsidRPr="004C59BB">
        <w:rPr>
          <w:color w:val="0000FF"/>
        </w:rPr>
        <w:t>这七种圣灵的美德</w:t>
      </w:r>
      <w:r w:rsidRPr="0097554A">
        <w:rPr>
          <w:color w:val="0000FF"/>
          <w:lang w:val="el-GR"/>
        </w:rPr>
        <w:t>（</w:t>
      </w:r>
      <w:r w:rsidRPr="004C59BB">
        <w:rPr>
          <w:color w:val="0000FF"/>
        </w:rPr>
        <w:t>以赛亚书</w:t>
      </w:r>
      <w:r w:rsidRPr="0097554A">
        <w:rPr>
          <w:color w:val="0000FF"/>
          <w:lang w:val="el-GR"/>
        </w:rPr>
        <w:t xml:space="preserve"> 11:2）</w:t>
      </w:r>
      <w:r w:rsidRPr="004C59BB">
        <w:rPr>
          <w:color w:val="0000FF"/>
        </w:rPr>
        <w:t>。《论圣事》第三卷，第2章，第8节。</w:t>
      </w:r>
    </w:p>
  </w:footnote>
  <w:footnote w:id="1037">
    <w:p w14:paraId="4A8E58CB" w14:textId="6A3BC1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《腓立比书讲道集》第三篇，第4节。</w:t>
      </w:r>
    </w:p>
  </w:footnote>
  <w:footnote w:id="1038">
    <w:p w14:paraId="38B834DA" w14:textId="228059A5"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至于圣油</w:t>
      </w:r>
      <w:r w:rsidRPr="0097554A">
        <w:rPr>
          <w:color w:val="0000FF"/>
        </w:rPr>
        <w:t>，</w:t>
      </w:r>
      <w:r w:rsidRPr="004C59BB">
        <w:rPr>
          <w:color w:val="0000FF"/>
          <w:lang w:val="el-GR"/>
        </w:rPr>
        <w:t>它非常明确地象征着圣神的傅油</w:t>
      </w:r>
      <w:r w:rsidRPr="0097554A">
        <w:rPr>
          <w:color w:val="0000FF"/>
        </w:rPr>
        <w:t>……</w:t>
      </w:r>
      <w:r w:rsidRPr="004C59BB">
        <w:rPr>
          <w:color w:val="0000FF"/>
        </w:rPr>
        <w:t>《以赛亚书》第25章第6节，第I卷第III章，第1卷；《约珥书》第2章第23节。</w:t>
      </w:r>
    </w:p>
  </w:footnote>
  <w:footnote w:id="1039">
    <w:p w14:paraId="612BFE7C" w14:textId="464A1E73"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“属灵的傅油即圣神本身，其圣事体现在可见的傅油礼中”（《约翰一书讲义》第三卷，第5节）。“傅油圣事——一般而言，是可见标记的圣事，正如洗礼本身一样……”</w:t>
      </w:r>
      <w:r w:rsidRPr="0097554A">
        <w:rPr>
          <w:color w:val="0000FF"/>
        </w:rPr>
        <w:t>（</w:t>
      </w:r>
      <w:r w:rsidRPr="004C59BB">
        <w:rPr>
          <w:color w:val="0000FF"/>
        </w:rPr>
        <w:t>《</w:t>
      </w:r>
      <w:r w:rsidRPr="004C59BB">
        <w:rPr>
          <w:color w:val="0000FF"/>
          <w:lang w:val="el-GR"/>
        </w:rPr>
        <w:t>反</w:t>
      </w:r>
      <w:r w:rsidRPr="004C59BB">
        <w:rPr>
          <w:color w:val="0000FF"/>
        </w:rPr>
        <w:t>彼得利安二书</w:t>
      </w:r>
      <w:r w:rsidRPr="004C59BB">
        <w:rPr>
          <w:color w:val="0000FF"/>
          <w:lang w:val="el-GR"/>
        </w:rPr>
        <w:t>》第</w:t>
      </w:r>
      <w:r w:rsidRPr="0097554A">
        <w:rPr>
          <w:color w:val="0000FF"/>
        </w:rPr>
        <w:t>104</w:t>
      </w:r>
      <w:r w:rsidRPr="004C59BB">
        <w:rPr>
          <w:color w:val="0000FF"/>
          <w:lang w:val="el-GR"/>
        </w:rPr>
        <w:t>章</w:t>
      </w:r>
      <w:r w:rsidRPr="0097554A">
        <w:rPr>
          <w:color w:val="0000FF"/>
        </w:rPr>
        <w:t>）</w:t>
      </w:r>
      <w:r w:rsidRPr="004C59BB">
        <w:rPr>
          <w:color w:val="0000FF"/>
          <w:lang w:val="el-GR"/>
        </w:rPr>
        <w:t>。</w:t>
      </w:r>
    </w:p>
  </w:footnote>
  <w:footnote w:id="1040">
    <w:p w14:paraId="5DFB7EFC" w14:textId="3667D7A7"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那奥秘的圣油</w:t>
      </w:r>
      <w:r w:rsidRPr="0097554A">
        <w:rPr>
          <w:color w:val="0000FF"/>
        </w:rPr>
        <w:t>，</w:t>
      </w:r>
      <w:r w:rsidRPr="004C59BB">
        <w:rPr>
          <w:color w:val="0000FF"/>
          <w:lang w:val="el-GR"/>
        </w:rPr>
        <w:t>我们配得</w:t>
      </w:r>
      <w:r w:rsidRPr="0097554A">
        <w:rPr>
          <w:color w:val="0000FF"/>
        </w:rPr>
        <w:t>……”</w:t>
      </w:r>
      <w:r w:rsidRPr="004C59BB">
        <w:rPr>
          <w:color w:val="0000FF"/>
        </w:rPr>
        <w:t>（《以赛亚书》第六十一章，第二节，第2句）。</w:t>
      </w:r>
    </w:p>
  </w:footnote>
  <w:footnote w:id="1041">
    <w:p w14:paraId="0EE44DEA" w14:textId="7338D1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《反尤提克论》第三卷，第7章。</w:t>
      </w:r>
    </w:p>
  </w:footnote>
  <w:footnote w:id="1042">
    <w:p w14:paraId="7C72B545" w14:textId="18D059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《全副军装》P. II，第20题。</w:t>
      </w:r>
    </w:p>
  </w:footnote>
  <w:footnote w:id="1043">
    <w:p w14:paraId="73B659E9" w14:textId="6D93AD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戈阿尔（Goar）对《圣餐礼》（Euchol.）的注释，第366页。</w:t>
      </w:r>
    </w:p>
  </w:footnote>
  <w:footnote w:id="1044">
    <w:p w14:paraId="6A5BD75F" w14:textId="77C43E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阿塞曼，《东方图书馆》第一卷，第573页；第二卷，第121、239、300页。</w:t>
      </w:r>
    </w:p>
  </w:footnote>
  <w:footnote w:id="1045">
    <w:p w14:paraId="31D2BD2A" w14:textId="7DBA78B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阿塞曼。同上。第IV卷，《论叙利亚的涅斯托尔》论文，第272页；《礼仪手稿集》第III卷，第136页。</w:t>
      </w:r>
    </w:p>
  </w:footnote>
  <w:footnote w:id="1046">
    <w:p w14:paraId="2ABC7ADA" w14:textId="698FF433"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雷诺多，《信仰的永恒》，</w:t>
      </w:r>
      <w:r w:rsidRPr="004C59BB">
        <w:rPr>
          <w:color w:val="0000FF"/>
          <w:lang w:val="ru-RU"/>
        </w:rPr>
        <w:t>第</w:t>
      </w:r>
      <w:r w:rsidRPr="004C59BB">
        <w:rPr>
          <w:color w:val="0000FF"/>
        </w:rPr>
        <w:t>V卷</w:t>
      </w:r>
      <w:r w:rsidRPr="0097554A">
        <w:rPr>
          <w:color w:val="0000FF"/>
        </w:rPr>
        <w:t>，</w:t>
      </w:r>
      <w:r w:rsidRPr="004C59BB">
        <w:rPr>
          <w:color w:val="0000FF"/>
          <w:lang w:val="ru-RU"/>
        </w:rPr>
        <w:t>第</w:t>
      </w:r>
      <w:r w:rsidRPr="0097554A">
        <w:rPr>
          <w:color w:val="0000FF"/>
        </w:rPr>
        <w:t>147</w:t>
      </w:r>
      <w:r w:rsidRPr="004C59BB">
        <w:rPr>
          <w:color w:val="0000FF"/>
        </w:rPr>
        <w:t>页</w:t>
      </w:r>
      <w:r w:rsidRPr="004C59BB">
        <w:rPr>
          <w:color w:val="0000FF"/>
          <w:lang w:val="ru-RU"/>
        </w:rPr>
        <w:t>。</w:t>
      </w:r>
    </w:p>
  </w:footnote>
  <w:footnote w:id="1047">
    <w:p w14:paraId="56A8DED5" w14:textId="438C2788"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1029</w:t>
      </w:r>
      <w:r w:rsidRPr="004C59BB">
        <w:rPr>
          <w:color w:val="0000FF"/>
          <w:lang w:val="ru-RU"/>
        </w:rPr>
        <w:t>、</w:t>
      </w:r>
      <w:r w:rsidRPr="0097554A">
        <w:rPr>
          <w:color w:val="0000FF"/>
        </w:rPr>
        <w:t>1036</w:t>
      </w:r>
      <w:r w:rsidRPr="004C59BB">
        <w:rPr>
          <w:color w:val="0000FF"/>
          <w:lang w:val="ru-RU"/>
        </w:rPr>
        <w:t>。</w:t>
      </w:r>
    </w:p>
  </w:footnote>
  <w:footnote w:id="1048">
    <w:p w14:paraId="17883FDA" w14:textId="08901922"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此后</w:t>
      </w:r>
      <w:r w:rsidRPr="0097554A">
        <w:rPr>
          <w:color w:val="0000FF"/>
        </w:rPr>
        <w:t>，（</w:t>
      </w:r>
      <w:r w:rsidRPr="004C59BB">
        <w:rPr>
          <w:color w:val="0000FF"/>
          <w:lang w:val="ru-RU"/>
        </w:rPr>
        <w:t>神父</w:t>
      </w:r>
      <w:r w:rsidRPr="0097554A">
        <w:rPr>
          <w:color w:val="0000FF"/>
        </w:rPr>
        <w:t>）</w:t>
      </w:r>
      <w:r w:rsidRPr="004C59BB">
        <w:rPr>
          <w:color w:val="0000FF"/>
          <w:lang w:val="ru-RU"/>
        </w:rPr>
        <w:t>当以圣父、圣子及圣灵之名为其</w:t>
      </w:r>
      <w:r w:rsidRPr="0097554A">
        <w:rPr>
          <w:color w:val="0000FF"/>
        </w:rPr>
        <w:t>（</w:t>
      </w:r>
      <w:r w:rsidRPr="004C59BB">
        <w:rPr>
          <w:color w:val="0000FF"/>
          <w:lang w:val="ru-RU"/>
        </w:rPr>
        <w:t>受洗者</w:t>
      </w:r>
      <w:r w:rsidRPr="0097554A">
        <w:rPr>
          <w:color w:val="0000FF"/>
        </w:rPr>
        <w:t>）</w:t>
      </w:r>
      <w:r w:rsidRPr="004C59BB">
        <w:rPr>
          <w:color w:val="0000FF"/>
          <w:lang w:val="ru-RU"/>
        </w:rPr>
        <w:t>施洗</w:t>
      </w:r>
      <w:r w:rsidRPr="0097554A">
        <w:rPr>
          <w:color w:val="0000FF"/>
        </w:rPr>
        <w:t>，</w:t>
      </w:r>
      <w:r w:rsidRPr="004C59BB">
        <w:rPr>
          <w:color w:val="0000FF"/>
          <w:lang w:val="ru-RU"/>
        </w:rPr>
        <w:t>并以圣油涂抹其身</w:t>
      </w:r>
      <w:r w:rsidRPr="0097554A">
        <w:rPr>
          <w:color w:val="0000FF"/>
        </w:rPr>
        <w:t>，</w:t>
      </w:r>
      <w:r w:rsidRPr="004C59BB">
        <w:rPr>
          <w:color w:val="0000FF"/>
          <w:lang w:val="ru-RU"/>
        </w:rPr>
        <w:t>诵念</w:t>
      </w:r>
      <w:r w:rsidRPr="0097554A">
        <w:rPr>
          <w:color w:val="0000FF"/>
        </w:rPr>
        <w:t>：‘</w:t>
      </w:r>
      <w:r w:rsidRPr="004C59BB">
        <w:rPr>
          <w:color w:val="0000FF"/>
          <w:lang w:val="ru-RU"/>
        </w:rPr>
        <w:t>主上帝</w:t>
      </w:r>
      <w:r w:rsidRPr="0097554A">
        <w:rPr>
          <w:color w:val="0000FF"/>
        </w:rPr>
        <w:t>，</w:t>
      </w:r>
      <w:r w:rsidRPr="004C59BB">
        <w:rPr>
          <w:color w:val="0000FF"/>
          <w:lang w:val="ru-RU"/>
        </w:rPr>
        <w:t>自存者</w:t>
      </w:r>
      <w:r w:rsidRPr="0097554A">
        <w:rPr>
          <w:color w:val="0000FF"/>
        </w:rPr>
        <w:t>，</w:t>
      </w:r>
      <w:r w:rsidRPr="004C59BB">
        <w:rPr>
          <w:color w:val="0000FF"/>
          <w:lang w:val="ru-RU"/>
        </w:rPr>
        <w:t>万有的至高主宰</w:t>
      </w:r>
      <w:r w:rsidRPr="0097554A">
        <w:rPr>
          <w:color w:val="0000FF"/>
        </w:rPr>
        <w:t>，</w:t>
      </w:r>
      <w:r w:rsidRPr="004C59BB">
        <w:rPr>
          <w:color w:val="0000FF"/>
          <w:lang w:val="ru-RU"/>
        </w:rPr>
        <w:t>祢已将福音教义的馨香传遍万民</w:t>
      </w:r>
      <w:r w:rsidRPr="0097554A">
        <w:rPr>
          <w:color w:val="0000FF"/>
        </w:rPr>
        <w:t xml:space="preserve">！ </w:t>
      </w:r>
      <w:r w:rsidRPr="004C59BB">
        <w:rPr>
          <w:color w:val="0000FF"/>
          <w:lang w:val="ru-RU"/>
        </w:rPr>
        <w:t>求祢如今也赐下恩典</w:t>
      </w:r>
      <w:r w:rsidRPr="0097554A">
        <w:rPr>
          <w:color w:val="0000FF"/>
        </w:rPr>
        <w:t>，</w:t>
      </w:r>
      <w:r w:rsidRPr="004C59BB">
        <w:rPr>
          <w:color w:val="0000FF"/>
          <w:lang w:val="ru-RU"/>
        </w:rPr>
        <w:t>使这圣油在受洗者身上生效</w:t>
      </w:r>
      <w:r w:rsidRPr="0097554A">
        <w:rPr>
          <w:color w:val="0000FF"/>
        </w:rPr>
        <w:t>，</w:t>
      </w:r>
      <w:r w:rsidRPr="004C59BB">
        <w:rPr>
          <w:color w:val="0000FF"/>
          <w:lang w:val="ru-RU"/>
        </w:rPr>
        <w:t>好叫祢基督的馨香之气坚定不移地存留于他心中</w:t>
      </w:r>
      <w:r w:rsidRPr="0097554A">
        <w:rPr>
          <w:color w:val="0000FF"/>
        </w:rPr>
        <w:t>，</w:t>
      </w:r>
      <w:r w:rsidRPr="004C59BB">
        <w:rPr>
          <w:color w:val="0000FF"/>
          <w:lang w:val="ru-RU"/>
        </w:rPr>
        <w:t>使他与基督同埋葬</w:t>
      </w:r>
      <w:r w:rsidRPr="0097554A">
        <w:rPr>
          <w:color w:val="0000FF"/>
        </w:rPr>
        <w:t>，</w:t>
      </w:r>
      <w:r w:rsidRPr="004C59BB">
        <w:rPr>
          <w:color w:val="0000FF"/>
          <w:lang w:val="ru-RU"/>
        </w:rPr>
        <w:t>又与祂一同复活</w:t>
      </w:r>
      <w:r w:rsidRPr="0097554A">
        <w:rPr>
          <w:color w:val="0000FF"/>
        </w:rPr>
        <w:t>，</w:t>
      </w:r>
      <w:r w:rsidRPr="004C59BB">
        <w:rPr>
          <w:color w:val="0000FF"/>
          <w:lang w:val="ru-RU"/>
        </w:rPr>
        <w:t>并与祂同活。” 愿他如此说，并说类似的话：因为“这正是按手于每个人之上的力量所在（</w:t>
      </w:r>
      <w:r w:rsidRPr="004C59BB">
        <w:rPr>
          <w:color w:val="0000FF"/>
        </w:rPr>
        <w:t>εκάστου</w:t>
      </w:r>
      <w:r w:rsidRPr="0097554A">
        <w:rPr>
          <w:color w:val="0000FF"/>
          <w:lang w:val="ru-RU"/>
        </w:rPr>
        <w:t xml:space="preserve"> </w:t>
      </w:r>
      <w:r w:rsidRPr="004C59BB">
        <w:rPr>
          <w:color w:val="0000FF"/>
        </w:rPr>
        <w:t>γάρ</w:t>
      </w:r>
      <w:r w:rsidRPr="0097554A">
        <w:rPr>
          <w:color w:val="0000FF"/>
          <w:lang w:val="ru-RU"/>
        </w:rPr>
        <w:t xml:space="preserve"> </w:t>
      </w:r>
      <w:r w:rsidRPr="004C59BB">
        <w:rPr>
          <w:color w:val="0000FF"/>
        </w:rPr>
        <w:t>ή</w:t>
      </w:r>
      <w:r w:rsidRPr="0097554A">
        <w:rPr>
          <w:color w:val="0000FF"/>
          <w:lang w:val="ru-RU"/>
        </w:rPr>
        <w:t xml:space="preserve"> </w:t>
      </w:r>
      <w:r w:rsidRPr="004C59BB">
        <w:rPr>
          <w:color w:val="0000FF"/>
        </w:rPr>
        <w:t>δύναμις</w:t>
      </w:r>
      <w:r w:rsidRPr="0097554A">
        <w:rPr>
          <w:color w:val="0000FF"/>
          <w:lang w:val="ru-RU"/>
        </w:rPr>
        <w:t xml:space="preserve"> </w:t>
      </w:r>
      <w:r w:rsidRPr="004C59BB">
        <w:rPr>
          <w:color w:val="0000FF"/>
        </w:rPr>
        <w:t>της</w:t>
      </w:r>
      <w:r w:rsidRPr="0097554A">
        <w:rPr>
          <w:color w:val="0000FF"/>
          <w:lang w:val="ru-RU"/>
        </w:rPr>
        <w:t xml:space="preserve"> </w:t>
      </w:r>
      <w:r w:rsidRPr="004C59BB">
        <w:rPr>
          <w:color w:val="0000FF"/>
        </w:rPr>
        <w:t>χειροθεσίας</w:t>
      </w:r>
      <w:r w:rsidRPr="0097554A">
        <w:rPr>
          <w:color w:val="0000FF"/>
          <w:lang w:val="ru-RU"/>
        </w:rPr>
        <w:t xml:space="preserve"> ’</w:t>
      </w:r>
      <w:r w:rsidRPr="004C59BB">
        <w:rPr>
          <w:color w:val="0000FF"/>
        </w:rPr>
        <w:t>εστιν</w:t>
      </w:r>
      <w:r w:rsidRPr="0097554A">
        <w:rPr>
          <w:color w:val="0000FF"/>
          <w:lang w:val="ru-RU"/>
        </w:rPr>
        <w:t xml:space="preserve"> </w:t>
      </w:r>
      <w:r w:rsidRPr="004C59BB">
        <w:rPr>
          <w:color w:val="0000FF"/>
        </w:rPr>
        <w:t>αυτη</w:t>
      </w:r>
      <w:r w:rsidRPr="004C59BB">
        <w:rPr>
          <w:color w:val="0000FF"/>
          <w:lang w:val="ru-RU"/>
        </w:rPr>
        <w:t>）”《</w:t>
      </w:r>
      <w:r w:rsidRPr="004C59BB">
        <w:rPr>
          <w:color w:val="0000FF"/>
        </w:rPr>
        <w:t>第七卷</w:t>
      </w:r>
      <w:r w:rsidRPr="004C59BB">
        <w:rPr>
          <w:color w:val="0000FF"/>
          <w:lang w:val="ru-RU"/>
        </w:rPr>
        <w:t>》，第43、44章。</w:t>
      </w:r>
    </w:p>
  </w:footnote>
  <w:footnote w:id="1049">
    <w:p w14:paraId="0873FC71" w14:textId="469898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参见上文注释1022。</w:t>
      </w:r>
    </w:p>
  </w:footnote>
  <w:footnote w:id="1050">
    <w:p w14:paraId="635574B3" w14:textId="14C623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“你们应当知道，这种圣油涂抹礼的原型见于旧约圣经。因为当摩西将神的诫命传达给他的兄弟（利未记 8, 1. 2）并立他为大祭司时，在用水洗净之后，便用圣油膏抹了他（利未记 8, 6. 12）：此人便被称为“受膏者”（利未记 4: 5），即源于这种象征性的膏抹。同样，当所罗门登基为王时，大祭司也在基训溪为他沐浴后，用油膏抹了他（列王纪上 1: 39, 45）。 “但这些事都是为他们作的表象（哥林多前书 10, 11）。对你们而言，这并非象征，而是真实的：因为你们确实是蒙圣灵所膏的”（耶路撒冷的西里尔，《秘仪教导》</w:t>
      </w:r>
      <w:r w:rsidRPr="004C59BB">
        <w:rPr>
          <w:color w:val="0000FF"/>
        </w:rPr>
        <w:t>第三卷</w:t>
      </w:r>
      <w:r w:rsidRPr="004C59BB">
        <w:rPr>
          <w:color w:val="0000FF"/>
          <w:lang w:val="ru-RU"/>
        </w:rPr>
        <w:t>，第6节，第452–453页）。</w:t>
      </w:r>
    </w:p>
  </w:footnote>
  <w:footnote w:id="1051">
    <w:p w14:paraId="5608D0B6" w14:textId="1CAA7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《第二次普世大公会议规程》第7条；《第六次普世大公会议规程》第95条。</w:t>
      </w:r>
    </w:p>
  </w:footnote>
  <w:footnote w:id="1052">
    <w:p w14:paraId="5F82D1A2" w14:textId="6EEB80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《规则》第7条和第48条。</w:t>
      </w:r>
    </w:p>
  </w:footnote>
  <w:footnote w:id="1053">
    <w:p w14:paraId="6D5AC542" w14:textId="256632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参见上文注释1022–1024、1032–1036、1038–1040。</w:t>
      </w:r>
    </w:p>
  </w:footnote>
  <w:footnote w:id="1054">
    <w:p w14:paraId="5D636664" w14:textId="5E413C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参见注释1025、1029等。</w:t>
      </w:r>
    </w:p>
  </w:footnote>
  <w:footnote w:id="1055">
    <w:p w14:paraId="4DB05460" w14:textId="7BF1B0C6"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不过，罗马神学家们自身对于这两种行为在坚振圣事中的意义也存在不同看法。有些人认为唯有按手才是本质的；另一些人则认为唯有涂抹圣油才是本质的；还有人认为两者同等重要，因此只需使用其中一种即可； 最后，还有一类人则认为，在施行圣事时</w:t>
      </w:r>
      <w:r w:rsidRPr="0097554A">
        <w:rPr>
          <w:color w:val="0000FF"/>
          <w:lang w:val="ru-RU"/>
        </w:rPr>
        <w:t>，</w:t>
      </w:r>
      <w:r w:rsidRPr="004C59BB">
        <w:rPr>
          <w:color w:val="0000FF"/>
          <w:lang w:val="ru-RU"/>
        </w:rPr>
        <w:t>这两个标志同样不可或缺（</w:t>
      </w:r>
      <w:r w:rsidRPr="004C59BB">
        <w:rPr>
          <w:color w:val="0000FF"/>
        </w:rPr>
        <w:t>参见佩罗内《神学导论</w:t>
      </w:r>
      <w:r w:rsidRPr="0097554A">
        <w:rPr>
          <w:color w:val="0000FF"/>
          <w:lang w:val="ru-RU"/>
        </w:rPr>
        <w:t>·</w:t>
      </w:r>
      <w:r w:rsidRPr="004C59BB">
        <w:rPr>
          <w:color w:val="0000FF"/>
        </w:rPr>
        <w:t>论坚振》第三章</w:t>
      </w:r>
      <w:r w:rsidRPr="0097554A">
        <w:rPr>
          <w:color w:val="0000FF"/>
          <w:lang w:val="ru-RU"/>
        </w:rPr>
        <w:t>，</w:t>
      </w:r>
      <w:r w:rsidRPr="004C59BB">
        <w:rPr>
          <w:color w:val="0000FF"/>
        </w:rPr>
        <w:t>第</w:t>
      </w:r>
      <w:r w:rsidRPr="0097554A">
        <w:rPr>
          <w:color w:val="0000FF"/>
          <w:lang w:val="ru-RU"/>
        </w:rPr>
        <w:t>67</w:t>
      </w:r>
      <w:r w:rsidRPr="004C59BB">
        <w:rPr>
          <w:color w:val="0000FF"/>
        </w:rPr>
        <w:t>节</w:t>
      </w:r>
      <w:r w:rsidRPr="0097554A">
        <w:rPr>
          <w:color w:val="0000FF"/>
          <w:lang w:val="ru-RU"/>
        </w:rPr>
        <w:t>；</w:t>
      </w:r>
      <w:r w:rsidRPr="004C59BB">
        <w:rPr>
          <w:color w:val="0000FF"/>
        </w:rPr>
        <w:t>克利</w:t>
      </w:r>
      <w:r w:rsidRPr="0097554A">
        <w:rPr>
          <w:color w:val="0000FF"/>
          <w:lang w:val="ru-RU"/>
        </w:rPr>
        <w:t>，</w:t>
      </w:r>
      <w:r w:rsidRPr="004C59BB">
        <w:rPr>
          <w:color w:val="0000FF"/>
        </w:rPr>
        <w:t>《天主教教义学》第三卷</w:t>
      </w:r>
      <w:r w:rsidRPr="0097554A">
        <w:rPr>
          <w:color w:val="0000FF"/>
          <w:lang w:val="ru-RU"/>
        </w:rPr>
        <w:t>，</w:t>
      </w:r>
      <w:r w:rsidRPr="004C59BB">
        <w:rPr>
          <w:color w:val="0000FF"/>
        </w:rPr>
        <w:t>第</w:t>
      </w:r>
      <w:r w:rsidRPr="0097554A">
        <w:rPr>
          <w:color w:val="0000FF"/>
          <w:lang w:val="ru-RU"/>
        </w:rPr>
        <w:t>169</w:t>
      </w:r>
      <w:r w:rsidRPr="004C59BB">
        <w:rPr>
          <w:color w:val="0000FF"/>
        </w:rPr>
        <w:t>页</w:t>
      </w:r>
      <w:r w:rsidRPr="0097554A">
        <w:rPr>
          <w:color w:val="0000FF"/>
          <w:lang w:val="ru-RU"/>
        </w:rPr>
        <w:t>，</w:t>
      </w:r>
      <w:r w:rsidRPr="004C59BB">
        <w:rPr>
          <w:color w:val="0000FF"/>
        </w:rPr>
        <w:t>美因茨</w:t>
      </w:r>
      <w:r w:rsidRPr="0097554A">
        <w:rPr>
          <w:color w:val="0000FF"/>
          <w:lang w:val="ru-RU"/>
        </w:rPr>
        <w:t>，1845</w:t>
      </w:r>
      <w:r w:rsidRPr="004C59BB">
        <w:rPr>
          <w:color w:val="0000FF"/>
        </w:rPr>
        <w:t>年</w:t>
      </w:r>
      <w:r w:rsidRPr="0097554A">
        <w:rPr>
          <w:color w:val="0000FF"/>
          <w:lang w:val="ru-RU"/>
        </w:rPr>
        <w:t>）</w:t>
      </w:r>
      <w:r w:rsidRPr="004C59BB">
        <w:rPr>
          <w:color w:val="0000FF"/>
        </w:rPr>
        <w:t>。</w:t>
      </w:r>
    </w:p>
  </w:footnote>
  <w:footnote w:id="1056">
    <w:p w14:paraId="0D26FB07" w14:textId="6120A9F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参见上文注释</w:t>
      </w:r>
      <w:r w:rsidRPr="0097554A">
        <w:rPr>
          <w:color w:val="0000FF"/>
          <w:lang w:val="ru-RU"/>
        </w:rPr>
        <w:t>1027</w:t>
      </w:r>
      <w:r w:rsidRPr="004C59BB">
        <w:rPr>
          <w:color w:val="0000FF"/>
        </w:rPr>
        <w:t>。</w:t>
      </w:r>
    </w:p>
  </w:footnote>
  <w:footnote w:id="1057">
    <w:p w14:paraId="7C68276B" w14:textId="1BC01C8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额头涂油</w:t>
      </w:r>
      <w:r w:rsidRPr="0097554A">
        <w:rPr>
          <w:color w:val="0000FF"/>
          <w:lang w:val="ru-RU"/>
        </w:rPr>
        <w:t>”</w:t>
      </w:r>
      <w:r w:rsidRPr="004C59BB">
        <w:rPr>
          <w:color w:val="0000FF"/>
        </w:rPr>
        <w:t>指的是按手礼</w:t>
      </w:r>
      <w:r w:rsidRPr="0097554A">
        <w:rPr>
          <w:color w:val="0000FF"/>
          <w:lang w:val="ru-RU"/>
        </w:rPr>
        <w:t>，</w:t>
      </w:r>
      <w:r w:rsidRPr="004C59BB">
        <w:rPr>
          <w:color w:val="0000FF"/>
        </w:rPr>
        <w:t>该礼仪另有</w:t>
      </w:r>
      <w:r w:rsidRPr="0097554A">
        <w:rPr>
          <w:color w:val="0000FF"/>
          <w:lang w:val="ru-RU"/>
        </w:rPr>
        <w:t>“</w:t>
      </w:r>
      <w:r w:rsidRPr="004C59BB">
        <w:rPr>
          <w:color w:val="0000FF"/>
        </w:rPr>
        <w:t>坚振</w:t>
      </w:r>
      <w:r w:rsidRPr="0097554A">
        <w:rPr>
          <w:color w:val="0000FF"/>
          <w:lang w:val="ru-RU"/>
        </w:rPr>
        <w:t>”</w:t>
      </w:r>
      <w:r w:rsidRPr="004C59BB">
        <w:rPr>
          <w:color w:val="0000FF"/>
        </w:rPr>
        <w:t>之称</w:t>
      </w:r>
      <w:r w:rsidRPr="0097554A">
        <w:rPr>
          <w:color w:val="0000FF"/>
          <w:lang w:val="ru-RU"/>
        </w:rPr>
        <w:t>（</w:t>
      </w:r>
      <w:r w:rsidRPr="004C59BB">
        <w:rPr>
          <w:color w:val="0000FF"/>
        </w:rPr>
        <w:t>参见《当他来到时》章</w:t>
      </w:r>
      <w:r w:rsidRPr="0097554A">
        <w:rPr>
          <w:color w:val="0000FF"/>
          <w:lang w:val="ru-RU"/>
        </w:rPr>
        <w:t>，</w:t>
      </w:r>
      <w:r w:rsidRPr="004C59BB">
        <w:rPr>
          <w:color w:val="0000FF"/>
        </w:rPr>
        <w:t>特别篇</w:t>
      </w:r>
      <w:r w:rsidRPr="0097554A">
        <w:rPr>
          <w:color w:val="0000FF"/>
          <w:lang w:val="ru-RU"/>
        </w:rPr>
        <w:t>——</w:t>
      </w:r>
      <w:r w:rsidRPr="004C59BB">
        <w:rPr>
          <w:color w:val="0000FF"/>
        </w:rPr>
        <w:t>论圣油礼</w:t>
      </w:r>
      <w:r w:rsidRPr="0097554A">
        <w:rPr>
          <w:color w:val="0000FF"/>
          <w:lang w:val="ru-RU"/>
        </w:rPr>
        <w:t>）</w:t>
      </w:r>
      <w:r w:rsidRPr="004C59BB">
        <w:rPr>
          <w:color w:val="0000FF"/>
        </w:rPr>
        <w:t>。</w:t>
      </w:r>
    </w:p>
  </w:footnote>
  <w:footnote w:id="1058">
    <w:p w14:paraId="2776E620" w14:textId="102E7596"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在教会中</w:t>
      </w:r>
      <w:r w:rsidRPr="0097554A">
        <w:rPr>
          <w:color w:val="0000FF"/>
          <w:lang w:val="ru-RU"/>
        </w:rPr>
        <w:t>，</w:t>
      </w:r>
      <w:r w:rsidRPr="004C59BB">
        <w:rPr>
          <w:color w:val="0000FF"/>
        </w:rPr>
        <w:t>坚振礼是在按手之处施行的</w:t>
      </w:r>
      <w:r w:rsidRPr="0097554A">
        <w:rPr>
          <w:color w:val="0000FF"/>
          <w:lang w:val="ru-RU"/>
        </w:rPr>
        <w:t>（</w:t>
      </w:r>
      <w:r w:rsidRPr="004C59BB">
        <w:rPr>
          <w:color w:val="0000FF"/>
        </w:rPr>
        <w:t>《关于亚美尼亚人联合的法令》</w:t>
      </w:r>
      <w:r w:rsidRPr="0097554A">
        <w:rPr>
          <w:color w:val="0000FF"/>
          <w:lang w:val="ru-RU"/>
        </w:rPr>
        <w:t>，</w:t>
      </w:r>
      <w:r w:rsidRPr="004C59BB">
        <w:rPr>
          <w:color w:val="0000FF"/>
        </w:rPr>
        <w:t>见哈杜因《大公会议记录》第IX卷</w:t>
      </w:r>
      <w:r w:rsidRPr="0097554A">
        <w:rPr>
          <w:color w:val="0000FF"/>
          <w:lang w:val="ru-RU"/>
        </w:rPr>
        <w:t>，</w:t>
      </w:r>
      <w:r w:rsidRPr="004C59BB">
        <w:rPr>
          <w:color w:val="0000FF"/>
        </w:rPr>
        <w:t>第</w:t>
      </w:r>
      <w:r w:rsidRPr="0097554A">
        <w:rPr>
          <w:color w:val="0000FF"/>
          <w:lang w:val="ru-RU"/>
        </w:rPr>
        <w:t>458</w:t>
      </w:r>
      <w:r w:rsidRPr="004C59BB">
        <w:rPr>
          <w:color w:val="0000FF"/>
        </w:rPr>
        <w:t>页</w:t>
      </w:r>
      <w:r w:rsidRPr="0097554A">
        <w:rPr>
          <w:color w:val="0000FF"/>
          <w:lang w:val="ru-RU"/>
        </w:rPr>
        <w:t>）</w:t>
      </w:r>
      <w:r w:rsidRPr="004C59BB">
        <w:rPr>
          <w:color w:val="0000FF"/>
        </w:rPr>
        <w:t>。</w:t>
      </w:r>
    </w:p>
  </w:footnote>
  <w:footnote w:id="1059">
    <w:p w14:paraId="21869886" w14:textId="475886DD"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应仔细教导信众</w:t>
      </w:r>
      <w:r w:rsidRPr="0097554A">
        <w:rPr>
          <w:color w:val="0000FF"/>
          <w:lang w:val="ru-RU"/>
        </w:rPr>
        <w:t>，</w:t>
      </w:r>
      <w:r w:rsidRPr="004C59BB">
        <w:rPr>
          <w:color w:val="0000FF"/>
        </w:rPr>
        <w:t>说明为何这一圣事</w:t>
      </w:r>
      <w:r w:rsidRPr="0097554A">
        <w:rPr>
          <w:color w:val="0000FF"/>
          <w:lang w:val="ru-RU"/>
        </w:rPr>
        <w:t>——</w:t>
      </w:r>
      <w:r w:rsidRPr="004C59BB">
        <w:rPr>
          <w:color w:val="0000FF"/>
        </w:rPr>
        <w:t>起初仅以按手礼施行</w:t>
      </w:r>
      <w:r w:rsidRPr="0097554A">
        <w:rPr>
          <w:color w:val="0000FF"/>
          <w:lang w:val="ru-RU"/>
        </w:rPr>
        <w:t>，</w:t>
      </w:r>
      <w:r w:rsidRPr="004C59BB">
        <w:rPr>
          <w:color w:val="0000FF"/>
        </w:rPr>
        <w:t>随后在使徒时代便根据使徒们的传统</w:t>
      </w:r>
      <w:r w:rsidRPr="0097554A">
        <w:rPr>
          <w:color w:val="0000FF"/>
          <w:lang w:val="ru-RU"/>
        </w:rPr>
        <w:t>，</w:t>
      </w:r>
      <w:r w:rsidRPr="004C59BB">
        <w:rPr>
          <w:color w:val="0000FF"/>
        </w:rPr>
        <w:t>开始采用圣油涂抹的方式来授予</w:t>
      </w:r>
      <w:r w:rsidRPr="0097554A">
        <w:rPr>
          <w:color w:val="0000FF"/>
          <w:lang w:val="ru-RU"/>
        </w:rPr>
        <w:t>……</w:t>
      </w:r>
      <w:r w:rsidRPr="004C59BB">
        <w:rPr>
          <w:color w:val="0000FF"/>
          <w:lang w:val="ru-RU"/>
        </w:rPr>
        <w:t>（</w:t>
      </w:r>
      <w:r w:rsidRPr="004C59BB">
        <w:rPr>
          <w:color w:val="0000FF"/>
        </w:rPr>
        <w:t>见哈杜因</w:t>
      </w:r>
      <w:r w:rsidRPr="004C59BB">
        <w:rPr>
          <w:color w:val="0000FF"/>
          <w:lang w:val="ru-RU"/>
        </w:rPr>
        <w:t>，</w:t>
      </w:r>
      <w:r w:rsidRPr="004C59BB">
        <w:rPr>
          <w:color w:val="0000FF"/>
        </w:rPr>
        <w:t>同上</w:t>
      </w:r>
      <w:r w:rsidRPr="004C59BB">
        <w:rPr>
          <w:color w:val="0000FF"/>
          <w:lang w:val="ru-RU"/>
        </w:rPr>
        <w:t>，第2118栏）。</w:t>
      </w:r>
    </w:p>
  </w:footnote>
  <w:footnote w:id="1060">
    <w:p w14:paraId="69E2429A" w14:textId="0EC12DB4"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有一种值得关注的个人观点认为，使徒们最初通过按手将圣灵降临在信徒身上的仪式，从严格意义上讲并未被废除，而至今仍在施行圣油礼时进行。 因为在圣油涂抹的仪式中——由教会牧者亲手在受洗者的额头及其他部位进行涂抹——本身就包含了施礼者将涂抹之手按在受礼者身上的动作。 因此，使徒们虽然遵照圣灵的指示，为向信徒传授祂的恩典之礼而选择了另一种标志，但并未因此废除先前同样由上帝拣选的标志，相反，他们以至智的方式将二者结合在一起。 这一观点</w:t>
      </w:r>
      <w:r w:rsidRPr="004C59BB">
        <w:rPr>
          <w:color w:val="0000FF"/>
        </w:rPr>
        <w:t>可见</w:t>
      </w:r>
      <w:r w:rsidRPr="004C59BB">
        <w:rPr>
          <w:color w:val="0000FF"/>
          <w:lang w:val="ru-RU"/>
        </w:rPr>
        <w:t>于七世纪的作家——尊贵的贝达（</w:t>
      </w:r>
      <w:r w:rsidRPr="004C59BB">
        <w:rPr>
          <w:color w:val="0000FF"/>
        </w:rPr>
        <w:t>Asin</w:t>
      </w:r>
      <w:r w:rsidRPr="004C59BB">
        <w:rPr>
          <w:color w:val="0000FF"/>
          <w:lang w:val="ru-RU"/>
        </w:rPr>
        <w:t xml:space="preserve">. </w:t>
      </w:r>
      <w:r w:rsidRPr="004C59BB">
        <w:rPr>
          <w:color w:val="0000FF"/>
        </w:rPr>
        <w:t>alm</w:t>
      </w:r>
      <w:r w:rsidRPr="004C59BB">
        <w:rPr>
          <w:color w:val="0000FF"/>
          <w:lang w:val="ru-RU"/>
        </w:rPr>
        <w:t xml:space="preserve">. </w:t>
      </w:r>
      <w:r w:rsidRPr="004C59BB">
        <w:rPr>
          <w:color w:val="0000FF"/>
        </w:rPr>
        <w:t>XXIX</w:t>
      </w:r>
      <w:r w:rsidRPr="004C59BB">
        <w:rPr>
          <w:color w:val="0000FF"/>
          <w:lang w:val="ru-RU"/>
        </w:rPr>
        <w:t>）和八世纪的作家——拉巴瓦·马夫拉（</w:t>
      </w:r>
      <w:r w:rsidRPr="004C59BB">
        <w:rPr>
          <w:color w:val="0000FF"/>
        </w:rPr>
        <w:t>De</w:t>
      </w:r>
      <w:r w:rsidRPr="0097554A">
        <w:rPr>
          <w:color w:val="0000FF"/>
          <w:lang w:val="ru-RU"/>
        </w:rPr>
        <w:t xml:space="preserve"> </w:t>
      </w:r>
      <w:r w:rsidRPr="004C59BB">
        <w:rPr>
          <w:color w:val="0000FF"/>
        </w:rPr>
        <w:t>instit</w:t>
      </w:r>
      <w:r w:rsidRPr="004C59BB">
        <w:rPr>
          <w:color w:val="0000FF"/>
          <w:lang w:val="ru-RU"/>
        </w:rPr>
        <w:t xml:space="preserve">. </w:t>
      </w:r>
      <w:r w:rsidRPr="004C59BB">
        <w:rPr>
          <w:color w:val="0000FF"/>
        </w:rPr>
        <w:t>cleric</w:t>
      </w:r>
      <w:r w:rsidRPr="004C59BB">
        <w:rPr>
          <w:color w:val="0000FF"/>
          <w:lang w:val="ru-RU"/>
        </w:rPr>
        <w:t xml:space="preserve">. </w:t>
      </w:r>
      <w:r w:rsidRPr="004C59BB">
        <w:rPr>
          <w:color w:val="0000FF"/>
        </w:rPr>
        <w:t>lib</w:t>
      </w:r>
      <w:r w:rsidRPr="004C59BB">
        <w:rPr>
          <w:color w:val="0000FF"/>
          <w:lang w:val="ru-RU"/>
        </w:rPr>
        <w:t xml:space="preserve">. 1, </w:t>
      </w:r>
      <w:r w:rsidRPr="004C59BB">
        <w:rPr>
          <w:color w:val="0000FF"/>
        </w:rPr>
        <w:t>c</w:t>
      </w:r>
      <w:r w:rsidRPr="004C59BB">
        <w:rPr>
          <w:color w:val="0000FF"/>
          <w:lang w:val="ru-RU"/>
        </w:rPr>
        <w:t>. 28）的著作</w:t>
      </w:r>
      <w:r w:rsidRPr="004C59BB">
        <w:rPr>
          <w:color w:val="0000FF"/>
        </w:rPr>
        <w:t>中</w:t>
      </w:r>
      <w:r w:rsidRPr="0097554A">
        <w:rPr>
          <w:color w:val="0000FF"/>
          <w:lang w:val="ru-RU"/>
        </w:rPr>
        <w:t>，</w:t>
      </w:r>
      <w:r w:rsidRPr="004C59BB">
        <w:rPr>
          <w:color w:val="0000FF"/>
        </w:rPr>
        <w:t>也见</w:t>
      </w:r>
      <w:r w:rsidRPr="004C59BB">
        <w:rPr>
          <w:color w:val="0000FF"/>
          <w:lang w:val="ru-RU"/>
        </w:rPr>
        <w:t>于其他著作（参见</w:t>
      </w:r>
      <w:r w:rsidRPr="004C59BB">
        <w:rPr>
          <w:color w:val="0000FF"/>
        </w:rPr>
        <w:t>注释</w:t>
      </w:r>
      <w:r w:rsidRPr="0097554A">
        <w:rPr>
          <w:color w:val="0000FF"/>
          <w:lang w:val="ru-RU"/>
        </w:rPr>
        <w:t>1048）</w:t>
      </w:r>
      <w:r w:rsidRPr="004C59BB">
        <w:rPr>
          <w:color w:val="0000FF"/>
        </w:rPr>
        <w:t>。</w:t>
      </w:r>
    </w:p>
  </w:footnote>
  <w:footnote w:id="1061">
    <w:p w14:paraId="52C3FED2" w14:textId="7B5062B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上帝为你涂抹圣油</w:t>
      </w:r>
      <w:r w:rsidRPr="0097554A">
        <w:rPr>
          <w:color w:val="0000FF"/>
          <w:lang w:val="ru-RU"/>
        </w:rPr>
        <w:t>，</w:t>
      </w:r>
      <w:r w:rsidRPr="004C59BB">
        <w:rPr>
          <w:color w:val="0000FF"/>
        </w:rPr>
        <w:t>基督为你施以印记。如何</w:t>
      </w:r>
      <w:r w:rsidRPr="0097554A">
        <w:rPr>
          <w:color w:val="0000FF"/>
          <w:lang w:val="ru-RU"/>
        </w:rPr>
        <w:t>？</w:t>
      </w:r>
      <w:r w:rsidRPr="004C59BB">
        <w:rPr>
          <w:color w:val="0000FF"/>
        </w:rPr>
        <w:t>因为你被标记为十字架的形状</w:t>
      </w:r>
      <w:r w:rsidRPr="0097554A">
        <w:rPr>
          <w:color w:val="0000FF"/>
          <w:lang w:val="ru-RU"/>
        </w:rPr>
        <w:t>，</w:t>
      </w:r>
      <w:r w:rsidRPr="004C59BB">
        <w:rPr>
          <w:color w:val="0000FF"/>
        </w:rPr>
        <w:t>被标记为基督的受难</w:t>
      </w:r>
      <w:r w:rsidRPr="0097554A">
        <w:rPr>
          <w:color w:val="0000FF"/>
          <w:lang w:val="ru-RU"/>
        </w:rPr>
        <w:t>（</w:t>
      </w:r>
      <w:r w:rsidRPr="004C59BB">
        <w:rPr>
          <w:color w:val="0000FF"/>
        </w:rPr>
        <w:t>《论圣事》第六卷</w:t>
      </w:r>
      <w:r w:rsidRPr="0097554A">
        <w:rPr>
          <w:color w:val="0000FF"/>
          <w:lang w:val="ru-RU"/>
        </w:rPr>
        <w:t>，</w:t>
      </w:r>
      <w:r w:rsidRPr="004C59BB">
        <w:rPr>
          <w:color w:val="0000FF"/>
        </w:rPr>
        <w:t>第</w:t>
      </w:r>
      <w:r w:rsidRPr="0097554A">
        <w:rPr>
          <w:color w:val="0000FF"/>
          <w:lang w:val="ru-RU"/>
        </w:rPr>
        <w:t>2</w:t>
      </w:r>
      <w:r w:rsidRPr="004C59BB">
        <w:rPr>
          <w:color w:val="0000FF"/>
        </w:rPr>
        <w:t>章</w:t>
      </w:r>
      <w:r w:rsidRPr="0097554A">
        <w:rPr>
          <w:color w:val="0000FF"/>
          <w:lang w:val="ru-RU"/>
        </w:rPr>
        <w:t>，</w:t>
      </w:r>
      <w:r w:rsidRPr="004C59BB">
        <w:rPr>
          <w:color w:val="0000FF"/>
        </w:rPr>
        <w:t>第</w:t>
      </w:r>
      <w:r w:rsidRPr="0097554A">
        <w:rPr>
          <w:color w:val="0000FF"/>
          <w:lang w:val="ru-RU"/>
        </w:rPr>
        <w:t>7</w:t>
      </w:r>
      <w:r w:rsidRPr="004C59BB">
        <w:rPr>
          <w:color w:val="0000FF"/>
        </w:rPr>
        <w:t>节</w:t>
      </w:r>
      <w:r w:rsidRPr="0097554A">
        <w:rPr>
          <w:color w:val="0000FF"/>
          <w:lang w:val="ru-RU"/>
        </w:rPr>
        <w:t>）</w:t>
      </w:r>
      <w:r w:rsidRPr="004C59BB">
        <w:rPr>
          <w:color w:val="0000FF"/>
        </w:rPr>
        <w:t>。</w:t>
      </w:r>
    </w:p>
  </w:footnote>
  <w:footnote w:id="1062">
    <w:p w14:paraId="7A44238D" w14:textId="168396D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《约翰福音讲义》第CXVIII章。</w:t>
      </w:r>
    </w:p>
  </w:footnote>
  <w:footnote w:id="1063">
    <w:p w14:paraId="4081B8E9" w14:textId="5F27980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《秘仪教义》第三卷</w:t>
      </w:r>
      <w:r w:rsidRPr="0097554A">
        <w:rPr>
          <w:color w:val="0000FF"/>
          <w:lang w:val="ru-RU"/>
        </w:rPr>
        <w:t>，</w:t>
      </w:r>
      <w:r w:rsidRPr="004C59BB">
        <w:rPr>
          <w:color w:val="0000FF"/>
        </w:rPr>
        <w:t>第</w:t>
      </w:r>
      <w:r w:rsidRPr="0097554A">
        <w:rPr>
          <w:color w:val="0000FF"/>
          <w:lang w:val="ru-RU"/>
        </w:rPr>
        <w:t>4</w:t>
      </w:r>
      <w:r w:rsidRPr="004C59BB">
        <w:rPr>
          <w:color w:val="0000FF"/>
        </w:rPr>
        <w:t>条</w:t>
      </w:r>
      <w:r w:rsidRPr="0097554A">
        <w:rPr>
          <w:color w:val="0000FF"/>
          <w:lang w:val="ru-RU"/>
        </w:rPr>
        <w:t>，</w:t>
      </w:r>
      <w:r w:rsidRPr="004C59BB">
        <w:rPr>
          <w:color w:val="0000FF"/>
        </w:rPr>
        <w:t>第</w:t>
      </w:r>
      <w:r w:rsidRPr="0097554A">
        <w:rPr>
          <w:color w:val="0000FF"/>
          <w:lang w:val="ru-RU"/>
        </w:rPr>
        <w:t>451–452</w:t>
      </w:r>
      <w:r w:rsidRPr="004C59BB">
        <w:rPr>
          <w:color w:val="0000FF"/>
        </w:rPr>
        <w:t>页。</w:t>
      </w:r>
    </w:p>
  </w:footnote>
  <w:footnote w:id="1064">
    <w:p w14:paraId="5CA2C5E5" w14:textId="1378F57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《周日礼仪》第7条；《周六礼仪》第95条。</w:t>
      </w:r>
    </w:p>
  </w:footnote>
  <w:footnote w:id="1065">
    <w:p w14:paraId="151268C4" w14:textId="04353A8D"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“你灵魂中的一切入口都烙上了圣灵的印记；你身体的各个肢体都烙上了见证的印记。 君王仿佛在你身上写下了他的信函，并在其上加盖了火的印记（马太福音 3: 11；路加福音 3: 16），以免外人读懂它，也不致篡改字迹”（奥尔，《</w:t>
      </w:r>
      <w:r w:rsidRPr="004C59BB">
        <w:rPr>
          <w:color w:val="0000FF"/>
        </w:rPr>
        <w:t>叙利亚</w:t>
      </w:r>
      <w:r w:rsidRPr="004C59BB">
        <w:rPr>
          <w:color w:val="0000FF"/>
          <w:lang w:val="ru-RU"/>
        </w:rPr>
        <w:t>文集》</w:t>
      </w:r>
      <w:r w:rsidRPr="004C59BB">
        <w:rPr>
          <w:color w:val="0000FF"/>
        </w:rPr>
        <w:t>T卷</w:t>
      </w:r>
      <w:r w:rsidRPr="0097554A">
        <w:rPr>
          <w:color w:val="0000FF"/>
          <w:lang w:val="ru-RU"/>
        </w:rPr>
        <w:t>，</w:t>
      </w:r>
      <w:r w:rsidRPr="004C59BB">
        <w:rPr>
          <w:color w:val="0000FF"/>
        </w:rPr>
        <w:t>II</w:t>
      </w:r>
      <w:r w:rsidRPr="0097554A">
        <w:rPr>
          <w:color w:val="0000FF"/>
          <w:lang w:val="ru-RU"/>
        </w:rPr>
        <w:t>，</w:t>
      </w:r>
      <w:r w:rsidRPr="004C59BB">
        <w:rPr>
          <w:color w:val="0000FF"/>
        </w:rPr>
        <w:t>第</w:t>
      </w:r>
      <w:r w:rsidRPr="0097554A">
        <w:rPr>
          <w:color w:val="0000FF"/>
          <w:lang w:val="ru-RU"/>
        </w:rPr>
        <w:t>332</w:t>
      </w:r>
      <w:r w:rsidRPr="004C59BB">
        <w:rPr>
          <w:color w:val="0000FF"/>
        </w:rPr>
        <w:t>页</w:t>
      </w:r>
      <w:r w:rsidRPr="0097554A">
        <w:rPr>
          <w:color w:val="0000FF"/>
          <w:lang w:val="ru-RU"/>
        </w:rPr>
        <w:t>）</w:t>
      </w:r>
      <w:r w:rsidRPr="004C59BB">
        <w:rPr>
          <w:color w:val="0000FF"/>
        </w:rPr>
        <w:t>。</w:t>
      </w:r>
    </w:p>
  </w:footnote>
  <w:footnote w:id="1066">
    <w:p w14:paraId="53B79474" w14:textId="5B2A442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《罗马教理问答》第二部分</w:t>
      </w:r>
      <w:r w:rsidRPr="0097554A">
        <w:rPr>
          <w:color w:val="0000FF"/>
          <w:lang w:val="ru-RU"/>
        </w:rPr>
        <w:t>，</w:t>
      </w:r>
      <w:r w:rsidRPr="004C59BB">
        <w:rPr>
          <w:color w:val="0000FF"/>
        </w:rPr>
        <w:t>第</w:t>
      </w:r>
      <w:r w:rsidRPr="0097554A">
        <w:rPr>
          <w:color w:val="0000FF"/>
          <w:lang w:val="ru-RU"/>
        </w:rPr>
        <w:t>3</w:t>
      </w:r>
      <w:r w:rsidRPr="004C59BB">
        <w:rPr>
          <w:color w:val="0000FF"/>
        </w:rPr>
        <w:t>章</w:t>
      </w:r>
      <w:r w:rsidRPr="0097554A">
        <w:rPr>
          <w:color w:val="0000FF"/>
          <w:lang w:val="ru-RU"/>
        </w:rPr>
        <w:t>，</w:t>
      </w:r>
      <w:r w:rsidRPr="004C59BB">
        <w:rPr>
          <w:color w:val="0000FF"/>
        </w:rPr>
        <w:t>第</w:t>
      </w:r>
      <w:r w:rsidRPr="0097554A">
        <w:rPr>
          <w:color w:val="0000FF"/>
          <w:lang w:val="ru-RU"/>
        </w:rPr>
        <w:t>23</w:t>
      </w:r>
      <w:r w:rsidRPr="004C59BB">
        <w:rPr>
          <w:color w:val="0000FF"/>
        </w:rPr>
        <w:t>条。</w:t>
      </w:r>
    </w:p>
  </w:footnote>
  <w:footnote w:id="1067">
    <w:p w14:paraId="6A62167D" w14:textId="67FCBDD2" w:rsidR="00254F25" w:rsidRPr="0097554A"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阿塞曼。《礼仪法典》T卷</w:t>
      </w:r>
      <w:r w:rsidRPr="0097554A">
        <w:rPr>
          <w:color w:val="0000FF"/>
          <w:lang w:val="ru-RU"/>
        </w:rPr>
        <w:t>，</w:t>
      </w:r>
      <w:r w:rsidRPr="004C59BB">
        <w:rPr>
          <w:color w:val="0000FF"/>
        </w:rPr>
        <w:t>III</w:t>
      </w:r>
      <w:r w:rsidRPr="0097554A">
        <w:rPr>
          <w:color w:val="0000FF"/>
          <w:lang w:val="ru-RU"/>
        </w:rPr>
        <w:t>，</w:t>
      </w:r>
      <w:r w:rsidRPr="004C59BB">
        <w:rPr>
          <w:color w:val="0000FF"/>
        </w:rPr>
        <w:t>第</w:t>
      </w:r>
      <w:r w:rsidRPr="0097554A">
        <w:rPr>
          <w:color w:val="0000FF"/>
          <w:lang w:val="ru-RU"/>
        </w:rPr>
        <w:t>83–84</w:t>
      </w:r>
      <w:r w:rsidRPr="004C59BB">
        <w:rPr>
          <w:color w:val="0000FF"/>
        </w:rPr>
        <w:t>页。</w:t>
      </w:r>
      <w:r w:rsidRPr="0097554A">
        <w:rPr>
          <w:color w:val="0000FF"/>
        </w:rPr>
        <w:t>111–112：</w:t>
      </w:r>
      <w:r w:rsidRPr="004C59BB">
        <w:rPr>
          <w:color w:val="0000FF"/>
          <w:lang w:val="ru-RU"/>
        </w:rPr>
        <w:t>亚美尼亚教会坚振礼仪</w:t>
      </w:r>
      <w:r w:rsidRPr="0097554A">
        <w:rPr>
          <w:color w:val="0000FF"/>
        </w:rPr>
        <w:t>，</w:t>
      </w:r>
      <w:r w:rsidRPr="004C59BB">
        <w:rPr>
          <w:color w:val="0000FF"/>
          <w:lang w:val="ru-RU"/>
        </w:rPr>
        <w:t>由亚美尼亚大主教约瑟夫出版</w:t>
      </w:r>
      <w:r w:rsidRPr="0097554A">
        <w:rPr>
          <w:color w:val="0000FF"/>
        </w:rPr>
        <w:t>，</w:t>
      </w:r>
      <w:r w:rsidRPr="004C59BB">
        <w:rPr>
          <w:color w:val="0000FF"/>
          <w:lang w:val="ru-RU"/>
        </w:rPr>
        <w:t>圣彼得堡</w:t>
      </w:r>
      <w:r w:rsidRPr="0097554A">
        <w:rPr>
          <w:color w:val="0000FF"/>
        </w:rPr>
        <w:t>，1799</w:t>
      </w:r>
      <w:r w:rsidRPr="004C59BB">
        <w:rPr>
          <w:color w:val="0000FF"/>
          <w:lang w:val="ru-RU"/>
        </w:rPr>
        <w:t>年。</w:t>
      </w:r>
    </w:p>
  </w:footnote>
  <w:footnote w:id="1068">
    <w:p w14:paraId="1B215910" w14:textId="1BB07D9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1032</w:t>
      </w:r>
      <w:r w:rsidRPr="004C59BB">
        <w:rPr>
          <w:color w:val="0000FF"/>
          <w:lang w:val="ru-RU"/>
        </w:rPr>
        <w:t>。</w:t>
      </w:r>
    </w:p>
  </w:footnote>
  <w:footnote w:id="1069">
    <w:p w14:paraId="12628B5D" w14:textId="6F30145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见福托斯</w:t>
      </w:r>
      <w:r w:rsidRPr="004C59BB">
        <w:rPr>
          <w:color w:val="0000FF"/>
          <w:lang w:val="ru-RU"/>
        </w:rPr>
        <w:t>《</w:t>
      </w:r>
      <w:r w:rsidRPr="004C59BB">
        <w:rPr>
          <w:color w:val="0000FF"/>
        </w:rPr>
        <w:t>图书馆</w:t>
      </w:r>
      <w:r w:rsidRPr="004C59BB">
        <w:rPr>
          <w:color w:val="0000FF"/>
          <w:lang w:val="ru-RU"/>
        </w:rPr>
        <w:t>》</w:t>
      </w:r>
      <w:r w:rsidRPr="004C59BB">
        <w:rPr>
          <w:color w:val="0000FF"/>
        </w:rPr>
        <w:t>手稿CCLXXI</w:t>
      </w:r>
      <w:r w:rsidRPr="0097554A">
        <w:rPr>
          <w:color w:val="0000FF"/>
        </w:rPr>
        <w:t>，</w:t>
      </w:r>
      <w:r w:rsidRPr="004C59BB">
        <w:rPr>
          <w:color w:val="0000FF"/>
          <w:lang w:val="ru-RU"/>
        </w:rPr>
        <w:t>第</w:t>
      </w:r>
      <w:r w:rsidRPr="0097554A">
        <w:rPr>
          <w:color w:val="0000FF"/>
        </w:rPr>
        <w:t>1499</w:t>
      </w:r>
      <w:r w:rsidRPr="004C59BB">
        <w:rPr>
          <w:color w:val="0000FF"/>
        </w:rPr>
        <w:t>栏</w:t>
      </w:r>
      <w:r w:rsidRPr="004C59BB">
        <w:rPr>
          <w:color w:val="0000FF"/>
          <w:lang w:val="ru-RU"/>
        </w:rPr>
        <w:t>。</w:t>
      </w:r>
    </w:p>
  </w:footnote>
  <w:footnote w:id="1070">
    <w:p w14:paraId="2605923B" w14:textId="7241D650"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w:t>
      </w:r>
      <w:r w:rsidRPr="004C59BB">
        <w:rPr>
          <w:color w:val="0000FF"/>
          <w:lang w:val="el-GR"/>
        </w:rPr>
        <w:t>注</w:t>
      </w:r>
      <w:r w:rsidRPr="0097554A">
        <w:rPr>
          <w:color w:val="0000FF"/>
        </w:rPr>
        <w:t>1023</w:t>
      </w:r>
      <w:r w:rsidRPr="004C59BB">
        <w:rPr>
          <w:color w:val="0000FF"/>
          <w:lang w:val="el-GR"/>
        </w:rPr>
        <w:t>。Του</w:t>
      </w:r>
      <w:r w:rsidRPr="0097554A">
        <w:rPr>
          <w:color w:val="0000FF"/>
        </w:rPr>
        <w:t xml:space="preserve"> </w:t>
      </w:r>
      <w:r w:rsidRPr="004C59BB">
        <w:rPr>
          <w:color w:val="0000FF"/>
          <w:lang w:val="el-GR"/>
        </w:rPr>
        <w:t>μύρου</w:t>
      </w:r>
      <w:r w:rsidRPr="0097554A">
        <w:rPr>
          <w:color w:val="0000FF"/>
        </w:rPr>
        <w:t xml:space="preserve"> </w:t>
      </w:r>
      <w:r w:rsidRPr="004C59BB">
        <w:rPr>
          <w:color w:val="0000FF"/>
          <w:lang w:val="el-GR"/>
        </w:rPr>
        <w:t>τελειοτιχή</w:t>
      </w:r>
      <w:r w:rsidRPr="0097554A">
        <w:rPr>
          <w:color w:val="0000FF"/>
        </w:rPr>
        <w:t xml:space="preserve"> </w:t>
      </w:r>
      <w:r w:rsidRPr="004C59BB">
        <w:rPr>
          <w:color w:val="0000FF"/>
          <w:lang w:val="el-GR"/>
        </w:rPr>
        <w:t>κρίσις</w:t>
      </w:r>
      <w:r w:rsidRPr="0097554A">
        <w:rPr>
          <w:color w:val="0000FF"/>
        </w:rPr>
        <w:t>（</w:t>
      </w:r>
      <w:r w:rsidRPr="004C59BB">
        <w:rPr>
          <w:color w:val="0000FF"/>
          <w:lang w:val="el-GR"/>
        </w:rPr>
        <w:t>《教会神学》</w:t>
      </w:r>
      <w:r w:rsidRPr="004C59BB">
        <w:rPr>
          <w:color w:val="0000FF"/>
        </w:rPr>
        <w:t>第二卷，第8节）。</w:t>
      </w:r>
    </w:p>
  </w:footnote>
  <w:footnote w:id="1071">
    <w:p w14:paraId="28949B09" w14:textId="23CB0D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见上文注1025。“身体受印记，使灵魂得保护”（《论肉身复活》第8章）。“并非我们在水中获得圣灵，而是在水中得以洁净，在圣灵的天使引导下做好准备……”（《论洗礼》第6章）。</w:t>
      </w:r>
    </w:p>
  </w:footnote>
  <w:footnote w:id="1072">
    <w:p w14:paraId="1A11FCCB" w14:textId="60F025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见上文注释1027和1029。</w:t>
      </w:r>
    </w:p>
  </w:footnote>
  <w:footnote w:id="1073">
    <w:p w14:paraId="2EB49BD0" w14:textId="4ABF1D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上文注释1030–1034、1035–1040。</w:t>
      </w:r>
    </w:p>
  </w:footnote>
  <w:footnote w:id="1074">
    <w:p w14:paraId="7CA2C7FC" w14:textId="67A88B3A"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通过洗礼，罪孽得以净化；通过圣油，圣灵被灌注。帕西亚努斯《论洗礼》第6节。参见迪迪莫斯《论三位一体》第二</w:t>
      </w:r>
      <w:r w:rsidRPr="004C59BB">
        <w:rPr>
          <w:color w:val="0000FF"/>
          <w:lang w:val="ru-RU"/>
        </w:rPr>
        <w:t>卷第</w:t>
      </w:r>
      <w:r w:rsidRPr="0097554A">
        <w:rPr>
          <w:color w:val="0000FF"/>
        </w:rPr>
        <w:t>1</w:t>
      </w:r>
      <w:r w:rsidRPr="004C59BB">
        <w:rPr>
          <w:color w:val="0000FF"/>
          <w:lang w:val="ru-RU"/>
        </w:rPr>
        <w:t>章第</w:t>
      </w:r>
      <w:r w:rsidRPr="0097554A">
        <w:rPr>
          <w:color w:val="0000FF"/>
        </w:rPr>
        <w:t>14</w:t>
      </w:r>
      <w:r w:rsidRPr="004C59BB">
        <w:rPr>
          <w:color w:val="0000FF"/>
          <w:lang w:val="ru-RU"/>
        </w:rPr>
        <w:t>节。</w:t>
      </w:r>
    </w:p>
  </w:footnote>
  <w:footnote w:id="1075">
    <w:p w14:paraId="0D87320C" w14:textId="3865C91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上文注释</w:t>
      </w:r>
      <w:r w:rsidRPr="0097554A">
        <w:rPr>
          <w:color w:val="0000FF"/>
        </w:rPr>
        <w:t>1036</w:t>
      </w:r>
      <w:r w:rsidRPr="004C59BB">
        <w:rPr>
          <w:color w:val="0000FF"/>
          <w:lang w:val="ru-RU"/>
        </w:rPr>
        <w:t>。</w:t>
      </w:r>
    </w:p>
  </w:footnote>
  <w:footnote w:id="1076">
    <w:p w14:paraId="619BB916" w14:textId="5B73D93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《秘仪教义》</w:t>
      </w:r>
      <w:r w:rsidRPr="004C59BB">
        <w:rPr>
          <w:color w:val="0000FF"/>
        </w:rPr>
        <w:t>第三</w:t>
      </w:r>
      <w:r w:rsidRPr="004C59BB">
        <w:rPr>
          <w:color w:val="0000FF"/>
          <w:lang w:val="ru-RU"/>
        </w:rPr>
        <w:t>卷</w:t>
      </w:r>
      <w:r w:rsidRPr="0097554A">
        <w:rPr>
          <w:color w:val="0000FF"/>
        </w:rPr>
        <w:t>，</w:t>
      </w:r>
      <w:r w:rsidRPr="004C59BB">
        <w:rPr>
          <w:color w:val="0000FF"/>
        </w:rPr>
        <w:t>第</w:t>
      </w:r>
      <w:r w:rsidRPr="0097554A">
        <w:rPr>
          <w:color w:val="0000FF"/>
        </w:rPr>
        <w:t>7</w:t>
      </w:r>
      <w:r w:rsidRPr="004C59BB">
        <w:rPr>
          <w:color w:val="0000FF"/>
          <w:lang w:val="ru-RU"/>
        </w:rPr>
        <w:t>条</w:t>
      </w:r>
      <w:r w:rsidRPr="0097554A">
        <w:rPr>
          <w:color w:val="0000FF"/>
        </w:rPr>
        <w:t>，</w:t>
      </w:r>
      <w:r w:rsidRPr="004C59BB">
        <w:rPr>
          <w:color w:val="0000FF"/>
          <w:lang w:val="ru-RU"/>
        </w:rPr>
        <w:t>第</w:t>
      </w:r>
      <w:r w:rsidRPr="0097554A">
        <w:rPr>
          <w:color w:val="0000FF"/>
        </w:rPr>
        <w:t>453</w:t>
      </w:r>
      <w:r w:rsidRPr="004C59BB">
        <w:rPr>
          <w:color w:val="0000FF"/>
          <w:lang w:val="ru-RU"/>
        </w:rPr>
        <w:t>页。</w:t>
      </w:r>
    </w:p>
  </w:footnote>
  <w:footnote w:id="1077">
    <w:p w14:paraId="4615324A" w14:textId="5E38001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同上</w:t>
      </w:r>
      <w:r w:rsidRPr="0097554A">
        <w:rPr>
          <w:color w:val="0000FF"/>
        </w:rPr>
        <w:t>，</w:t>
      </w:r>
      <w:r w:rsidRPr="004C59BB">
        <w:rPr>
          <w:color w:val="0000FF"/>
          <w:lang w:val="ru-RU"/>
        </w:rPr>
        <w:t>第</w:t>
      </w:r>
      <w:r w:rsidRPr="0097554A">
        <w:rPr>
          <w:color w:val="0000FF"/>
        </w:rPr>
        <w:t>4</w:t>
      </w:r>
      <w:r w:rsidRPr="004C59BB">
        <w:rPr>
          <w:color w:val="0000FF"/>
          <w:lang w:val="ru-RU"/>
        </w:rPr>
        <w:t>节</w:t>
      </w:r>
      <w:r w:rsidRPr="0097554A">
        <w:rPr>
          <w:color w:val="0000FF"/>
        </w:rPr>
        <w:t>，</w:t>
      </w:r>
      <w:r w:rsidRPr="004C59BB">
        <w:rPr>
          <w:color w:val="0000FF"/>
          <w:lang w:val="ru-RU"/>
        </w:rPr>
        <w:t>第</w:t>
      </w:r>
      <w:r w:rsidRPr="0097554A">
        <w:rPr>
          <w:color w:val="0000FF"/>
        </w:rPr>
        <w:t>452</w:t>
      </w:r>
      <w:r w:rsidRPr="004C59BB">
        <w:rPr>
          <w:color w:val="0000FF"/>
          <w:lang w:val="ru-RU"/>
        </w:rPr>
        <w:t>页。参见注释</w:t>
      </w:r>
      <w:r w:rsidRPr="0097554A">
        <w:rPr>
          <w:color w:val="0000FF"/>
        </w:rPr>
        <w:t>1071</w:t>
      </w:r>
      <w:r w:rsidRPr="004C59BB">
        <w:rPr>
          <w:color w:val="0000FF"/>
          <w:lang w:val="ru-RU"/>
        </w:rPr>
        <w:t>。</w:t>
      </w:r>
    </w:p>
  </w:footnote>
  <w:footnote w:id="1078">
    <w:p w14:paraId="57E02E69" w14:textId="36BCDFFC"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4C59BB">
        <w:rPr>
          <w:color w:val="0000FF"/>
        </w:rPr>
        <w:t>1026、1030、1075。</w:t>
      </w:r>
    </w:p>
  </w:footnote>
  <w:footnote w:id="1079">
    <w:p w14:paraId="4DB666E5" w14:textId="61D323BB"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奥古斯丁，《反佩蒂利乌斯文集》第二卷，第13章；奥普塔特，《多纳图斯派分裂论》第七卷，第4章；福提乌斯，《通谕书》</w:t>
      </w:r>
      <w:r w:rsidRPr="004C59BB">
        <w:rPr>
          <w:color w:val="0000FF"/>
          <w:lang w:val="ru-RU"/>
        </w:rPr>
        <w:t>第</w:t>
      </w:r>
      <w:r w:rsidRPr="0097554A">
        <w:rPr>
          <w:color w:val="0000FF"/>
        </w:rPr>
        <w:t>11</w:t>
      </w:r>
      <w:r w:rsidRPr="004C59BB">
        <w:rPr>
          <w:color w:val="0000FF"/>
          <w:lang w:val="ru-RU"/>
        </w:rPr>
        <w:t>封。</w:t>
      </w:r>
    </w:p>
  </w:footnote>
  <w:footnote w:id="1080">
    <w:p w14:paraId="08314347" w14:textId="13E0B67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沃罗涅日大主教伊格纳提乌斯论教会圣事</w:t>
      </w:r>
      <w:r w:rsidRPr="0097554A">
        <w:rPr>
          <w:color w:val="0000FF"/>
        </w:rPr>
        <w:t>——</w:t>
      </w:r>
      <w:r w:rsidRPr="004C59BB">
        <w:rPr>
          <w:color w:val="0000FF"/>
          <w:lang w:val="ru-RU"/>
        </w:rPr>
        <w:t>第</w:t>
      </w:r>
      <w:r w:rsidRPr="0097554A">
        <w:rPr>
          <w:color w:val="0000FF"/>
        </w:rPr>
        <w:t>143</w:t>
      </w:r>
      <w:r w:rsidRPr="004C59BB">
        <w:rPr>
          <w:color w:val="0000FF"/>
          <w:lang w:val="ru-RU"/>
        </w:rPr>
        <w:t>页</w:t>
      </w:r>
      <w:r w:rsidRPr="0097554A">
        <w:rPr>
          <w:color w:val="0000FF"/>
        </w:rPr>
        <w:t>，</w:t>
      </w:r>
      <w:r w:rsidRPr="004C59BB">
        <w:rPr>
          <w:color w:val="0000FF"/>
          <w:lang w:val="ru-RU"/>
        </w:rPr>
        <w:t>圣彼得堡</w:t>
      </w:r>
      <w:r w:rsidRPr="0097554A">
        <w:rPr>
          <w:color w:val="0000FF"/>
        </w:rPr>
        <w:t>，1849</w:t>
      </w:r>
      <w:r w:rsidRPr="004C59BB">
        <w:rPr>
          <w:color w:val="0000FF"/>
          <w:lang w:val="ru-RU"/>
        </w:rPr>
        <w:t>年。</w:t>
      </w:r>
    </w:p>
  </w:footnote>
  <w:footnote w:id="1081">
    <w:p w14:paraId="7E0CAEF0" w14:textId="316176D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参见《尼古拉</w:t>
      </w:r>
      <w:r w:rsidRPr="0097554A">
        <w:rPr>
          <w:color w:val="0000FF"/>
        </w:rPr>
        <w:t>·</w:t>
      </w:r>
      <w:r w:rsidRPr="004C59BB">
        <w:rPr>
          <w:color w:val="0000FF"/>
          <w:lang w:val="ru-RU"/>
        </w:rPr>
        <w:t>帕夫洛维奇皇帝陛下加冕礼仪》希腊语译本</w:t>
      </w:r>
      <w:r w:rsidRPr="0097554A">
        <w:rPr>
          <w:color w:val="0000FF"/>
        </w:rPr>
        <w:t>，</w:t>
      </w:r>
      <w:r w:rsidRPr="004C59BB">
        <w:rPr>
          <w:color w:val="0000FF"/>
          <w:lang w:val="ru-RU"/>
        </w:rPr>
        <w:t>第</w:t>
      </w:r>
      <w:r w:rsidRPr="0097554A">
        <w:rPr>
          <w:color w:val="0000FF"/>
        </w:rPr>
        <w:t>16</w:t>
      </w:r>
      <w:r w:rsidRPr="004C59BB">
        <w:rPr>
          <w:color w:val="0000FF"/>
          <w:lang w:val="ru-RU"/>
        </w:rPr>
        <w:t>和</w:t>
      </w:r>
      <w:r w:rsidRPr="0097554A">
        <w:rPr>
          <w:color w:val="0000FF"/>
        </w:rPr>
        <w:t>30</w:t>
      </w:r>
      <w:r w:rsidRPr="004C59BB">
        <w:rPr>
          <w:color w:val="0000FF"/>
          <w:lang w:val="ru-RU"/>
        </w:rPr>
        <w:t>页</w:t>
      </w:r>
      <w:r w:rsidRPr="0097554A">
        <w:rPr>
          <w:color w:val="0000FF"/>
        </w:rPr>
        <w:t>，</w:t>
      </w:r>
      <w:r w:rsidRPr="004C59BB">
        <w:rPr>
          <w:color w:val="0000FF"/>
          <w:lang w:val="ru-RU"/>
        </w:rPr>
        <w:t>圣彼得堡</w:t>
      </w:r>
      <w:r w:rsidRPr="0097554A">
        <w:rPr>
          <w:color w:val="0000FF"/>
        </w:rPr>
        <w:t>，1827</w:t>
      </w:r>
      <w:r w:rsidRPr="004C59BB">
        <w:rPr>
          <w:color w:val="0000FF"/>
          <w:lang w:val="ru-RU"/>
        </w:rPr>
        <w:t>年。</w:t>
      </w:r>
    </w:p>
  </w:footnote>
  <w:footnote w:id="1082">
    <w:p w14:paraId="535A3DBB" w14:textId="2757895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在我国本土教会中</w:t>
      </w:r>
      <w:r w:rsidRPr="0097554A">
        <w:rPr>
          <w:color w:val="0000FF"/>
        </w:rPr>
        <w:t>，</w:t>
      </w:r>
      <w:r w:rsidRPr="004C59BB">
        <w:rPr>
          <w:color w:val="0000FF"/>
          <w:lang w:val="ru-RU"/>
        </w:rPr>
        <w:t>圣油仅在基辅和莫斯科两大主教座堂内进行祝圣</w:t>
      </w:r>
      <w:r w:rsidRPr="0097554A">
        <w:rPr>
          <w:color w:val="0000FF"/>
        </w:rPr>
        <w:t>，</w:t>
      </w:r>
      <w:r w:rsidRPr="004C59BB">
        <w:rPr>
          <w:color w:val="0000FF"/>
          <w:lang w:val="ru-RU"/>
        </w:rPr>
        <w:t>随后从那里分发至全俄罗斯各地。</w:t>
      </w:r>
    </w:p>
  </w:footnote>
  <w:footnote w:id="1083">
    <w:p w14:paraId="1B0EFE81" w14:textId="69478FFE"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迦太基大公会议</w:t>
      </w:r>
      <w:r w:rsidRPr="004C59BB">
        <w:rPr>
          <w:color w:val="0000FF"/>
        </w:rPr>
        <w:t>第二届</w:t>
      </w:r>
      <w:r w:rsidRPr="0097554A">
        <w:rPr>
          <w:color w:val="0000FF"/>
        </w:rPr>
        <w:t>（390</w:t>
      </w:r>
      <w:r w:rsidRPr="004C59BB">
        <w:rPr>
          <w:color w:val="0000FF"/>
          <w:lang w:val="ru-RU"/>
        </w:rPr>
        <w:t>年</w:t>
      </w:r>
      <w:r w:rsidRPr="0097554A">
        <w:rPr>
          <w:color w:val="0000FF"/>
        </w:rPr>
        <w:t>）</w:t>
      </w:r>
      <w:r w:rsidRPr="004C59BB">
        <w:rPr>
          <w:color w:val="0000FF"/>
          <w:lang w:val="ru-RU"/>
        </w:rPr>
        <w:t>第</w:t>
      </w:r>
      <w:r w:rsidRPr="0097554A">
        <w:rPr>
          <w:color w:val="0000FF"/>
        </w:rPr>
        <w:t>3</w:t>
      </w:r>
      <w:r w:rsidRPr="004C59BB">
        <w:rPr>
          <w:color w:val="0000FF"/>
          <w:lang w:val="ru-RU"/>
        </w:rPr>
        <w:t>条</w:t>
      </w:r>
      <w:r w:rsidRPr="0097554A">
        <w:rPr>
          <w:color w:val="0000FF"/>
        </w:rPr>
        <w:t>；</w:t>
      </w:r>
      <w:r w:rsidRPr="004C59BB">
        <w:rPr>
          <w:color w:val="0000FF"/>
          <w:lang w:val="ru-RU"/>
        </w:rPr>
        <w:t>迦太基</w:t>
      </w:r>
      <w:r w:rsidRPr="004C59BB">
        <w:rPr>
          <w:color w:val="0000FF"/>
        </w:rPr>
        <w:t>大公会议第三届</w:t>
      </w:r>
      <w:r w:rsidRPr="0097554A">
        <w:rPr>
          <w:color w:val="0000FF"/>
        </w:rPr>
        <w:t>（397</w:t>
      </w:r>
      <w:r w:rsidRPr="004C59BB">
        <w:rPr>
          <w:color w:val="0000FF"/>
          <w:lang w:val="ru-RU"/>
        </w:rPr>
        <w:t>年</w:t>
      </w:r>
      <w:r w:rsidRPr="0097554A">
        <w:rPr>
          <w:color w:val="0000FF"/>
        </w:rPr>
        <w:t>）</w:t>
      </w:r>
      <w:r w:rsidRPr="004C59BB">
        <w:rPr>
          <w:color w:val="0000FF"/>
          <w:lang w:val="ru-RU"/>
        </w:rPr>
        <w:t>第</w:t>
      </w:r>
      <w:r w:rsidRPr="0097554A">
        <w:rPr>
          <w:color w:val="0000FF"/>
        </w:rPr>
        <w:t>36</w:t>
      </w:r>
      <w:r w:rsidRPr="004C59BB">
        <w:rPr>
          <w:color w:val="0000FF"/>
          <w:lang w:val="ru-RU"/>
        </w:rPr>
        <w:t>条</w:t>
      </w:r>
      <w:r w:rsidRPr="0097554A">
        <w:rPr>
          <w:color w:val="0000FF"/>
        </w:rPr>
        <w:t>；</w:t>
      </w:r>
      <w:r w:rsidRPr="004C59BB">
        <w:rPr>
          <w:color w:val="0000FF"/>
        </w:rPr>
        <w:t>纳纳</w:t>
      </w:r>
      <w:r w:rsidRPr="0097554A">
        <w:rPr>
          <w:color w:val="0000FF"/>
        </w:rPr>
        <w:t>·</w:t>
      </w:r>
      <w:r w:rsidRPr="004C59BB">
        <w:rPr>
          <w:color w:val="0000FF"/>
          <w:lang w:val="ru-RU"/>
        </w:rPr>
        <w:t>赫拉斯</w:t>
      </w:r>
      <w:r w:rsidRPr="004C59BB">
        <w:rPr>
          <w:color w:val="0000FF"/>
        </w:rPr>
        <w:t>一世，《致卢克的书信》第九封，第六章。</w:t>
      </w:r>
    </w:p>
  </w:footnote>
  <w:footnote w:id="1084">
    <w:p w14:paraId="31AB13E7" w14:textId="511B7B34"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《利伯》第7卷，第22章。</w:t>
      </w:r>
      <w:r w:rsidRPr="004C59BB">
        <w:rPr>
          <w:color w:val="0000FF"/>
          <w:lang w:val="ru-RU"/>
        </w:rPr>
        <w:t>而在该书第</w:t>
      </w:r>
      <w:r w:rsidRPr="0097554A">
        <w:rPr>
          <w:color w:val="0000FF"/>
        </w:rPr>
        <w:t>43</w:t>
      </w:r>
      <w:r w:rsidRPr="004C59BB">
        <w:rPr>
          <w:color w:val="0000FF"/>
          <w:lang w:val="ru-RU"/>
        </w:rPr>
        <w:t>和</w:t>
      </w:r>
      <w:r w:rsidRPr="0097554A">
        <w:rPr>
          <w:color w:val="0000FF"/>
        </w:rPr>
        <w:t>44</w:t>
      </w:r>
      <w:r w:rsidRPr="004C59BB">
        <w:rPr>
          <w:color w:val="0000FF"/>
          <w:lang w:val="ru-RU"/>
        </w:rPr>
        <w:t>章中</w:t>
      </w:r>
      <w:r w:rsidRPr="0097554A">
        <w:rPr>
          <w:color w:val="0000FF"/>
        </w:rPr>
        <w:t>，</w:t>
      </w:r>
      <w:r w:rsidRPr="004C59BB">
        <w:rPr>
          <w:color w:val="0000FF"/>
          <w:lang w:val="ru-RU"/>
        </w:rPr>
        <w:t>作为施行洗礼和坚振礼的人</w:t>
      </w:r>
      <w:r w:rsidRPr="0097554A">
        <w:rPr>
          <w:color w:val="0000FF"/>
        </w:rPr>
        <w:t>，</w:t>
      </w:r>
      <w:r w:rsidRPr="004C59BB">
        <w:rPr>
          <w:color w:val="0000FF"/>
          <w:lang w:val="ru-RU"/>
        </w:rPr>
        <w:t>仅提及一位</w:t>
      </w:r>
      <w:r w:rsidRPr="0097554A">
        <w:rPr>
          <w:color w:val="0000FF"/>
        </w:rPr>
        <w:t>——</w:t>
      </w:r>
      <w:r w:rsidRPr="004C59BB">
        <w:rPr>
          <w:color w:val="0000FF"/>
          <w:lang w:val="ru-RU"/>
        </w:rPr>
        <w:t>神父</w:t>
      </w:r>
      <w:r w:rsidRPr="0097554A">
        <w:rPr>
          <w:color w:val="0000FF"/>
        </w:rPr>
        <w:t>（</w:t>
      </w:r>
      <w:r w:rsidRPr="004C59BB">
        <w:rPr>
          <w:color w:val="0000FF"/>
        </w:rPr>
        <w:t>ό ίερεύς</w:t>
      </w:r>
      <w:r w:rsidRPr="0097554A">
        <w:rPr>
          <w:color w:val="0000FF"/>
        </w:rPr>
        <w:t>）</w:t>
      </w:r>
      <w:r w:rsidRPr="004C59BB">
        <w:rPr>
          <w:color w:val="0000FF"/>
          <w:lang w:val="ru-RU"/>
        </w:rPr>
        <w:t>。</w:t>
      </w:r>
    </w:p>
  </w:footnote>
  <w:footnote w:id="1085">
    <w:p w14:paraId="22BBBF3F" w14:textId="29B2CD61"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“此后（受洗之后），你必然已升入祭司之列，请思考随之而来的事。这不正是大卫所说的：‘如同膏油在头上，流到胡须，流到亚伦的胡须上’（诗篇132:2）吗？这就是那膏油</w:t>
      </w:r>
      <w:r w:rsidRPr="0097554A">
        <w:rPr>
          <w:color w:val="0000FF"/>
        </w:rPr>
        <w:t>……”（</w:t>
      </w:r>
      <w:r w:rsidRPr="004C59BB">
        <w:rPr>
          <w:color w:val="0000FF"/>
        </w:rPr>
        <w:t>《论奥秘</w:t>
      </w:r>
      <w:r w:rsidRPr="004C59BB">
        <w:rPr>
          <w:color w:val="0000FF"/>
          <w:lang w:val="ru-RU"/>
        </w:rPr>
        <w:t>》</w:t>
      </w:r>
      <w:r w:rsidRPr="004C59BB">
        <w:rPr>
          <w:color w:val="0000FF"/>
        </w:rPr>
        <w:t>第七</w:t>
      </w:r>
      <w:r w:rsidRPr="004C59BB">
        <w:rPr>
          <w:color w:val="0000FF"/>
          <w:lang w:val="ru-RU"/>
        </w:rPr>
        <w:t>章</w:t>
      </w:r>
      <w:r w:rsidRPr="0097554A">
        <w:rPr>
          <w:color w:val="0000FF"/>
        </w:rPr>
        <w:t>）</w:t>
      </w:r>
      <w:r w:rsidRPr="004C59BB">
        <w:rPr>
          <w:color w:val="0000FF"/>
          <w:lang w:val="ru-RU"/>
        </w:rPr>
        <w:t>。</w:t>
      </w:r>
      <w:r w:rsidRPr="0097554A">
        <w:rPr>
          <w:color w:val="0000FF"/>
        </w:rPr>
        <w:t xml:space="preserve"> </w:t>
      </w:r>
      <w:r w:rsidRPr="004C59BB">
        <w:rPr>
          <w:color w:val="0000FF"/>
          <w:lang w:val="ru-RU"/>
        </w:rPr>
        <w:t>另一处佐证见上文注释</w:t>
      </w:r>
      <w:r w:rsidRPr="0097554A">
        <w:rPr>
          <w:color w:val="0000FF"/>
        </w:rPr>
        <w:t>1036</w:t>
      </w:r>
      <w:r w:rsidRPr="004C59BB">
        <w:rPr>
          <w:color w:val="0000FF"/>
          <w:lang w:val="ru-RU"/>
        </w:rPr>
        <w:t>。</w:t>
      </w:r>
    </w:p>
  </w:footnote>
  <w:footnote w:id="1086">
    <w:p w14:paraId="2058DDA3" w14:textId="5A78A589"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因为他们仅在按立礼上超越了长老</w:t>
      </w:r>
      <w:r w:rsidRPr="0097554A">
        <w:rPr>
          <w:color w:val="0000FF"/>
        </w:rPr>
        <w:t>，</w:t>
      </w:r>
      <w:r w:rsidRPr="004C59BB">
        <w:rPr>
          <w:color w:val="0000FF"/>
        </w:rPr>
        <w:t>并认为仅凭这一点就比长老更优越</w:t>
      </w:r>
      <w:r w:rsidRPr="0097554A">
        <w:rPr>
          <w:color w:val="0000FF"/>
        </w:rPr>
        <w:t>（</w:t>
      </w:r>
      <w:r w:rsidRPr="004C59BB">
        <w:rPr>
          <w:color w:val="0000FF"/>
          <w:lang w:val="ru-RU"/>
        </w:rPr>
        <w:t>金口</w:t>
      </w:r>
      <w:r w:rsidRPr="004C59BB">
        <w:rPr>
          <w:color w:val="0000FF"/>
        </w:rPr>
        <w:t>若望，《</w:t>
      </w:r>
      <w:r w:rsidRPr="004C59BB">
        <w:rPr>
          <w:color w:val="0000FF"/>
          <w:lang w:val="ru-RU"/>
        </w:rPr>
        <w:t>提摩太前书讲道集》</w:t>
      </w:r>
      <w:r w:rsidRPr="004C59BB">
        <w:rPr>
          <w:color w:val="0000FF"/>
        </w:rPr>
        <w:t>第十篇，第1节）。 除了按立仪式之外，主教所做的事，长老难道不做吗？（杰罗姆，《致福音书作者书信》CXLV，第1节）。</w:t>
      </w:r>
    </w:p>
  </w:footnote>
  <w:footnote w:id="1087">
    <w:p w14:paraId="2BBD95A1" w14:textId="05BE8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阿塞曼，《礼仪法典》第三卷，第187页。</w:t>
      </w:r>
    </w:p>
  </w:footnote>
  <w:footnote w:id="1088">
    <w:p w14:paraId="248A1A11" w14:textId="5E7AF91B"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特伦托大公会议第七次会议，关于坚振礼的教规第3条；第二十三次会议</w:t>
      </w:r>
      <w:r w:rsidRPr="0097554A">
        <w:rPr>
          <w:color w:val="0000FF"/>
        </w:rPr>
        <w:t>，</w:t>
      </w:r>
      <w:r w:rsidRPr="004C59BB">
        <w:rPr>
          <w:color w:val="0000FF"/>
        </w:rPr>
        <w:t>教规</w:t>
      </w:r>
      <w:r w:rsidRPr="004C59BB">
        <w:rPr>
          <w:color w:val="0000FF"/>
          <w:lang w:val="ru-RU"/>
        </w:rPr>
        <w:t>第</w:t>
      </w:r>
      <w:r w:rsidRPr="0097554A">
        <w:rPr>
          <w:color w:val="0000FF"/>
        </w:rPr>
        <w:t>7</w:t>
      </w:r>
      <w:r w:rsidRPr="004C59BB">
        <w:rPr>
          <w:color w:val="0000FF"/>
          <w:lang w:val="ru-RU"/>
        </w:rPr>
        <w:t>条。</w:t>
      </w:r>
    </w:p>
  </w:footnote>
  <w:footnote w:id="1089">
    <w:p w14:paraId="4275E321" w14:textId="5056082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克莱、佩罗内、布伦纳等神学家在关于坚振礼的论著中。</w:t>
      </w:r>
    </w:p>
  </w:footnote>
  <w:footnote w:id="1090">
    <w:p w14:paraId="6F1E31DF" w14:textId="30AC11A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为什么他们</w:t>
      </w:r>
      <w:r w:rsidRPr="0097554A">
        <w:rPr>
          <w:color w:val="0000FF"/>
        </w:rPr>
        <w:t>（</w:t>
      </w:r>
      <w:r w:rsidRPr="004C59BB">
        <w:rPr>
          <w:color w:val="0000FF"/>
          <w:lang w:val="ru-RU"/>
        </w:rPr>
        <w:t>撒玛利亚人</w:t>
      </w:r>
      <w:r w:rsidRPr="0097554A">
        <w:rPr>
          <w:color w:val="0000FF"/>
        </w:rPr>
        <w:t>）</w:t>
      </w:r>
      <w:r w:rsidRPr="004C59BB">
        <w:rPr>
          <w:color w:val="0000FF"/>
          <w:lang w:val="ru-RU"/>
        </w:rPr>
        <w:t>受洗后却没有领受圣灵</w:t>
      </w:r>
      <w:r w:rsidRPr="0097554A">
        <w:rPr>
          <w:color w:val="0000FF"/>
        </w:rPr>
        <w:t xml:space="preserve">？ </w:t>
      </w:r>
      <w:r w:rsidRPr="004C59BB">
        <w:rPr>
          <w:color w:val="0000FF"/>
          <w:lang w:val="ru-RU"/>
        </w:rPr>
        <w:t>是因为腓力出于对使徒们的敬重而没有将圣灵赐予他们</w:t>
      </w:r>
      <w:r w:rsidRPr="0097554A">
        <w:rPr>
          <w:color w:val="0000FF"/>
        </w:rPr>
        <w:t>，</w:t>
      </w:r>
      <w:r w:rsidRPr="004C59BB">
        <w:rPr>
          <w:color w:val="0000FF"/>
          <w:lang w:val="ru-RU"/>
        </w:rPr>
        <w:t>还是因为他没有这种恩赐</w:t>
      </w:r>
      <w:r w:rsidRPr="0097554A">
        <w:rPr>
          <w:color w:val="0000FF"/>
        </w:rPr>
        <w:t>（</w:t>
      </w:r>
      <w:r w:rsidRPr="004C59BB">
        <w:rPr>
          <w:color w:val="0000FF"/>
        </w:rPr>
        <w:t>χάρισμα</w:t>
      </w:r>
      <w:r w:rsidRPr="0097554A">
        <w:rPr>
          <w:color w:val="0000FF"/>
        </w:rPr>
        <w:t>）：</w:t>
      </w:r>
      <w:r w:rsidRPr="004C59BB">
        <w:rPr>
          <w:color w:val="0000FF"/>
          <w:lang w:val="ru-RU"/>
        </w:rPr>
        <w:t>毕竟他是七位执事之一</w:t>
      </w:r>
      <w:r w:rsidRPr="0097554A">
        <w:rPr>
          <w:color w:val="0000FF"/>
        </w:rPr>
        <w:t>，</w:t>
      </w:r>
      <w:r w:rsidRPr="004C59BB">
        <w:rPr>
          <w:color w:val="0000FF"/>
          <w:lang w:val="ru-RU"/>
        </w:rPr>
        <w:t>这似乎更为合理</w:t>
      </w:r>
      <w:r w:rsidRPr="0097554A">
        <w:rPr>
          <w:color w:val="0000FF"/>
        </w:rPr>
        <w:t>”（</w:t>
      </w:r>
      <w:r w:rsidRPr="004C59BB">
        <w:rPr>
          <w:color w:val="0000FF"/>
          <w:lang w:val="ru-RU"/>
        </w:rPr>
        <w:t>金口若望</w:t>
      </w:r>
      <w:r w:rsidRPr="0097554A">
        <w:rPr>
          <w:color w:val="0000FF"/>
        </w:rPr>
        <w:t>，</w:t>
      </w:r>
      <w:r w:rsidRPr="004C59BB">
        <w:rPr>
          <w:color w:val="0000FF"/>
          <w:lang w:val="ru-RU"/>
        </w:rPr>
        <w:t>《使徒行传讲道集》</w:t>
      </w:r>
      <w:r w:rsidRPr="004C59BB">
        <w:rPr>
          <w:color w:val="0000FF"/>
        </w:rPr>
        <w:t>第十八</w:t>
      </w:r>
      <w:r w:rsidRPr="004C59BB">
        <w:rPr>
          <w:color w:val="0000FF"/>
          <w:lang w:val="ru-RU"/>
        </w:rPr>
        <w:t>篇</w:t>
      </w:r>
      <w:r w:rsidRPr="0097554A">
        <w:rPr>
          <w:color w:val="0000FF"/>
        </w:rPr>
        <w:t>，</w:t>
      </w:r>
      <w:r w:rsidRPr="004C59BB">
        <w:rPr>
          <w:color w:val="0000FF"/>
          <w:lang w:val="ru-RU"/>
        </w:rPr>
        <w:t>第</w:t>
      </w:r>
      <w:r w:rsidRPr="0097554A">
        <w:rPr>
          <w:color w:val="0000FF"/>
        </w:rPr>
        <w:t>3</w:t>
      </w:r>
      <w:r w:rsidRPr="004C59BB">
        <w:rPr>
          <w:color w:val="0000FF"/>
          <w:lang w:val="ru-RU"/>
        </w:rPr>
        <w:t>段</w:t>
      </w:r>
      <w:r w:rsidRPr="0097554A">
        <w:rPr>
          <w:color w:val="0000FF"/>
        </w:rPr>
        <w:t>）</w:t>
      </w:r>
      <w:r w:rsidRPr="004C59BB">
        <w:rPr>
          <w:color w:val="0000FF"/>
          <w:lang w:val="ru-RU"/>
        </w:rPr>
        <w:t>。</w:t>
      </w:r>
    </w:p>
  </w:footnote>
  <w:footnote w:id="1091">
    <w:p w14:paraId="4D7D8577" w14:textId="6A501CF2"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关于基普里安的言论</w:t>
      </w:r>
      <w:r w:rsidRPr="0097554A">
        <w:rPr>
          <w:color w:val="0000FF"/>
        </w:rPr>
        <w:t>，</w:t>
      </w:r>
      <w:r w:rsidRPr="004C59BB">
        <w:rPr>
          <w:color w:val="0000FF"/>
          <w:lang w:val="ru-RU"/>
        </w:rPr>
        <w:t>参见上文注释</w:t>
      </w:r>
      <w:r w:rsidRPr="0097554A">
        <w:rPr>
          <w:color w:val="0000FF"/>
        </w:rPr>
        <w:t>1029</w:t>
      </w:r>
      <w:r w:rsidRPr="004C59BB">
        <w:rPr>
          <w:color w:val="0000FF"/>
          <w:lang w:val="ru-RU"/>
        </w:rPr>
        <w:t>。</w:t>
      </w:r>
      <w:r w:rsidRPr="0097554A">
        <w:rPr>
          <w:color w:val="0000FF"/>
        </w:rPr>
        <w:t xml:space="preserve"> </w:t>
      </w:r>
      <w:r w:rsidRPr="004C59BB">
        <w:rPr>
          <w:color w:val="0000FF"/>
          <w:lang w:val="ru-RU"/>
        </w:rPr>
        <w:t>而圣金口若望在同一篇关于《使徒行传》的讲道中</w:t>
      </w:r>
      <w:r w:rsidRPr="0097554A">
        <w:rPr>
          <w:color w:val="0000FF"/>
        </w:rPr>
        <w:t>，</w:t>
      </w:r>
      <w:r w:rsidRPr="004C59BB">
        <w:rPr>
          <w:color w:val="0000FF"/>
          <w:lang w:val="ru-RU"/>
        </w:rPr>
        <w:t>指出腓力之所以没有将圣灵赐给撒玛利亚人</w:t>
      </w:r>
      <w:r w:rsidRPr="0097554A">
        <w:rPr>
          <w:color w:val="0000FF"/>
        </w:rPr>
        <w:t>，</w:t>
      </w:r>
      <w:r w:rsidRPr="004C59BB">
        <w:rPr>
          <w:color w:val="0000FF"/>
          <w:lang w:val="ru-RU"/>
        </w:rPr>
        <w:t>正是因为他身为执事</w:t>
      </w:r>
      <w:r w:rsidRPr="0097554A">
        <w:rPr>
          <w:color w:val="0000FF"/>
        </w:rPr>
        <w:t>，</w:t>
      </w:r>
      <w:r w:rsidRPr="004C59BB">
        <w:rPr>
          <w:color w:val="0000FF"/>
          <w:lang w:val="ru-RU"/>
        </w:rPr>
        <w:t>并接着说</w:t>
      </w:r>
      <w:r w:rsidRPr="0097554A">
        <w:rPr>
          <w:color w:val="0000FF"/>
        </w:rPr>
        <w:t>：“</w:t>
      </w:r>
      <w:r w:rsidRPr="004C59BB">
        <w:rPr>
          <w:color w:val="0000FF"/>
          <w:lang w:val="ru-RU"/>
        </w:rPr>
        <w:t>因为这权柄是赐给使徒们的</w:t>
      </w:r>
      <w:r w:rsidRPr="0097554A">
        <w:rPr>
          <w:color w:val="0000FF"/>
        </w:rPr>
        <w:t>——</w:t>
      </w:r>
      <w:r w:rsidRPr="004C59BB">
        <w:rPr>
          <w:color w:val="0000FF"/>
          <w:lang w:val="ru-RU"/>
        </w:rPr>
        <w:t>正因如此</w:t>
      </w:r>
      <w:r w:rsidRPr="0097554A">
        <w:rPr>
          <w:color w:val="0000FF"/>
        </w:rPr>
        <w:t>，</w:t>
      </w:r>
      <w:r w:rsidRPr="004C59BB">
        <w:rPr>
          <w:color w:val="0000FF"/>
          <w:lang w:val="ru-RU"/>
        </w:rPr>
        <w:t>正如我们所见</w:t>
      </w:r>
      <w:r w:rsidRPr="0097554A">
        <w:rPr>
          <w:color w:val="0000FF"/>
        </w:rPr>
        <w:t>，</w:t>
      </w:r>
      <w:r w:rsidRPr="004C59BB">
        <w:rPr>
          <w:color w:val="0000FF"/>
          <w:lang w:val="ru-RU"/>
        </w:rPr>
        <w:t>如今执行此事的并非他人</w:t>
      </w:r>
      <w:r w:rsidRPr="0097554A">
        <w:rPr>
          <w:color w:val="0000FF"/>
        </w:rPr>
        <w:t>，</w:t>
      </w:r>
      <w:r w:rsidRPr="004C59BB">
        <w:rPr>
          <w:color w:val="0000FF"/>
          <w:lang w:val="ru-RU"/>
        </w:rPr>
        <w:t>而是领袖</w:t>
      </w:r>
      <w:r w:rsidRPr="0097554A">
        <w:rPr>
          <w:color w:val="0000FF"/>
        </w:rPr>
        <w:t>（</w:t>
      </w:r>
      <w:r w:rsidRPr="004C59BB">
        <w:rPr>
          <w:color w:val="0000FF"/>
        </w:rPr>
        <w:t>κορυφαίους</w:t>
      </w:r>
      <w:r w:rsidRPr="0097554A">
        <w:rPr>
          <w:color w:val="0000FF"/>
        </w:rPr>
        <w:t>）</w:t>
      </w:r>
      <w:r w:rsidRPr="004C59BB">
        <w:rPr>
          <w:color w:val="0000FF"/>
          <w:lang w:val="ru-RU"/>
        </w:rPr>
        <w:t>。”</w:t>
      </w:r>
    </w:p>
  </w:footnote>
  <w:footnote w:id="1092">
    <w:p w14:paraId="62885542" w14:textId="2BDE75C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参见上文注释</w:t>
      </w:r>
      <w:r w:rsidRPr="0097554A">
        <w:rPr>
          <w:color w:val="0000FF"/>
          <w:lang w:val="ru-RU"/>
        </w:rPr>
        <w:t>1086</w:t>
      </w:r>
      <w:r w:rsidRPr="004C59BB">
        <w:rPr>
          <w:color w:val="0000FF"/>
        </w:rPr>
        <w:t>。</w:t>
      </w:r>
    </w:p>
  </w:footnote>
  <w:footnote w:id="1093">
    <w:p w14:paraId="7B7D6D6E" w14:textId="6824D67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我们在许多地方都发现</w:t>
      </w:r>
      <w:r w:rsidRPr="0097554A">
        <w:rPr>
          <w:color w:val="0000FF"/>
          <w:lang w:val="ru-RU"/>
        </w:rPr>
        <w:t>，</w:t>
      </w:r>
      <w:r w:rsidRPr="004C59BB">
        <w:rPr>
          <w:color w:val="0000FF"/>
        </w:rPr>
        <w:t>这种做法是为了尊崇司祭职</w:t>
      </w:r>
      <w:r w:rsidRPr="0097554A">
        <w:rPr>
          <w:color w:val="0000FF"/>
          <w:lang w:val="ru-RU"/>
        </w:rPr>
        <w:t>，</w:t>
      </w:r>
      <w:r w:rsidRPr="004C59BB">
        <w:rPr>
          <w:color w:val="0000FF"/>
        </w:rPr>
        <w:t>而非出于法律的必要性。否则</w:t>
      </w:r>
      <w:r w:rsidRPr="0097554A">
        <w:rPr>
          <w:color w:val="0000FF"/>
          <w:lang w:val="ru-RU"/>
        </w:rPr>
        <w:t>，</w:t>
      </w:r>
      <w:r w:rsidRPr="004C59BB">
        <w:rPr>
          <w:color w:val="0000FF"/>
        </w:rPr>
        <w:t>如果圣灵仅凭主教的祝祷便降临</w:t>
      </w:r>
      <w:r w:rsidRPr="0097554A">
        <w:rPr>
          <w:color w:val="0000FF"/>
          <w:lang w:val="ru-RU"/>
        </w:rPr>
        <w:t>，</w:t>
      </w:r>
      <w:r w:rsidRPr="004C59BB">
        <w:rPr>
          <w:color w:val="0000FF"/>
        </w:rPr>
        <w:t>那些</w:t>
      </w:r>
      <w:r w:rsidRPr="0097554A">
        <w:rPr>
          <w:color w:val="0000FF"/>
          <w:lang w:val="ru-RU"/>
        </w:rPr>
        <w:t>……</w:t>
      </w:r>
      <w:r w:rsidRPr="004C59BB">
        <w:rPr>
          <w:color w:val="0000FF"/>
        </w:rPr>
        <w:t>被主教们所憎恶的人</w:t>
      </w:r>
      <w:r w:rsidRPr="0097554A">
        <w:rPr>
          <w:color w:val="0000FF"/>
          <w:lang w:val="ru-RU"/>
        </w:rPr>
        <w:t>，</w:t>
      </w:r>
      <w:r w:rsidRPr="004C59BB">
        <w:rPr>
          <w:color w:val="0000FF"/>
        </w:rPr>
        <w:t>就该受哀悼了</w:t>
      </w:r>
      <w:r w:rsidRPr="0097554A">
        <w:rPr>
          <w:color w:val="0000FF"/>
          <w:lang w:val="ru-RU"/>
        </w:rPr>
        <w:t>（</w:t>
      </w:r>
      <w:r w:rsidRPr="004C59BB">
        <w:rPr>
          <w:color w:val="0000FF"/>
        </w:rPr>
        <w:t>《反路西弗对话录》第</w:t>
      </w:r>
      <w:r w:rsidRPr="0097554A">
        <w:rPr>
          <w:color w:val="0000FF"/>
          <w:lang w:val="ru-RU"/>
        </w:rPr>
        <w:t>9</w:t>
      </w:r>
      <w:r w:rsidRPr="004C59BB">
        <w:rPr>
          <w:color w:val="0000FF"/>
        </w:rPr>
        <w:t>节</w:t>
      </w:r>
      <w:r w:rsidRPr="0097554A">
        <w:rPr>
          <w:color w:val="0000FF"/>
          <w:lang w:val="ru-RU"/>
        </w:rPr>
        <w:t>）</w:t>
      </w:r>
      <w:r w:rsidRPr="004C59BB">
        <w:rPr>
          <w:color w:val="0000FF"/>
        </w:rPr>
        <w:t>。</w:t>
      </w:r>
    </w:p>
  </w:footnote>
  <w:footnote w:id="1094">
    <w:p w14:paraId="3DF2ADC4" w14:textId="0022DBC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参见上文注</w:t>
      </w:r>
      <w:r w:rsidRPr="0097554A">
        <w:rPr>
          <w:color w:val="0000FF"/>
          <w:lang w:val="ru-RU"/>
        </w:rPr>
        <w:t>1086</w:t>
      </w:r>
      <w:r w:rsidRPr="004C59BB">
        <w:rPr>
          <w:color w:val="0000FF"/>
        </w:rPr>
        <w:t>。</w:t>
      </w:r>
    </w:p>
  </w:footnote>
  <w:footnote w:id="1095">
    <w:p w14:paraId="6C4D37C4" w14:textId="60D17F86"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伊格纳提乌斯</w:t>
      </w:r>
      <w:r w:rsidRPr="0097554A">
        <w:rPr>
          <w:color w:val="0000FF"/>
          <w:lang w:val="ru-RU"/>
        </w:rPr>
        <w:t>·</w:t>
      </w:r>
      <w:r w:rsidRPr="004C59BB">
        <w:rPr>
          <w:color w:val="0000FF"/>
        </w:rPr>
        <w:t>博戈诺斯致士麦那人的书信</w:t>
      </w:r>
      <w:r w:rsidRPr="0097554A">
        <w:rPr>
          <w:color w:val="0000FF"/>
          <w:lang w:val="ru-RU"/>
        </w:rPr>
        <w:t>，</w:t>
      </w:r>
      <w:r w:rsidRPr="004C59BB">
        <w:rPr>
          <w:color w:val="0000FF"/>
        </w:rPr>
        <w:t>第</w:t>
      </w:r>
      <w:r w:rsidRPr="0097554A">
        <w:rPr>
          <w:color w:val="0000FF"/>
          <w:lang w:val="ru-RU"/>
        </w:rPr>
        <w:t>8</w:t>
      </w:r>
      <w:r w:rsidRPr="004C59BB">
        <w:rPr>
          <w:color w:val="0000FF"/>
        </w:rPr>
        <w:t>节</w:t>
      </w:r>
      <w:r w:rsidRPr="0097554A">
        <w:rPr>
          <w:color w:val="0000FF"/>
          <w:lang w:val="ru-RU"/>
        </w:rPr>
        <w:t>；</w:t>
      </w:r>
      <w:r w:rsidRPr="004C59BB">
        <w:rPr>
          <w:color w:val="0000FF"/>
        </w:rPr>
        <w:t>特土良《论一夫一妻制》第</w:t>
      </w:r>
      <w:r w:rsidRPr="0097554A">
        <w:rPr>
          <w:color w:val="0000FF"/>
          <w:lang w:val="ru-RU"/>
        </w:rPr>
        <w:t>2</w:t>
      </w:r>
      <w:r w:rsidRPr="004C59BB">
        <w:rPr>
          <w:color w:val="0000FF"/>
        </w:rPr>
        <w:t>章</w:t>
      </w:r>
      <w:r w:rsidRPr="0097554A">
        <w:rPr>
          <w:color w:val="0000FF"/>
          <w:lang w:val="ru-RU"/>
        </w:rPr>
        <w:t>；</w:t>
      </w:r>
      <w:r w:rsidRPr="004C59BB">
        <w:rPr>
          <w:color w:val="0000FF"/>
        </w:rPr>
        <w:t>《论洗礼》第</w:t>
      </w:r>
      <w:r w:rsidRPr="0097554A">
        <w:rPr>
          <w:color w:val="0000FF"/>
          <w:lang w:val="ru-RU"/>
        </w:rPr>
        <w:t>7</w:t>
      </w:r>
      <w:r w:rsidRPr="004C59BB">
        <w:rPr>
          <w:color w:val="0000FF"/>
        </w:rPr>
        <w:t>章、第</w:t>
      </w:r>
      <w:r w:rsidRPr="0097554A">
        <w:rPr>
          <w:color w:val="0000FF"/>
          <w:lang w:val="ru-RU"/>
        </w:rPr>
        <w:t>17</w:t>
      </w:r>
      <w:r w:rsidRPr="004C59BB">
        <w:rPr>
          <w:color w:val="0000FF"/>
        </w:rPr>
        <w:t>章。</w:t>
      </w:r>
    </w:p>
  </w:footnote>
  <w:footnote w:id="1096">
    <w:p w14:paraId="365CF815" w14:textId="7543B18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参见哈杜因《教会会议文集》第IX卷</w:t>
      </w:r>
      <w:r w:rsidRPr="0097554A">
        <w:rPr>
          <w:color w:val="0000FF"/>
          <w:lang w:val="ru-RU"/>
        </w:rPr>
        <w:t>，</w:t>
      </w:r>
      <w:r w:rsidRPr="004C59BB">
        <w:rPr>
          <w:color w:val="0000FF"/>
        </w:rPr>
        <w:t>第</w:t>
      </w:r>
      <w:r w:rsidRPr="0097554A">
        <w:rPr>
          <w:color w:val="0000FF"/>
          <w:lang w:val="ru-RU"/>
        </w:rPr>
        <w:t>438</w:t>
      </w:r>
      <w:r w:rsidRPr="004C59BB">
        <w:rPr>
          <w:color w:val="0000FF"/>
        </w:rPr>
        <w:t>页。</w:t>
      </w:r>
    </w:p>
  </w:footnote>
  <w:footnote w:id="1097">
    <w:p w14:paraId="4E0A2C8C" w14:textId="062336D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参见致神父们的任命书。</w:t>
      </w:r>
    </w:p>
  </w:footnote>
  <w:footnote w:id="1098">
    <w:p w14:paraId="00088310" w14:textId="0AAC7CB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佩罗内</w:t>
      </w:r>
      <w:r w:rsidRPr="0097554A">
        <w:rPr>
          <w:color w:val="0000FF"/>
          <w:lang w:val="ru-RU"/>
        </w:rPr>
        <w:t>，</w:t>
      </w:r>
      <w:r w:rsidRPr="004C59BB">
        <w:rPr>
          <w:color w:val="0000FF"/>
        </w:rPr>
        <w:t>《神学讲义》第VI卷</w:t>
      </w:r>
      <w:r w:rsidRPr="0097554A">
        <w:rPr>
          <w:color w:val="0000FF"/>
          <w:lang w:val="ru-RU"/>
        </w:rPr>
        <w:t>，</w:t>
      </w:r>
      <w:r w:rsidRPr="004C59BB">
        <w:rPr>
          <w:color w:val="0000FF"/>
        </w:rPr>
        <w:t>第</w:t>
      </w:r>
      <w:r w:rsidRPr="0097554A">
        <w:rPr>
          <w:color w:val="0000FF"/>
          <w:lang w:val="ru-RU"/>
        </w:rPr>
        <w:t>114</w:t>
      </w:r>
      <w:r w:rsidRPr="004C59BB">
        <w:rPr>
          <w:color w:val="0000FF"/>
        </w:rPr>
        <w:t>页</w:t>
      </w:r>
      <w:r w:rsidRPr="0097554A">
        <w:rPr>
          <w:color w:val="0000FF"/>
          <w:lang w:val="ru-RU"/>
        </w:rPr>
        <w:t>：</w:t>
      </w:r>
      <w:r w:rsidRPr="004C59BB">
        <w:rPr>
          <w:color w:val="0000FF"/>
        </w:rPr>
        <w:t>论坚振礼的施行者。</w:t>
      </w:r>
    </w:p>
  </w:footnote>
  <w:footnote w:id="1099">
    <w:p w14:paraId="04033522" w14:textId="7ACD7A9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特罗贝尔</w:t>
      </w:r>
      <w:r w:rsidRPr="0097554A">
        <w:rPr>
          <w:color w:val="0000FF"/>
          <w:lang w:val="ru-RU"/>
        </w:rPr>
        <w:t>，</w:t>
      </w:r>
      <w:r w:rsidRPr="004C59BB">
        <w:rPr>
          <w:color w:val="0000FF"/>
        </w:rPr>
        <w:t>《论坚振礼的施行者》</w:t>
      </w:r>
      <w:r w:rsidRPr="0097554A">
        <w:rPr>
          <w:color w:val="0000FF"/>
          <w:lang w:val="ru-RU"/>
        </w:rPr>
        <w:t>，</w:t>
      </w:r>
      <w:r w:rsidRPr="004C59BB">
        <w:rPr>
          <w:color w:val="0000FF"/>
        </w:rPr>
        <w:t>论文集第X卷</w:t>
      </w:r>
      <w:r w:rsidRPr="0097554A">
        <w:rPr>
          <w:color w:val="0000FF"/>
          <w:lang w:val="ru-RU"/>
        </w:rPr>
        <w:t>，</w:t>
      </w:r>
      <w:r w:rsidRPr="004C59BB">
        <w:rPr>
          <w:color w:val="0000FF"/>
        </w:rPr>
        <w:t>第</w:t>
      </w:r>
      <w:r w:rsidRPr="0097554A">
        <w:rPr>
          <w:color w:val="0000FF"/>
          <w:lang w:val="ru-RU"/>
        </w:rPr>
        <w:t>1</w:t>
      </w:r>
      <w:r w:rsidRPr="004C59BB">
        <w:rPr>
          <w:color w:val="0000FF"/>
        </w:rPr>
        <w:t>节</w:t>
      </w:r>
      <w:r w:rsidRPr="0097554A">
        <w:rPr>
          <w:color w:val="0000FF"/>
          <w:lang w:val="ru-RU"/>
        </w:rPr>
        <w:t>，</w:t>
      </w:r>
      <w:r w:rsidRPr="004C59BB">
        <w:rPr>
          <w:color w:val="0000FF"/>
        </w:rPr>
        <w:t>问题II</w:t>
      </w:r>
      <w:r w:rsidRPr="0097554A">
        <w:rPr>
          <w:color w:val="0000FF"/>
          <w:lang w:val="ru-RU"/>
        </w:rPr>
        <w:t>，</w:t>
      </w:r>
      <w:r w:rsidRPr="004C59BB">
        <w:rPr>
          <w:color w:val="0000FF"/>
        </w:rPr>
        <w:t>第</w:t>
      </w:r>
      <w:r w:rsidRPr="0097554A">
        <w:rPr>
          <w:color w:val="0000FF"/>
          <w:lang w:val="ru-RU"/>
        </w:rPr>
        <w:t>6</w:t>
      </w:r>
      <w:r w:rsidRPr="004C59BB">
        <w:rPr>
          <w:color w:val="0000FF"/>
        </w:rPr>
        <w:t>节及以下。</w:t>
      </w:r>
    </w:p>
  </w:footnote>
  <w:footnote w:id="1100">
    <w:p w14:paraId="3E55E2D5" w14:textId="5F2912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参见上文注释1025。</w:t>
      </w:r>
    </w:p>
  </w:footnote>
  <w:footnote w:id="1101">
    <w:p w14:paraId="207BC09F" w14:textId="626B7342"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《秘仪教义》</w:t>
      </w:r>
      <w:r w:rsidRPr="004C59BB">
        <w:rPr>
          <w:color w:val="0000FF"/>
        </w:rPr>
        <w:t>第三卷</w:t>
      </w:r>
      <w:r w:rsidRPr="0097554A">
        <w:rPr>
          <w:color w:val="0000FF"/>
          <w:lang w:val="ru-RU"/>
        </w:rPr>
        <w:t>，</w:t>
      </w:r>
      <w:r w:rsidRPr="004C59BB">
        <w:rPr>
          <w:color w:val="0000FF"/>
        </w:rPr>
        <w:t>第</w:t>
      </w:r>
      <w:r w:rsidRPr="0097554A">
        <w:rPr>
          <w:color w:val="0000FF"/>
          <w:lang w:val="ru-RU"/>
        </w:rPr>
        <w:t>1</w:t>
      </w:r>
      <w:r w:rsidRPr="004C59BB">
        <w:rPr>
          <w:color w:val="0000FF"/>
        </w:rPr>
        <w:t>条</w:t>
      </w:r>
      <w:r w:rsidRPr="0097554A">
        <w:rPr>
          <w:color w:val="0000FF"/>
          <w:lang w:val="ru-RU"/>
        </w:rPr>
        <w:t>，</w:t>
      </w:r>
      <w:r w:rsidRPr="004C59BB">
        <w:rPr>
          <w:color w:val="0000FF"/>
        </w:rPr>
        <w:t>第</w:t>
      </w:r>
      <w:r w:rsidRPr="0097554A">
        <w:rPr>
          <w:color w:val="0000FF"/>
          <w:lang w:val="ru-RU"/>
        </w:rPr>
        <w:t>450</w:t>
      </w:r>
      <w:r w:rsidRPr="004C59BB">
        <w:rPr>
          <w:color w:val="0000FF"/>
        </w:rPr>
        <w:t>页。</w:t>
      </w:r>
    </w:p>
  </w:footnote>
  <w:footnote w:id="1102">
    <w:p w14:paraId="03E03A28" w14:textId="1FE911B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基普里安</w:t>
      </w:r>
      <w:r w:rsidRPr="0097554A">
        <w:rPr>
          <w:color w:val="0000FF"/>
          <w:lang w:val="ru-RU"/>
        </w:rPr>
        <w:t>，</w:t>
      </w:r>
      <w:r w:rsidRPr="004C59BB">
        <w:rPr>
          <w:color w:val="0000FF"/>
        </w:rPr>
        <w:t>《致约翰书信》第LXX封</w:t>
      </w:r>
      <w:r w:rsidRPr="0097554A">
        <w:rPr>
          <w:color w:val="0000FF"/>
          <w:lang w:val="ru-RU"/>
        </w:rPr>
        <w:t>；</w:t>
      </w:r>
      <w:r w:rsidRPr="004C59BB">
        <w:rPr>
          <w:color w:val="0000FF"/>
        </w:rPr>
        <w:t>安布罗斯</w:t>
      </w:r>
      <w:r w:rsidRPr="0097554A">
        <w:rPr>
          <w:color w:val="0000FF"/>
          <w:lang w:val="ru-RU"/>
        </w:rPr>
        <w:t>，</w:t>
      </w:r>
      <w:r w:rsidRPr="004C59BB">
        <w:rPr>
          <w:color w:val="0000FF"/>
        </w:rPr>
        <w:t>《论圣事》第</w:t>
      </w:r>
      <w:r w:rsidRPr="0097554A">
        <w:rPr>
          <w:color w:val="0000FF"/>
          <w:lang w:val="ru-RU"/>
        </w:rPr>
        <w:t>7</w:t>
      </w:r>
      <w:r w:rsidRPr="004C59BB">
        <w:rPr>
          <w:color w:val="0000FF"/>
        </w:rPr>
        <w:t>章</w:t>
      </w:r>
      <w:r w:rsidRPr="0097554A">
        <w:rPr>
          <w:color w:val="0000FF"/>
          <w:lang w:val="ru-RU"/>
        </w:rPr>
        <w:t>；</w:t>
      </w:r>
      <w:r w:rsidRPr="004C59BB">
        <w:rPr>
          <w:color w:val="0000FF"/>
        </w:rPr>
        <w:t>奥古斯丁</w:t>
      </w:r>
      <w:r w:rsidRPr="0097554A">
        <w:rPr>
          <w:color w:val="0000FF"/>
          <w:lang w:val="ru-RU"/>
        </w:rPr>
        <w:t>，</w:t>
      </w:r>
      <w:r w:rsidRPr="004C59BB">
        <w:rPr>
          <w:color w:val="0000FF"/>
        </w:rPr>
        <w:t>《约翰书信注释》第六卷</w:t>
      </w:r>
      <w:r w:rsidRPr="0097554A">
        <w:rPr>
          <w:color w:val="0000FF"/>
          <w:lang w:val="ru-RU"/>
        </w:rPr>
        <w:t>，</w:t>
      </w:r>
      <w:r w:rsidRPr="004C59BB">
        <w:rPr>
          <w:color w:val="0000FF"/>
        </w:rPr>
        <w:t>第</w:t>
      </w:r>
      <w:r w:rsidRPr="0097554A">
        <w:rPr>
          <w:color w:val="0000FF"/>
          <w:lang w:val="ru-RU"/>
        </w:rPr>
        <w:t>10</w:t>
      </w:r>
      <w:r w:rsidRPr="004C59BB">
        <w:rPr>
          <w:color w:val="0000FF"/>
        </w:rPr>
        <w:t>条</w:t>
      </w:r>
      <w:r w:rsidRPr="0097554A">
        <w:rPr>
          <w:color w:val="0000FF"/>
          <w:lang w:val="ru-RU"/>
        </w:rPr>
        <w:t>；</w:t>
      </w:r>
      <w:r w:rsidRPr="004C59BB">
        <w:rPr>
          <w:color w:val="0000FF"/>
        </w:rPr>
        <w:t>利奥九世</w:t>
      </w:r>
      <w:r w:rsidRPr="0097554A">
        <w:rPr>
          <w:color w:val="0000FF"/>
          <w:lang w:val="ru-RU"/>
        </w:rPr>
        <w:t>，</w:t>
      </w:r>
      <w:r w:rsidRPr="004C59BB">
        <w:rPr>
          <w:color w:val="0000FF"/>
        </w:rPr>
        <w:t>《论主诞》第四篇讲道。</w:t>
      </w:r>
    </w:p>
  </w:footnote>
  <w:footnote w:id="1103">
    <w:p w14:paraId="1437F2BE" w14:textId="524D600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佩罗内</w:t>
      </w:r>
      <w:r w:rsidRPr="0097554A">
        <w:rPr>
          <w:color w:val="0000FF"/>
          <w:lang w:val="ru-RU"/>
        </w:rPr>
        <w:t>，</w:t>
      </w:r>
      <w:r w:rsidRPr="004C59BB">
        <w:rPr>
          <w:color w:val="0000FF"/>
        </w:rPr>
        <w:t>《神学讲义》第VI卷</w:t>
      </w:r>
      <w:r w:rsidRPr="0097554A">
        <w:rPr>
          <w:color w:val="0000FF"/>
          <w:lang w:val="ru-RU"/>
        </w:rPr>
        <w:t>，</w:t>
      </w:r>
      <w:r w:rsidRPr="004C59BB">
        <w:rPr>
          <w:color w:val="0000FF"/>
        </w:rPr>
        <w:t>第</w:t>
      </w:r>
      <w:r w:rsidRPr="0097554A">
        <w:rPr>
          <w:color w:val="0000FF"/>
          <w:lang w:val="ru-RU"/>
        </w:rPr>
        <w:t>132</w:t>
      </w:r>
      <w:r w:rsidRPr="004C59BB">
        <w:rPr>
          <w:color w:val="0000FF"/>
        </w:rPr>
        <w:t>页</w:t>
      </w:r>
      <w:r w:rsidRPr="0097554A">
        <w:rPr>
          <w:color w:val="0000FF"/>
          <w:lang w:val="ru-RU"/>
        </w:rPr>
        <w:t>，</w:t>
      </w:r>
      <w:r w:rsidRPr="004C59BB">
        <w:rPr>
          <w:color w:val="0000FF"/>
        </w:rPr>
        <w:t>洛桑</w:t>
      </w:r>
      <w:r w:rsidRPr="0097554A">
        <w:rPr>
          <w:color w:val="0000FF"/>
          <w:lang w:val="ru-RU"/>
        </w:rPr>
        <w:t>，1841</w:t>
      </w:r>
      <w:r w:rsidRPr="004C59BB">
        <w:rPr>
          <w:color w:val="0000FF"/>
        </w:rPr>
        <w:t>年。</w:t>
      </w:r>
    </w:p>
  </w:footnote>
  <w:footnote w:id="1104">
    <w:p w14:paraId="26A31201" w14:textId="32ED65C3"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《罗马教理问答》</w:t>
      </w:r>
      <w:r w:rsidRPr="0097554A">
        <w:rPr>
          <w:color w:val="0000FF"/>
          <w:lang w:val="ru-RU"/>
        </w:rPr>
        <w:t>，</w:t>
      </w:r>
      <w:r w:rsidRPr="004C59BB">
        <w:rPr>
          <w:color w:val="0000FF"/>
        </w:rPr>
        <w:t>第二部分</w:t>
      </w:r>
      <w:r w:rsidRPr="0097554A">
        <w:rPr>
          <w:color w:val="0000FF"/>
          <w:lang w:val="ru-RU"/>
        </w:rPr>
        <w:t>，</w:t>
      </w:r>
      <w:r w:rsidRPr="004C59BB">
        <w:rPr>
          <w:color w:val="0000FF"/>
        </w:rPr>
        <w:t>第</w:t>
      </w:r>
      <w:r w:rsidRPr="0097554A">
        <w:rPr>
          <w:color w:val="0000FF"/>
          <w:lang w:val="ru-RU"/>
        </w:rPr>
        <w:t>3</w:t>
      </w:r>
      <w:r w:rsidRPr="004C59BB">
        <w:rPr>
          <w:color w:val="0000FF"/>
        </w:rPr>
        <w:t>章</w:t>
      </w:r>
      <w:r w:rsidRPr="0097554A">
        <w:rPr>
          <w:color w:val="0000FF"/>
          <w:lang w:val="ru-RU"/>
        </w:rPr>
        <w:t>，</w:t>
      </w:r>
      <w:r w:rsidRPr="004C59BB">
        <w:rPr>
          <w:color w:val="0000FF"/>
        </w:rPr>
        <w:t>第</w:t>
      </w:r>
      <w:r w:rsidRPr="0097554A">
        <w:rPr>
          <w:color w:val="0000FF"/>
          <w:lang w:val="ru-RU"/>
        </w:rPr>
        <w:t>17</w:t>
      </w:r>
      <w:r w:rsidRPr="004C59BB">
        <w:rPr>
          <w:color w:val="0000FF"/>
        </w:rPr>
        <w:t>节。参见佩罗内，同上。</w:t>
      </w:r>
    </w:p>
  </w:footnote>
  <w:footnote w:id="1105">
    <w:p w14:paraId="3FB97B03" w14:textId="767821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《使徒宪章》第八卷，第12章；狄奥尼修斯·阿佩翁，《论教会等级制度》，第七章，第XI节； 根纳迪乌斯，《论教会教义》，第52章；若受洗者年幼或愚钝，无法领会教义，则应由将其领受圣礼者代为回应，依照施洗惯例，通过按手礼和圣油礼，使其得以参与圣体圣事。</w:t>
      </w:r>
    </w:p>
  </w:footnote>
  <w:footnote w:id="1106">
    <w:p w14:paraId="5EE1E280" w14:textId="71E35A09"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“主的晚餐”，金口若望，《哥林多前书讲道集》第XXVII篇</w:t>
      </w:r>
      <w:r w:rsidRPr="0097554A">
        <w:rPr>
          <w:color w:val="0000FF"/>
        </w:rPr>
        <w:t>；“</w:t>
      </w:r>
      <w:r w:rsidRPr="004C59BB">
        <w:rPr>
          <w:color w:val="0000FF"/>
          <w:lang w:val="el-GR"/>
        </w:rPr>
        <w:t>神圣而属神的奥秘</w:t>
      </w:r>
      <w:r w:rsidRPr="004C59BB">
        <w:rPr>
          <w:color w:val="0000FF"/>
        </w:rPr>
        <w:t>”，希波吕托，《箴言</w:t>
      </w:r>
      <w:r w:rsidRPr="004C59BB">
        <w:rPr>
          <w:color w:val="0000FF"/>
          <w:lang w:val="el-GR"/>
        </w:rPr>
        <w:t>注释》</w:t>
      </w:r>
      <w:r w:rsidRPr="004C59BB">
        <w:rPr>
          <w:color w:val="0000FF"/>
        </w:rPr>
        <w:t>第九章第一节</w:t>
      </w:r>
      <w:r w:rsidRPr="004C59BB">
        <w:rPr>
          <w:color w:val="0000FF"/>
          <w:lang w:val="el-GR"/>
        </w:rPr>
        <w:t>。</w:t>
      </w:r>
    </w:p>
  </w:footnote>
  <w:footnote w:id="1107">
    <w:p w14:paraId="0A4C8537" w14:textId="52B48789"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主权之桌</w:t>
      </w:r>
      <w:r w:rsidRPr="0097554A">
        <w:rPr>
          <w:color w:val="0000FF"/>
        </w:rPr>
        <w:t>”，</w:t>
      </w:r>
      <w:r w:rsidRPr="004C59BB">
        <w:rPr>
          <w:color w:val="0000FF"/>
        </w:rPr>
        <w:t>费奥多里特</w:t>
      </w:r>
      <w:r w:rsidRPr="0097554A">
        <w:rPr>
          <w:color w:val="0000FF"/>
        </w:rPr>
        <w:t>，</w:t>
      </w:r>
      <w:r w:rsidRPr="004C59BB">
        <w:rPr>
          <w:color w:val="0000FF"/>
        </w:rPr>
        <w:t>《哥林多前书注释</w:t>
      </w:r>
      <w:r w:rsidRPr="004C59BB">
        <w:rPr>
          <w:color w:val="0000FF"/>
          <w:lang w:val="el-GR"/>
        </w:rPr>
        <w:t>》</w:t>
      </w:r>
      <w:r w:rsidRPr="004C59BB">
        <w:rPr>
          <w:color w:val="0000FF"/>
        </w:rPr>
        <w:t>第十一章</w:t>
      </w:r>
      <w:r w:rsidRPr="004C59BB">
        <w:rPr>
          <w:color w:val="0000FF"/>
          <w:lang w:val="el-GR"/>
        </w:rPr>
        <w:t>第</w:t>
      </w:r>
      <w:r w:rsidRPr="0097554A">
        <w:rPr>
          <w:color w:val="0000FF"/>
        </w:rPr>
        <w:t>20</w:t>
      </w:r>
      <w:r w:rsidRPr="004C59BB">
        <w:rPr>
          <w:color w:val="0000FF"/>
          <w:lang w:val="el-GR"/>
        </w:rPr>
        <w:t>节</w:t>
      </w:r>
      <w:r w:rsidRPr="0097554A">
        <w:rPr>
          <w:color w:val="0000FF"/>
        </w:rPr>
        <w:t>；——“</w:t>
      </w:r>
      <w:r w:rsidRPr="004C59BB">
        <w:rPr>
          <w:color w:val="0000FF"/>
          <w:lang w:val="el-GR"/>
        </w:rPr>
        <w:t>基督的</w:t>
      </w:r>
      <w:r w:rsidRPr="004C59BB">
        <w:rPr>
          <w:color w:val="0000FF"/>
        </w:rPr>
        <w:t>”——优西比乌</w:t>
      </w:r>
      <w:r w:rsidRPr="004C59BB">
        <w:rPr>
          <w:color w:val="0000FF"/>
          <w:lang w:val="el-GR"/>
        </w:rPr>
        <w:t>。</w:t>
      </w:r>
      <w:r w:rsidRPr="0097554A">
        <w:rPr>
          <w:color w:val="0000FF"/>
        </w:rPr>
        <w:t xml:space="preserve"> </w:t>
      </w:r>
      <w:r w:rsidRPr="004C59BB">
        <w:rPr>
          <w:color w:val="0000FF"/>
        </w:rPr>
        <w:t>《福音论证》1, 10；——奥秘的，希波吕托斯。《箴言》第九章第1节注释；——神圣的，金口若望。《论大卫与扫罗》讲道集第三篇，第1节。</w:t>
      </w:r>
    </w:p>
  </w:footnote>
  <w:footnote w:id="1108">
    <w:p w14:paraId="69B44993" w14:textId="7EEDB5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祭坛圣事，奥古斯丁，《上帝之城》，第十卷，第6章。</w:t>
      </w:r>
    </w:p>
  </w:footnote>
  <w:footnote w:id="1109">
    <w:p w14:paraId="2A2276E0" w14:textId="41B7882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主之饼，西奥菲勒斯《复活节书信》1；——神的饼，伊格纳提乌斯《书信》第5段；——天上的饼，耶路撒冷的西里尔《秘仪教导》IV，5；——日常的饼，耶路撒冷的西里尔《秘仪教导》V，15。</w:t>
      </w:r>
    </w:p>
  </w:footnote>
  <w:footnote w:id="1110">
    <w:p w14:paraId="6F69140F" w14:textId="2D4493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圣爵圣事，库普里安。《致塞西利乌斯书》第LXIII封，论背道者；金口若望。《约翰福音注释》第LXXXV章，第3节。</w:t>
      </w:r>
    </w:p>
  </w:footnote>
  <w:footnote w:id="1111">
    <w:p w14:paraId="77AD6B94" w14:textId="4CBFF25C" w:rsidR="00254F25" w:rsidRPr="004C59BB" w:rsidRDefault="00000000">
      <w:pPr>
        <w:pStyle w:val="FootnoteText"/>
        <w:rPr>
          <w:color w:val="0000FF"/>
        </w:rPr>
      </w:pPr>
      <w:r w:rsidRPr="004C59BB">
        <w:rPr>
          <w:rStyle w:val="FootnoteReference"/>
          <w:color w:val="0000FF"/>
        </w:rPr>
        <w:footnoteRef/>
      </w:r>
      <w:r w:rsidRPr="0097554A">
        <w:rPr>
          <w:color w:val="0000FF"/>
          <w:lang w:val="el-GR"/>
        </w:rPr>
        <w:t xml:space="preserve"> Ποτήριον τής ευλογίας，</w:t>
      </w:r>
      <w:r w:rsidRPr="004C59BB">
        <w:rPr>
          <w:color w:val="0000FF"/>
        </w:rPr>
        <w:t>巴克。论圣灵，第27章。</w:t>
      </w:r>
    </w:p>
  </w:footnote>
  <w:footnote w:id="1112">
    <w:p w14:paraId="62829FCB" w14:textId="12CED6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基督之体，耶路撒冷的西里尔，《公开讲道集》第五卷，第22章；——主日之体，使徒宪章。</w:t>
      </w:r>
    </w:p>
  </w:footnote>
  <w:footnote w:id="1113">
    <w:p w14:paraId="440019AC" w14:textId="4B940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基督之血，使徒宪章第八章，第13节；——尊贵之血，希波吕托斯《箴言注释》第九章，第1节，第57段；——救赎之血，优西比乌《以赛亚书注释》第二十五章，第7节；——圣血，昆皮安《书信》第十封。</w:t>
      </w:r>
    </w:p>
  </w:footnote>
  <w:footnote w:id="1114">
    <w:p w14:paraId="34D0CC9D" w14:textId="6F35C3AE"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Κοινωνία，伊西多尔·佩卢斯第1卷，书信</w:t>
      </w:r>
      <w:r w:rsidRPr="0097554A">
        <w:rPr>
          <w:color w:val="0000FF"/>
        </w:rPr>
        <w:t>228；</w:t>
      </w:r>
      <w:r w:rsidRPr="004C59BB">
        <w:rPr>
          <w:color w:val="0000FF"/>
          <w:lang w:val="ru-RU"/>
        </w:rPr>
        <w:t>约翰</w:t>
      </w:r>
      <w:r w:rsidRPr="0097554A">
        <w:rPr>
          <w:color w:val="0000FF"/>
        </w:rPr>
        <w:t>·</w:t>
      </w:r>
      <w:r w:rsidRPr="004C59BB">
        <w:rPr>
          <w:color w:val="0000FF"/>
          <w:lang w:val="ru-RU"/>
        </w:rPr>
        <w:t>达马斯库斯</w:t>
      </w:r>
      <w:r w:rsidRPr="0097554A">
        <w:rPr>
          <w:color w:val="0000FF"/>
        </w:rPr>
        <w:t>，</w:t>
      </w:r>
      <w:r w:rsidRPr="004C59BB">
        <w:rPr>
          <w:color w:val="0000FF"/>
          <w:lang w:val="ru-RU"/>
        </w:rPr>
        <w:t>《正统信仰的精确阐述》</w:t>
      </w:r>
      <w:r w:rsidRPr="004C59BB">
        <w:rPr>
          <w:color w:val="0000FF"/>
        </w:rPr>
        <w:t>第IV</w:t>
      </w:r>
      <w:r w:rsidRPr="004C59BB">
        <w:rPr>
          <w:color w:val="0000FF"/>
          <w:lang w:val="ru-RU"/>
        </w:rPr>
        <w:t>卷</w:t>
      </w:r>
      <w:r w:rsidRPr="0097554A">
        <w:rPr>
          <w:color w:val="0000FF"/>
        </w:rPr>
        <w:t>，</w:t>
      </w:r>
      <w:r w:rsidRPr="004C59BB">
        <w:rPr>
          <w:color w:val="0000FF"/>
          <w:lang w:val="ru-RU"/>
        </w:rPr>
        <w:t>第</w:t>
      </w:r>
      <w:r w:rsidRPr="0097554A">
        <w:rPr>
          <w:color w:val="0000FF"/>
        </w:rPr>
        <w:t>13</w:t>
      </w:r>
      <w:r w:rsidRPr="004C59BB">
        <w:rPr>
          <w:color w:val="0000FF"/>
          <w:lang w:val="ru-RU"/>
        </w:rPr>
        <w:t>章。</w:t>
      </w:r>
    </w:p>
  </w:footnote>
  <w:footnote w:id="1115">
    <w:p w14:paraId="548E9848" w14:textId="11BC5B7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Ποτήριον ζωής</w:t>
      </w:r>
      <w:r w:rsidRPr="0097554A">
        <w:rPr>
          <w:color w:val="0000FF"/>
        </w:rPr>
        <w:t>，</w:t>
      </w:r>
      <w:r w:rsidRPr="004C59BB">
        <w:rPr>
          <w:color w:val="0000FF"/>
        </w:rPr>
        <w:t>使徒宪章第八</w:t>
      </w:r>
      <w:r w:rsidRPr="004C59BB">
        <w:rPr>
          <w:color w:val="0000FF"/>
          <w:lang w:val="ru-RU"/>
        </w:rPr>
        <w:t>章</w:t>
      </w:r>
      <w:r w:rsidRPr="0097554A">
        <w:rPr>
          <w:color w:val="0000FF"/>
        </w:rPr>
        <w:t>，</w:t>
      </w:r>
      <w:r w:rsidRPr="004C59BB">
        <w:rPr>
          <w:color w:val="0000FF"/>
          <w:lang w:val="ru-RU"/>
        </w:rPr>
        <w:t>第</w:t>
      </w:r>
      <w:r w:rsidRPr="0097554A">
        <w:rPr>
          <w:color w:val="0000FF"/>
        </w:rPr>
        <w:t>13</w:t>
      </w:r>
      <w:r w:rsidRPr="004C59BB">
        <w:rPr>
          <w:color w:val="0000FF"/>
          <w:lang w:val="ru-RU"/>
        </w:rPr>
        <w:t>节</w:t>
      </w:r>
      <w:r w:rsidRPr="0097554A">
        <w:rPr>
          <w:color w:val="0000FF"/>
        </w:rPr>
        <w:t>；——</w:t>
      </w:r>
      <w:r w:rsidRPr="004C59BB">
        <w:rPr>
          <w:color w:val="0000FF"/>
        </w:rPr>
        <w:t>σωτηρίου</w:t>
      </w:r>
      <w:r w:rsidRPr="0097554A">
        <w:rPr>
          <w:color w:val="0000FF"/>
        </w:rPr>
        <w:t>，</w:t>
      </w:r>
      <w:r w:rsidRPr="004C59BB">
        <w:rPr>
          <w:color w:val="0000FF"/>
          <w:lang w:val="ru-RU"/>
        </w:rPr>
        <w:t>耶路撒冷的西里尔</w:t>
      </w:r>
      <w:r w:rsidRPr="0097554A">
        <w:rPr>
          <w:color w:val="0000FF"/>
        </w:rPr>
        <w:t>，</w:t>
      </w:r>
      <w:r w:rsidRPr="004C59BB">
        <w:rPr>
          <w:color w:val="0000FF"/>
          <w:lang w:val="ru-RU"/>
        </w:rPr>
        <w:t>《圣礼教义》</w:t>
      </w:r>
      <w:r w:rsidRPr="004C59BB">
        <w:rPr>
          <w:color w:val="0000FF"/>
        </w:rPr>
        <w:t>第四</w:t>
      </w:r>
      <w:r w:rsidRPr="004C59BB">
        <w:rPr>
          <w:color w:val="0000FF"/>
          <w:lang w:val="ru-RU"/>
        </w:rPr>
        <w:t>卷</w:t>
      </w:r>
      <w:r w:rsidRPr="0097554A">
        <w:rPr>
          <w:color w:val="0000FF"/>
        </w:rPr>
        <w:t>，</w:t>
      </w:r>
      <w:r w:rsidRPr="004C59BB">
        <w:rPr>
          <w:color w:val="0000FF"/>
          <w:lang w:val="ru-RU"/>
        </w:rPr>
        <w:t>第</w:t>
      </w:r>
      <w:r w:rsidRPr="0097554A">
        <w:rPr>
          <w:color w:val="0000FF"/>
        </w:rPr>
        <w:t>5</w:t>
      </w:r>
      <w:r w:rsidRPr="004C59BB">
        <w:rPr>
          <w:color w:val="0000FF"/>
          <w:lang w:val="ru-RU"/>
        </w:rPr>
        <w:t>节。</w:t>
      </w:r>
    </w:p>
  </w:footnote>
  <w:footnote w:id="1116">
    <w:p w14:paraId="682C3A00" w14:textId="27E618DA"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Μυστήρια</w:t>
      </w:r>
      <w:r w:rsidRPr="0097554A">
        <w:rPr>
          <w:color w:val="0000FF"/>
        </w:rPr>
        <w:t>，</w:t>
      </w:r>
      <w:r w:rsidRPr="004C59BB">
        <w:rPr>
          <w:color w:val="0000FF"/>
          <w:lang w:val="ru-RU"/>
        </w:rPr>
        <w:t>希波吕托斯</w:t>
      </w:r>
      <w:r w:rsidRPr="004C59BB">
        <w:rPr>
          <w:color w:val="0000FF"/>
        </w:rPr>
        <w:t>《论恩赐</w:t>
      </w:r>
      <w:r w:rsidRPr="004C59BB">
        <w:rPr>
          <w:color w:val="0000FF"/>
          <w:lang w:val="ru-RU"/>
        </w:rPr>
        <w:t>》</w:t>
      </w:r>
      <w:r w:rsidRPr="004C59BB">
        <w:rPr>
          <w:color w:val="0000FF"/>
        </w:rPr>
        <w:t>第十九章； 金口若望，《论童贞女》第XXIV章；——圣杯，使徒宪章第八卷，第14、15章；——神圣的，狄奥多里特，《哥林多前书注释》第十一章，第27、30节；——可怖的，金口若望，《驳犹太人讲道集》第一篇，第1节。</w:t>
      </w:r>
    </w:p>
  </w:footnote>
  <w:footnote w:id="1117">
    <w:p w14:paraId="0881CD8D" w14:textId="163ACEF6"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牺牲——神圣的、奥秘的、礼仪的。优西比乌，《福音论证》1，第10章；狄奥多里特，《希伯来书注释》第八</w:t>
      </w:r>
      <w:r w:rsidRPr="004C59BB">
        <w:rPr>
          <w:color w:val="0000FF"/>
          <w:lang w:val="ru-RU"/>
        </w:rPr>
        <w:t>章等。</w:t>
      </w:r>
    </w:p>
  </w:footnote>
  <w:footnote w:id="1118">
    <w:p w14:paraId="7C7689DA" w14:textId="0EBB9341"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犹太人对此感到困惑</w:t>
      </w:r>
      <w:r w:rsidRPr="0097554A">
        <w:rPr>
          <w:color w:val="0000FF"/>
        </w:rPr>
        <w:t>，</w:t>
      </w:r>
      <w:r w:rsidRPr="004C59BB">
        <w:rPr>
          <w:color w:val="0000FF"/>
          <w:lang w:val="ru-RU"/>
        </w:rPr>
        <w:t>便说</w:t>
      </w:r>
      <w:r w:rsidRPr="0097554A">
        <w:rPr>
          <w:color w:val="0000FF"/>
        </w:rPr>
        <w:t>：‘</w:t>
      </w:r>
      <w:r w:rsidRPr="004C59BB">
        <w:rPr>
          <w:color w:val="0000FF"/>
          <w:lang w:val="ru-RU"/>
        </w:rPr>
        <w:t>他怎能将自己的肉给我们吃呢</w:t>
      </w:r>
      <w:r w:rsidRPr="0097554A">
        <w:rPr>
          <w:color w:val="0000FF"/>
        </w:rPr>
        <w:t>？’（6:52）</w:t>
      </w:r>
      <w:r w:rsidRPr="004C59BB">
        <w:rPr>
          <w:color w:val="0000FF"/>
          <w:lang w:val="ru-RU"/>
        </w:rPr>
        <w:t>。但如果你在此处询问的是方式，那么为何对那五饼一鱼的事不作同样的询问？为何不问他是如何让五饼足以供养如此众多的人的？ 你会说，那时的当务之急不是探究神迹，而是填饱肚子；况且，当时的亲身体验已经足以使他们明白。——但正因为有这一亲身体验，他们才更应该相信现在的教导。 耶稣基督之所以先行那非凡的神迹，正是为了让犹太人借此神迹而得启迪，不再对祂后续的作为表现出不信”（金口若望，《讲道集》第XLV篇，论《约翰福音》6:41。 42，载于《基督读本》1842年版，第11、189页）。</w:t>
      </w:r>
    </w:p>
  </w:footnote>
  <w:footnote w:id="1119">
    <w:p w14:paraId="029227CE" w14:textId="276438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犹太人这一说法源于他们当时存在且至今仍流传的传统：正如他们的第一位拯救者——即摩西——从天上降下吗哪一样，第二位拯救者——即弥赛亚——也将降下吗哪。</w:t>
      </w:r>
      <w:r w:rsidRPr="004C59BB">
        <w:rPr>
          <w:color w:val="0000FF"/>
        </w:rPr>
        <w:t>Shoetgenius. Horae hebr. et talmud. 第1卷，第359页。莱比锡，1733年。</w:t>
      </w:r>
    </w:p>
  </w:footnote>
  <w:footnote w:id="1120">
    <w:p w14:paraId="35651E36" w14:textId="125B92F8"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爱任纽。《反异端论》V</w:t>
      </w:r>
      <w:r w:rsidRPr="0097554A">
        <w:rPr>
          <w:color w:val="0000FF"/>
        </w:rPr>
        <w:t>, 2. 3；</w:t>
      </w:r>
      <w:r w:rsidRPr="004C59BB">
        <w:rPr>
          <w:color w:val="0000FF"/>
          <w:lang w:val="ru-RU"/>
        </w:rPr>
        <w:t>迦太基大公会议第</w:t>
      </w:r>
      <w:r w:rsidRPr="0097554A">
        <w:rPr>
          <w:color w:val="0000FF"/>
        </w:rPr>
        <w:t>46</w:t>
      </w:r>
      <w:r w:rsidRPr="004C59BB">
        <w:rPr>
          <w:color w:val="0000FF"/>
          <w:lang w:val="ru-RU"/>
        </w:rPr>
        <w:t>条</w:t>
      </w:r>
      <w:r w:rsidRPr="0097554A">
        <w:rPr>
          <w:color w:val="0000FF"/>
        </w:rPr>
        <w:t>，</w:t>
      </w:r>
      <w:r w:rsidRPr="004C59BB">
        <w:rPr>
          <w:color w:val="0000FF"/>
          <w:lang w:val="ru-RU"/>
        </w:rPr>
        <w:t>载于《规则书》</w:t>
      </w:r>
      <w:r w:rsidRPr="0097554A">
        <w:rPr>
          <w:color w:val="0000FF"/>
        </w:rPr>
        <w:t>……</w:t>
      </w:r>
    </w:p>
  </w:footnote>
  <w:footnote w:id="1121">
    <w:p w14:paraId="2D27355A" w14:textId="326165C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不过</w:t>
      </w:r>
      <w:r w:rsidRPr="0097554A">
        <w:rPr>
          <w:color w:val="0000FF"/>
        </w:rPr>
        <w:t>，</w:t>
      </w:r>
      <w:r w:rsidRPr="004C59BB">
        <w:rPr>
          <w:color w:val="0000FF"/>
          <w:lang w:val="ru-RU"/>
        </w:rPr>
        <w:t>必须指出的是</w:t>
      </w:r>
      <w:r w:rsidRPr="0097554A">
        <w:rPr>
          <w:color w:val="0000FF"/>
        </w:rPr>
        <w:t>，</w:t>
      </w:r>
      <w:r w:rsidRPr="004C59BB">
        <w:rPr>
          <w:color w:val="0000FF"/>
          <w:lang w:val="ru-RU"/>
        </w:rPr>
        <w:t>拉丁教徒在其教义中既承认无酵饼</w:t>
      </w:r>
      <w:r w:rsidRPr="0097554A">
        <w:rPr>
          <w:color w:val="0000FF"/>
        </w:rPr>
        <w:t>，</w:t>
      </w:r>
      <w:r w:rsidRPr="004C59BB">
        <w:rPr>
          <w:color w:val="0000FF"/>
          <w:lang w:val="ru-RU"/>
        </w:rPr>
        <w:t>也承认有酵饼</w:t>
      </w:r>
      <w:r w:rsidRPr="0097554A">
        <w:rPr>
          <w:color w:val="0000FF"/>
        </w:rPr>
        <w:t>，</w:t>
      </w:r>
      <w:r w:rsidRPr="004C59BB">
        <w:rPr>
          <w:color w:val="0000FF"/>
          <w:lang w:val="ru-RU"/>
        </w:rPr>
        <w:t>认为二者都是举行圣体圣事同样合适的物质</w:t>
      </w:r>
      <w:r w:rsidRPr="0097554A">
        <w:rPr>
          <w:color w:val="0000FF"/>
        </w:rPr>
        <w:t>（</w:t>
      </w:r>
      <w:r w:rsidRPr="004C59BB">
        <w:rPr>
          <w:color w:val="0000FF"/>
        </w:rPr>
        <w:t>Perrone</w:t>
      </w:r>
      <w:r w:rsidRPr="0097554A">
        <w:rPr>
          <w:color w:val="0000FF"/>
        </w:rPr>
        <w:t>，</w:t>
      </w:r>
      <w:r w:rsidRPr="004C59BB">
        <w:rPr>
          <w:color w:val="0000FF"/>
        </w:rPr>
        <w:t>《神学讲义：论</w:t>
      </w:r>
      <w:r w:rsidRPr="004C59BB">
        <w:rPr>
          <w:color w:val="0000FF"/>
          <w:lang w:val="ru-RU"/>
        </w:rPr>
        <w:t>圣体》</w:t>
      </w:r>
      <w:r w:rsidRPr="0097554A">
        <w:rPr>
          <w:color w:val="0000FF"/>
        </w:rPr>
        <w:t>，</w:t>
      </w:r>
      <w:r w:rsidRPr="004C59BB">
        <w:rPr>
          <w:color w:val="0000FF"/>
          <w:lang w:val="ru-RU"/>
        </w:rPr>
        <w:t>第二部分</w:t>
      </w:r>
      <w:r w:rsidRPr="0097554A">
        <w:rPr>
          <w:color w:val="0000FF"/>
        </w:rPr>
        <w:t>，</w:t>
      </w:r>
      <w:r w:rsidRPr="004C59BB">
        <w:rPr>
          <w:color w:val="0000FF"/>
          <w:lang w:val="ru-RU"/>
        </w:rPr>
        <w:t>第三章</w:t>
      </w:r>
      <w:r w:rsidRPr="0097554A">
        <w:rPr>
          <w:color w:val="0000FF"/>
        </w:rPr>
        <w:t>，</w:t>
      </w:r>
      <w:r w:rsidRPr="004C59BB">
        <w:rPr>
          <w:color w:val="0000FF"/>
          <w:lang w:val="ru-RU"/>
        </w:rPr>
        <w:t>命题</w:t>
      </w:r>
      <w:r w:rsidRPr="0097554A">
        <w:rPr>
          <w:color w:val="0000FF"/>
        </w:rPr>
        <w:t>1）；</w:t>
      </w:r>
      <w:r w:rsidRPr="004C59BB">
        <w:rPr>
          <w:color w:val="0000FF"/>
          <w:lang w:val="ru-RU"/>
        </w:rPr>
        <w:t>但实际上</w:t>
      </w:r>
      <w:r w:rsidRPr="0097554A">
        <w:rPr>
          <w:color w:val="0000FF"/>
        </w:rPr>
        <w:t>，</w:t>
      </w:r>
      <w:r w:rsidRPr="004C59BB">
        <w:rPr>
          <w:color w:val="0000FF"/>
          <w:lang w:val="ru-RU"/>
        </w:rPr>
        <w:t>通常只使用无酵饼。</w:t>
      </w:r>
      <w:r w:rsidRPr="0097554A">
        <w:rPr>
          <w:color w:val="0000FF"/>
        </w:rPr>
        <w:t xml:space="preserve"> </w:t>
      </w:r>
      <w:r w:rsidRPr="004C59BB">
        <w:rPr>
          <w:color w:val="0000FF"/>
        </w:rPr>
        <w:t>Theol</w:t>
      </w:r>
      <w:r w:rsidRPr="0097554A">
        <w:rPr>
          <w:color w:val="0000FF"/>
        </w:rPr>
        <w:t xml:space="preserve">. </w:t>
      </w:r>
      <w:r w:rsidRPr="004C59BB">
        <w:rPr>
          <w:color w:val="0000FF"/>
        </w:rPr>
        <w:t>Tract</w:t>
      </w:r>
      <w:r w:rsidRPr="0097554A">
        <w:rPr>
          <w:color w:val="0000FF"/>
        </w:rPr>
        <w:t xml:space="preserve">. </w:t>
      </w:r>
      <w:r w:rsidRPr="004C59BB">
        <w:rPr>
          <w:color w:val="0000FF"/>
        </w:rPr>
        <w:t>de Eucharistia</w:t>
      </w:r>
      <w:r w:rsidRPr="0097554A">
        <w:rPr>
          <w:color w:val="0000FF"/>
        </w:rPr>
        <w:t xml:space="preserve">, </w:t>
      </w:r>
      <w:r w:rsidRPr="004C59BB">
        <w:rPr>
          <w:color w:val="0000FF"/>
        </w:rPr>
        <w:t>par</w:t>
      </w:r>
      <w:r w:rsidRPr="0097554A">
        <w:rPr>
          <w:color w:val="0000FF"/>
        </w:rPr>
        <w:t xml:space="preserve">. </w:t>
      </w:r>
      <w:r w:rsidRPr="004C59BB">
        <w:rPr>
          <w:color w:val="0000FF"/>
        </w:rPr>
        <w:t>II</w:t>
      </w:r>
      <w:r w:rsidRPr="0097554A">
        <w:rPr>
          <w:color w:val="0000FF"/>
        </w:rPr>
        <w:t xml:space="preserve">, </w:t>
      </w:r>
      <w:r w:rsidRPr="004C59BB">
        <w:rPr>
          <w:color w:val="0000FF"/>
        </w:rPr>
        <w:t>c</w:t>
      </w:r>
      <w:r w:rsidRPr="0097554A">
        <w:rPr>
          <w:color w:val="0000FF"/>
        </w:rPr>
        <w:t xml:space="preserve">. 3, </w:t>
      </w:r>
      <w:r w:rsidRPr="004C59BB">
        <w:rPr>
          <w:color w:val="0000FF"/>
        </w:rPr>
        <w:t>propos</w:t>
      </w:r>
      <w:r w:rsidRPr="0097554A">
        <w:rPr>
          <w:color w:val="0000FF"/>
        </w:rPr>
        <w:t>. 1）；</w:t>
      </w:r>
      <w:r w:rsidRPr="004C59BB">
        <w:rPr>
          <w:color w:val="0000FF"/>
          <w:lang w:val="ru-RU"/>
        </w:rPr>
        <w:t>但实际上通常只使用无酵饼。</w:t>
      </w:r>
    </w:p>
  </w:footnote>
  <w:footnote w:id="1122">
    <w:p w14:paraId="68B8EA8C" w14:textId="53821C7C"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希腊作家们为证明和阐释这一真理而提出的各种观点</w:t>
      </w:r>
      <w:r w:rsidRPr="0097554A">
        <w:rPr>
          <w:color w:val="0000FF"/>
        </w:rPr>
        <w:t>，</w:t>
      </w:r>
      <w:r w:rsidRPr="004C59BB">
        <w:rPr>
          <w:color w:val="0000FF"/>
          <w:lang w:val="ru-RU"/>
        </w:rPr>
        <w:t>在至圣神学家</w:t>
      </w:r>
      <w:r w:rsidRPr="004C59BB">
        <w:rPr>
          <w:color w:val="0000FF"/>
        </w:rPr>
        <w:t>费奥凡·普罗科波维奇的</w:t>
      </w:r>
      <w:r w:rsidRPr="004C59BB">
        <w:rPr>
          <w:color w:val="0000FF"/>
          <w:lang w:val="ru-RU"/>
        </w:rPr>
        <w:t>《神学》一书中得到了简要的阐述和探讨</w:t>
      </w:r>
      <w:r w:rsidRPr="004C59BB">
        <w:rPr>
          <w:color w:val="0000FF"/>
        </w:rPr>
        <w:t>（卷 III，第 603–610 页，莱比锡，1793 年）。</w:t>
      </w:r>
    </w:p>
  </w:footnote>
  <w:footnote w:id="1123">
    <w:p w14:paraId="7CC26297" w14:textId="0FD01CA2"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马尔多纳图斯，《马太福音》第24章第2节；佩塔维乌斯，《论教义》第十二卷第15章及后续章节；亚历山大·纳塔利斯，《论文集》第十一篇，关于第十一和第十二世纪</w:t>
      </w:r>
      <w:r w:rsidRPr="004C59BB">
        <w:rPr>
          <w:color w:val="0000FF"/>
          <w:lang w:val="ru-RU"/>
        </w:rPr>
        <w:t>。</w:t>
      </w:r>
    </w:p>
  </w:footnote>
  <w:footnote w:id="1124">
    <w:p w14:paraId="20770721" w14:textId="6C028659"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这</w:t>
      </w:r>
      <w:r w:rsidRPr="0097554A">
        <w:rPr>
          <w:color w:val="0000FF"/>
        </w:rPr>
        <w:t>（</w:t>
      </w:r>
      <w:r w:rsidRPr="004C59BB">
        <w:rPr>
          <w:color w:val="0000FF"/>
          <w:lang w:val="ru-RU"/>
        </w:rPr>
        <w:t>羔羊</w:t>
      </w:r>
      <w:r w:rsidRPr="0097554A">
        <w:rPr>
          <w:color w:val="0000FF"/>
        </w:rPr>
        <w:t>）</w:t>
      </w:r>
      <w:r w:rsidRPr="004C59BB">
        <w:rPr>
          <w:color w:val="0000FF"/>
          <w:lang w:val="ru-RU"/>
        </w:rPr>
        <w:t>必为你们存留</w:t>
      </w:r>
      <w:r w:rsidRPr="0097554A">
        <w:rPr>
          <w:color w:val="0000FF"/>
        </w:rPr>
        <w:t>，</w:t>
      </w:r>
      <w:r w:rsidRPr="004C59BB">
        <w:rPr>
          <w:color w:val="0000FF"/>
          <w:lang w:val="ru-RU"/>
        </w:rPr>
        <w:t>直到本月十四日</w:t>
      </w:r>
      <w:r w:rsidRPr="0097554A">
        <w:rPr>
          <w:color w:val="0000FF"/>
        </w:rPr>
        <w:t>；</w:t>
      </w:r>
      <w:r w:rsidRPr="004C59BB">
        <w:rPr>
          <w:color w:val="0000FF"/>
          <w:lang w:val="ru-RU"/>
        </w:rPr>
        <w:t>到了傍晚</w:t>
      </w:r>
      <w:r w:rsidRPr="0097554A">
        <w:rPr>
          <w:color w:val="0000FF"/>
        </w:rPr>
        <w:t>，</w:t>
      </w:r>
      <w:r w:rsidRPr="004C59BB">
        <w:rPr>
          <w:color w:val="0000FF"/>
          <w:lang w:val="ru-RU"/>
        </w:rPr>
        <w:t>以色列全会众要把那羔羊宰了。他们要取些血，涂在房屋两边的门框上和门槛上，就是他们要吃那羔羊的房屋。 当夜，他们要吃用火烤的肉，并吃无酵饼和苦菜（出埃及记 12: 6–8）。从正月十四日傍晚起，要吃无酵饼，直到本月二十一日傍晚为止。 七天之内，你们家中不可有酵（- 18. 19）</w:t>
      </w:r>
    </w:p>
  </w:footnote>
  <w:footnote w:id="1125">
    <w:p w14:paraId="2179BE1F" w14:textId="35C531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而其中一位福音书作者写道：“无酵节到了，按惯例应当吃逾越节的筵席” （路加福音 22, 7），而另外两位则说：“无酵节的第一天，门徒们</w:t>
      </w:r>
      <w:r w:rsidRPr="004C59BB">
        <w:rPr>
          <w:color w:val="0000FF"/>
        </w:rPr>
        <w:t>来到</w:t>
      </w:r>
      <w:r w:rsidRPr="004C59BB">
        <w:rPr>
          <w:color w:val="0000FF"/>
          <w:lang w:val="ru-RU"/>
        </w:rPr>
        <w:t>耶稣跟前，对他说：‘你愿意在哪里吃逾越节的筵席，我们就在那里为你预备。’”（马太福音 26, 17； 马可福音 14, 12）：这些表述，与圣约翰·金口一同，可以甚至必须这样理解：“（无酵节的第一天）到了，即临近了，就在眼前了”（《马太福音讲道集》 LXXXI，载于</w:t>
      </w:r>
      <w:r w:rsidRPr="004C59BB">
        <w:rPr>
          <w:color w:val="0000FF"/>
        </w:rPr>
        <w:t>第三</w:t>
      </w:r>
      <w:r w:rsidRPr="004C59BB">
        <w:rPr>
          <w:color w:val="0000FF"/>
          <w:lang w:val="ru-RU"/>
        </w:rPr>
        <w:t>卷，第389页）。这是因为：a) 这本身就源于门徒们当时才刚向救主询问在哪里预备逾越节筵席，而无酵节的第一天是在逾越节筵席举行之后才开始的（参见下文注释）； 且——b）这是为了使三位福音书作者的记载与第四位作者的见证相吻合：在逾越节之前……（约翰福音 13: 1）。</w:t>
      </w:r>
    </w:p>
  </w:footnote>
  <w:footnote w:id="1126">
    <w:p w14:paraId="0C337475" w14:textId="138C00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“正月十四日黄昏，是耶和华的逾越节；正月十五日是耶和华的无酵节：你们要吃无酵饼七日。第一日当为你们的圣日，不可作任何劳碌的工作”（利未记 23: 5–7）。 </w:t>
      </w:r>
      <w:r w:rsidRPr="004C59BB">
        <w:rPr>
          <w:color w:val="0000FF"/>
        </w:rPr>
        <w:t>你们要吃</w:t>
      </w:r>
      <w:r w:rsidRPr="004C59BB">
        <w:rPr>
          <w:color w:val="0000FF"/>
          <w:lang w:val="ru-RU"/>
        </w:rPr>
        <w:t>无酵饼七天；从第一天起，就要从你们各家中除净酵；凡吃有酵之物的，那人必从以色列中剪除，从第一天直到第七天。 第一日要称为圣日，第七日也要为你们定为圣日（出埃及记 12: 15, 16）。</w:t>
      </w:r>
    </w:p>
  </w:footnote>
  <w:footnote w:id="1127">
    <w:p w14:paraId="5941AF0C" w14:textId="798B52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《福音书》中也指出了主为何愿意在预定之日之前守逾越节的原因。圣约翰说：“逾越节前，耶稣知道自己离世归父的时候到了……”（《约翰福音》13:1）。 救主本人在派遣门徒前往耶路撒冷拜访某位主人时，吩咐他们转告对方：“我的时候近了，我要在你那里与我的门徒们守逾越节”（马太福音26:18）。 次日，正值犹太人庆祝逾越节之时，救主却已面临死亡，因此无法举行逾越节。</w:t>
      </w:r>
    </w:p>
  </w:footnote>
  <w:footnote w:id="1128">
    <w:p w14:paraId="1C81391E" w14:textId="32E1DA7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“逾越节所发生的事，在洗礼中也同样发生。因为正如耶稣基督在那里既完成了那一个逾越节，又完成了另一个逾越节，废除了前者，却开启了后者； 同样，在这里，祂完成了犹太人的洗礼，为新约教会的洗礼敞开了大门”（金口若望，《马太福音讲道集》第十二篇，第3段，第1卷，第225页）。 “基督是在律法规定的节期理应废止之时，才设立了圣礼。因此，祂废除了犹太人最重要的节日，呼召他们参加另一场筵席，并说：‘你们领受，吃吧，这是我的身体，为你们而舍的……’ 并补充道：‘你们要这样做，为的是纪念我。’你看，基督是如何摒弃并远离犹太人的习俗的？他说：‘你们曾为纪念在埃及发生的奇事而守逾越节；同样，也要举行这个圣礼，为的是纪念我……’ 那么，你会说，难道不应该同时举行旧的和新的圣礼吗？不应该。因为基督说“你们要这样做”，正是为了摒弃旧的”（——《讲道集》</w:t>
      </w:r>
      <w:r w:rsidRPr="004C59BB">
        <w:rPr>
          <w:color w:val="0000FF"/>
        </w:rPr>
        <w:t>LXXXII</w:t>
      </w:r>
      <w:r w:rsidRPr="004C59BB">
        <w:rPr>
          <w:color w:val="0000FF"/>
          <w:lang w:val="ru-RU"/>
        </w:rPr>
        <w:t>，</w:t>
      </w:r>
      <w:r w:rsidRPr="004C59BB">
        <w:rPr>
          <w:color w:val="0000FF"/>
        </w:rPr>
        <w:t>第III</w:t>
      </w:r>
      <w:r w:rsidRPr="004C59BB">
        <w:rPr>
          <w:color w:val="0000FF"/>
          <w:lang w:val="ru-RU"/>
        </w:rPr>
        <w:t>卷，第409–411页）。</w:t>
      </w:r>
    </w:p>
  </w:footnote>
  <w:footnote w:id="1129">
    <w:p w14:paraId="27F3ADA4" w14:textId="75A646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米哈伊尔·克鲁尔。</w:t>
      </w:r>
      <w:r w:rsidRPr="004C59BB">
        <w:rPr>
          <w:color w:val="0000FF"/>
        </w:rPr>
        <w:t>《</w:t>
      </w:r>
      <w:r w:rsidRPr="004C59BB">
        <w:rPr>
          <w:color w:val="0000FF"/>
          <w:lang w:val="ru-RU"/>
        </w:rPr>
        <w:t>致巴斯加尼的</w:t>
      </w:r>
      <w:r w:rsidRPr="004C59BB">
        <w:rPr>
          <w:color w:val="0000FF"/>
        </w:rPr>
        <w:t>书信</w:t>
      </w:r>
      <w:r w:rsidRPr="004C59BB">
        <w:rPr>
          <w:color w:val="0000FF"/>
          <w:lang w:val="ru-RU"/>
        </w:rPr>
        <w:t>》，</w:t>
      </w:r>
      <w:r w:rsidRPr="004C59BB">
        <w:rPr>
          <w:color w:val="0000FF"/>
        </w:rPr>
        <w:t>收录于《宝库</w:t>
      </w:r>
      <w:r w:rsidRPr="004C59BB">
        <w:rPr>
          <w:color w:val="0000FF"/>
          <w:lang w:val="ru-RU"/>
        </w:rPr>
        <w:t>》</w:t>
      </w:r>
      <w:r w:rsidRPr="004C59BB">
        <w:rPr>
          <w:color w:val="0000FF"/>
        </w:rPr>
        <w:t>第三卷</w:t>
      </w:r>
      <w:r w:rsidRPr="004C59BB">
        <w:rPr>
          <w:color w:val="0000FF"/>
          <w:lang w:val="ru-RU"/>
        </w:rPr>
        <w:t>，第1页，第277页。</w:t>
      </w:r>
    </w:p>
  </w:footnote>
  <w:footnote w:id="1130">
    <w:p w14:paraId="567908B3" w14:textId="0645A8B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让我们引用我们的一位古代圣父——大主教莱昂提乌斯——对此事的评论：“主在福音书中说：‘你们要防备法利赛人和撒都该人的酵’；而门徒们心里想：‘这意味着我们没有带饼。’ 耶稣察觉了他们的心思，便对他们说：‘你们怎么不明白，我不是在说面酵呢？’（马太福音 16: 6–11） 因此，门徒们一听到“酵”，立刻以为是在说面包（</w:t>
      </w:r>
      <w:r w:rsidRPr="004C59BB">
        <w:rPr>
          <w:color w:val="0000FF"/>
        </w:rPr>
        <w:t>άρτος</w:t>
      </w:r>
      <w:r w:rsidRPr="004C59BB">
        <w:rPr>
          <w:color w:val="0000FF"/>
          <w:lang w:val="ru-RU"/>
        </w:rPr>
        <w:t>），而他们的老师则让他们明白，面包（</w:t>
      </w:r>
      <w:r w:rsidRPr="004C59BB">
        <w:rPr>
          <w:color w:val="0000FF"/>
        </w:rPr>
        <w:t>άρτος</w:t>
      </w:r>
      <w:r w:rsidRPr="004C59BB">
        <w:rPr>
          <w:color w:val="0000FF"/>
          <w:lang w:val="ru-RU"/>
        </w:rPr>
        <w:t>）的概念自然与酵的概念联系在一起：于是他们才明白，主所说的并非要他们提防面包的酵， 而是要远离法利赛人和撒都该人的教义（-12）”（关于无酵饼，见《基督教读本》1850年版，</w:t>
      </w:r>
      <w:r w:rsidRPr="004C59BB">
        <w:rPr>
          <w:color w:val="0000FF"/>
        </w:rPr>
        <w:t>第一卷</w:t>
      </w:r>
      <w:r w:rsidRPr="004C59BB">
        <w:rPr>
          <w:color w:val="0000FF"/>
          <w:lang w:val="ru-RU"/>
        </w:rPr>
        <w:t>，第128页）。</w:t>
      </w:r>
    </w:p>
  </w:footnote>
  <w:footnote w:id="1131">
    <w:p w14:paraId="55C8D453" w14:textId="4D441C1D"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更多细节及对异议的反驳，参见米特罗凡·克里托普洛斯所著《</w:t>
      </w:r>
      <w:r w:rsidRPr="004C59BB">
        <w:rPr>
          <w:color w:val="0000FF"/>
        </w:rPr>
        <w:t>东方教会告白</w:t>
      </w:r>
      <w:r w:rsidRPr="004C59BB">
        <w:rPr>
          <w:color w:val="0000FF"/>
          <w:lang w:val="ru-RU"/>
        </w:rPr>
        <w:t>》（</w:t>
      </w:r>
      <w:r w:rsidRPr="004C59BB">
        <w:rPr>
          <w:color w:val="0000FF"/>
        </w:rPr>
        <w:t>Confess</w:t>
      </w:r>
      <w:r w:rsidRPr="004C59BB">
        <w:rPr>
          <w:color w:val="0000FF"/>
          <w:lang w:val="ru-RU"/>
        </w:rPr>
        <w:t xml:space="preserve">. </w:t>
      </w:r>
      <w:r w:rsidRPr="004C59BB">
        <w:rPr>
          <w:color w:val="0000FF"/>
        </w:rPr>
        <w:t>Ecclesiae</w:t>
      </w:r>
      <w:r w:rsidRPr="0097554A">
        <w:rPr>
          <w:color w:val="0000FF"/>
          <w:lang w:val="ru-RU"/>
        </w:rPr>
        <w:t xml:space="preserve"> </w:t>
      </w:r>
      <w:r w:rsidRPr="004C59BB">
        <w:rPr>
          <w:color w:val="0000FF"/>
        </w:rPr>
        <w:t>Oriental</w:t>
      </w:r>
      <w:r w:rsidRPr="0097554A">
        <w:rPr>
          <w:color w:val="0000FF"/>
          <w:lang w:val="ru-RU"/>
        </w:rPr>
        <w:t>.）</w:t>
      </w:r>
      <w:r w:rsidRPr="004C59BB">
        <w:rPr>
          <w:color w:val="0000FF"/>
        </w:rPr>
        <w:t>第九卷</w:t>
      </w:r>
      <w:r w:rsidRPr="0097554A">
        <w:rPr>
          <w:color w:val="0000FF"/>
          <w:lang w:val="ru-RU"/>
        </w:rPr>
        <w:t>，</w:t>
      </w:r>
      <w:r w:rsidRPr="004C59BB">
        <w:rPr>
          <w:color w:val="0000FF"/>
        </w:rPr>
        <w:t>第</w:t>
      </w:r>
      <w:r w:rsidRPr="0097554A">
        <w:rPr>
          <w:color w:val="0000FF"/>
          <w:lang w:val="ru-RU"/>
        </w:rPr>
        <w:t>90</w:t>
      </w:r>
      <w:r w:rsidRPr="004C59BB">
        <w:rPr>
          <w:color w:val="0000FF"/>
        </w:rPr>
        <w:t>页及以下</w:t>
      </w:r>
      <w:r w:rsidRPr="0097554A">
        <w:rPr>
          <w:color w:val="0000FF"/>
          <w:lang w:val="ru-RU"/>
        </w:rPr>
        <w:t>，</w:t>
      </w:r>
      <w:r w:rsidRPr="004C59BB">
        <w:rPr>
          <w:color w:val="0000FF"/>
        </w:rPr>
        <w:t>赫尔姆施泰特</w:t>
      </w:r>
      <w:r w:rsidRPr="0097554A">
        <w:rPr>
          <w:color w:val="0000FF"/>
          <w:lang w:val="ru-RU"/>
        </w:rPr>
        <w:t>，1671</w:t>
      </w:r>
      <w:r w:rsidRPr="004C59BB">
        <w:rPr>
          <w:color w:val="0000FF"/>
        </w:rPr>
        <w:t>年。</w:t>
      </w:r>
    </w:p>
  </w:footnote>
  <w:footnote w:id="1132">
    <w:p w14:paraId="097E1617" w14:textId="1DCBE6D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贾斯汀</w:t>
      </w:r>
      <w:r w:rsidRPr="0097554A">
        <w:rPr>
          <w:color w:val="0000FF"/>
          <w:lang w:val="ru-RU"/>
        </w:rPr>
        <w:t>，</w:t>
      </w:r>
      <w:r w:rsidRPr="004C59BB">
        <w:rPr>
          <w:color w:val="0000FF"/>
        </w:rPr>
        <w:t>《护教辞》</w:t>
      </w:r>
      <w:r w:rsidRPr="004C59BB">
        <w:rPr>
          <w:color w:val="0000FF"/>
          <w:lang w:val="ru-RU"/>
        </w:rPr>
        <w:t>第1卷，第66章，载于《基督教读本》1825年版，</w:t>
      </w:r>
      <w:r w:rsidRPr="004C59BB">
        <w:rPr>
          <w:color w:val="0000FF"/>
        </w:rPr>
        <w:t>第XVII卷</w:t>
      </w:r>
      <w:r w:rsidRPr="004C59BB">
        <w:rPr>
          <w:color w:val="0000FF"/>
          <w:lang w:val="ru-RU"/>
        </w:rPr>
        <w:t>；爱任纽，《</w:t>
      </w:r>
      <w:r w:rsidRPr="004C59BB">
        <w:rPr>
          <w:color w:val="0000FF"/>
        </w:rPr>
        <w:t>反</w:t>
      </w:r>
      <w:r w:rsidRPr="004C59BB">
        <w:rPr>
          <w:color w:val="0000FF"/>
          <w:lang w:val="ru-RU"/>
        </w:rPr>
        <w:t>异端》</w:t>
      </w:r>
      <w:r w:rsidRPr="004C59BB">
        <w:rPr>
          <w:color w:val="0000FF"/>
        </w:rPr>
        <w:t>第IV</w:t>
      </w:r>
      <w:r w:rsidRPr="004C59BB">
        <w:rPr>
          <w:color w:val="0000FF"/>
          <w:lang w:val="ru-RU"/>
        </w:rPr>
        <w:t>卷，第4、6节；耶路撒冷的西里尔，《圣礼教义》</w:t>
      </w:r>
      <w:r w:rsidRPr="004C59BB">
        <w:rPr>
          <w:color w:val="0000FF"/>
        </w:rPr>
        <w:t>第IV</w:t>
      </w:r>
      <w:r w:rsidRPr="004C59BB">
        <w:rPr>
          <w:color w:val="0000FF"/>
          <w:lang w:val="ru-RU"/>
        </w:rPr>
        <w:t>卷，第1–6节； 安布罗斯，</w:t>
      </w:r>
      <w:r w:rsidRPr="004C59BB">
        <w:rPr>
          <w:color w:val="0000FF"/>
        </w:rPr>
        <w:t>《论圣事</w:t>
      </w:r>
      <w:r w:rsidRPr="004C59BB">
        <w:rPr>
          <w:color w:val="0000FF"/>
          <w:lang w:val="ru-RU"/>
        </w:rPr>
        <w:t>》</w:t>
      </w:r>
      <w:r w:rsidRPr="004C59BB">
        <w:rPr>
          <w:color w:val="0000FF"/>
        </w:rPr>
        <w:t>第四卷</w:t>
      </w:r>
      <w:r w:rsidRPr="0097554A">
        <w:rPr>
          <w:color w:val="0000FF"/>
          <w:lang w:val="ru-RU"/>
        </w:rPr>
        <w:t>，</w:t>
      </w:r>
      <w:r w:rsidRPr="004C59BB">
        <w:rPr>
          <w:color w:val="0000FF"/>
        </w:rPr>
        <w:t>第</w:t>
      </w:r>
      <w:r w:rsidRPr="0097554A">
        <w:rPr>
          <w:color w:val="0000FF"/>
          <w:lang w:val="ru-RU"/>
        </w:rPr>
        <w:t>4</w:t>
      </w:r>
      <w:r w:rsidRPr="004C59BB">
        <w:rPr>
          <w:color w:val="0000FF"/>
        </w:rPr>
        <w:t>章</w:t>
      </w:r>
      <w:r w:rsidRPr="0097554A">
        <w:rPr>
          <w:color w:val="0000FF"/>
          <w:lang w:val="ru-RU"/>
        </w:rPr>
        <w:t>：</w:t>
      </w:r>
      <w:r w:rsidRPr="004C59BB">
        <w:rPr>
          <w:color w:val="0000FF"/>
        </w:rPr>
        <w:t>你或许会说</w:t>
      </w:r>
      <w:r w:rsidRPr="0097554A">
        <w:rPr>
          <w:color w:val="0000FF"/>
          <w:lang w:val="ru-RU"/>
        </w:rPr>
        <w:t>：“</w:t>
      </w:r>
      <w:r w:rsidRPr="004C59BB">
        <w:rPr>
          <w:color w:val="0000FF"/>
        </w:rPr>
        <w:t>我的饼是寻常的</w:t>
      </w:r>
      <w:r w:rsidRPr="0097554A">
        <w:rPr>
          <w:color w:val="0000FF"/>
          <w:lang w:val="ru-RU"/>
        </w:rPr>
        <w:t>……”</w:t>
      </w:r>
    </w:p>
  </w:footnote>
  <w:footnote w:id="1133">
    <w:p w14:paraId="5D912103" w14:textId="127F590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因此</w:t>
      </w:r>
      <w:r w:rsidRPr="0097554A">
        <w:rPr>
          <w:color w:val="0000FF"/>
          <w:lang w:val="ru-RU"/>
        </w:rPr>
        <w:t>——1）</w:t>
      </w:r>
      <w:r w:rsidRPr="004C59BB">
        <w:rPr>
          <w:color w:val="0000FF"/>
        </w:rPr>
        <w:t>教宗英诺森一世曾写道</w:t>
      </w:r>
      <w:r w:rsidRPr="0097554A">
        <w:rPr>
          <w:color w:val="0000FF"/>
          <w:lang w:val="ru-RU"/>
        </w:rPr>
        <w:t>： “</w:t>
      </w:r>
      <w:r w:rsidRPr="004C59BB">
        <w:rPr>
          <w:color w:val="0000FF"/>
        </w:rPr>
        <w:t>由我们制备的长老圣体</w:t>
      </w:r>
      <w:r w:rsidRPr="0097554A">
        <w:rPr>
          <w:color w:val="0000FF"/>
          <w:lang w:val="ru-RU"/>
        </w:rPr>
        <w:t>，</w:t>
      </w:r>
      <w:r w:rsidRPr="004C59BB">
        <w:rPr>
          <w:color w:val="0000FF"/>
        </w:rPr>
        <w:t>应由辅祭领受</w:t>
      </w:r>
      <w:r w:rsidRPr="0097554A">
        <w:rPr>
          <w:color w:val="0000FF"/>
          <w:lang w:val="ru-RU"/>
        </w:rPr>
        <w:t>，</w:t>
      </w:r>
      <w:r w:rsidRPr="004C59BB">
        <w:rPr>
          <w:color w:val="0000FF"/>
        </w:rPr>
        <w:t>以免他们在那个至圣之日被视为与我们的共融隔绝</w:t>
      </w:r>
      <w:r w:rsidRPr="0097554A">
        <w:rPr>
          <w:color w:val="0000FF"/>
          <w:lang w:val="ru-RU"/>
        </w:rPr>
        <w:t>——</w:t>
      </w:r>
      <w:r w:rsidRPr="004C59BB">
        <w:rPr>
          <w:color w:val="0000FF"/>
        </w:rPr>
        <w:t>但我认为这不应在各堂区实行</w:t>
      </w:r>
      <w:r w:rsidRPr="0097554A">
        <w:rPr>
          <w:color w:val="0000FF"/>
          <w:lang w:val="ru-RU"/>
        </w:rPr>
        <w:t>，</w:t>
      </w:r>
      <w:r w:rsidRPr="004C59BB">
        <w:rPr>
          <w:color w:val="0000FF"/>
        </w:rPr>
        <w:t>因为圣事不应被远距离运送</w:t>
      </w:r>
      <w:r w:rsidRPr="0097554A">
        <w:rPr>
          <w:color w:val="0000FF"/>
          <w:lang w:val="ru-RU"/>
        </w:rPr>
        <w:t>”（</w:t>
      </w:r>
      <w:r w:rsidRPr="004C59BB">
        <w:rPr>
          <w:color w:val="0000FF"/>
        </w:rPr>
        <w:t>《致德森特书信》第XXV封</w:t>
      </w:r>
      <w:r w:rsidRPr="0097554A">
        <w:rPr>
          <w:color w:val="0000FF"/>
          <w:lang w:val="ru-RU"/>
        </w:rPr>
        <w:t>，</w:t>
      </w:r>
      <w:r w:rsidRPr="004C59BB">
        <w:rPr>
          <w:color w:val="0000FF"/>
        </w:rPr>
        <w:t>第IV章</w:t>
      </w:r>
      <w:r w:rsidRPr="0097554A">
        <w:rPr>
          <w:color w:val="0000FF"/>
          <w:lang w:val="ru-RU"/>
        </w:rPr>
        <w:t>，</w:t>
      </w:r>
      <w:r w:rsidRPr="004C59BB">
        <w:rPr>
          <w:color w:val="0000FF"/>
        </w:rPr>
        <w:t>第</w:t>
      </w:r>
      <w:r w:rsidRPr="0097554A">
        <w:rPr>
          <w:color w:val="0000FF"/>
          <w:lang w:val="ru-RU"/>
        </w:rPr>
        <w:t>8</w:t>
      </w:r>
      <w:r w:rsidRPr="004C59BB">
        <w:rPr>
          <w:color w:val="0000FF"/>
        </w:rPr>
        <w:t>节</w:t>
      </w:r>
      <w:r w:rsidRPr="0097554A">
        <w:rPr>
          <w:color w:val="0000FF"/>
          <w:lang w:val="ru-RU"/>
        </w:rPr>
        <w:t>）； 2）</w:t>
      </w:r>
      <w:r w:rsidRPr="004C59BB">
        <w:rPr>
          <w:color w:val="0000FF"/>
        </w:rPr>
        <w:t>关于教宗梅尔基亚德</w:t>
      </w:r>
      <w:r w:rsidRPr="0097554A">
        <w:rPr>
          <w:color w:val="0000FF"/>
          <w:lang w:val="ru-RU"/>
        </w:rPr>
        <w:t>，</w:t>
      </w:r>
      <w:r w:rsidRPr="004C59BB">
        <w:rPr>
          <w:color w:val="0000FF"/>
        </w:rPr>
        <w:t>在其传记中记载</w:t>
      </w:r>
      <w:r w:rsidRPr="0097554A">
        <w:rPr>
          <w:color w:val="0000FF"/>
          <w:lang w:val="ru-RU"/>
        </w:rPr>
        <w:t>：</w:t>
      </w:r>
      <w:r w:rsidRPr="004C59BB">
        <w:rPr>
          <w:color w:val="0000FF"/>
        </w:rPr>
        <w:t>他规定</w:t>
      </w:r>
      <w:r w:rsidRPr="0097554A">
        <w:rPr>
          <w:color w:val="0000FF"/>
          <w:lang w:val="ru-RU"/>
        </w:rPr>
        <w:t>，</w:t>
      </w:r>
      <w:r w:rsidRPr="004C59BB">
        <w:rPr>
          <w:color w:val="0000FF"/>
        </w:rPr>
        <w:t>由教会祝圣的奉献物应由主教转交</w:t>
      </w:r>
      <w:r w:rsidRPr="0097554A">
        <w:rPr>
          <w:color w:val="0000FF"/>
          <w:lang w:val="ru-RU"/>
        </w:rPr>
        <w:t>，</w:t>
      </w:r>
      <w:r w:rsidRPr="004C59BB">
        <w:rPr>
          <w:color w:val="0000FF"/>
        </w:rPr>
        <w:t>这被称为</w:t>
      </w:r>
      <w:r w:rsidRPr="0097554A">
        <w:rPr>
          <w:color w:val="0000FF"/>
          <w:lang w:val="ru-RU"/>
        </w:rPr>
        <w:t>“</w:t>
      </w:r>
      <w:r w:rsidRPr="004C59BB">
        <w:rPr>
          <w:color w:val="0000FF"/>
        </w:rPr>
        <w:t>酵母</w:t>
      </w:r>
      <w:r w:rsidRPr="0097554A">
        <w:rPr>
          <w:color w:val="0000FF"/>
          <w:lang w:val="ru-RU"/>
        </w:rPr>
        <w:t>”（</w:t>
      </w:r>
      <w:r w:rsidRPr="004C59BB">
        <w:rPr>
          <w:color w:val="0000FF"/>
        </w:rPr>
        <w:t>《梅尔基亚德传》</w:t>
      </w:r>
      <w:r w:rsidRPr="0097554A">
        <w:rPr>
          <w:color w:val="0000FF"/>
          <w:lang w:val="ru-RU"/>
        </w:rPr>
        <w:t>，</w:t>
      </w:r>
      <w:r w:rsidRPr="004C59BB">
        <w:rPr>
          <w:color w:val="0000FF"/>
        </w:rPr>
        <w:t>载于《教宗文集》</w:t>
      </w:r>
      <w:r w:rsidRPr="0097554A">
        <w:rPr>
          <w:color w:val="0000FF"/>
          <w:lang w:val="ru-RU"/>
        </w:rPr>
        <w:t xml:space="preserve">）； 3) </w:t>
      </w:r>
      <w:r w:rsidRPr="004C59BB">
        <w:rPr>
          <w:color w:val="0000FF"/>
        </w:rPr>
        <w:t>关于教宗西里西乌斯</w:t>
      </w:r>
      <w:r w:rsidRPr="0097554A">
        <w:rPr>
          <w:color w:val="0000FF"/>
          <w:lang w:val="ru-RU"/>
        </w:rPr>
        <w:t>，</w:t>
      </w:r>
      <w:r w:rsidRPr="004C59BB">
        <w:rPr>
          <w:color w:val="0000FF"/>
        </w:rPr>
        <w:t>亦有记载</w:t>
      </w:r>
      <w:r w:rsidRPr="0097554A">
        <w:rPr>
          <w:color w:val="0000FF"/>
          <w:lang w:val="ru-RU"/>
        </w:rPr>
        <w:t>：</w:t>
      </w:r>
      <w:r w:rsidRPr="004C59BB">
        <w:rPr>
          <w:color w:val="0000FF"/>
        </w:rPr>
        <w:t>他规定</w:t>
      </w:r>
      <w:r w:rsidRPr="0097554A">
        <w:rPr>
          <w:color w:val="0000FF"/>
          <w:lang w:val="ru-RU"/>
        </w:rPr>
        <w:t>，</w:t>
      </w:r>
      <w:r w:rsidRPr="004C59BB">
        <w:rPr>
          <w:color w:val="0000FF"/>
        </w:rPr>
        <w:t>任何司铎均不得主持弥撒</w:t>
      </w:r>
      <w:r w:rsidRPr="0097554A">
        <w:rPr>
          <w:color w:val="0000FF"/>
          <w:lang w:val="ru-RU"/>
        </w:rPr>
        <w:t>……，</w:t>
      </w:r>
      <w:r w:rsidRPr="004C59BB">
        <w:rPr>
          <w:color w:val="0000FF"/>
        </w:rPr>
        <w:t>此举被称为</w:t>
      </w:r>
      <w:r w:rsidRPr="0097554A">
        <w:rPr>
          <w:color w:val="0000FF"/>
          <w:lang w:val="ru-RU"/>
        </w:rPr>
        <w:t>“</w:t>
      </w:r>
      <w:r w:rsidRPr="004C59BB">
        <w:rPr>
          <w:color w:val="0000FF"/>
        </w:rPr>
        <w:t>酵母</w:t>
      </w:r>
      <w:r w:rsidRPr="0097554A">
        <w:rPr>
          <w:color w:val="0000FF"/>
          <w:lang w:val="ru-RU"/>
        </w:rPr>
        <w:t>”（</w:t>
      </w:r>
      <w:r w:rsidRPr="004C59BB">
        <w:rPr>
          <w:color w:val="0000FF"/>
        </w:rPr>
        <w:t>同上</w:t>
      </w:r>
      <w:r w:rsidRPr="0097554A">
        <w:rPr>
          <w:color w:val="0000FF"/>
          <w:lang w:val="ru-RU"/>
        </w:rPr>
        <w:t>，</w:t>
      </w:r>
      <w:r w:rsidRPr="004C59BB">
        <w:rPr>
          <w:color w:val="0000FF"/>
        </w:rPr>
        <w:t>《西里西乌斯传</w:t>
      </w:r>
      <w:r w:rsidRPr="004C59BB">
        <w:rPr>
          <w:color w:val="0000FF"/>
          <w:lang w:val="el-GR"/>
        </w:rPr>
        <w:t>》</w:t>
      </w:r>
      <w:r w:rsidRPr="0097554A">
        <w:rPr>
          <w:color w:val="0000FF"/>
          <w:lang w:val="ru-RU"/>
        </w:rPr>
        <w:t>）</w:t>
      </w:r>
      <w:r w:rsidRPr="004C59BB">
        <w:rPr>
          <w:color w:val="0000FF"/>
          <w:lang w:val="el-GR"/>
        </w:rPr>
        <w:t>。</w:t>
      </w:r>
    </w:p>
  </w:footnote>
  <w:footnote w:id="1134">
    <w:p w14:paraId="0A32F7F7" w14:textId="00F822B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圣礼应</w:t>
      </w:r>
      <w:r w:rsidRPr="0097554A">
        <w:rPr>
          <w:color w:val="0000FF"/>
          <w:lang w:val="ru-RU"/>
        </w:rPr>
        <w:t>……</w:t>
      </w:r>
      <w:r w:rsidRPr="004C59BB">
        <w:rPr>
          <w:color w:val="0000FF"/>
          <w:lang w:val="el-GR"/>
        </w:rPr>
        <w:t>以无酵饼举行</w:t>
      </w:r>
      <w:r w:rsidRPr="0097554A">
        <w:rPr>
          <w:color w:val="0000FF"/>
          <w:lang w:val="ru-RU"/>
        </w:rPr>
        <w:t>，</w:t>
      </w:r>
      <w:r w:rsidRPr="004C59BB">
        <w:rPr>
          <w:color w:val="0000FF"/>
          <w:lang w:val="el-GR"/>
        </w:rPr>
        <w:t>而圣礼的另一部分则仅以水举行</w:t>
      </w:r>
      <w:r w:rsidRPr="0097554A">
        <w:rPr>
          <w:color w:val="0000FF"/>
          <w:lang w:val="ru-RU"/>
        </w:rPr>
        <w:t>”，</w:t>
      </w:r>
      <w:r w:rsidRPr="004C59BB">
        <w:rPr>
          <w:color w:val="0000FF"/>
          <w:lang w:val="el-GR"/>
        </w:rPr>
        <w:t>《</w:t>
      </w:r>
      <w:r w:rsidRPr="004C59BB">
        <w:rPr>
          <w:color w:val="0000FF"/>
        </w:rPr>
        <w:t>异端论</w:t>
      </w:r>
      <w:r w:rsidRPr="004C59BB">
        <w:rPr>
          <w:color w:val="0000FF"/>
          <w:lang w:val="el-GR"/>
        </w:rPr>
        <w:t>》</w:t>
      </w:r>
      <w:r w:rsidRPr="004C59BB">
        <w:rPr>
          <w:color w:val="0000FF"/>
        </w:rPr>
        <w:t>第XXX卷</w:t>
      </w:r>
      <w:r w:rsidRPr="0097554A">
        <w:rPr>
          <w:color w:val="0000FF"/>
          <w:lang w:val="ru-RU"/>
        </w:rPr>
        <w:t>，</w:t>
      </w:r>
      <w:r w:rsidRPr="004C59BB">
        <w:rPr>
          <w:color w:val="0000FF"/>
        </w:rPr>
        <w:t>第</w:t>
      </w:r>
      <w:r w:rsidRPr="0097554A">
        <w:rPr>
          <w:color w:val="0000FF"/>
          <w:lang w:val="ru-RU"/>
        </w:rPr>
        <w:t>16</w:t>
      </w:r>
      <w:r w:rsidRPr="004C59BB">
        <w:rPr>
          <w:color w:val="0000FF"/>
        </w:rPr>
        <w:t>条。</w:t>
      </w:r>
    </w:p>
  </w:footnote>
  <w:footnote w:id="1135">
    <w:p w14:paraId="0687F088" w14:textId="74F7EF8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例如</w:t>
      </w:r>
      <w:r w:rsidRPr="0097554A">
        <w:rPr>
          <w:color w:val="0000FF"/>
          <w:lang w:val="ru-RU"/>
        </w:rPr>
        <w:t>：</w:t>
      </w:r>
      <w:r w:rsidRPr="004C59BB">
        <w:rPr>
          <w:color w:val="0000FF"/>
        </w:rPr>
        <w:t>西尔蒙德</w:t>
      </w:r>
      <w:r w:rsidRPr="0097554A">
        <w:rPr>
          <w:color w:val="0000FF"/>
          <w:lang w:val="ru-RU"/>
        </w:rPr>
        <w:t>（</w:t>
      </w:r>
      <w:r w:rsidRPr="004C59BB">
        <w:rPr>
          <w:color w:val="0000FF"/>
        </w:rPr>
        <w:t>Sirmondus</w:t>
      </w:r>
      <w:r w:rsidRPr="0097554A">
        <w:rPr>
          <w:color w:val="0000FF"/>
          <w:lang w:val="ru-RU"/>
        </w:rPr>
        <w:t>），</w:t>
      </w:r>
      <w:r w:rsidRPr="004C59BB">
        <w:rPr>
          <w:color w:val="0000FF"/>
        </w:rPr>
        <w:t>《论无酵饼》</w:t>
      </w:r>
      <w:r w:rsidRPr="0097554A">
        <w:rPr>
          <w:color w:val="0000FF"/>
          <w:lang w:val="ru-RU"/>
        </w:rPr>
        <w:t>（</w:t>
      </w:r>
      <w:r w:rsidRPr="004C59BB">
        <w:rPr>
          <w:color w:val="0000FF"/>
        </w:rPr>
        <w:t>Disquisitio</w:t>
      </w:r>
      <w:r w:rsidRPr="0097554A">
        <w:rPr>
          <w:color w:val="0000FF"/>
          <w:lang w:val="ru-RU"/>
        </w:rPr>
        <w:t xml:space="preserve"> </w:t>
      </w:r>
      <w:r w:rsidRPr="004C59BB">
        <w:rPr>
          <w:color w:val="0000FF"/>
        </w:rPr>
        <w:t>de</w:t>
      </w:r>
      <w:r w:rsidRPr="0097554A">
        <w:rPr>
          <w:color w:val="0000FF"/>
          <w:lang w:val="ru-RU"/>
        </w:rPr>
        <w:t xml:space="preserve"> </w:t>
      </w:r>
      <w:r w:rsidRPr="004C59BB">
        <w:rPr>
          <w:color w:val="0000FF"/>
        </w:rPr>
        <w:t>azymo</w:t>
      </w:r>
      <w:r w:rsidRPr="0097554A">
        <w:rPr>
          <w:color w:val="0000FF"/>
          <w:lang w:val="ru-RU"/>
        </w:rPr>
        <w:t>），1651</w:t>
      </w:r>
      <w:r w:rsidRPr="004C59BB">
        <w:rPr>
          <w:color w:val="0000FF"/>
        </w:rPr>
        <w:t>年</w:t>
      </w:r>
      <w:r w:rsidRPr="0097554A">
        <w:rPr>
          <w:color w:val="0000FF"/>
          <w:lang w:val="ru-RU"/>
        </w:rPr>
        <w:t>；</w:t>
      </w:r>
      <w:r w:rsidRPr="004C59BB">
        <w:rPr>
          <w:color w:val="0000FF"/>
        </w:rPr>
        <w:t>科特莱里乌斯</w:t>
      </w:r>
      <w:r w:rsidRPr="0097554A">
        <w:rPr>
          <w:color w:val="0000FF"/>
          <w:lang w:val="ru-RU"/>
        </w:rPr>
        <w:t>（</w:t>
      </w:r>
      <w:r w:rsidRPr="004C59BB">
        <w:rPr>
          <w:color w:val="0000FF"/>
        </w:rPr>
        <w:t>Cotelerius</w:t>
      </w:r>
      <w:r w:rsidRPr="0097554A">
        <w:rPr>
          <w:color w:val="0000FF"/>
          <w:lang w:val="ru-RU"/>
        </w:rPr>
        <w:t>），</w:t>
      </w:r>
      <w:r w:rsidRPr="004C59BB">
        <w:rPr>
          <w:color w:val="0000FF"/>
        </w:rPr>
        <w:t>《希腊教会文献集》</w:t>
      </w:r>
      <w:r w:rsidRPr="0097554A">
        <w:rPr>
          <w:color w:val="0000FF"/>
          <w:lang w:val="ru-RU"/>
        </w:rPr>
        <w:t>（</w:t>
      </w:r>
      <w:r w:rsidRPr="004C59BB">
        <w:rPr>
          <w:color w:val="0000FF"/>
        </w:rPr>
        <w:t>Monum</w:t>
      </w:r>
      <w:r w:rsidRPr="0097554A">
        <w:rPr>
          <w:color w:val="0000FF"/>
          <w:lang w:val="ru-RU"/>
        </w:rPr>
        <w:t xml:space="preserve">. </w:t>
      </w:r>
      <w:r w:rsidRPr="004C59BB">
        <w:rPr>
          <w:color w:val="0000FF"/>
        </w:rPr>
        <w:t>eccles</w:t>
      </w:r>
      <w:r w:rsidRPr="0097554A">
        <w:rPr>
          <w:color w:val="0000FF"/>
          <w:lang w:val="ru-RU"/>
        </w:rPr>
        <w:t xml:space="preserve">. </w:t>
      </w:r>
      <w:r w:rsidRPr="004C59BB">
        <w:rPr>
          <w:color w:val="0000FF"/>
        </w:rPr>
        <w:t>Graecae</w:t>
      </w:r>
      <w:r w:rsidRPr="0097554A">
        <w:rPr>
          <w:color w:val="0000FF"/>
          <w:lang w:val="ru-RU"/>
        </w:rPr>
        <w:t>）</w:t>
      </w:r>
      <w:r w:rsidRPr="004C59BB">
        <w:rPr>
          <w:color w:val="0000FF"/>
        </w:rPr>
        <w:t>第二卷</w:t>
      </w:r>
      <w:r w:rsidRPr="0097554A">
        <w:rPr>
          <w:color w:val="0000FF"/>
          <w:lang w:val="ru-RU"/>
        </w:rPr>
        <w:t>，</w:t>
      </w:r>
      <w:r w:rsidRPr="004C59BB">
        <w:rPr>
          <w:color w:val="0000FF"/>
        </w:rPr>
        <w:t>第</w:t>
      </w:r>
      <w:r w:rsidRPr="0097554A">
        <w:rPr>
          <w:color w:val="0000FF"/>
          <w:lang w:val="ru-RU"/>
        </w:rPr>
        <w:t>108</w:t>
      </w:r>
      <w:r w:rsidRPr="004C59BB">
        <w:rPr>
          <w:color w:val="0000FF"/>
        </w:rPr>
        <w:t>、</w:t>
      </w:r>
      <w:r w:rsidRPr="0097554A">
        <w:rPr>
          <w:color w:val="0000FF"/>
          <w:lang w:val="ru-RU"/>
        </w:rPr>
        <w:t>138</w:t>
      </w:r>
      <w:r w:rsidRPr="004C59BB">
        <w:rPr>
          <w:color w:val="0000FF"/>
        </w:rPr>
        <w:t>页</w:t>
      </w:r>
      <w:r w:rsidRPr="0097554A">
        <w:rPr>
          <w:color w:val="0000FF"/>
          <w:lang w:val="ru-RU"/>
        </w:rPr>
        <w:t xml:space="preserve">； </w:t>
      </w:r>
      <w:r w:rsidRPr="004C59BB">
        <w:rPr>
          <w:color w:val="0000FF"/>
        </w:rPr>
        <w:t>帕吉蒂斯</w:t>
      </w:r>
      <w:r w:rsidRPr="0097554A">
        <w:rPr>
          <w:color w:val="0000FF"/>
          <w:lang w:val="ru-RU"/>
        </w:rPr>
        <w:t>，</w:t>
      </w:r>
      <w:r w:rsidRPr="004C59BB">
        <w:rPr>
          <w:color w:val="0000FF"/>
        </w:rPr>
        <w:t>《对巴伦的批判》</w:t>
      </w:r>
      <w:r w:rsidRPr="0097554A">
        <w:rPr>
          <w:color w:val="0000FF"/>
          <w:lang w:val="ru-RU"/>
        </w:rPr>
        <w:t>，133</w:t>
      </w:r>
      <w:r w:rsidRPr="004C59BB">
        <w:rPr>
          <w:color w:val="0000FF"/>
        </w:rPr>
        <w:t>年</w:t>
      </w:r>
      <w:r w:rsidRPr="0097554A">
        <w:rPr>
          <w:color w:val="0000FF"/>
          <w:lang w:val="ru-RU"/>
        </w:rPr>
        <w:t>，</w:t>
      </w:r>
      <w:r w:rsidRPr="004C59BB">
        <w:rPr>
          <w:color w:val="0000FF"/>
        </w:rPr>
        <w:t>第</w:t>
      </w:r>
      <w:r w:rsidRPr="0097554A">
        <w:rPr>
          <w:color w:val="0000FF"/>
          <w:lang w:val="ru-RU"/>
        </w:rPr>
        <w:t>15</w:t>
      </w:r>
      <w:r w:rsidRPr="004C59BB">
        <w:rPr>
          <w:color w:val="0000FF"/>
        </w:rPr>
        <w:t>条</w:t>
      </w:r>
      <w:r w:rsidRPr="0097554A">
        <w:rPr>
          <w:color w:val="0000FF"/>
          <w:lang w:val="ru-RU"/>
        </w:rPr>
        <w:t>；</w:t>
      </w:r>
      <w:r w:rsidRPr="004C59BB">
        <w:rPr>
          <w:color w:val="0000FF"/>
        </w:rPr>
        <w:t>宾厄姆</w:t>
      </w:r>
      <w:r w:rsidRPr="0097554A">
        <w:rPr>
          <w:color w:val="0000FF"/>
          <w:lang w:val="ru-RU"/>
        </w:rPr>
        <w:t>，</w:t>
      </w:r>
      <w:r w:rsidRPr="004C59BB">
        <w:rPr>
          <w:color w:val="0000FF"/>
        </w:rPr>
        <w:t>《教会起源》第十五卷</w:t>
      </w:r>
      <w:r w:rsidRPr="0097554A">
        <w:rPr>
          <w:color w:val="0000FF"/>
          <w:lang w:val="ru-RU"/>
        </w:rPr>
        <w:t>，</w:t>
      </w:r>
      <w:r w:rsidRPr="004C59BB">
        <w:rPr>
          <w:color w:val="0000FF"/>
        </w:rPr>
        <w:t>第</w:t>
      </w:r>
      <w:r w:rsidRPr="0097554A">
        <w:rPr>
          <w:color w:val="0000FF"/>
          <w:lang w:val="ru-RU"/>
        </w:rPr>
        <w:t>2</w:t>
      </w:r>
      <w:r w:rsidRPr="004C59BB">
        <w:rPr>
          <w:color w:val="0000FF"/>
        </w:rPr>
        <w:t>章</w:t>
      </w:r>
      <w:r w:rsidRPr="0097554A">
        <w:rPr>
          <w:color w:val="0000FF"/>
          <w:lang w:val="ru-RU"/>
        </w:rPr>
        <w:t>，</w:t>
      </w:r>
      <w:r w:rsidRPr="004C59BB">
        <w:rPr>
          <w:color w:val="0000FF"/>
        </w:rPr>
        <w:t>第</w:t>
      </w:r>
      <w:r w:rsidRPr="0097554A">
        <w:rPr>
          <w:color w:val="0000FF"/>
          <w:lang w:val="ru-RU"/>
        </w:rPr>
        <w:t>5</w:t>
      </w:r>
      <w:r w:rsidRPr="004C59BB">
        <w:rPr>
          <w:color w:val="0000FF"/>
        </w:rPr>
        <w:t>节</w:t>
      </w:r>
      <w:r w:rsidRPr="0097554A">
        <w:rPr>
          <w:color w:val="0000FF"/>
          <w:lang w:val="ru-RU"/>
        </w:rPr>
        <w:t>；</w:t>
      </w:r>
      <w:r w:rsidRPr="004C59BB">
        <w:rPr>
          <w:color w:val="0000FF"/>
        </w:rPr>
        <w:t>克莱因</w:t>
      </w:r>
      <w:r w:rsidRPr="0097554A">
        <w:rPr>
          <w:color w:val="0000FF"/>
          <w:lang w:val="ru-RU"/>
        </w:rPr>
        <w:t>，</w:t>
      </w:r>
      <w:r w:rsidRPr="004C59BB">
        <w:rPr>
          <w:color w:val="0000FF"/>
        </w:rPr>
        <w:t>《教会史》第一卷</w:t>
      </w:r>
      <w:r w:rsidRPr="0097554A">
        <w:rPr>
          <w:color w:val="0000FF"/>
          <w:lang w:val="ru-RU"/>
        </w:rPr>
        <w:t>，</w:t>
      </w:r>
      <w:r w:rsidRPr="004C59BB">
        <w:rPr>
          <w:color w:val="0000FF"/>
        </w:rPr>
        <w:t>第</w:t>
      </w:r>
      <w:r w:rsidRPr="0097554A">
        <w:rPr>
          <w:color w:val="0000FF"/>
          <w:lang w:val="ru-RU"/>
        </w:rPr>
        <w:t>430</w:t>
      </w:r>
      <w:r w:rsidRPr="004C59BB">
        <w:rPr>
          <w:color w:val="0000FF"/>
        </w:rPr>
        <w:t>页等。</w:t>
      </w:r>
    </w:p>
  </w:footnote>
  <w:footnote w:id="1136">
    <w:p w14:paraId="1E4E5BF5" w14:textId="0C9DA0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后者又可分为两类：一类人认为，罗马教会自使徒时代起就一直仅使用无酵饼（西阿特里亚普</w:t>
      </w:r>
      <w:r w:rsidRPr="004C59BB">
        <w:rPr>
          <w:color w:val="0000FF"/>
        </w:rPr>
        <w:t>《论罗马教会</w:t>
      </w:r>
      <w:r w:rsidRPr="004C59BB">
        <w:rPr>
          <w:color w:val="0000FF"/>
          <w:lang w:val="ru-RU"/>
        </w:rPr>
        <w:t>对</w:t>
      </w:r>
      <w:r w:rsidRPr="004C59BB">
        <w:rPr>
          <w:color w:val="0000FF"/>
        </w:rPr>
        <w:t>无酵</w:t>
      </w:r>
      <w:r w:rsidRPr="004C59BB">
        <w:rPr>
          <w:color w:val="0000FF"/>
          <w:lang w:val="ru-RU"/>
        </w:rPr>
        <w:t>饼</w:t>
      </w:r>
      <w:r w:rsidRPr="004C59BB">
        <w:rPr>
          <w:color w:val="0000FF"/>
        </w:rPr>
        <w:t>的恒常使用</w:t>
      </w:r>
      <w:r w:rsidRPr="004C59BB">
        <w:rPr>
          <w:color w:val="0000FF"/>
          <w:lang w:val="ru-RU"/>
        </w:rPr>
        <w:t>》1688； 马比约，</w:t>
      </w:r>
      <w:r w:rsidRPr="004C59BB">
        <w:rPr>
          <w:color w:val="0000FF"/>
        </w:rPr>
        <w:t>《论圣餐面包的</w:t>
      </w:r>
      <w:r w:rsidRPr="004C59BB">
        <w:rPr>
          <w:color w:val="0000FF"/>
          <w:lang w:val="ru-RU"/>
        </w:rPr>
        <w:t>论文》，</w:t>
      </w:r>
      <w:r w:rsidRPr="004C59BB">
        <w:rPr>
          <w:color w:val="0000FF"/>
        </w:rPr>
        <w:t>巴黎</w:t>
      </w:r>
      <w:r w:rsidRPr="004C59BB">
        <w:rPr>
          <w:color w:val="0000FF"/>
          <w:lang w:val="ru-RU"/>
        </w:rPr>
        <w:t>，1674年）；另一些人则认为，罗马教会自古以来既使用无酵饼，也使用发酵面包（</w:t>
      </w:r>
      <w:r w:rsidRPr="004C59BB">
        <w:rPr>
          <w:color w:val="0000FF"/>
        </w:rPr>
        <w:t>博纳</w:t>
      </w:r>
      <w:r w:rsidRPr="004C59BB">
        <w:rPr>
          <w:color w:val="0000FF"/>
          <w:lang w:val="ru-RU"/>
        </w:rPr>
        <w:t>，《</w:t>
      </w:r>
      <w:r w:rsidRPr="004C59BB">
        <w:rPr>
          <w:color w:val="0000FF"/>
        </w:rPr>
        <w:t>礼仪事务</w:t>
      </w:r>
      <w:r w:rsidRPr="004C59BB">
        <w:rPr>
          <w:color w:val="0000FF"/>
          <w:lang w:val="ru-RU"/>
        </w:rPr>
        <w:t>》第1卷，第23页）。</w:t>
      </w:r>
    </w:p>
  </w:footnote>
  <w:footnote w:id="1137">
    <w:p w14:paraId="18923AF9" w14:textId="297F67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埃维奥尼派和恩克拉提派便是如此，他们只饮水而不饮酒（伊皮诺斯《</w:t>
      </w:r>
      <w:r w:rsidRPr="004C59BB">
        <w:rPr>
          <w:color w:val="0000FF"/>
        </w:rPr>
        <w:t>反异端</w:t>
      </w:r>
      <w:r w:rsidRPr="004C59BB">
        <w:rPr>
          <w:color w:val="0000FF"/>
          <w:lang w:val="ru-RU"/>
        </w:rPr>
        <w:t>》</w:t>
      </w:r>
      <w:r w:rsidRPr="004C59BB">
        <w:rPr>
          <w:color w:val="0000FF"/>
        </w:rPr>
        <w:t>V</w:t>
      </w:r>
      <w:r w:rsidRPr="004C59BB">
        <w:rPr>
          <w:color w:val="0000FF"/>
          <w:lang w:val="ru-RU"/>
        </w:rPr>
        <w:t xml:space="preserve">, 1, </w:t>
      </w:r>
      <w:r w:rsidRPr="004C59BB">
        <w:rPr>
          <w:color w:val="0000FF"/>
        </w:rPr>
        <w:t>n</w:t>
      </w:r>
      <w:r w:rsidRPr="004C59BB">
        <w:rPr>
          <w:color w:val="0000FF"/>
          <w:lang w:val="ru-RU"/>
        </w:rPr>
        <w:t>. 3；埃皮法尼乌斯《</w:t>
      </w:r>
      <w:r w:rsidRPr="004C59BB">
        <w:rPr>
          <w:color w:val="0000FF"/>
        </w:rPr>
        <w:t>异端论</w:t>
      </w:r>
      <w:r w:rsidRPr="004C59BB">
        <w:rPr>
          <w:color w:val="0000FF"/>
          <w:lang w:val="ru-RU"/>
        </w:rPr>
        <w:t>》</w:t>
      </w:r>
      <w:r w:rsidRPr="004C59BB">
        <w:rPr>
          <w:color w:val="0000FF"/>
        </w:rPr>
        <w:t>XXX</w:t>
      </w:r>
      <w:r w:rsidRPr="004C59BB">
        <w:rPr>
          <w:color w:val="0000FF"/>
          <w:lang w:val="ru-RU"/>
        </w:rPr>
        <w:t xml:space="preserve">, </w:t>
      </w:r>
      <w:r w:rsidRPr="004C59BB">
        <w:rPr>
          <w:color w:val="0000FF"/>
        </w:rPr>
        <w:t>n</w:t>
      </w:r>
      <w:r w:rsidRPr="004C59BB">
        <w:rPr>
          <w:color w:val="0000FF"/>
          <w:lang w:val="ru-RU"/>
        </w:rPr>
        <w:t>. 16；克利门特·亚历山大《</w:t>
      </w:r>
      <w:r w:rsidRPr="004C59BB">
        <w:rPr>
          <w:color w:val="0000FF"/>
        </w:rPr>
        <w:t>教导</w:t>
      </w:r>
      <w:r w:rsidRPr="004C59BB">
        <w:rPr>
          <w:color w:val="0000FF"/>
          <w:lang w:val="ru-RU"/>
        </w:rPr>
        <w:t>》11, 2）。</w:t>
      </w:r>
    </w:p>
  </w:footnote>
  <w:footnote w:id="1138">
    <w:p w14:paraId="647D9307" w14:textId="01B1D50B"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反异端论</w:t>
      </w:r>
      <w:r w:rsidRPr="004C59BB">
        <w:rPr>
          <w:color w:val="0000FF"/>
          <w:lang w:val="ru-RU"/>
        </w:rPr>
        <w:t>》</w:t>
      </w:r>
      <w:r w:rsidRPr="004C59BB">
        <w:rPr>
          <w:color w:val="0000FF"/>
        </w:rPr>
        <w:t>V</w:t>
      </w:r>
      <w:r w:rsidRPr="0097554A">
        <w:rPr>
          <w:color w:val="0000FF"/>
          <w:lang w:val="ru-RU"/>
        </w:rPr>
        <w:t>，</w:t>
      </w:r>
      <w:r w:rsidRPr="004C59BB">
        <w:rPr>
          <w:color w:val="0000FF"/>
        </w:rPr>
        <w:t>第</w:t>
      </w:r>
      <w:r w:rsidRPr="0097554A">
        <w:rPr>
          <w:color w:val="0000FF"/>
          <w:lang w:val="ru-RU"/>
        </w:rPr>
        <w:t>2</w:t>
      </w:r>
      <w:r w:rsidRPr="004C59BB">
        <w:rPr>
          <w:color w:val="0000FF"/>
        </w:rPr>
        <w:t>、</w:t>
      </w:r>
      <w:r w:rsidRPr="0097554A">
        <w:rPr>
          <w:color w:val="0000FF"/>
          <w:lang w:val="ru-RU"/>
        </w:rPr>
        <w:t>3</w:t>
      </w:r>
      <w:r w:rsidRPr="004C59BB">
        <w:rPr>
          <w:color w:val="0000FF"/>
        </w:rPr>
        <w:t>章。</w:t>
      </w:r>
    </w:p>
  </w:footnote>
  <w:footnote w:id="1139">
    <w:p w14:paraId="1D406B33" w14:textId="4405681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《致凯西利乌斯的书信》LXIII。</w:t>
      </w:r>
    </w:p>
  </w:footnote>
  <w:footnote w:id="1140">
    <w:p w14:paraId="7E003990" w14:textId="3AB3B3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既然有些人会在圣礼中使用水：这是为了表明，祂在设立圣礼时曾使用过葡萄酒，复活后在没有举行圣礼而设普通筵席时，也同样使用了葡萄酒，因此祂说：‘来自葡萄藤的果实’；但葡萄藤结出的却是葡萄酒，而非水。 （《马太福音讲道集》</w:t>
      </w:r>
      <w:r w:rsidRPr="004C59BB">
        <w:rPr>
          <w:color w:val="0000FF"/>
        </w:rPr>
        <w:t>LXXXII</w:t>
      </w:r>
      <w:r w:rsidRPr="004C59BB">
        <w:rPr>
          <w:color w:val="0000FF"/>
          <w:lang w:val="ru-RU"/>
        </w:rPr>
        <w:t>，第2段，见</w:t>
      </w:r>
      <w:r w:rsidRPr="004C59BB">
        <w:rPr>
          <w:color w:val="0000FF"/>
        </w:rPr>
        <w:t>第三</w:t>
      </w:r>
      <w:r w:rsidRPr="004C59BB">
        <w:rPr>
          <w:color w:val="0000FF"/>
          <w:lang w:val="ru-RU"/>
        </w:rPr>
        <w:t>卷，第413页）。</w:t>
      </w:r>
    </w:p>
  </w:footnote>
  <w:footnote w:id="1141">
    <w:p w14:paraId="52D95338" w14:textId="6C607A0D"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《迦太基教规》</w:t>
      </w:r>
      <w:r w:rsidRPr="004C59BB">
        <w:rPr>
          <w:color w:val="0000FF"/>
          <w:lang w:val="el-GR"/>
        </w:rPr>
        <w:t>第</w:t>
      </w:r>
      <w:r w:rsidRPr="0097554A">
        <w:rPr>
          <w:color w:val="0000FF"/>
          <w:lang w:val="ru-RU"/>
        </w:rPr>
        <w:t>46</w:t>
      </w:r>
      <w:r w:rsidRPr="004C59BB">
        <w:rPr>
          <w:color w:val="0000FF"/>
          <w:lang w:val="el-GR"/>
        </w:rPr>
        <w:t>条</w:t>
      </w:r>
      <w:r w:rsidRPr="0097554A">
        <w:rPr>
          <w:color w:val="0000FF"/>
          <w:lang w:val="ru-RU"/>
        </w:rPr>
        <w:t>；</w:t>
      </w:r>
      <w:r w:rsidRPr="004C59BB">
        <w:rPr>
          <w:color w:val="0000FF"/>
          <w:lang w:val="el-GR"/>
        </w:rPr>
        <w:t>《</w:t>
      </w:r>
      <w:r w:rsidRPr="004C59BB">
        <w:rPr>
          <w:color w:val="0000FF"/>
        </w:rPr>
        <w:t>特鲁尔教规</w:t>
      </w:r>
      <w:r w:rsidRPr="004C59BB">
        <w:rPr>
          <w:color w:val="0000FF"/>
          <w:lang w:val="el-GR"/>
        </w:rPr>
        <w:t>》第</w:t>
      </w:r>
      <w:r w:rsidRPr="0097554A">
        <w:rPr>
          <w:color w:val="0000FF"/>
          <w:lang w:val="ru-RU"/>
        </w:rPr>
        <w:t>32</w:t>
      </w:r>
      <w:r w:rsidRPr="004C59BB">
        <w:rPr>
          <w:color w:val="0000FF"/>
          <w:lang w:val="el-GR"/>
        </w:rPr>
        <w:t>条。</w:t>
      </w:r>
    </w:p>
  </w:footnote>
  <w:footnote w:id="1142">
    <w:p w14:paraId="5979538D" w14:textId="086F16B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他将盛有葡萄酒和水的杯子</w:t>
      </w:r>
      <w:r w:rsidRPr="0097554A">
        <w:rPr>
          <w:color w:val="0000FF"/>
          <w:lang w:val="ru-RU"/>
        </w:rPr>
        <w:t>，</w:t>
      </w:r>
      <w:r w:rsidRPr="004C59BB">
        <w:rPr>
          <w:color w:val="0000FF"/>
          <w:lang w:val="el-GR"/>
        </w:rPr>
        <w:t>祝圣后递给他们</w:t>
      </w:r>
      <w:r w:rsidRPr="0097554A">
        <w:rPr>
          <w:color w:val="0000FF"/>
          <w:lang w:val="ru-RU"/>
        </w:rPr>
        <w:t>，</w:t>
      </w:r>
      <w:r w:rsidRPr="004C59BB">
        <w:rPr>
          <w:color w:val="0000FF"/>
          <w:lang w:val="el-GR"/>
        </w:rPr>
        <w:t>说</w:t>
      </w:r>
      <w:r w:rsidRPr="0097554A">
        <w:rPr>
          <w:color w:val="0000FF"/>
          <w:lang w:val="ru-RU"/>
        </w:rPr>
        <w:t>：‘</w:t>
      </w:r>
      <w:r w:rsidRPr="004C59BB">
        <w:rPr>
          <w:color w:val="0000FF"/>
          <w:lang w:val="el-GR"/>
        </w:rPr>
        <w:t>你们喝吧</w:t>
      </w:r>
      <w:r w:rsidRPr="0097554A">
        <w:rPr>
          <w:color w:val="0000FF"/>
          <w:lang w:val="ru-RU"/>
        </w:rPr>
        <w:t>……’”</w:t>
      </w:r>
      <w:r w:rsidRPr="004C59BB">
        <w:rPr>
          <w:color w:val="0000FF"/>
        </w:rPr>
        <w:t>《使徒宪章》第八章</w:t>
      </w:r>
      <w:r w:rsidRPr="0097554A">
        <w:rPr>
          <w:color w:val="0000FF"/>
          <w:lang w:val="ru-RU"/>
        </w:rPr>
        <w:t>，</w:t>
      </w:r>
      <w:r w:rsidRPr="004C59BB">
        <w:rPr>
          <w:color w:val="0000FF"/>
        </w:rPr>
        <w:t>第</w:t>
      </w:r>
      <w:r w:rsidRPr="0097554A">
        <w:rPr>
          <w:color w:val="0000FF"/>
          <w:lang w:val="ru-RU"/>
        </w:rPr>
        <w:t>12</w:t>
      </w:r>
      <w:r w:rsidRPr="004C59BB">
        <w:rPr>
          <w:color w:val="0000FF"/>
        </w:rPr>
        <w:t>节。</w:t>
      </w:r>
    </w:p>
  </w:footnote>
  <w:footnote w:id="1143">
    <w:p w14:paraId="0F6F9FC6" w14:textId="0F8BB58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依据《箴言》</w:t>
      </w:r>
      <w:r w:rsidRPr="0097554A">
        <w:rPr>
          <w:color w:val="0000FF"/>
          <w:lang w:val="ru-RU"/>
        </w:rPr>
        <w:t>9:5</w:t>
      </w:r>
      <w:r w:rsidRPr="004C59BB">
        <w:rPr>
          <w:color w:val="0000FF"/>
        </w:rPr>
        <w:t>。利格特福特《圣殿事工》第XIII章。</w:t>
      </w:r>
    </w:p>
  </w:footnote>
  <w:footnote w:id="1144">
    <w:p w14:paraId="1C450322" w14:textId="2DE969B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w:t>
      </w:r>
      <w:r w:rsidRPr="004C59BB">
        <w:rPr>
          <w:color w:val="0000FF"/>
        </w:rPr>
        <w:t>辩护书</w:t>
      </w:r>
      <w:r w:rsidRPr="004C59BB">
        <w:rPr>
          <w:color w:val="0000FF"/>
          <w:lang w:val="el-GR"/>
        </w:rPr>
        <w:t>》</w:t>
      </w:r>
      <w:r w:rsidRPr="0097554A">
        <w:rPr>
          <w:color w:val="0000FF"/>
          <w:lang w:val="ru-RU"/>
        </w:rPr>
        <w:t>1，66</w:t>
      </w:r>
      <w:r w:rsidRPr="004C59BB">
        <w:rPr>
          <w:color w:val="0000FF"/>
          <w:lang w:val="el-GR"/>
        </w:rPr>
        <w:t>。</w:t>
      </w:r>
    </w:p>
  </w:footnote>
  <w:footnote w:id="1145">
    <w:p w14:paraId="71F681F8" w14:textId="1799D22D"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lang w:val="el-GR"/>
        </w:rPr>
        <w:t>因此</w:t>
      </w:r>
      <w:r w:rsidRPr="0097554A">
        <w:rPr>
          <w:color w:val="0000FF"/>
          <w:lang w:val="ru-RU"/>
        </w:rPr>
        <w:t>，</w:t>
      </w:r>
      <w:r w:rsidRPr="004C59BB">
        <w:rPr>
          <w:color w:val="0000FF"/>
        </w:rPr>
        <w:t>那</w:t>
      </w:r>
      <w:r w:rsidRPr="004C59BB">
        <w:rPr>
          <w:color w:val="0000FF"/>
          <w:lang w:val="el-GR"/>
        </w:rPr>
        <w:t>盛有葡萄酒的杯和那已变为圣体的饼</w:t>
      </w:r>
      <w:r w:rsidRPr="0097554A">
        <w:rPr>
          <w:color w:val="0000FF"/>
          <w:lang w:val="ru-RU"/>
        </w:rPr>
        <w:t>，</w:t>
      </w:r>
      <w:r w:rsidRPr="004C59BB">
        <w:rPr>
          <w:color w:val="0000FF"/>
          <w:lang w:val="el-GR"/>
        </w:rPr>
        <w:t>便接受了上帝的话语</w:t>
      </w:r>
      <w:r w:rsidRPr="0097554A">
        <w:rPr>
          <w:color w:val="0000FF"/>
          <w:lang w:val="ru-RU"/>
        </w:rPr>
        <w:t>，</w:t>
      </w:r>
      <w:r w:rsidRPr="004C59BB">
        <w:rPr>
          <w:color w:val="0000FF"/>
          <w:lang w:val="el-GR"/>
        </w:rPr>
        <w:t>并成为基督的圣体</w:t>
      </w:r>
      <w:r w:rsidRPr="0097554A">
        <w:rPr>
          <w:color w:val="0000FF"/>
          <w:lang w:val="ru-RU"/>
        </w:rPr>
        <w:t>（</w:t>
      </w:r>
      <w:r w:rsidRPr="004C59BB">
        <w:rPr>
          <w:color w:val="0000FF"/>
          <w:lang w:val="el-GR"/>
        </w:rPr>
        <w:t>《</w:t>
      </w:r>
      <w:r w:rsidRPr="004C59BB">
        <w:rPr>
          <w:color w:val="0000FF"/>
        </w:rPr>
        <w:t>反</w:t>
      </w:r>
      <w:r w:rsidRPr="004C59BB">
        <w:rPr>
          <w:color w:val="0000FF"/>
          <w:lang w:val="el-GR"/>
        </w:rPr>
        <w:t>异端》</w:t>
      </w:r>
      <w:r w:rsidRPr="004C59BB">
        <w:rPr>
          <w:color w:val="0000FF"/>
        </w:rPr>
        <w:t>第五卷</w:t>
      </w:r>
      <w:r w:rsidRPr="0097554A">
        <w:rPr>
          <w:color w:val="0000FF"/>
          <w:lang w:val="ru-RU"/>
        </w:rPr>
        <w:t>，</w:t>
      </w:r>
      <w:r w:rsidRPr="004C59BB">
        <w:rPr>
          <w:color w:val="0000FF"/>
        </w:rPr>
        <w:t>第</w:t>
      </w:r>
      <w:r w:rsidRPr="0097554A">
        <w:rPr>
          <w:color w:val="0000FF"/>
          <w:lang w:val="ru-RU"/>
        </w:rPr>
        <w:t>2</w:t>
      </w:r>
      <w:r w:rsidRPr="004C59BB">
        <w:rPr>
          <w:color w:val="0000FF"/>
        </w:rPr>
        <w:t>章</w:t>
      </w:r>
      <w:r w:rsidRPr="0097554A">
        <w:rPr>
          <w:color w:val="0000FF"/>
          <w:lang w:val="ru-RU"/>
        </w:rPr>
        <w:t>，</w:t>
      </w:r>
      <w:r w:rsidRPr="004C59BB">
        <w:rPr>
          <w:color w:val="0000FF"/>
        </w:rPr>
        <w:t>第</w:t>
      </w:r>
      <w:r w:rsidRPr="0097554A">
        <w:rPr>
          <w:color w:val="0000FF"/>
          <w:lang w:val="ru-RU"/>
        </w:rPr>
        <w:t>3</w:t>
      </w:r>
      <w:r w:rsidRPr="004C59BB">
        <w:rPr>
          <w:color w:val="0000FF"/>
        </w:rPr>
        <w:t>节</w:t>
      </w:r>
      <w:r w:rsidRPr="0097554A">
        <w:rPr>
          <w:color w:val="0000FF"/>
          <w:lang w:val="ru-RU"/>
        </w:rPr>
        <w:t>）</w:t>
      </w:r>
      <w:r w:rsidRPr="004C59BB">
        <w:rPr>
          <w:color w:val="0000FF"/>
        </w:rPr>
        <w:t>。《圣杯的性质》（第四卷，第33章，第2节）。</w:t>
      </w:r>
    </w:p>
  </w:footnote>
  <w:footnote w:id="1146">
    <w:p w14:paraId="4C47C5AB" w14:textId="478A6D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当水与酒在圣杯中混合时，基督便将子民聚集在一起（《书信集》第LXIII封，致塞西利乌斯）。</w:t>
      </w:r>
    </w:p>
  </w:footnote>
  <w:footnote w:id="1147">
    <w:p w14:paraId="129CA687" w14:textId="310A4F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格里高利·尼西阿斯，《教理问答》第37章；安布罗斯，《论圣事》第五卷第1章第4节；格纳迪乌斯，《论教会信条》第78章。</w:t>
      </w:r>
    </w:p>
  </w:footnote>
  <w:footnote w:id="1148">
    <w:p w14:paraId="242BA4FA" w14:textId="7F3FB9F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在圣所中</w:t>
      </w:r>
      <w:r w:rsidRPr="0097554A">
        <w:rPr>
          <w:color w:val="0000FF"/>
        </w:rPr>
        <w:t>，</w:t>
      </w:r>
      <w:r w:rsidRPr="004C59BB">
        <w:rPr>
          <w:color w:val="0000FF"/>
          <w:lang w:val="ru-RU"/>
        </w:rPr>
        <w:t>除主的圣体和圣血之外</w:t>
      </w:r>
      <w:r w:rsidRPr="0097554A">
        <w:rPr>
          <w:color w:val="0000FF"/>
        </w:rPr>
        <w:t>，</w:t>
      </w:r>
      <w:r w:rsidRPr="004C59BB">
        <w:rPr>
          <w:color w:val="0000FF"/>
          <w:lang w:val="ru-RU"/>
        </w:rPr>
        <w:t>不可献上任何东西</w:t>
      </w:r>
      <w:r w:rsidRPr="0097554A">
        <w:rPr>
          <w:color w:val="0000FF"/>
        </w:rPr>
        <w:t>，</w:t>
      </w:r>
      <w:r w:rsidRPr="004C59BB">
        <w:rPr>
          <w:color w:val="0000FF"/>
          <w:lang w:val="ru-RU"/>
        </w:rPr>
        <w:t>正如主自己所吩咐的那样</w:t>
      </w:r>
      <w:r w:rsidRPr="0097554A">
        <w:rPr>
          <w:color w:val="0000FF"/>
        </w:rPr>
        <w:t>，</w:t>
      </w:r>
      <w:r w:rsidRPr="004C59BB">
        <w:rPr>
          <w:color w:val="0000FF"/>
          <w:lang w:val="ru-RU"/>
        </w:rPr>
        <w:t>也就是说</w:t>
      </w:r>
      <w:r w:rsidRPr="0097554A">
        <w:rPr>
          <w:color w:val="0000FF"/>
        </w:rPr>
        <w:t>，</w:t>
      </w:r>
      <w:r w:rsidRPr="004C59BB">
        <w:rPr>
          <w:color w:val="0000FF"/>
          <w:lang w:val="ru-RU"/>
        </w:rPr>
        <w:t>除了用水稀释的葡萄酒之外</w:t>
      </w:r>
      <w:r w:rsidRPr="0097554A">
        <w:rPr>
          <w:color w:val="0000FF"/>
        </w:rPr>
        <w:t>”（</w:t>
      </w:r>
      <w:r w:rsidRPr="004C59BB">
        <w:rPr>
          <w:color w:val="0000FF"/>
          <w:lang w:val="ru-RU"/>
        </w:rPr>
        <w:t>第</w:t>
      </w:r>
      <w:r w:rsidRPr="0097554A">
        <w:rPr>
          <w:color w:val="0000FF"/>
        </w:rPr>
        <w:t>46</w:t>
      </w:r>
      <w:r w:rsidRPr="004C59BB">
        <w:rPr>
          <w:color w:val="0000FF"/>
          <w:lang w:val="ru-RU"/>
        </w:rPr>
        <w:t>条</w:t>
      </w:r>
      <w:r w:rsidRPr="0097554A">
        <w:rPr>
          <w:color w:val="0000FF"/>
        </w:rPr>
        <w:t>）</w:t>
      </w:r>
      <w:r w:rsidRPr="004C59BB">
        <w:rPr>
          <w:color w:val="0000FF"/>
          <w:lang w:val="ru-RU"/>
        </w:rPr>
        <w:t>。</w:t>
      </w:r>
    </w:p>
  </w:footnote>
  <w:footnote w:id="1149">
    <w:p w14:paraId="32E17E99" w14:textId="43DB6F78"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特鲁尔会议第</w:t>
      </w:r>
      <w:r w:rsidRPr="0097554A">
        <w:rPr>
          <w:color w:val="0000FF"/>
        </w:rPr>
        <w:t>32</w:t>
      </w:r>
      <w:r w:rsidRPr="004C59BB">
        <w:rPr>
          <w:color w:val="0000FF"/>
          <w:lang w:val="ru-RU"/>
        </w:rPr>
        <w:t>条</w:t>
      </w:r>
      <w:r w:rsidRPr="0097554A">
        <w:rPr>
          <w:color w:val="0000FF"/>
        </w:rPr>
        <w:t>：“</w:t>
      </w:r>
      <w:r w:rsidRPr="004C59BB">
        <w:rPr>
          <w:color w:val="0000FF"/>
          <w:lang w:val="ru-RU"/>
        </w:rPr>
        <w:t>他</w:t>
      </w:r>
      <w:r w:rsidRPr="0097554A">
        <w:rPr>
          <w:color w:val="0000FF"/>
        </w:rPr>
        <w:t>（</w:t>
      </w:r>
      <w:r w:rsidRPr="004C59BB">
        <w:rPr>
          <w:color w:val="0000FF"/>
          <w:lang w:val="ru-RU"/>
        </w:rPr>
        <w:t>圣金口若望</w:t>
      </w:r>
      <w:r w:rsidRPr="0097554A">
        <w:rPr>
          <w:color w:val="0000FF"/>
        </w:rPr>
        <w:t>）</w:t>
      </w:r>
      <w:r w:rsidRPr="004C59BB">
        <w:rPr>
          <w:color w:val="0000FF"/>
          <w:lang w:val="ru-RU"/>
        </w:rPr>
        <w:t>向其受托牧养的教会传授</w:t>
      </w:r>
      <w:r w:rsidRPr="0097554A">
        <w:rPr>
          <w:color w:val="0000FF"/>
        </w:rPr>
        <w:t>，</w:t>
      </w:r>
      <w:r w:rsidRPr="004C59BB">
        <w:rPr>
          <w:color w:val="0000FF"/>
          <w:lang w:val="ru-RU"/>
        </w:rPr>
        <w:t>在举行无血祭时</w:t>
      </w:r>
      <w:r w:rsidRPr="0097554A">
        <w:rPr>
          <w:color w:val="0000FF"/>
        </w:rPr>
        <w:t>，</w:t>
      </w:r>
      <w:r w:rsidRPr="004C59BB">
        <w:rPr>
          <w:color w:val="0000FF"/>
          <w:lang w:val="ru-RU"/>
        </w:rPr>
        <w:t>应将水加入葡萄酒中</w:t>
      </w:r>
      <w:r w:rsidRPr="0097554A">
        <w:rPr>
          <w:color w:val="0000FF"/>
        </w:rPr>
        <w:t>，</w:t>
      </w:r>
      <w:r w:rsidRPr="004C59BB">
        <w:rPr>
          <w:color w:val="0000FF"/>
          <w:lang w:val="ru-RU"/>
        </w:rPr>
        <w:t>以此象征血与水的结合</w:t>
      </w:r>
      <w:r w:rsidRPr="0097554A">
        <w:rPr>
          <w:color w:val="0000FF"/>
        </w:rPr>
        <w:t xml:space="preserve">， </w:t>
      </w:r>
      <w:r w:rsidRPr="004C59BB">
        <w:rPr>
          <w:color w:val="0000FF"/>
          <w:lang w:val="ru-RU"/>
        </w:rPr>
        <w:t>这血水源自我们救赎主兼救主基督上帝那至洁的肋旁</w:t>
      </w:r>
      <w:r w:rsidRPr="0097554A">
        <w:rPr>
          <w:color w:val="0000FF"/>
        </w:rPr>
        <w:t>，</w:t>
      </w:r>
      <w:r w:rsidRPr="004C59BB">
        <w:rPr>
          <w:color w:val="0000FF"/>
          <w:lang w:val="ru-RU"/>
        </w:rPr>
        <w:t>旨在使整个世界复活并赎去罪孽。在所有曾有属灵明灯照耀的教会中，这一奉上帝之命的礼仪均得以保存。 因为雅各——我们主基督按肉体而言的兄弟，首位被委以耶路撒冷教会主教之位者——以及凯撒利亚教会的大主教瓦西里，其声名传遍整个宇宙，他们将这一奥秘的圣礼以文字形式传授给我们，并在神圣的圣体礼仪中规定，要用水和葡萄酒调配圣杯」。</w:t>
      </w:r>
    </w:p>
  </w:footnote>
  <w:footnote w:id="1150">
    <w:p w14:paraId="582FB8BD" w14:textId="5D8401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这与拉丁人对它的错误看法相悖（</w:t>
      </w:r>
      <w:r w:rsidRPr="004C59BB">
        <w:rPr>
          <w:color w:val="0000FF"/>
        </w:rPr>
        <w:t>佩罗内</w:t>
      </w:r>
      <w:r w:rsidRPr="004C59BB">
        <w:rPr>
          <w:color w:val="0000FF"/>
          <w:lang w:val="ru-RU"/>
        </w:rPr>
        <w:t>，《</w:t>
      </w:r>
      <w:r w:rsidRPr="004C59BB">
        <w:rPr>
          <w:color w:val="0000FF"/>
        </w:rPr>
        <w:t>神学</w:t>
      </w:r>
      <w:r w:rsidRPr="004C59BB">
        <w:rPr>
          <w:color w:val="0000FF"/>
          <w:lang w:val="ru-RU"/>
        </w:rPr>
        <w:t>导论</w:t>
      </w:r>
      <w:r w:rsidRPr="0097554A">
        <w:rPr>
          <w:color w:val="0000FF"/>
          <w:lang w:val="ru-RU"/>
        </w:rPr>
        <w:t>·</w:t>
      </w:r>
      <w:r w:rsidRPr="004C59BB">
        <w:rPr>
          <w:color w:val="0000FF"/>
        </w:rPr>
        <w:t>论圣体篇</w:t>
      </w:r>
      <w:r w:rsidRPr="004C59BB">
        <w:rPr>
          <w:color w:val="0000FF"/>
          <w:lang w:val="ru-RU"/>
        </w:rPr>
        <w:t>》第11卷，第3章），众所周知，拉丁人自己将圣礼的全部祝圣力量仅归因于救主的话语：“你们领受，吃吧……”等等。</w:t>
      </w:r>
    </w:p>
  </w:footnote>
  <w:footnote w:id="1151">
    <w:p w14:paraId="3A5A0217" w14:textId="78C1BC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参见主教宣誓仪式，以及《正统信仰问答》第1卷，第107问的回答；东方宗主教关于正统信仰的通谕第17条。</w:t>
      </w:r>
    </w:p>
  </w:footnote>
  <w:footnote w:id="1152">
    <w:p w14:paraId="70A79A49" w14:textId="18D2CF78"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w:t>
      </w:r>
      <w:r w:rsidRPr="004C59BB">
        <w:rPr>
          <w:color w:val="0000FF"/>
        </w:rPr>
        <w:t>希腊</w:t>
      </w:r>
      <w:r w:rsidRPr="0097554A">
        <w:rPr>
          <w:color w:val="0000FF"/>
          <w:lang w:val="ru-RU"/>
        </w:rPr>
        <w:t>-</w:t>
      </w:r>
      <w:r w:rsidRPr="004C59BB">
        <w:rPr>
          <w:color w:val="0000FF"/>
        </w:rPr>
        <w:t>拉丁教派图书馆》第II卷第</w:t>
      </w:r>
      <w:r w:rsidRPr="0097554A">
        <w:rPr>
          <w:color w:val="0000FF"/>
          <w:lang w:val="ru-RU"/>
        </w:rPr>
        <w:t>12</w:t>
      </w:r>
      <w:r w:rsidRPr="004C59BB">
        <w:rPr>
          <w:color w:val="0000FF"/>
        </w:rPr>
        <w:t>页中的</w:t>
      </w:r>
      <w:r w:rsidRPr="004C59BB">
        <w:rPr>
          <w:color w:val="0000FF"/>
          <w:lang w:val="ru-RU"/>
        </w:rPr>
        <w:t>该圣礼</w:t>
      </w:r>
      <w:r w:rsidRPr="004C59BB">
        <w:rPr>
          <w:color w:val="0000FF"/>
        </w:rPr>
        <w:t>。</w:t>
      </w:r>
    </w:p>
  </w:footnote>
  <w:footnote w:id="1153">
    <w:p w14:paraId="2CBA9229" w14:textId="1A9B7228"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《第八卷》</w:t>
      </w:r>
      <w:r w:rsidRPr="0097554A">
        <w:rPr>
          <w:color w:val="0000FF"/>
          <w:lang w:val="ru-RU"/>
        </w:rPr>
        <w:t>，</w:t>
      </w:r>
      <w:r w:rsidRPr="004C59BB">
        <w:rPr>
          <w:color w:val="0000FF"/>
        </w:rPr>
        <w:t>第</w:t>
      </w:r>
      <w:r w:rsidRPr="0097554A">
        <w:rPr>
          <w:color w:val="0000FF"/>
          <w:lang w:val="ru-RU"/>
        </w:rPr>
        <w:t>12</w:t>
      </w:r>
      <w:r w:rsidRPr="004C59BB">
        <w:rPr>
          <w:color w:val="0000FF"/>
        </w:rPr>
        <w:t>章</w:t>
      </w:r>
      <w:r w:rsidRPr="0097554A">
        <w:rPr>
          <w:color w:val="0000FF"/>
          <w:lang w:val="ru-RU"/>
        </w:rPr>
        <w:t>，</w:t>
      </w:r>
      <w:r w:rsidRPr="004C59BB">
        <w:rPr>
          <w:color w:val="0000FF"/>
        </w:rPr>
        <w:t>第</w:t>
      </w:r>
      <w:r w:rsidRPr="0097554A">
        <w:rPr>
          <w:color w:val="0000FF"/>
          <w:lang w:val="ru-RU"/>
        </w:rPr>
        <w:t>407</w:t>
      </w:r>
      <w:r w:rsidRPr="004C59BB">
        <w:rPr>
          <w:color w:val="0000FF"/>
        </w:rPr>
        <w:t>页</w:t>
      </w:r>
      <w:r w:rsidRPr="0097554A">
        <w:rPr>
          <w:color w:val="0000FF"/>
          <w:lang w:val="ru-RU"/>
        </w:rPr>
        <w:t>，</w:t>
      </w:r>
      <w:r w:rsidRPr="004C59BB">
        <w:rPr>
          <w:color w:val="0000FF"/>
        </w:rPr>
        <w:t>载于科特勒《使徒</w:t>
      </w:r>
      <w:r w:rsidRPr="004C59BB">
        <w:rPr>
          <w:color w:val="0000FF"/>
          <w:lang w:val="ru-RU"/>
        </w:rPr>
        <w:t>教父集》第1</w:t>
      </w:r>
      <w:r w:rsidRPr="004C59BB">
        <w:rPr>
          <w:color w:val="0000FF"/>
        </w:rPr>
        <w:t>卷</w:t>
      </w:r>
      <w:r w:rsidRPr="004C59BB">
        <w:rPr>
          <w:color w:val="0000FF"/>
          <w:lang w:val="ru-RU"/>
        </w:rPr>
        <w:t>，</w:t>
      </w:r>
      <w:r w:rsidRPr="004C59BB">
        <w:rPr>
          <w:color w:val="0000FF"/>
        </w:rPr>
        <w:t>阿姆斯特丹</w:t>
      </w:r>
      <w:r w:rsidRPr="004C59BB">
        <w:rPr>
          <w:color w:val="0000FF"/>
          <w:lang w:val="ru-RU"/>
        </w:rPr>
        <w:t>，1724年。</w:t>
      </w:r>
    </w:p>
  </w:footnote>
  <w:footnote w:id="1154">
    <w:p w14:paraId="14CD7920" w14:textId="75731A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参见司祭在祝圣圣体圣血前、唱诵《我们向祢歌唱……》时所诵念的祷文。</w:t>
      </w:r>
    </w:p>
  </w:footnote>
  <w:footnote w:id="1155">
    <w:p w14:paraId="7B7E8E46" w14:textId="609C506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w:t>
      </w:r>
      <w:r w:rsidRPr="004C59BB">
        <w:rPr>
          <w:color w:val="0000FF"/>
        </w:rPr>
        <w:t>反异端论</w:t>
      </w:r>
      <w:r w:rsidRPr="004C59BB">
        <w:rPr>
          <w:color w:val="0000FF"/>
          <w:lang w:val="el-GR"/>
        </w:rPr>
        <w:t>》</w:t>
      </w:r>
      <w:r w:rsidRPr="004C59BB">
        <w:rPr>
          <w:color w:val="0000FF"/>
        </w:rPr>
        <w:t>第四卷</w:t>
      </w:r>
      <w:r w:rsidRPr="0097554A">
        <w:rPr>
          <w:color w:val="0000FF"/>
          <w:lang w:val="ru-RU"/>
        </w:rPr>
        <w:t>，</w:t>
      </w:r>
      <w:r w:rsidRPr="004C59BB">
        <w:rPr>
          <w:color w:val="0000FF"/>
          <w:lang w:val="el-GR"/>
        </w:rPr>
        <w:t>第</w:t>
      </w:r>
      <w:r w:rsidRPr="0097554A">
        <w:rPr>
          <w:color w:val="0000FF"/>
          <w:lang w:val="ru-RU"/>
        </w:rPr>
        <w:t>34</w:t>
      </w:r>
      <w:r w:rsidRPr="004C59BB">
        <w:rPr>
          <w:color w:val="0000FF"/>
          <w:lang w:val="el-GR"/>
        </w:rPr>
        <w:t>章。</w:t>
      </w:r>
    </w:p>
  </w:footnote>
  <w:footnote w:id="1156">
    <w:p w14:paraId="70F778F2" w14:textId="7D86FD93" w:rsidR="00254F25" w:rsidRPr="0097554A"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lang w:val="el-GR"/>
        </w:rPr>
        <w:t>因着祈愿而成为圣的</w:t>
      </w:r>
      <w:r w:rsidRPr="0097554A">
        <w:rPr>
          <w:color w:val="0000FF"/>
          <w:lang w:val="ru-RU"/>
        </w:rPr>
        <w:t>，</w:t>
      </w:r>
      <w:r w:rsidRPr="004C59BB">
        <w:rPr>
          <w:color w:val="0000FF"/>
          <w:lang w:val="el-GR"/>
        </w:rPr>
        <w:t>并使之成圣</w:t>
      </w:r>
      <w:r w:rsidRPr="0097554A">
        <w:rPr>
          <w:color w:val="0000FF"/>
          <w:lang w:val="ru-RU"/>
        </w:rPr>
        <w:t>……（</w:t>
      </w:r>
      <w:r w:rsidRPr="004C59BB">
        <w:rPr>
          <w:color w:val="0000FF"/>
        </w:rPr>
        <w:t>《反塞尔苏斯论》卷</w:t>
      </w:r>
      <w:r w:rsidRPr="0097554A">
        <w:rPr>
          <w:color w:val="0000FF"/>
          <w:lang w:val="ru-RU"/>
        </w:rPr>
        <w:t>，</w:t>
      </w:r>
      <w:r w:rsidRPr="004C59BB">
        <w:rPr>
          <w:color w:val="0000FF"/>
        </w:rPr>
        <w:t>第</w:t>
      </w:r>
      <w:r w:rsidRPr="0097554A">
        <w:rPr>
          <w:color w:val="0000FF"/>
          <w:lang w:val="ru-RU"/>
        </w:rPr>
        <w:t>399</w:t>
      </w:r>
      <w:r w:rsidRPr="004C59BB">
        <w:rPr>
          <w:color w:val="0000FF"/>
        </w:rPr>
        <w:t>页</w:t>
      </w:r>
      <w:r w:rsidRPr="0097554A">
        <w:rPr>
          <w:color w:val="0000FF"/>
          <w:lang w:val="ru-RU"/>
        </w:rPr>
        <w:t>）</w:t>
      </w:r>
      <w:r w:rsidRPr="004C59BB">
        <w:rPr>
          <w:color w:val="0000FF"/>
        </w:rPr>
        <w:t>。在另一处他说道：sanctificatur per verbum Dei perque obsecrationem（见《马太福音》第十五</w:t>
      </w:r>
      <w:r w:rsidRPr="004C59BB">
        <w:rPr>
          <w:color w:val="0000FF"/>
          <w:lang w:val="ru-RU"/>
        </w:rPr>
        <w:t>章</w:t>
      </w:r>
      <w:r w:rsidRPr="0097554A">
        <w:rPr>
          <w:color w:val="0000FF"/>
        </w:rPr>
        <w:t>，</w:t>
      </w:r>
      <w:r w:rsidRPr="004C59BB">
        <w:rPr>
          <w:color w:val="0000FF"/>
        </w:rPr>
        <w:t>第二</w:t>
      </w:r>
      <w:r w:rsidRPr="004C59BB">
        <w:rPr>
          <w:color w:val="0000FF"/>
          <w:lang w:val="ru-RU"/>
        </w:rPr>
        <w:t>卷</w:t>
      </w:r>
      <w:r w:rsidRPr="0097554A">
        <w:rPr>
          <w:color w:val="0000FF"/>
        </w:rPr>
        <w:t>，</w:t>
      </w:r>
      <w:r w:rsidRPr="004C59BB">
        <w:rPr>
          <w:color w:val="0000FF"/>
          <w:lang w:val="ru-RU"/>
        </w:rPr>
        <w:t>第</w:t>
      </w:r>
      <w:r w:rsidRPr="0097554A">
        <w:rPr>
          <w:color w:val="0000FF"/>
        </w:rPr>
        <w:t>17</w:t>
      </w:r>
      <w:r w:rsidRPr="004C59BB">
        <w:rPr>
          <w:color w:val="0000FF"/>
          <w:lang w:val="ru-RU"/>
        </w:rPr>
        <w:t>页</w:t>
      </w:r>
      <w:r w:rsidRPr="004C59BB">
        <w:rPr>
          <w:color w:val="0000FF"/>
        </w:rPr>
        <w:t>，巴黎</w:t>
      </w:r>
      <w:r w:rsidRPr="0097554A">
        <w:rPr>
          <w:color w:val="0000FF"/>
        </w:rPr>
        <w:t>，1604</w:t>
      </w:r>
      <w:r w:rsidRPr="004C59BB">
        <w:rPr>
          <w:color w:val="0000FF"/>
          <w:lang w:val="ru-RU"/>
        </w:rPr>
        <w:t>年</w:t>
      </w:r>
      <w:r w:rsidRPr="0097554A">
        <w:rPr>
          <w:color w:val="0000FF"/>
        </w:rPr>
        <w:t>）</w:t>
      </w:r>
      <w:r w:rsidRPr="004C59BB">
        <w:rPr>
          <w:color w:val="0000FF"/>
          <w:lang w:val="ru-RU"/>
        </w:rPr>
        <w:t>。</w:t>
      </w:r>
    </w:p>
  </w:footnote>
  <w:footnote w:id="1157">
    <w:p w14:paraId="481B110A" w14:textId="62D90722"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《圣事教义》第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7</w:t>
      </w:r>
      <w:r w:rsidRPr="004C59BB">
        <w:rPr>
          <w:color w:val="0000FF"/>
          <w:lang w:val="ru-RU"/>
        </w:rPr>
        <w:t>条</w:t>
      </w:r>
      <w:r w:rsidRPr="0097554A">
        <w:rPr>
          <w:color w:val="0000FF"/>
        </w:rPr>
        <w:t>，</w:t>
      </w:r>
      <w:r w:rsidRPr="004C59BB">
        <w:rPr>
          <w:color w:val="0000FF"/>
          <w:lang w:val="ru-RU"/>
        </w:rPr>
        <w:t>第</w:t>
      </w:r>
      <w:r w:rsidRPr="0097554A">
        <w:rPr>
          <w:color w:val="0000FF"/>
        </w:rPr>
        <w:t>440</w:t>
      </w:r>
      <w:r w:rsidRPr="004C59BB">
        <w:rPr>
          <w:color w:val="0000FF"/>
          <w:lang w:val="ru-RU"/>
        </w:rPr>
        <w:t>页</w:t>
      </w:r>
      <w:r w:rsidRPr="0097554A">
        <w:rPr>
          <w:color w:val="0000FF"/>
        </w:rPr>
        <w:t>（</w:t>
      </w:r>
      <w:r w:rsidRPr="004C59BB">
        <w:rPr>
          <w:color w:val="0000FF"/>
          <w:lang w:val="ru-RU"/>
        </w:rPr>
        <w:t>俄文译本</w:t>
      </w:r>
      <w:r w:rsidRPr="0097554A">
        <w:rPr>
          <w:color w:val="0000FF"/>
        </w:rPr>
        <w:t>）</w:t>
      </w:r>
      <w:r w:rsidRPr="004C59BB">
        <w:rPr>
          <w:color w:val="0000FF"/>
          <w:lang w:val="ru-RU"/>
        </w:rPr>
        <w:t>。</w:t>
      </w:r>
    </w:p>
  </w:footnote>
  <w:footnote w:id="1158">
    <w:p w14:paraId="19D90C23" w14:textId="62EE4E06"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《秘仪教义》</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3</w:t>
      </w:r>
      <w:r w:rsidRPr="004C59BB">
        <w:rPr>
          <w:color w:val="0000FF"/>
          <w:lang w:val="ru-RU"/>
        </w:rPr>
        <w:t>条</w:t>
      </w:r>
      <w:r w:rsidRPr="0097554A">
        <w:rPr>
          <w:color w:val="0000FF"/>
        </w:rPr>
        <w:t>，</w:t>
      </w:r>
      <w:r w:rsidRPr="004C59BB">
        <w:rPr>
          <w:color w:val="0000FF"/>
          <w:lang w:val="ru-RU"/>
        </w:rPr>
        <w:t>第</w:t>
      </w:r>
      <w:r w:rsidRPr="0097554A">
        <w:rPr>
          <w:color w:val="0000FF"/>
        </w:rPr>
        <w:t>451</w:t>
      </w:r>
      <w:r w:rsidRPr="004C59BB">
        <w:rPr>
          <w:color w:val="0000FF"/>
          <w:lang w:val="ru-RU"/>
        </w:rPr>
        <w:t>页。</w:t>
      </w:r>
    </w:p>
  </w:footnote>
  <w:footnote w:id="1159">
    <w:p w14:paraId="10D1D1C5" w14:textId="7F09266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《秘仪教义》</w:t>
      </w:r>
      <w:r w:rsidRPr="004C59BB">
        <w:rPr>
          <w:color w:val="0000FF"/>
        </w:rPr>
        <w:t>第五</w:t>
      </w:r>
      <w:r w:rsidRPr="004C59BB">
        <w:rPr>
          <w:color w:val="0000FF"/>
          <w:lang w:val="ru-RU"/>
        </w:rPr>
        <w:t>卷</w:t>
      </w:r>
      <w:r w:rsidRPr="0097554A">
        <w:rPr>
          <w:color w:val="0000FF"/>
        </w:rPr>
        <w:t>，</w:t>
      </w:r>
      <w:r w:rsidRPr="004C59BB">
        <w:rPr>
          <w:color w:val="0000FF"/>
          <w:lang w:val="ru-RU"/>
        </w:rPr>
        <w:t>第</w:t>
      </w:r>
      <w:r w:rsidRPr="0097554A">
        <w:rPr>
          <w:color w:val="0000FF"/>
        </w:rPr>
        <w:t>7</w:t>
      </w:r>
      <w:r w:rsidRPr="004C59BB">
        <w:rPr>
          <w:color w:val="0000FF"/>
          <w:lang w:val="ru-RU"/>
        </w:rPr>
        <w:t>条</w:t>
      </w:r>
      <w:r w:rsidRPr="0097554A">
        <w:rPr>
          <w:color w:val="0000FF"/>
        </w:rPr>
        <w:t>，</w:t>
      </w:r>
      <w:r w:rsidRPr="004C59BB">
        <w:rPr>
          <w:color w:val="0000FF"/>
          <w:lang w:val="ru-RU"/>
        </w:rPr>
        <w:t>第</w:t>
      </w:r>
      <w:r w:rsidRPr="0097554A">
        <w:rPr>
          <w:color w:val="0000FF"/>
        </w:rPr>
        <w:t>462</w:t>
      </w:r>
      <w:r w:rsidRPr="004C59BB">
        <w:rPr>
          <w:color w:val="0000FF"/>
          <w:lang w:val="ru-RU"/>
        </w:rPr>
        <w:t>页。</w:t>
      </w:r>
    </w:p>
  </w:footnote>
  <w:footnote w:id="1160">
    <w:p w14:paraId="4630B169" w14:textId="6158D56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《论圣灵》</w:t>
      </w:r>
      <w:r w:rsidRPr="0097554A">
        <w:rPr>
          <w:color w:val="0000FF"/>
        </w:rPr>
        <w:t>（</w:t>
      </w:r>
      <w:r w:rsidRPr="004C59BB">
        <w:rPr>
          <w:color w:val="0000FF"/>
          <w:lang w:val="ru-RU"/>
        </w:rPr>
        <w:t>致安菲洛基乌斯</w:t>
      </w:r>
      <w:r w:rsidRPr="0097554A">
        <w:rPr>
          <w:color w:val="0000FF"/>
        </w:rPr>
        <w:t>），</w:t>
      </w:r>
      <w:r w:rsidRPr="004C59BB">
        <w:rPr>
          <w:color w:val="0000FF"/>
          <w:lang w:val="ru-RU"/>
        </w:rPr>
        <w:t>第</w:t>
      </w:r>
      <w:r w:rsidRPr="0097554A">
        <w:rPr>
          <w:color w:val="0000FF"/>
        </w:rPr>
        <w:t>27</w:t>
      </w:r>
      <w:r w:rsidRPr="004C59BB">
        <w:rPr>
          <w:color w:val="0000FF"/>
          <w:lang w:val="ru-RU"/>
        </w:rPr>
        <w:t>章</w:t>
      </w:r>
      <w:r w:rsidRPr="0097554A">
        <w:rPr>
          <w:color w:val="0000FF"/>
        </w:rPr>
        <w:t>，</w:t>
      </w:r>
      <w:r w:rsidRPr="004C59BB">
        <w:rPr>
          <w:color w:val="0000FF"/>
          <w:lang w:val="ru-RU"/>
        </w:rPr>
        <w:t>载于《规则集》第</w:t>
      </w:r>
      <w:r w:rsidRPr="0097554A">
        <w:rPr>
          <w:color w:val="0000FF"/>
        </w:rPr>
        <w:t>328</w:t>
      </w:r>
      <w:r w:rsidRPr="004C59BB">
        <w:rPr>
          <w:color w:val="0000FF"/>
          <w:lang w:val="ru-RU"/>
        </w:rPr>
        <w:t>页。</w:t>
      </w:r>
    </w:p>
  </w:footnote>
  <w:footnote w:id="1161">
    <w:p w14:paraId="46E9D5D4" w14:textId="1B5BD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《论三位一体》第三卷，第4章，第10节，载于《教父全集》第XLII卷，第874页。</w:t>
      </w:r>
    </w:p>
  </w:footnote>
  <w:footnote w:id="1162">
    <w:p w14:paraId="379E8C77" w14:textId="21B4996F"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《致保利努斯书》第149封，第2章，第16节，载于前引《教父</w:t>
      </w:r>
      <w:r w:rsidRPr="004C59BB">
        <w:rPr>
          <w:color w:val="0000FF"/>
          <w:lang w:val="ru-RU"/>
        </w:rPr>
        <w:t>全集》</w:t>
      </w:r>
      <w:r w:rsidRPr="004C59BB">
        <w:rPr>
          <w:color w:val="0000FF"/>
        </w:rPr>
        <w:t>第XXXIII</w:t>
      </w:r>
      <w:r w:rsidRPr="004C59BB">
        <w:rPr>
          <w:color w:val="0000FF"/>
          <w:lang w:val="ru-RU"/>
        </w:rPr>
        <w:t>卷</w:t>
      </w:r>
      <w:r w:rsidRPr="0097554A">
        <w:rPr>
          <w:color w:val="0000FF"/>
        </w:rPr>
        <w:t>，</w:t>
      </w:r>
      <w:r w:rsidRPr="004C59BB">
        <w:rPr>
          <w:color w:val="0000FF"/>
          <w:lang w:val="ru-RU"/>
        </w:rPr>
        <w:t>第</w:t>
      </w:r>
      <w:r w:rsidRPr="0097554A">
        <w:rPr>
          <w:color w:val="0000FF"/>
        </w:rPr>
        <w:t>636</w:t>
      </w:r>
      <w:r w:rsidRPr="004C59BB">
        <w:rPr>
          <w:color w:val="0000FF"/>
          <w:lang w:val="ru-RU"/>
        </w:rPr>
        <w:t>页。</w:t>
      </w:r>
    </w:p>
  </w:footnote>
  <w:footnote w:id="1163">
    <w:p w14:paraId="704F934E" w14:textId="17F6299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《论神圣礼仪的传承》</w:t>
      </w:r>
      <w:r w:rsidRPr="0097554A">
        <w:rPr>
          <w:color w:val="0000FF"/>
        </w:rPr>
        <w:t>，</w:t>
      </w:r>
      <w:r w:rsidRPr="004C59BB">
        <w:rPr>
          <w:color w:val="0000FF"/>
          <w:lang w:val="ru-RU"/>
        </w:rPr>
        <w:t>载于《基督教读物》</w:t>
      </w:r>
      <w:r w:rsidRPr="0097554A">
        <w:rPr>
          <w:color w:val="0000FF"/>
        </w:rPr>
        <w:t>1839</w:t>
      </w:r>
      <w:r w:rsidRPr="004C59BB">
        <w:rPr>
          <w:color w:val="0000FF"/>
          <w:lang w:val="ru-RU"/>
        </w:rPr>
        <w:t>年</w:t>
      </w:r>
      <w:r w:rsidRPr="0097554A">
        <w:rPr>
          <w:color w:val="0000FF"/>
        </w:rPr>
        <w:t>，</w:t>
      </w:r>
      <w:r w:rsidRPr="004C59BB">
        <w:rPr>
          <w:color w:val="0000FF"/>
        </w:rPr>
        <w:t>第VI</w:t>
      </w:r>
      <w:r w:rsidRPr="004C59BB">
        <w:rPr>
          <w:color w:val="0000FF"/>
          <w:lang w:val="ru-RU"/>
        </w:rPr>
        <w:t>卷</w:t>
      </w:r>
      <w:r w:rsidRPr="0097554A">
        <w:rPr>
          <w:color w:val="0000FF"/>
        </w:rPr>
        <w:t>，</w:t>
      </w:r>
      <w:r w:rsidRPr="004C59BB">
        <w:rPr>
          <w:color w:val="0000FF"/>
          <w:lang w:val="ru-RU"/>
        </w:rPr>
        <w:t>第</w:t>
      </w:r>
      <w:r w:rsidRPr="0097554A">
        <w:rPr>
          <w:color w:val="0000FF"/>
        </w:rPr>
        <w:t>37</w:t>
      </w:r>
      <w:r w:rsidRPr="004C59BB">
        <w:rPr>
          <w:color w:val="0000FF"/>
          <w:lang w:val="ru-RU"/>
        </w:rPr>
        <w:t>、</w:t>
      </w:r>
      <w:r w:rsidRPr="0097554A">
        <w:rPr>
          <w:color w:val="0000FF"/>
        </w:rPr>
        <w:t>38</w:t>
      </w:r>
      <w:r w:rsidRPr="004C59BB">
        <w:rPr>
          <w:color w:val="0000FF"/>
          <w:lang w:val="ru-RU"/>
        </w:rPr>
        <w:t>页。</w:t>
      </w:r>
    </w:p>
  </w:footnote>
  <w:footnote w:id="1164">
    <w:p w14:paraId="0D445DA5" w14:textId="208C67A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《正统信仰精确阐述》</w:t>
      </w:r>
      <w:r w:rsidRPr="0097554A">
        <w:rPr>
          <w:color w:val="0000FF"/>
        </w:rPr>
        <w:t>，</w:t>
      </w:r>
      <w:r w:rsidRPr="004C59BB">
        <w:rPr>
          <w:color w:val="0000FF"/>
        </w:rPr>
        <w:t>第IV</w:t>
      </w:r>
      <w:r w:rsidRPr="004C59BB">
        <w:rPr>
          <w:color w:val="0000FF"/>
          <w:lang w:val="ru-RU"/>
        </w:rPr>
        <w:t>卷</w:t>
      </w:r>
      <w:r w:rsidRPr="0097554A">
        <w:rPr>
          <w:color w:val="0000FF"/>
        </w:rPr>
        <w:t>，</w:t>
      </w:r>
      <w:r w:rsidRPr="004C59BB">
        <w:rPr>
          <w:color w:val="0000FF"/>
          <w:lang w:val="el-GR"/>
        </w:rPr>
        <w:t>第</w:t>
      </w:r>
      <w:r w:rsidRPr="0097554A">
        <w:rPr>
          <w:color w:val="0000FF"/>
        </w:rPr>
        <w:t>13</w:t>
      </w:r>
      <w:r w:rsidRPr="004C59BB">
        <w:rPr>
          <w:color w:val="0000FF"/>
          <w:lang w:val="el-GR"/>
        </w:rPr>
        <w:t>章</w:t>
      </w:r>
      <w:r w:rsidRPr="0097554A">
        <w:rPr>
          <w:color w:val="0000FF"/>
        </w:rPr>
        <w:t>，</w:t>
      </w:r>
      <w:r w:rsidRPr="004C59BB">
        <w:rPr>
          <w:color w:val="0000FF"/>
          <w:lang w:val="el-GR"/>
        </w:rPr>
        <w:t>第</w:t>
      </w:r>
      <w:r w:rsidRPr="0097554A">
        <w:rPr>
          <w:color w:val="0000FF"/>
        </w:rPr>
        <w:t>252</w:t>
      </w:r>
      <w:r w:rsidRPr="004C59BB">
        <w:rPr>
          <w:color w:val="0000FF"/>
        </w:rPr>
        <w:t>页</w:t>
      </w:r>
      <w:r w:rsidRPr="004C59BB">
        <w:rPr>
          <w:color w:val="0000FF"/>
          <w:lang w:val="el-GR"/>
        </w:rPr>
        <w:t>。</w:t>
      </w:r>
    </w:p>
  </w:footnote>
  <w:footnote w:id="1165">
    <w:p w14:paraId="0F557837" w14:textId="53A7903D"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圣饼因上帝的话语和圣灵的临在而圣化。</w:t>
      </w:r>
      <w:r w:rsidRPr="0097554A">
        <w:rPr>
          <w:color w:val="0000FF"/>
        </w:rPr>
        <w:t>”</w:t>
      </w:r>
      <w:r w:rsidRPr="004C59BB">
        <w:rPr>
          <w:color w:val="0000FF"/>
        </w:rPr>
        <w:t>《教理问答》第37章。</w:t>
      </w:r>
    </w:p>
  </w:footnote>
  <w:footnote w:id="1166">
    <w:p w14:paraId="14D50741" w14:textId="75ACB82D"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“在（长老）的祈祷中，基督的圣体与圣血得以成形”（致埃瓦格里乌斯的第七十八封书信</w:t>
      </w:r>
      <w:r w:rsidRPr="0097554A">
        <w:rPr>
          <w:color w:val="0000FF"/>
        </w:rPr>
        <w:t>）</w:t>
      </w:r>
      <w:r w:rsidRPr="004C59BB">
        <w:rPr>
          <w:color w:val="0000FF"/>
          <w:lang w:val="ru-RU"/>
        </w:rPr>
        <w:t>。</w:t>
      </w:r>
    </w:p>
  </w:footnote>
  <w:footnote w:id="1167">
    <w:p w14:paraId="16F7FDF3" w14:textId="6AE6CE1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关于这些见证</w:t>
      </w:r>
      <w:r w:rsidRPr="0097554A">
        <w:rPr>
          <w:color w:val="0000FF"/>
        </w:rPr>
        <w:t>，</w:t>
      </w:r>
      <w:r w:rsidRPr="004C59BB">
        <w:rPr>
          <w:color w:val="0000FF"/>
          <w:lang w:val="ru-RU"/>
        </w:rPr>
        <w:t>请参见后续文章</w:t>
      </w:r>
      <w:r w:rsidRPr="0097554A">
        <w:rPr>
          <w:color w:val="0000FF"/>
        </w:rPr>
        <w:t>：</w:t>
      </w:r>
      <w:r w:rsidRPr="004C59BB">
        <w:rPr>
          <w:color w:val="0000FF"/>
          <w:lang w:val="ru-RU"/>
        </w:rPr>
        <w:t>《耶稣基督在圣体圣事中的临在</w:t>
      </w:r>
      <w:r w:rsidRPr="0097554A">
        <w:rPr>
          <w:color w:val="0000FF"/>
        </w:rPr>
        <w:t>：</w:t>
      </w:r>
      <w:r w:rsidRPr="004C59BB">
        <w:rPr>
          <w:color w:val="0000FF"/>
          <w:lang w:val="ru-RU"/>
        </w:rPr>
        <w:t>形象与后果》。</w:t>
      </w:r>
    </w:p>
  </w:footnote>
  <w:footnote w:id="1168">
    <w:p w14:paraId="54217C3C" w14:textId="4597FB5F"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例如</w:t>
      </w:r>
      <w:r w:rsidRPr="0097554A">
        <w:rPr>
          <w:color w:val="0000FF"/>
        </w:rPr>
        <w:t>，</w:t>
      </w:r>
      <w:r w:rsidRPr="004C59BB">
        <w:rPr>
          <w:color w:val="0000FF"/>
          <w:lang w:val="ru-RU"/>
        </w:rPr>
        <w:t>索卢尼的西缅</w:t>
      </w:r>
      <w:r w:rsidRPr="0097554A">
        <w:rPr>
          <w:color w:val="0000FF"/>
        </w:rPr>
        <w:t>（</w:t>
      </w:r>
      <w:r w:rsidRPr="004C59BB">
        <w:rPr>
          <w:color w:val="0000FF"/>
          <w:lang w:val="ru-RU"/>
        </w:rPr>
        <w:t>在其关于圣事的论著中</w:t>
      </w:r>
      <w:r w:rsidRPr="0097554A">
        <w:rPr>
          <w:color w:val="0000FF"/>
        </w:rPr>
        <w:t>）</w:t>
      </w:r>
      <w:r w:rsidRPr="004C59BB">
        <w:rPr>
          <w:color w:val="0000FF"/>
          <w:lang w:val="ru-RU"/>
        </w:rPr>
        <w:t>、耶利米宗主教</w:t>
      </w:r>
      <w:r w:rsidRPr="0097554A">
        <w:rPr>
          <w:color w:val="0000FF"/>
        </w:rPr>
        <w:t>（</w:t>
      </w:r>
      <w:r w:rsidRPr="004C59BB">
        <w:rPr>
          <w:color w:val="0000FF"/>
          <w:lang w:val="ru-RU"/>
        </w:rPr>
        <w:t>在其致维尔滕贝格神学院的信函中</w:t>
      </w:r>
      <w:r w:rsidRPr="0097554A">
        <w:rPr>
          <w:color w:val="0000FF"/>
        </w:rPr>
        <w:t>，</w:t>
      </w:r>
      <w:r w:rsidRPr="004C59BB">
        <w:rPr>
          <w:color w:val="0000FF"/>
          <w:lang w:val="ru-RU"/>
        </w:rPr>
        <w:t>《基督教读物》</w:t>
      </w:r>
      <w:r w:rsidRPr="0097554A">
        <w:rPr>
          <w:color w:val="0000FF"/>
        </w:rPr>
        <w:t>1845</w:t>
      </w:r>
      <w:r w:rsidRPr="004C59BB">
        <w:rPr>
          <w:color w:val="0000FF"/>
          <w:lang w:val="ru-RU"/>
        </w:rPr>
        <w:t>年第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346</w:t>
      </w:r>
      <w:r w:rsidRPr="004C59BB">
        <w:rPr>
          <w:color w:val="0000FF"/>
          <w:lang w:val="ru-RU"/>
        </w:rPr>
        <w:t>页</w:t>
      </w:r>
      <w:r w:rsidRPr="0097554A">
        <w:rPr>
          <w:color w:val="0000FF"/>
        </w:rPr>
        <w:t>）</w:t>
      </w:r>
      <w:r w:rsidRPr="004C59BB">
        <w:rPr>
          <w:color w:val="0000FF"/>
          <w:lang w:val="ru-RU"/>
        </w:rPr>
        <w:t>、米特罗凡</w:t>
      </w:r>
      <w:r w:rsidRPr="0097554A">
        <w:rPr>
          <w:color w:val="0000FF"/>
        </w:rPr>
        <w:t>·</w:t>
      </w:r>
      <w:r w:rsidRPr="004C59BB">
        <w:rPr>
          <w:color w:val="0000FF"/>
          <w:lang w:val="ru-RU"/>
        </w:rPr>
        <w:t>克里托普洛斯</w:t>
      </w:r>
      <w:r w:rsidRPr="0097554A">
        <w:rPr>
          <w:color w:val="0000FF"/>
        </w:rPr>
        <w:t>（</w:t>
      </w:r>
      <w:r w:rsidRPr="004C59BB">
        <w:rPr>
          <w:color w:val="0000FF"/>
          <w:lang w:val="ru-RU"/>
        </w:rPr>
        <w:t>在其《东方教会信条》及关于圣体的论著中</w:t>
      </w:r>
      <w:r w:rsidRPr="0097554A">
        <w:rPr>
          <w:color w:val="0000FF"/>
        </w:rPr>
        <w:t>）</w:t>
      </w:r>
      <w:r w:rsidRPr="004C59BB">
        <w:rPr>
          <w:color w:val="0000FF"/>
          <w:lang w:val="ru-RU"/>
        </w:rPr>
        <w:t>。在我国，利胡达兄弟、圣迪米特里·罗斯托夫斯基和斯特法伊·雅沃尔斯基曾专门就这一主题撰文反对天主教徒（参见尤金神父编纂的词典中关于他们的条目），而且1690年由宗主教约阿基姆召集的牧者大公会议也对此进行了讨论（参见同一作者撰写的文章： 约翰尼基·利胡德）。</w:t>
      </w:r>
    </w:p>
  </w:footnote>
  <w:footnote w:id="1169">
    <w:p w14:paraId="7C575103" w14:textId="6F37952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例如：多克特派（伊格纳提乌斯·博戈诺斯，</w:t>
      </w:r>
      <w:r w:rsidRPr="004C59BB">
        <w:rPr>
          <w:color w:val="0000FF"/>
        </w:rPr>
        <w:t>《致士每拿书信》第</w:t>
      </w:r>
      <w:r w:rsidRPr="0097554A">
        <w:rPr>
          <w:color w:val="0000FF"/>
          <w:lang w:val="ru-RU"/>
        </w:rPr>
        <w:t>7</w:t>
      </w:r>
      <w:r w:rsidRPr="004C59BB">
        <w:rPr>
          <w:color w:val="0000FF"/>
        </w:rPr>
        <w:t>节</w:t>
      </w:r>
      <w:r w:rsidRPr="0097554A">
        <w:rPr>
          <w:color w:val="0000FF"/>
          <w:lang w:val="ru-RU"/>
        </w:rPr>
        <w:t>）</w:t>
      </w:r>
      <w:r w:rsidRPr="004C59BB">
        <w:rPr>
          <w:color w:val="0000FF"/>
        </w:rPr>
        <w:t>、卡法里派</w:t>
      </w:r>
      <w:r w:rsidRPr="0097554A">
        <w:rPr>
          <w:color w:val="0000FF"/>
          <w:lang w:val="ru-RU"/>
        </w:rPr>
        <w:t>（</w:t>
      </w:r>
      <w:r w:rsidRPr="004C59BB">
        <w:rPr>
          <w:color w:val="0000FF"/>
        </w:rPr>
        <w:t>莫内塔</w:t>
      </w:r>
      <w:r w:rsidRPr="0097554A">
        <w:rPr>
          <w:color w:val="0000FF"/>
          <w:lang w:val="ru-RU"/>
        </w:rPr>
        <w:t>，</w:t>
      </w:r>
      <w:r w:rsidRPr="004C59BB">
        <w:rPr>
          <w:color w:val="0000FF"/>
        </w:rPr>
        <w:t>《反天主教与瓦尔多派论》第四卷第</w:t>
      </w:r>
      <w:r w:rsidRPr="0097554A">
        <w:rPr>
          <w:color w:val="0000FF"/>
          <w:lang w:val="ru-RU"/>
        </w:rPr>
        <w:t>3</w:t>
      </w:r>
      <w:r w:rsidRPr="004C59BB">
        <w:rPr>
          <w:color w:val="0000FF"/>
        </w:rPr>
        <w:t>章第</w:t>
      </w:r>
      <w:r w:rsidRPr="0097554A">
        <w:rPr>
          <w:color w:val="0000FF"/>
          <w:lang w:val="ru-RU"/>
        </w:rPr>
        <w:t>1</w:t>
      </w:r>
      <w:r w:rsidRPr="004C59BB">
        <w:rPr>
          <w:color w:val="0000FF"/>
        </w:rPr>
        <w:t>节</w:t>
      </w:r>
      <w:r w:rsidRPr="0097554A">
        <w:rPr>
          <w:color w:val="0000FF"/>
          <w:lang w:val="ru-RU"/>
        </w:rPr>
        <w:t>）</w:t>
      </w:r>
      <w:r w:rsidRPr="004C59BB">
        <w:rPr>
          <w:color w:val="0000FF"/>
        </w:rPr>
        <w:t>、保罗派和博戈米尔派</w:t>
      </w:r>
      <w:r w:rsidRPr="0097554A">
        <w:rPr>
          <w:color w:val="0000FF"/>
          <w:lang w:val="ru-RU"/>
        </w:rPr>
        <w:t>（</w:t>
      </w:r>
      <w:r w:rsidRPr="004C59BB">
        <w:rPr>
          <w:color w:val="0000FF"/>
        </w:rPr>
        <w:t>福提乌斯</w:t>
      </w:r>
      <w:r w:rsidRPr="0097554A">
        <w:rPr>
          <w:color w:val="0000FF"/>
          <w:lang w:val="ru-RU"/>
        </w:rPr>
        <w:t>，</w:t>
      </w:r>
      <w:r w:rsidRPr="004C59BB">
        <w:rPr>
          <w:color w:val="0000FF"/>
        </w:rPr>
        <w:t>《反摩尼教论》</w:t>
      </w:r>
      <w:r w:rsidRPr="004C59BB">
        <w:rPr>
          <w:color w:val="0000FF"/>
          <w:lang w:val="ru-RU"/>
        </w:rPr>
        <w:t>第1卷第7章）。</w:t>
      </w:r>
    </w:p>
  </w:footnote>
  <w:footnote w:id="1170">
    <w:p w14:paraId="2F8ED61B" w14:textId="179C9F3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例如：威克里夫、茨温利和加尔文及其追随者，以及所有索西尼派信徒和理性主义者。</w:t>
      </w:r>
    </w:p>
  </w:footnote>
  <w:footnote w:id="1171">
    <w:p w14:paraId="1C80DDCB" w14:textId="2229811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加尔文《基督教要义》第四卷</w:t>
      </w:r>
      <w:r w:rsidRPr="0097554A">
        <w:rPr>
          <w:color w:val="0000FF"/>
          <w:lang w:val="ru-RU"/>
        </w:rPr>
        <w:t>，17，</w:t>
      </w:r>
      <w:r w:rsidRPr="004C59BB">
        <w:rPr>
          <w:color w:val="0000FF"/>
        </w:rPr>
        <w:t>注</w:t>
      </w:r>
      <w:r w:rsidRPr="0097554A">
        <w:rPr>
          <w:color w:val="0000FF"/>
          <w:lang w:val="ru-RU"/>
        </w:rPr>
        <w:t>10；</w:t>
      </w:r>
      <w:r w:rsidRPr="004C59BB">
        <w:rPr>
          <w:color w:val="0000FF"/>
        </w:rPr>
        <w:t>《瑞士信条》第</w:t>
      </w:r>
      <w:r w:rsidRPr="0097554A">
        <w:rPr>
          <w:color w:val="0000FF"/>
          <w:lang w:val="ru-RU"/>
        </w:rPr>
        <w:t>1</w:t>
      </w:r>
      <w:r w:rsidRPr="004C59BB">
        <w:rPr>
          <w:color w:val="0000FF"/>
        </w:rPr>
        <w:t>卷</w:t>
      </w:r>
      <w:r w:rsidRPr="0097554A">
        <w:rPr>
          <w:color w:val="0000FF"/>
          <w:lang w:val="ru-RU"/>
        </w:rPr>
        <w:t>，</w:t>
      </w:r>
      <w:r w:rsidRPr="004C59BB">
        <w:rPr>
          <w:color w:val="0000FF"/>
        </w:rPr>
        <w:t>第XXI条</w:t>
      </w:r>
      <w:r w:rsidRPr="0097554A">
        <w:rPr>
          <w:color w:val="0000FF"/>
          <w:lang w:val="ru-RU"/>
        </w:rPr>
        <w:t>；</w:t>
      </w:r>
      <w:r w:rsidRPr="004C59BB">
        <w:rPr>
          <w:color w:val="0000FF"/>
        </w:rPr>
        <w:t>《法国信条》第XXXVI条</w:t>
      </w:r>
      <w:r w:rsidRPr="0097554A">
        <w:rPr>
          <w:color w:val="0000FF"/>
          <w:lang w:val="ru-RU"/>
        </w:rPr>
        <w:t>；</w:t>
      </w:r>
      <w:r w:rsidRPr="004C59BB">
        <w:rPr>
          <w:color w:val="0000FF"/>
        </w:rPr>
        <w:t>《比利时信条》第XXXV条。</w:t>
      </w:r>
    </w:p>
  </w:footnote>
  <w:footnote w:id="1172">
    <w:p w14:paraId="30E3CEC0" w14:textId="75CF13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或者，正如路德派所言：corpus Christi est in pane, cum pane, sub pane。</w:t>
      </w:r>
    </w:p>
  </w:footnote>
  <w:footnote w:id="1173">
    <w:p w14:paraId="62A96989" w14:textId="21357AD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这正是新教徒所希望的。</w:t>
      </w:r>
    </w:p>
  </w:footnote>
  <w:footnote w:id="1174">
    <w:p w14:paraId="0804D26E" w14:textId="5F065D2F"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总体而言</w:t>
      </w:r>
      <w:r w:rsidRPr="0097554A">
        <w:rPr>
          <w:color w:val="0000FF"/>
        </w:rPr>
        <w:t>，</w:t>
      </w:r>
      <w:r w:rsidRPr="004C59BB">
        <w:rPr>
          <w:color w:val="0000FF"/>
          <w:lang w:val="ru-RU"/>
        </w:rPr>
        <w:t>从其他关于救主的记载中也可以看出</w:t>
      </w:r>
      <w:r w:rsidRPr="0097554A">
        <w:rPr>
          <w:color w:val="0000FF"/>
        </w:rPr>
        <w:t>，</w:t>
      </w:r>
      <w:r w:rsidRPr="004C59BB">
        <w:rPr>
          <w:color w:val="0000FF"/>
          <w:lang w:val="ru-RU"/>
        </w:rPr>
        <w:t>当犹太人正确地从字面意义上理解祂的话语时</w:t>
      </w:r>
      <w:r w:rsidRPr="0097554A">
        <w:rPr>
          <w:color w:val="0000FF"/>
        </w:rPr>
        <w:t>，</w:t>
      </w:r>
      <w:r w:rsidRPr="004C59BB">
        <w:rPr>
          <w:color w:val="0000FF"/>
          <w:lang w:val="ru-RU"/>
        </w:rPr>
        <w:t>尽管听众们心怀不满并提出异议</w:t>
      </w:r>
      <w:r w:rsidRPr="0097554A">
        <w:rPr>
          <w:color w:val="0000FF"/>
        </w:rPr>
        <w:t>，</w:t>
      </w:r>
      <w:r w:rsidRPr="004C59BB">
        <w:rPr>
          <w:color w:val="0000FF"/>
          <w:lang w:val="ru-RU"/>
        </w:rPr>
        <w:t>祂仍会以更强有力的方式、更清晰地表达自己的思想。约翰福音 8:56–58；10:24–39； 马太福音9:2–6等。</w:t>
      </w:r>
    </w:p>
  </w:footnote>
  <w:footnote w:id="1175">
    <w:p w14:paraId="60BB2027" w14:textId="588C97D5"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克利门特·亚历山大，《</w:t>
      </w:r>
      <w:r w:rsidRPr="004C59BB">
        <w:rPr>
          <w:color w:val="0000FF"/>
        </w:rPr>
        <w:t>教导</w:t>
      </w:r>
      <w:r w:rsidRPr="004C59BB">
        <w:rPr>
          <w:color w:val="0000FF"/>
          <w:lang w:val="ru-RU"/>
        </w:rPr>
        <w:t>》</w:t>
      </w:r>
      <w:r w:rsidRPr="004C59BB">
        <w:rPr>
          <w:color w:val="0000FF"/>
        </w:rPr>
        <w:t>第六</w:t>
      </w:r>
      <w:r w:rsidRPr="004C59BB">
        <w:rPr>
          <w:color w:val="0000FF"/>
          <w:lang w:val="ru-RU"/>
        </w:rPr>
        <w:t>卷，12；《杂论》</w:t>
      </w:r>
      <w:r w:rsidRPr="004C59BB">
        <w:rPr>
          <w:color w:val="0000FF"/>
        </w:rPr>
        <w:t>第六</w:t>
      </w:r>
      <w:r w:rsidRPr="004C59BB">
        <w:rPr>
          <w:color w:val="0000FF"/>
          <w:lang w:val="ru-RU"/>
        </w:rPr>
        <w:t>卷，52；特土良，</w:t>
      </w:r>
      <w:r w:rsidRPr="004C59BB">
        <w:rPr>
          <w:color w:val="0000FF"/>
        </w:rPr>
        <w:t>《</w:t>
      </w:r>
      <w:r w:rsidRPr="004C59BB">
        <w:rPr>
          <w:color w:val="0000FF"/>
          <w:lang w:val="ru-RU"/>
        </w:rPr>
        <w:t>论</w:t>
      </w:r>
      <w:r w:rsidRPr="004C59BB">
        <w:rPr>
          <w:color w:val="0000FF"/>
        </w:rPr>
        <w:t>肉身的</w:t>
      </w:r>
      <w:r w:rsidRPr="004C59BB">
        <w:rPr>
          <w:color w:val="0000FF"/>
          <w:lang w:val="ru-RU"/>
        </w:rPr>
        <w:t>复活》</w:t>
      </w:r>
      <w:r w:rsidRPr="0097554A">
        <w:rPr>
          <w:color w:val="0000FF"/>
          <w:lang w:val="ru-RU"/>
        </w:rPr>
        <w:t>37；</w:t>
      </w:r>
      <w:r w:rsidRPr="004C59BB">
        <w:rPr>
          <w:color w:val="0000FF"/>
        </w:rPr>
        <w:t>基普里安</w:t>
      </w:r>
      <w:r w:rsidRPr="0097554A">
        <w:rPr>
          <w:color w:val="0000FF"/>
          <w:lang w:val="ru-RU"/>
        </w:rPr>
        <w:t>，</w:t>
      </w:r>
      <w:r w:rsidRPr="004C59BB">
        <w:rPr>
          <w:color w:val="0000FF"/>
        </w:rPr>
        <w:t>《论主耶稣的祷文》第</w:t>
      </w:r>
      <w:r w:rsidRPr="0097554A">
        <w:rPr>
          <w:color w:val="0000FF"/>
          <w:lang w:val="ru-RU"/>
        </w:rPr>
        <w:t>421</w:t>
      </w:r>
      <w:r w:rsidRPr="004C59BB">
        <w:rPr>
          <w:color w:val="0000FF"/>
        </w:rPr>
        <w:t>页</w:t>
      </w:r>
      <w:r w:rsidRPr="0097554A">
        <w:rPr>
          <w:color w:val="0000FF"/>
          <w:lang w:val="ru-RU"/>
        </w:rPr>
        <w:t>，</w:t>
      </w:r>
      <w:r w:rsidRPr="004C59BB">
        <w:rPr>
          <w:color w:val="0000FF"/>
        </w:rPr>
        <w:t>巴卢兹版</w:t>
      </w:r>
      <w:r w:rsidRPr="0097554A">
        <w:rPr>
          <w:color w:val="0000FF"/>
          <w:lang w:val="ru-RU"/>
        </w:rPr>
        <w:t>；</w:t>
      </w:r>
      <w:r w:rsidRPr="004C59BB">
        <w:rPr>
          <w:color w:val="0000FF"/>
        </w:rPr>
        <w:t>优西比乌</w:t>
      </w:r>
      <w:r w:rsidRPr="0097554A">
        <w:rPr>
          <w:color w:val="0000FF"/>
          <w:lang w:val="ru-RU"/>
        </w:rPr>
        <w:t>，</w:t>
      </w:r>
      <w:r w:rsidRPr="004C59BB">
        <w:rPr>
          <w:color w:val="0000FF"/>
        </w:rPr>
        <w:t>《以赛亚书注释》</w:t>
      </w:r>
      <w:r w:rsidRPr="0097554A">
        <w:rPr>
          <w:color w:val="0000FF"/>
          <w:lang w:val="ru-RU"/>
        </w:rPr>
        <w:t>11，</w:t>
      </w:r>
      <w:r w:rsidRPr="004C59BB">
        <w:rPr>
          <w:color w:val="0000FF"/>
        </w:rPr>
        <w:t>《诗篇》第</w:t>
      </w:r>
      <w:r w:rsidRPr="0097554A">
        <w:rPr>
          <w:color w:val="0000FF"/>
          <w:lang w:val="ru-RU"/>
        </w:rPr>
        <w:t>80</w:t>
      </w:r>
      <w:r w:rsidRPr="004C59BB">
        <w:rPr>
          <w:color w:val="0000FF"/>
        </w:rPr>
        <w:t>篇</w:t>
      </w:r>
      <w:r w:rsidRPr="0097554A">
        <w:rPr>
          <w:color w:val="0000FF"/>
          <w:lang w:val="ru-RU"/>
        </w:rPr>
        <w:t>，12</w:t>
      </w:r>
      <w:r w:rsidRPr="004C59BB">
        <w:rPr>
          <w:color w:val="0000FF"/>
        </w:rPr>
        <w:t>。</w:t>
      </w:r>
    </w:p>
  </w:footnote>
  <w:footnote w:id="1176">
    <w:p w14:paraId="5448D846" w14:textId="2D2F95D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尼萨的格里高利</w:t>
      </w:r>
      <w:r w:rsidRPr="0097554A">
        <w:rPr>
          <w:color w:val="0000FF"/>
          <w:lang w:val="ru-RU"/>
        </w:rPr>
        <w:t>，</w:t>
      </w:r>
      <w:r w:rsidRPr="004C59BB">
        <w:rPr>
          <w:color w:val="0000FF"/>
        </w:rPr>
        <w:t>《反尤诺米乌斯论》</w:t>
      </w:r>
      <w:r w:rsidRPr="0097554A">
        <w:rPr>
          <w:color w:val="0000FF"/>
          <w:lang w:val="ru-RU"/>
        </w:rPr>
        <w:t>，</w:t>
      </w:r>
      <w:r w:rsidRPr="004C59BB">
        <w:rPr>
          <w:color w:val="0000FF"/>
        </w:rPr>
        <w:t>《讲道集》第十一卷</w:t>
      </w:r>
      <w:r w:rsidRPr="0097554A">
        <w:rPr>
          <w:color w:val="0000FF"/>
          <w:lang w:val="ru-RU"/>
        </w:rPr>
        <w:t>，</w:t>
      </w:r>
      <w:r w:rsidRPr="004C59BB">
        <w:rPr>
          <w:color w:val="0000FF"/>
        </w:rPr>
        <w:t>第二卷</w:t>
      </w:r>
      <w:r w:rsidRPr="0097554A">
        <w:rPr>
          <w:color w:val="0000FF"/>
          <w:lang w:val="ru-RU"/>
        </w:rPr>
        <w:t>，</w:t>
      </w:r>
      <w:r w:rsidRPr="004C59BB">
        <w:rPr>
          <w:color w:val="0000FF"/>
        </w:rPr>
        <w:t>第</w:t>
      </w:r>
      <w:r w:rsidRPr="0097554A">
        <w:rPr>
          <w:color w:val="0000FF"/>
          <w:lang w:val="ru-RU"/>
        </w:rPr>
        <w:t>704</w:t>
      </w:r>
      <w:r w:rsidRPr="004C59BB">
        <w:rPr>
          <w:color w:val="0000FF"/>
        </w:rPr>
        <w:t>页</w:t>
      </w:r>
      <w:r w:rsidRPr="0097554A">
        <w:rPr>
          <w:color w:val="0000FF"/>
          <w:lang w:val="ru-RU"/>
        </w:rPr>
        <w:t>，</w:t>
      </w:r>
      <w:r w:rsidRPr="004C59BB">
        <w:rPr>
          <w:color w:val="0000FF"/>
        </w:rPr>
        <w:t>莫雷尔校注</w:t>
      </w:r>
      <w:r w:rsidRPr="004C59BB">
        <w:rPr>
          <w:color w:val="0000FF"/>
          <w:lang w:val="ru-RU"/>
        </w:rPr>
        <w:t>； 大巴西尔，《</w:t>
      </w:r>
      <w:r w:rsidRPr="004C59BB">
        <w:rPr>
          <w:color w:val="0000FF"/>
        </w:rPr>
        <w:t>论</w:t>
      </w:r>
      <w:r w:rsidRPr="004C59BB">
        <w:rPr>
          <w:color w:val="0000FF"/>
          <w:lang w:val="ru-RU"/>
        </w:rPr>
        <w:t>诗篇》44，注2；金口约翰，</w:t>
      </w:r>
      <w:r w:rsidRPr="004C59BB">
        <w:rPr>
          <w:color w:val="0000FF"/>
        </w:rPr>
        <w:t>《论圣职</w:t>
      </w:r>
      <w:r w:rsidRPr="004C59BB">
        <w:rPr>
          <w:color w:val="0000FF"/>
          <w:lang w:val="ru-RU"/>
        </w:rPr>
        <w:t>》III，5；埃皮法尼乌斯，《论</w:t>
      </w:r>
      <w:r w:rsidRPr="004C59BB">
        <w:rPr>
          <w:color w:val="0000FF"/>
        </w:rPr>
        <w:t>异端</w:t>
      </w:r>
      <w:r w:rsidRPr="004C59BB">
        <w:rPr>
          <w:color w:val="0000FF"/>
          <w:lang w:val="ru-RU"/>
        </w:rPr>
        <w:t>》</w:t>
      </w:r>
      <w:r w:rsidRPr="004C59BB">
        <w:rPr>
          <w:color w:val="0000FF"/>
        </w:rPr>
        <w:t>LX</w:t>
      </w:r>
      <w:r w:rsidRPr="0097554A">
        <w:rPr>
          <w:color w:val="0000FF"/>
          <w:lang w:val="ru-RU"/>
        </w:rPr>
        <w:t>；</w:t>
      </w:r>
      <w:r w:rsidRPr="004C59BB">
        <w:rPr>
          <w:color w:val="0000FF"/>
        </w:rPr>
        <w:t>马卡里乌斯</w:t>
      </w:r>
      <w:r w:rsidRPr="0097554A">
        <w:rPr>
          <w:color w:val="0000FF"/>
          <w:lang w:val="ru-RU"/>
        </w:rPr>
        <w:t>，</w:t>
      </w:r>
      <w:r w:rsidRPr="004C59BB">
        <w:rPr>
          <w:color w:val="0000FF"/>
        </w:rPr>
        <w:t>《路加福音注释》XXIV</w:t>
      </w:r>
      <w:r w:rsidRPr="0097554A">
        <w:rPr>
          <w:color w:val="0000FF"/>
          <w:lang w:val="ru-RU"/>
        </w:rPr>
        <w:t>，7（</w:t>
      </w:r>
      <w:r w:rsidRPr="004C59BB">
        <w:rPr>
          <w:color w:val="0000FF"/>
        </w:rPr>
        <w:t>见《马伊链注》IX</w:t>
      </w:r>
      <w:r w:rsidRPr="0097554A">
        <w:rPr>
          <w:color w:val="0000FF"/>
          <w:lang w:val="ru-RU"/>
        </w:rPr>
        <w:t>，</w:t>
      </w:r>
      <w:r w:rsidRPr="004C59BB">
        <w:rPr>
          <w:color w:val="0000FF"/>
        </w:rPr>
        <w:t>第</w:t>
      </w:r>
      <w:r w:rsidRPr="0097554A">
        <w:rPr>
          <w:color w:val="0000FF"/>
          <w:lang w:val="ru-RU"/>
        </w:rPr>
        <w:t>707</w:t>
      </w:r>
      <w:r w:rsidRPr="004C59BB">
        <w:rPr>
          <w:color w:val="0000FF"/>
        </w:rPr>
        <w:t>页</w:t>
      </w:r>
      <w:r w:rsidRPr="0097554A">
        <w:rPr>
          <w:color w:val="0000FF"/>
          <w:lang w:val="ru-RU"/>
        </w:rPr>
        <w:t>）</w:t>
      </w:r>
      <w:r w:rsidRPr="004C59BB">
        <w:rPr>
          <w:color w:val="0000FF"/>
        </w:rPr>
        <w:t>。</w:t>
      </w:r>
    </w:p>
  </w:footnote>
  <w:footnote w:id="1177">
    <w:p w14:paraId="2F143BF3" w14:textId="309C81B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安布罗斯</w:t>
      </w:r>
      <w:r w:rsidRPr="0097554A">
        <w:rPr>
          <w:color w:val="0000FF"/>
          <w:lang w:val="ru-RU"/>
        </w:rPr>
        <w:t>，</w:t>
      </w:r>
      <w:r w:rsidRPr="004C59BB">
        <w:rPr>
          <w:color w:val="0000FF"/>
        </w:rPr>
        <w:t>《论信仰》第四卷</w:t>
      </w:r>
      <w:r w:rsidRPr="0097554A">
        <w:rPr>
          <w:color w:val="0000FF"/>
          <w:lang w:val="ru-RU"/>
        </w:rPr>
        <w:t>，</w:t>
      </w:r>
      <w:r w:rsidRPr="004C59BB">
        <w:rPr>
          <w:color w:val="0000FF"/>
        </w:rPr>
        <w:t>第</w:t>
      </w:r>
      <w:r w:rsidRPr="0097554A">
        <w:rPr>
          <w:color w:val="0000FF"/>
          <w:lang w:val="ru-RU"/>
        </w:rPr>
        <w:t>6</w:t>
      </w:r>
      <w:r w:rsidRPr="004C59BB">
        <w:rPr>
          <w:color w:val="0000FF"/>
        </w:rPr>
        <w:t>章</w:t>
      </w:r>
      <w:r w:rsidRPr="0097554A">
        <w:rPr>
          <w:color w:val="0000FF"/>
          <w:lang w:val="ru-RU"/>
        </w:rPr>
        <w:t>；</w:t>
      </w:r>
      <w:r w:rsidRPr="004C59BB">
        <w:rPr>
          <w:color w:val="0000FF"/>
        </w:rPr>
        <w:t>《论圣礼》第四卷</w:t>
      </w:r>
      <w:r w:rsidRPr="0097554A">
        <w:rPr>
          <w:color w:val="0000FF"/>
          <w:lang w:val="ru-RU"/>
        </w:rPr>
        <w:t>，</w:t>
      </w:r>
      <w:r w:rsidRPr="004C59BB">
        <w:rPr>
          <w:color w:val="0000FF"/>
        </w:rPr>
        <w:t>第</w:t>
      </w:r>
      <w:r w:rsidRPr="0097554A">
        <w:rPr>
          <w:color w:val="0000FF"/>
          <w:lang w:val="ru-RU"/>
        </w:rPr>
        <w:t>5</w:t>
      </w:r>
      <w:r w:rsidRPr="004C59BB">
        <w:rPr>
          <w:color w:val="0000FF"/>
        </w:rPr>
        <w:t>章</w:t>
      </w:r>
      <w:r w:rsidRPr="0097554A">
        <w:rPr>
          <w:color w:val="0000FF"/>
          <w:lang w:val="ru-RU"/>
        </w:rPr>
        <w:t>；</w:t>
      </w:r>
      <w:r w:rsidRPr="004C59BB">
        <w:rPr>
          <w:color w:val="0000FF"/>
        </w:rPr>
        <w:t>第五卷</w:t>
      </w:r>
      <w:r w:rsidRPr="0097554A">
        <w:rPr>
          <w:color w:val="0000FF"/>
          <w:lang w:val="ru-RU"/>
        </w:rPr>
        <w:t>，</w:t>
      </w:r>
      <w:r w:rsidRPr="004C59BB">
        <w:rPr>
          <w:color w:val="0000FF"/>
        </w:rPr>
        <w:t>第</w:t>
      </w:r>
      <w:r w:rsidRPr="0097554A">
        <w:rPr>
          <w:color w:val="0000FF"/>
          <w:lang w:val="ru-RU"/>
        </w:rPr>
        <w:t>1</w:t>
      </w:r>
      <w:r w:rsidRPr="004C59BB">
        <w:rPr>
          <w:color w:val="0000FF"/>
        </w:rPr>
        <w:t>章</w:t>
      </w:r>
      <w:r w:rsidRPr="0097554A">
        <w:rPr>
          <w:color w:val="0000FF"/>
          <w:lang w:val="ru-RU"/>
        </w:rPr>
        <w:t xml:space="preserve">； </w:t>
      </w:r>
      <w:r w:rsidRPr="004C59BB">
        <w:rPr>
          <w:color w:val="0000FF"/>
        </w:rPr>
        <w:t>亚历山大主教</w:t>
      </w:r>
      <w:r w:rsidRPr="0097554A">
        <w:rPr>
          <w:color w:val="0000FF"/>
          <w:lang w:val="ru-RU"/>
        </w:rPr>
        <w:t>，</w:t>
      </w:r>
      <w:r w:rsidRPr="004C59BB">
        <w:rPr>
          <w:color w:val="0000FF"/>
        </w:rPr>
        <w:t>《论阿巴克》</w:t>
      </w:r>
      <w:r w:rsidRPr="0097554A">
        <w:rPr>
          <w:color w:val="0000FF"/>
          <w:lang w:val="ru-RU"/>
        </w:rPr>
        <w:t>，</w:t>
      </w:r>
      <w:r w:rsidRPr="004C59BB">
        <w:rPr>
          <w:color w:val="0000FF"/>
        </w:rPr>
        <w:t>第</w:t>
      </w:r>
      <w:r w:rsidRPr="0097554A">
        <w:rPr>
          <w:color w:val="0000FF"/>
          <w:lang w:val="ru-RU"/>
        </w:rPr>
        <w:t>48</w:t>
      </w:r>
      <w:r w:rsidRPr="004C59BB">
        <w:rPr>
          <w:color w:val="0000FF"/>
        </w:rPr>
        <w:t>节</w:t>
      </w:r>
      <w:r w:rsidRPr="0097554A">
        <w:rPr>
          <w:color w:val="0000FF"/>
          <w:lang w:val="ru-RU"/>
        </w:rPr>
        <w:t>；</w:t>
      </w:r>
      <w:r w:rsidRPr="004C59BB">
        <w:rPr>
          <w:color w:val="0000FF"/>
        </w:rPr>
        <w:t>奥古斯丁</w:t>
      </w:r>
      <w:r w:rsidRPr="0097554A">
        <w:rPr>
          <w:color w:val="0000FF"/>
          <w:lang w:val="ru-RU"/>
        </w:rPr>
        <w:t>，</w:t>
      </w:r>
      <w:r w:rsidRPr="004C59BB">
        <w:rPr>
          <w:color w:val="0000FF"/>
        </w:rPr>
        <w:t>《以弗所书注》</w:t>
      </w:r>
      <w:r w:rsidRPr="0097554A">
        <w:rPr>
          <w:color w:val="0000FF"/>
          <w:lang w:val="ru-RU"/>
        </w:rPr>
        <w:t>，</w:t>
      </w:r>
      <w:r w:rsidRPr="004C59BB">
        <w:rPr>
          <w:color w:val="0000FF"/>
        </w:rPr>
        <w:t>第I卷</w:t>
      </w:r>
      <w:r w:rsidRPr="0097554A">
        <w:rPr>
          <w:color w:val="0000FF"/>
          <w:lang w:val="ru-RU"/>
        </w:rPr>
        <w:t>，</w:t>
      </w:r>
      <w:r w:rsidRPr="004C59BB">
        <w:rPr>
          <w:color w:val="0000FF"/>
        </w:rPr>
        <w:t>第</w:t>
      </w:r>
      <w:r w:rsidRPr="0097554A">
        <w:rPr>
          <w:color w:val="0000FF"/>
          <w:lang w:val="ru-RU"/>
        </w:rPr>
        <w:t>7</w:t>
      </w:r>
      <w:r w:rsidRPr="004C59BB">
        <w:rPr>
          <w:color w:val="0000FF"/>
        </w:rPr>
        <w:t>节</w:t>
      </w:r>
      <w:r w:rsidRPr="0097554A">
        <w:rPr>
          <w:color w:val="0000FF"/>
          <w:lang w:val="ru-RU"/>
        </w:rPr>
        <w:t>；</w:t>
      </w:r>
      <w:r w:rsidRPr="004C59BB">
        <w:rPr>
          <w:color w:val="0000FF"/>
        </w:rPr>
        <w:t>狄奥多里特</w:t>
      </w:r>
      <w:r w:rsidRPr="0097554A">
        <w:rPr>
          <w:color w:val="0000FF"/>
          <w:lang w:val="ru-RU"/>
        </w:rPr>
        <w:t>，</w:t>
      </w:r>
      <w:r w:rsidRPr="004C59BB">
        <w:rPr>
          <w:color w:val="0000FF"/>
        </w:rPr>
        <w:t>《教会史》第IV卷</w:t>
      </w:r>
      <w:r w:rsidRPr="0097554A">
        <w:rPr>
          <w:color w:val="0000FF"/>
          <w:lang w:val="ru-RU"/>
        </w:rPr>
        <w:t>，</w:t>
      </w:r>
      <w:r w:rsidRPr="004C59BB">
        <w:rPr>
          <w:color w:val="0000FF"/>
        </w:rPr>
        <w:t>第</w:t>
      </w:r>
      <w:r w:rsidRPr="0097554A">
        <w:rPr>
          <w:color w:val="0000FF"/>
          <w:lang w:val="ru-RU"/>
        </w:rPr>
        <w:t>11</w:t>
      </w:r>
      <w:r w:rsidRPr="004C59BB">
        <w:rPr>
          <w:color w:val="0000FF"/>
        </w:rPr>
        <w:t>章</w:t>
      </w:r>
      <w:r w:rsidRPr="0097554A">
        <w:rPr>
          <w:color w:val="0000FF"/>
          <w:lang w:val="ru-RU"/>
        </w:rPr>
        <w:t>；</w:t>
      </w:r>
      <w:r w:rsidRPr="004C59BB">
        <w:rPr>
          <w:color w:val="0000FF"/>
        </w:rPr>
        <w:t>莱昂特</w:t>
      </w:r>
      <w:r w:rsidRPr="0097554A">
        <w:rPr>
          <w:color w:val="0000FF"/>
          <w:lang w:val="ru-RU"/>
        </w:rPr>
        <w:t>，</w:t>
      </w:r>
      <w:r w:rsidRPr="004C59BB">
        <w:rPr>
          <w:color w:val="0000FF"/>
        </w:rPr>
        <w:t>《反聂斯托里乌斯论》第VII卷</w:t>
      </w:r>
      <w:r w:rsidRPr="0097554A">
        <w:rPr>
          <w:color w:val="0000FF"/>
          <w:lang w:val="ru-RU"/>
        </w:rPr>
        <w:t>，</w:t>
      </w:r>
      <w:r w:rsidRPr="004C59BB">
        <w:rPr>
          <w:color w:val="0000FF"/>
        </w:rPr>
        <w:t>第</w:t>
      </w:r>
      <w:r w:rsidRPr="0097554A">
        <w:rPr>
          <w:color w:val="0000FF"/>
          <w:lang w:val="ru-RU"/>
        </w:rPr>
        <w:t>3</w:t>
      </w:r>
      <w:r w:rsidRPr="004C59BB">
        <w:rPr>
          <w:color w:val="0000FF"/>
        </w:rPr>
        <w:t>章</w:t>
      </w:r>
      <w:r w:rsidRPr="0097554A">
        <w:rPr>
          <w:color w:val="0000FF"/>
          <w:lang w:val="ru-RU"/>
        </w:rPr>
        <w:t>（</w:t>
      </w:r>
      <w:r w:rsidRPr="004C59BB">
        <w:rPr>
          <w:color w:val="0000FF"/>
        </w:rPr>
        <w:t>见《迈伊注释集》第IX卷</w:t>
      </w:r>
      <w:r w:rsidRPr="0097554A">
        <w:rPr>
          <w:color w:val="0000FF"/>
          <w:lang w:val="ru-RU"/>
        </w:rPr>
        <w:t>）；</w:t>
      </w:r>
      <w:r w:rsidRPr="004C59BB">
        <w:rPr>
          <w:color w:val="0000FF"/>
        </w:rPr>
        <w:t>大马士革</w:t>
      </w:r>
      <w:r w:rsidRPr="0097554A">
        <w:rPr>
          <w:color w:val="0000FF"/>
          <w:lang w:val="ru-RU"/>
        </w:rPr>
        <w:t>，</w:t>
      </w:r>
      <w:r w:rsidRPr="004C59BB">
        <w:rPr>
          <w:color w:val="0000FF"/>
        </w:rPr>
        <w:t>《正统信仰精确阐述》第IV卷</w:t>
      </w:r>
      <w:r w:rsidRPr="0097554A">
        <w:rPr>
          <w:color w:val="0000FF"/>
          <w:lang w:val="ru-RU"/>
        </w:rPr>
        <w:t>，</w:t>
      </w:r>
      <w:r w:rsidRPr="004C59BB">
        <w:rPr>
          <w:color w:val="0000FF"/>
        </w:rPr>
        <w:t>第</w:t>
      </w:r>
      <w:r w:rsidRPr="0097554A">
        <w:rPr>
          <w:color w:val="0000FF"/>
          <w:lang w:val="ru-RU"/>
        </w:rPr>
        <w:t>14</w:t>
      </w:r>
      <w:r w:rsidRPr="004C59BB">
        <w:rPr>
          <w:color w:val="0000FF"/>
        </w:rPr>
        <w:t>章。</w:t>
      </w:r>
    </w:p>
  </w:footnote>
  <w:footnote w:id="1178">
    <w:p w14:paraId="45A4FFEC" w14:textId="0F5F3E0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以弗所大公会议。《致聂斯托里乌斯书》</w:t>
      </w:r>
      <w:r w:rsidRPr="0097554A">
        <w:rPr>
          <w:color w:val="0000FF"/>
          <w:lang w:val="ru-RU"/>
        </w:rPr>
        <w:t>，</w:t>
      </w:r>
      <w:r w:rsidRPr="004C59BB">
        <w:rPr>
          <w:color w:val="0000FF"/>
        </w:rPr>
        <w:t>见于哈杜因《大公会议条目》第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1290</w:t>
      </w:r>
      <w:r w:rsidRPr="004C59BB">
        <w:rPr>
          <w:color w:val="0000FF"/>
        </w:rPr>
        <w:t>栏</w:t>
      </w:r>
      <w:r w:rsidRPr="0097554A">
        <w:rPr>
          <w:color w:val="0000FF"/>
          <w:lang w:val="ru-RU"/>
        </w:rPr>
        <w:t>；</w:t>
      </w:r>
      <w:r w:rsidRPr="004C59BB">
        <w:rPr>
          <w:color w:val="0000FF"/>
        </w:rPr>
        <w:t>君士坦丁堡第二大公会议</w:t>
      </w:r>
      <w:r w:rsidRPr="0097554A">
        <w:rPr>
          <w:color w:val="0000FF"/>
          <w:lang w:val="ru-RU"/>
        </w:rPr>
        <w:t>，</w:t>
      </w:r>
      <w:r w:rsidRPr="004C59BB">
        <w:rPr>
          <w:color w:val="0000FF"/>
        </w:rPr>
        <w:t>《第四次辩论》</w:t>
      </w:r>
      <w:r w:rsidRPr="0097554A">
        <w:rPr>
          <w:color w:val="0000FF"/>
          <w:lang w:val="ru-RU"/>
        </w:rPr>
        <w:t>，</w:t>
      </w:r>
      <w:r w:rsidRPr="004C59BB">
        <w:rPr>
          <w:color w:val="0000FF"/>
        </w:rPr>
        <w:t>第</w:t>
      </w:r>
      <w:r w:rsidRPr="0097554A">
        <w:rPr>
          <w:color w:val="0000FF"/>
          <w:lang w:val="ru-RU"/>
        </w:rPr>
        <w:t>370</w:t>
      </w:r>
      <w:r w:rsidRPr="004C59BB">
        <w:rPr>
          <w:color w:val="0000FF"/>
        </w:rPr>
        <w:t>栏。</w:t>
      </w:r>
    </w:p>
  </w:footnote>
  <w:footnote w:id="1179">
    <w:p w14:paraId="69C87DBE" w14:textId="430FF646"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《致士麦那书》第</w:t>
      </w:r>
      <w:r w:rsidRPr="0097554A">
        <w:rPr>
          <w:color w:val="0000FF"/>
          <w:lang w:val="ru-RU"/>
        </w:rPr>
        <w:t>7</w:t>
      </w:r>
      <w:r w:rsidRPr="004C59BB">
        <w:rPr>
          <w:color w:val="0000FF"/>
        </w:rPr>
        <w:t>号。</w:t>
      </w:r>
    </w:p>
  </w:footnote>
  <w:footnote w:id="1180">
    <w:p w14:paraId="5E84B856" w14:textId="2BA8611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《辩护书》第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61</w:t>
      </w:r>
      <w:r w:rsidRPr="004C59BB">
        <w:rPr>
          <w:color w:val="0000FF"/>
        </w:rPr>
        <w:t>号</w:t>
      </w:r>
      <w:r w:rsidRPr="0097554A">
        <w:rPr>
          <w:color w:val="0000FF"/>
          <w:lang w:val="ru-RU"/>
        </w:rPr>
        <w:t>，</w:t>
      </w:r>
      <w:r w:rsidRPr="004C59BB">
        <w:rPr>
          <w:color w:val="0000FF"/>
        </w:rPr>
        <w:t>载于《基督教读物》</w:t>
      </w:r>
      <w:r w:rsidRPr="0097554A">
        <w:rPr>
          <w:color w:val="0000FF"/>
          <w:lang w:val="ru-RU"/>
        </w:rPr>
        <w:t>1825</w:t>
      </w:r>
      <w:r w:rsidRPr="004C59BB">
        <w:rPr>
          <w:color w:val="0000FF"/>
        </w:rPr>
        <w:t>年版</w:t>
      </w:r>
      <w:r w:rsidRPr="0097554A">
        <w:rPr>
          <w:color w:val="0000FF"/>
          <w:lang w:val="ru-RU"/>
        </w:rPr>
        <w:t>，</w:t>
      </w:r>
      <w:r w:rsidRPr="004C59BB">
        <w:rPr>
          <w:color w:val="0000FF"/>
        </w:rPr>
        <w:t>第XVII卷</w:t>
      </w:r>
      <w:r w:rsidRPr="0097554A">
        <w:rPr>
          <w:color w:val="0000FF"/>
          <w:lang w:val="ru-RU"/>
        </w:rPr>
        <w:t>，</w:t>
      </w:r>
      <w:r w:rsidRPr="004C59BB">
        <w:rPr>
          <w:color w:val="0000FF"/>
        </w:rPr>
        <w:t>第</w:t>
      </w:r>
      <w:r w:rsidRPr="0097554A">
        <w:rPr>
          <w:color w:val="0000FF"/>
          <w:lang w:val="ru-RU"/>
        </w:rPr>
        <w:t>99</w:t>
      </w:r>
      <w:r w:rsidRPr="004C59BB">
        <w:rPr>
          <w:color w:val="0000FF"/>
        </w:rPr>
        <w:t>页。</w:t>
      </w:r>
    </w:p>
  </w:footnote>
  <w:footnote w:id="1181">
    <w:p w14:paraId="6348693D" w14:textId="4BC2F8B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《反异端》第四卷</w:t>
      </w:r>
      <w:r w:rsidRPr="0097554A">
        <w:rPr>
          <w:color w:val="0000FF"/>
          <w:lang w:val="ru-RU"/>
        </w:rPr>
        <w:t>，</w:t>
      </w:r>
      <w:r w:rsidRPr="004C59BB">
        <w:rPr>
          <w:color w:val="0000FF"/>
        </w:rPr>
        <w:t>第</w:t>
      </w:r>
      <w:r w:rsidRPr="0097554A">
        <w:rPr>
          <w:color w:val="0000FF"/>
          <w:lang w:val="ru-RU"/>
        </w:rPr>
        <w:t>18</w:t>
      </w:r>
      <w:r w:rsidRPr="004C59BB">
        <w:rPr>
          <w:color w:val="0000FF"/>
        </w:rPr>
        <w:t>章</w:t>
      </w:r>
      <w:r w:rsidRPr="0097554A">
        <w:rPr>
          <w:color w:val="0000FF"/>
          <w:lang w:val="ru-RU"/>
        </w:rPr>
        <w:t>，</w:t>
      </w:r>
      <w:r w:rsidRPr="004C59BB">
        <w:rPr>
          <w:color w:val="0000FF"/>
        </w:rPr>
        <w:t>第</w:t>
      </w:r>
      <w:r w:rsidRPr="0097554A">
        <w:rPr>
          <w:color w:val="0000FF"/>
          <w:lang w:val="ru-RU"/>
        </w:rPr>
        <w:t>4</w:t>
      </w:r>
      <w:r w:rsidRPr="004C59BB">
        <w:rPr>
          <w:color w:val="0000FF"/>
        </w:rPr>
        <w:t>节</w:t>
      </w:r>
      <w:r w:rsidRPr="0097554A">
        <w:rPr>
          <w:color w:val="0000FF"/>
          <w:lang w:val="ru-RU"/>
        </w:rPr>
        <w:t>；</w:t>
      </w:r>
      <w:r w:rsidRPr="004C59BB">
        <w:rPr>
          <w:color w:val="0000FF"/>
        </w:rPr>
        <w:t>参见第</w:t>
      </w:r>
      <w:r w:rsidRPr="0097554A">
        <w:rPr>
          <w:color w:val="0000FF"/>
          <w:lang w:val="ru-RU"/>
        </w:rPr>
        <w:t>5</w:t>
      </w:r>
      <w:r w:rsidRPr="004C59BB">
        <w:rPr>
          <w:color w:val="0000FF"/>
        </w:rPr>
        <w:t>节。</w:t>
      </w:r>
    </w:p>
  </w:footnote>
  <w:footnote w:id="1182">
    <w:p w14:paraId="1CC96835" w14:textId="063CDDA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同上</w:t>
      </w:r>
      <w:r w:rsidRPr="0097554A">
        <w:rPr>
          <w:color w:val="0000FF"/>
          <w:lang w:val="ru-RU"/>
        </w:rPr>
        <w:t>，</w:t>
      </w:r>
      <w:r w:rsidRPr="004C59BB">
        <w:rPr>
          <w:color w:val="0000FF"/>
        </w:rPr>
        <w:t>第V卷</w:t>
      </w:r>
      <w:r w:rsidRPr="0097554A">
        <w:rPr>
          <w:color w:val="0000FF"/>
          <w:lang w:val="ru-RU"/>
        </w:rPr>
        <w:t>，</w:t>
      </w:r>
      <w:r w:rsidRPr="004C59BB">
        <w:rPr>
          <w:color w:val="0000FF"/>
        </w:rPr>
        <w:t>第</w:t>
      </w:r>
      <w:r w:rsidRPr="0097554A">
        <w:rPr>
          <w:color w:val="0000FF"/>
          <w:lang w:val="ru-RU"/>
        </w:rPr>
        <w:t>2</w:t>
      </w:r>
      <w:r w:rsidRPr="004C59BB">
        <w:rPr>
          <w:color w:val="0000FF"/>
        </w:rPr>
        <w:t>章</w:t>
      </w:r>
      <w:r w:rsidRPr="0097554A">
        <w:rPr>
          <w:color w:val="0000FF"/>
          <w:lang w:val="ru-RU"/>
        </w:rPr>
        <w:t>，</w:t>
      </w:r>
      <w:r w:rsidRPr="004C59BB">
        <w:rPr>
          <w:color w:val="0000FF"/>
        </w:rPr>
        <w:t>第</w:t>
      </w:r>
      <w:r w:rsidRPr="0097554A">
        <w:rPr>
          <w:color w:val="0000FF"/>
          <w:lang w:val="ru-RU"/>
        </w:rPr>
        <w:t>2</w:t>
      </w:r>
      <w:r w:rsidRPr="004C59BB">
        <w:rPr>
          <w:color w:val="0000FF"/>
        </w:rPr>
        <w:t>条</w:t>
      </w:r>
      <w:r w:rsidRPr="0097554A">
        <w:rPr>
          <w:color w:val="0000FF"/>
          <w:lang w:val="ru-RU"/>
        </w:rPr>
        <w:t>；</w:t>
      </w:r>
      <w:r w:rsidRPr="004C59BB">
        <w:rPr>
          <w:color w:val="0000FF"/>
        </w:rPr>
        <w:t>参见第IV卷</w:t>
      </w:r>
      <w:r w:rsidRPr="0097554A">
        <w:rPr>
          <w:color w:val="0000FF"/>
          <w:lang w:val="ru-RU"/>
        </w:rPr>
        <w:t>，</w:t>
      </w:r>
      <w:r w:rsidRPr="004C59BB">
        <w:rPr>
          <w:color w:val="0000FF"/>
        </w:rPr>
        <w:t>第</w:t>
      </w:r>
      <w:r w:rsidRPr="0097554A">
        <w:rPr>
          <w:color w:val="0000FF"/>
          <w:lang w:val="ru-RU"/>
        </w:rPr>
        <w:t>17</w:t>
      </w:r>
      <w:r w:rsidRPr="004C59BB">
        <w:rPr>
          <w:color w:val="0000FF"/>
        </w:rPr>
        <w:t>章</w:t>
      </w:r>
      <w:r w:rsidRPr="0097554A">
        <w:rPr>
          <w:color w:val="0000FF"/>
          <w:lang w:val="ru-RU"/>
        </w:rPr>
        <w:t>，</w:t>
      </w:r>
      <w:r w:rsidRPr="004C59BB">
        <w:rPr>
          <w:color w:val="0000FF"/>
        </w:rPr>
        <w:t>第</w:t>
      </w:r>
      <w:r w:rsidRPr="0097554A">
        <w:rPr>
          <w:color w:val="0000FF"/>
          <w:lang w:val="ru-RU"/>
        </w:rPr>
        <w:t>5</w:t>
      </w:r>
      <w:r w:rsidRPr="004C59BB">
        <w:rPr>
          <w:color w:val="0000FF"/>
        </w:rPr>
        <w:t>条</w:t>
      </w:r>
      <w:r w:rsidRPr="0097554A">
        <w:rPr>
          <w:color w:val="0000FF"/>
          <w:lang w:val="ru-RU"/>
        </w:rPr>
        <w:t>；</w:t>
      </w:r>
      <w:r w:rsidRPr="004C59BB">
        <w:rPr>
          <w:color w:val="0000FF"/>
        </w:rPr>
        <w:t>第</w:t>
      </w:r>
      <w:r w:rsidRPr="0097554A">
        <w:rPr>
          <w:color w:val="0000FF"/>
          <w:lang w:val="ru-RU"/>
        </w:rPr>
        <w:t>33</w:t>
      </w:r>
      <w:r w:rsidRPr="004C59BB">
        <w:rPr>
          <w:color w:val="0000FF"/>
        </w:rPr>
        <w:t>章</w:t>
      </w:r>
      <w:r w:rsidRPr="0097554A">
        <w:rPr>
          <w:color w:val="0000FF"/>
          <w:lang w:val="ru-RU"/>
        </w:rPr>
        <w:t>，</w:t>
      </w:r>
      <w:r w:rsidRPr="004C59BB">
        <w:rPr>
          <w:color w:val="0000FF"/>
        </w:rPr>
        <w:t>第</w:t>
      </w:r>
      <w:r w:rsidRPr="0097554A">
        <w:rPr>
          <w:color w:val="0000FF"/>
          <w:lang w:val="ru-RU"/>
        </w:rPr>
        <w:t>2</w:t>
      </w:r>
      <w:r w:rsidRPr="004C59BB">
        <w:rPr>
          <w:color w:val="0000FF"/>
        </w:rPr>
        <w:t>条。</w:t>
      </w:r>
    </w:p>
  </w:footnote>
  <w:footnote w:id="1183">
    <w:p w14:paraId="3F61AE90" w14:textId="0220233F"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lang w:val="el-GR"/>
        </w:rPr>
        <w:t>身体的形体</w:t>
      </w:r>
      <w:r w:rsidRPr="0097554A">
        <w:rPr>
          <w:color w:val="0000FF"/>
          <w:lang w:val="ru-RU"/>
        </w:rPr>
        <w:t>，</w:t>
      </w:r>
      <w:r w:rsidRPr="004C59BB">
        <w:rPr>
          <w:color w:val="0000FF"/>
          <w:lang w:val="el-GR"/>
        </w:rPr>
        <w:t>也非血的所在</w:t>
      </w:r>
      <w:r w:rsidRPr="0097554A">
        <w:rPr>
          <w:color w:val="0000FF"/>
          <w:lang w:val="ru-RU"/>
        </w:rPr>
        <w:t>，</w:t>
      </w:r>
      <w:r w:rsidRPr="004C59BB">
        <w:rPr>
          <w:color w:val="0000FF"/>
          <w:lang w:val="el-GR"/>
        </w:rPr>
        <w:t>正如某些人所臆测的那样</w:t>
      </w:r>
      <w:r w:rsidRPr="0097554A">
        <w:rPr>
          <w:color w:val="0000FF"/>
          <w:lang w:val="ru-RU"/>
        </w:rPr>
        <w:t>；</w:t>
      </w:r>
      <w:r w:rsidRPr="004C59BB">
        <w:rPr>
          <w:color w:val="0000FF"/>
          <w:lang w:val="el-GR"/>
        </w:rPr>
        <w:t>但实际上</w:t>
      </w:r>
      <w:r w:rsidRPr="0097554A">
        <w:rPr>
          <w:color w:val="0000FF"/>
          <w:lang w:val="ru-RU"/>
        </w:rPr>
        <w:t>，</w:t>
      </w:r>
      <w:r w:rsidRPr="004C59BB">
        <w:rPr>
          <w:color w:val="0000FF"/>
          <w:lang w:val="el-GR"/>
        </w:rPr>
        <w:t>那是基督的血与身体</w:t>
      </w:r>
      <w:r w:rsidRPr="004C59BB">
        <w:rPr>
          <w:color w:val="0000FF"/>
        </w:rPr>
        <w:t>。”《反狄奥斯泰内姆辩护书》第三卷残篇（见加兰德版第三卷，第541页）。</w:t>
      </w:r>
    </w:p>
  </w:footnote>
  <w:footnote w:id="1184">
    <w:p w14:paraId="72085839" w14:textId="51910C2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《秘传教义》</w:t>
      </w:r>
      <w:r w:rsidRPr="004C59BB">
        <w:rPr>
          <w:color w:val="0000FF"/>
        </w:rPr>
        <w:t>第四卷，</w:t>
      </w:r>
      <w:r w:rsidRPr="004C59BB">
        <w:rPr>
          <w:color w:val="0000FF"/>
          <w:lang w:val="ru-RU"/>
        </w:rPr>
        <w:t>第</w:t>
      </w:r>
      <w:r w:rsidRPr="0097554A">
        <w:rPr>
          <w:color w:val="0000FF"/>
        </w:rPr>
        <w:t>1</w:t>
      </w:r>
      <w:r w:rsidRPr="004C59BB">
        <w:rPr>
          <w:color w:val="0000FF"/>
          <w:lang w:val="ru-RU"/>
        </w:rPr>
        <w:t>、</w:t>
      </w:r>
      <w:r w:rsidRPr="0097554A">
        <w:rPr>
          <w:color w:val="0000FF"/>
        </w:rPr>
        <w:t>2</w:t>
      </w:r>
      <w:r w:rsidRPr="004C59BB">
        <w:rPr>
          <w:color w:val="0000FF"/>
          <w:lang w:val="ru-RU"/>
        </w:rPr>
        <w:t>、</w:t>
      </w:r>
      <w:r w:rsidRPr="0097554A">
        <w:rPr>
          <w:color w:val="0000FF"/>
        </w:rPr>
        <w:t>3–6</w:t>
      </w:r>
      <w:r w:rsidRPr="004C59BB">
        <w:rPr>
          <w:color w:val="0000FF"/>
          <w:lang w:val="ru-RU"/>
        </w:rPr>
        <w:t>节</w:t>
      </w:r>
      <w:r w:rsidRPr="0097554A">
        <w:rPr>
          <w:color w:val="0000FF"/>
        </w:rPr>
        <w:t>，</w:t>
      </w:r>
      <w:r w:rsidRPr="004C59BB">
        <w:rPr>
          <w:color w:val="0000FF"/>
          <w:lang w:val="ru-RU"/>
        </w:rPr>
        <w:t>第</w:t>
      </w:r>
      <w:r w:rsidRPr="0097554A">
        <w:rPr>
          <w:color w:val="0000FF"/>
        </w:rPr>
        <w:t>434–456</w:t>
      </w:r>
      <w:r w:rsidRPr="004C59BB">
        <w:rPr>
          <w:color w:val="0000FF"/>
          <w:lang w:val="ru-RU"/>
        </w:rPr>
        <w:t>页。</w:t>
      </w:r>
    </w:p>
  </w:footnote>
  <w:footnote w:id="1185">
    <w:p w14:paraId="7F6884F2" w14:textId="2A972F97"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《马太福音讲道集》</w:t>
      </w:r>
      <w:r w:rsidRPr="004C59BB">
        <w:rPr>
          <w:color w:val="0000FF"/>
        </w:rPr>
        <w:t>第LXXXII</w:t>
      </w:r>
      <w:r w:rsidRPr="004C59BB">
        <w:rPr>
          <w:color w:val="0000FF"/>
          <w:lang w:val="ru-RU"/>
        </w:rPr>
        <w:t>篇</w:t>
      </w:r>
      <w:r w:rsidRPr="0097554A">
        <w:rPr>
          <w:color w:val="0000FF"/>
        </w:rPr>
        <w:t>，</w:t>
      </w:r>
      <w:r w:rsidRPr="004C59BB">
        <w:rPr>
          <w:color w:val="0000FF"/>
          <w:lang w:val="ru-RU"/>
        </w:rPr>
        <w:t>第</w:t>
      </w:r>
      <w:r w:rsidRPr="0097554A">
        <w:rPr>
          <w:color w:val="0000FF"/>
        </w:rPr>
        <w:t>4</w:t>
      </w:r>
      <w:r w:rsidRPr="004C59BB">
        <w:rPr>
          <w:color w:val="0000FF"/>
          <w:lang w:val="ru-RU"/>
        </w:rPr>
        <w:t>、</w:t>
      </w:r>
      <w:r w:rsidRPr="004C59BB">
        <w:rPr>
          <w:color w:val="0000FF"/>
        </w:rPr>
        <w:t>5节，载于第III卷，第421页。</w:t>
      </w:r>
    </w:p>
  </w:footnote>
  <w:footnote w:id="1186">
    <w:p w14:paraId="1617AD76" w14:textId="1403BD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《论奥秘》第九卷，第53条；参见第八卷，第47、48条；《诗篇注释》第四十三篇，第36条。</w:t>
      </w:r>
    </w:p>
  </w:footnote>
  <w:footnote w:id="1187">
    <w:p w14:paraId="59573EBE" w14:textId="3C1FD295"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《罗马五月特刊》第IV</w:t>
      </w:r>
      <w:r w:rsidRPr="004C59BB">
        <w:rPr>
          <w:color w:val="0000FF"/>
          <w:lang w:val="el-GR"/>
        </w:rPr>
        <w:t>卷</w:t>
      </w:r>
      <w:r w:rsidRPr="0097554A">
        <w:rPr>
          <w:color w:val="0000FF"/>
        </w:rPr>
        <w:t>，</w:t>
      </w:r>
      <w:r w:rsidRPr="004C59BB">
        <w:rPr>
          <w:color w:val="0000FF"/>
          <w:lang w:val="el-GR"/>
        </w:rPr>
        <w:t>第</w:t>
      </w:r>
      <w:r w:rsidRPr="0097554A">
        <w:rPr>
          <w:color w:val="0000FF"/>
        </w:rPr>
        <w:t>33</w:t>
      </w:r>
      <w:r w:rsidRPr="004C59BB">
        <w:rPr>
          <w:color w:val="0000FF"/>
          <w:lang w:val="el-GR"/>
        </w:rPr>
        <w:t>页</w:t>
      </w:r>
      <w:r w:rsidRPr="0097554A">
        <w:rPr>
          <w:color w:val="0000FF"/>
        </w:rPr>
        <w:t>……</w:t>
      </w:r>
      <w:r w:rsidRPr="004C59BB">
        <w:rPr>
          <w:color w:val="0000FF"/>
          <w:lang w:val="el-GR"/>
        </w:rPr>
        <w:t>但当相信所呈献的饼和酒已变为基督的圣体和圣血。</w:t>
      </w:r>
    </w:p>
  </w:footnote>
  <w:footnote w:id="1188">
    <w:p w14:paraId="3D28384C" w14:textId="007A6AA6"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《正统信仰精确阐述》</w:t>
      </w:r>
      <w:r w:rsidRPr="004C59BB">
        <w:rPr>
          <w:color w:val="0000FF"/>
        </w:rPr>
        <w:t>第IV卷，第13章，第250、251、252、255页。</w:t>
      </w:r>
    </w:p>
  </w:footnote>
  <w:footnote w:id="1189">
    <w:p w14:paraId="401249CD" w14:textId="32F1632B"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希波吕托斯，见加兰德（Galland）</w:t>
      </w:r>
      <w:r w:rsidRPr="004C59BB">
        <w:rPr>
          <w:color w:val="0000FF"/>
          <w:lang w:val="ru-RU"/>
        </w:rPr>
        <w:t>编</w:t>
      </w:r>
      <w:r w:rsidRPr="0097554A">
        <w:rPr>
          <w:color w:val="0000FF"/>
        </w:rPr>
        <w:t>，</w:t>
      </w:r>
      <w:r w:rsidRPr="004C59BB">
        <w:rPr>
          <w:color w:val="0000FF"/>
          <w:lang w:val="ru-RU"/>
        </w:rPr>
        <w:t>《</w:t>
      </w:r>
      <w:r w:rsidRPr="004C59BB">
        <w:rPr>
          <w:color w:val="0000FF"/>
        </w:rPr>
        <w:t>T</w:t>
      </w:r>
      <w:r w:rsidRPr="004C59BB">
        <w:rPr>
          <w:color w:val="0000FF"/>
          <w:lang w:val="ru-RU"/>
        </w:rPr>
        <w:t>》卷</w:t>
      </w:r>
      <w:r w:rsidRPr="0097554A">
        <w:rPr>
          <w:color w:val="0000FF"/>
        </w:rPr>
        <w:t>II，</w:t>
      </w:r>
      <w:r w:rsidRPr="004C59BB">
        <w:rPr>
          <w:color w:val="0000FF"/>
          <w:lang w:val="ru-RU"/>
        </w:rPr>
        <w:t>第</w:t>
      </w:r>
      <w:r w:rsidRPr="0097554A">
        <w:rPr>
          <w:color w:val="0000FF"/>
        </w:rPr>
        <w:t>488</w:t>
      </w:r>
      <w:r w:rsidRPr="004C59BB">
        <w:rPr>
          <w:color w:val="0000FF"/>
          <w:lang w:val="ru-RU"/>
        </w:rPr>
        <w:t>页</w:t>
      </w:r>
      <w:r w:rsidRPr="0097554A">
        <w:rPr>
          <w:color w:val="0000FF"/>
        </w:rPr>
        <w:t>；</w:t>
      </w:r>
      <w:r w:rsidRPr="004C59BB">
        <w:rPr>
          <w:color w:val="0000FF"/>
          <w:lang w:val="ru-RU"/>
        </w:rPr>
        <w:t>克利门特</w:t>
      </w:r>
      <w:r w:rsidRPr="0097554A">
        <w:rPr>
          <w:color w:val="0000FF"/>
        </w:rPr>
        <w:t>·</w:t>
      </w:r>
      <w:r w:rsidRPr="004C59BB">
        <w:rPr>
          <w:color w:val="0000FF"/>
          <w:lang w:val="ru-RU"/>
        </w:rPr>
        <w:t>亚历山大</w:t>
      </w:r>
      <w:r w:rsidRPr="0097554A">
        <w:rPr>
          <w:color w:val="0000FF"/>
        </w:rPr>
        <w:t>，</w:t>
      </w:r>
      <w:r w:rsidRPr="004C59BB">
        <w:rPr>
          <w:color w:val="0000FF"/>
        </w:rPr>
        <w:t>《教导》1, 6；11, 2；特土良，《反马吉安》V, 8；《论偶像》第7章；基普里安，《致科尔内伊书》LIX； LXIII致塞西尔书；亚历山大的狄奥尼修斯，《关于正统教规的书信》</w:t>
      </w:r>
      <w:r w:rsidRPr="004C59BB">
        <w:rPr>
          <w:color w:val="0000FF"/>
          <w:lang w:val="ru-RU"/>
        </w:rPr>
        <w:t>第</w:t>
      </w:r>
      <w:r w:rsidRPr="0097554A">
        <w:rPr>
          <w:color w:val="0000FF"/>
        </w:rPr>
        <w:t>2</w:t>
      </w:r>
      <w:r w:rsidRPr="004C59BB">
        <w:rPr>
          <w:color w:val="0000FF"/>
          <w:lang w:val="ru-RU"/>
        </w:rPr>
        <w:t>封</w:t>
      </w:r>
      <w:r w:rsidRPr="0097554A">
        <w:rPr>
          <w:color w:val="0000FF"/>
        </w:rPr>
        <w:t>（</w:t>
      </w:r>
      <w:r w:rsidRPr="004C59BB">
        <w:rPr>
          <w:color w:val="0000FF"/>
          <w:lang w:val="ru-RU"/>
        </w:rPr>
        <w:t>见《教规集》第</w:t>
      </w:r>
      <w:r w:rsidRPr="0097554A">
        <w:rPr>
          <w:color w:val="0000FF"/>
        </w:rPr>
        <w:t>254</w:t>
      </w:r>
      <w:r w:rsidRPr="004C59BB">
        <w:rPr>
          <w:color w:val="0000FF"/>
          <w:lang w:val="ru-RU"/>
        </w:rPr>
        <w:t>页</w:t>
      </w:r>
      <w:r w:rsidRPr="0097554A">
        <w:rPr>
          <w:color w:val="0000FF"/>
        </w:rPr>
        <w:t>）；</w:t>
      </w:r>
      <w:r w:rsidRPr="004C59BB">
        <w:rPr>
          <w:color w:val="0000FF"/>
          <w:lang w:val="ru-RU"/>
        </w:rPr>
        <w:t>伊拉里乌斯</w:t>
      </w:r>
      <w:r w:rsidRPr="0097554A">
        <w:rPr>
          <w:color w:val="0000FF"/>
        </w:rPr>
        <w:t>，</w:t>
      </w:r>
      <w:r w:rsidRPr="004C59BB">
        <w:rPr>
          <w:color w:val="0000FF"/>
          <w:lang w:val="ru-RU"/>
        </w:rPr>
        <w:t>《</w:t>
      </w:r>
      <w:r w:rsidRPr="004C59BB">
        <w:rPr>
          <w:color w:val="0000FF"/>
        </w:rPr>
        <w:t>论三位一体</w:t>
      </w:r>
      <w:r w:rsidRPr="004C59BB">
        <w:rPr>
          <w:color w:val="0000FF"/>
          <w:lang w:val="ru-RU"/>
        </w:rPr>
        <w:t>》第</w:t>
      </w:r>
      <w:r w:rsidRPr="004C59BB">
        <w:rPr>
          <w:color w:val="0000FF"/>
        </w:rPr>
        <w:t>VIII</w:t>
      </w:r>
      <w:r w:rsidRPr="004C59BB">
        <w:rPr>
          <w:color w:val="0000FF"/>
          <w:lang w:val="ru-RU"/>
        </w:rPr>
        <w:t>卷第</w:t>
      </w:r>
      <w:r w:rsidRPr="0097554A">
        <w:rPr>
          <w:color w:val="0000FF"/>
        </w:rPr>
        <w:t>16</w:t>
      </w:r>
      <w:r w:rsidRPr="004C59BB">
        <w:rPr>
          <w:color w:val="0000FF"/>
          <w:lang w:val="ru-RU"/>
        </w:rPr>
        <w:t>章</w:t>
      </w:r>
      <w:r w:rsidRPr="0097554A">
        <w:rPr>
          <w:color w:val="0000FF"/>
        </w:rPr>
        <w:t>；</w:t>
      </w:r>
      <w:r w:rsidRPr="004C59BB">
        <w:rPr>
          <w:color w:val="0000FF"/>
          <w:lang w:val="ru-RU"/>
        </w:rPr>
        <w:t>尼西亚的格里高利</w:t>
      </w:r>
      <w:r w:rsidRPr="0097554A">
        <w:rPr>
          <w:color w:val="0000FF"/>
        </w:rPr>
        <w:t>，</w:t>
      </w:r>
      <w:r w:rsidRPr="004C59BB">
        <w:rPr>
          <w:color w:val="0000FF"/>
          <w:lang w:val="ru-RU"/>
        </w:rPr>
        <w:t>《</w:t>
      </w:r>
      <w:r w:rsidRPr="004C59BB">
        <w:rPr>
          <w:color w:val="0000FF"/>
        </w:rPr>
        <w:t>教理</w:t>
      </w:r>
      <w:r w:rsidRPr="004C59BB">
        <w:rPr>
          <w:color w:val="0000FF"/>
          <w:lang w:val="ru-RU"/>
        </w:rPr>
        <w:t>问答》第</w:t>
      </w:r>
      <w:r w:rsidRPr="0097554A">
        <w:rPr>
          <w:color w:val="0000FF"/>
        </w:rPr>
        <w:t>37</w:t>
      </w:r>
      <w:r w:rsidRPr="004C59BB">
        <w:rPr>
          <w:color w:val="0000FF"/>
          <w:lang w:val="ru-RU"/>
        </w:rPr>
        <w:t>章。</w:t>
      </w:r>
    </w:p>
  </w:footnote>
  <w:footnote w:id="1190">
    <w:p w14:paraId="2CEC8192" w14:textId="31156990"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大巴西勒致凯撒利亚书第</w:t>
      </w:r>
      <w:r w:rsidRPr="0097554A">
        <w:rPr>
          <w:color w:val="0000FF"/>
        </w:rPr>
        <w:t>93</w:t>
      </w:r>
      <w:r w:rsidRPr="004C59BB">
        <w:rPr>
          <w:color w:val="0000FF"/>
          <w:lang w:val="ru-RU"/>
        </w:rPr>
        <w:t>封</w:t>
      </w:r>
      <w:r w:rsidRPr="0097554A">
        <w:rPr>
          <w:color w:val="0000FF"/>
        </w:rPr>
        <w:t>（</w:t>
      </w:r>
      <w:r w:rsidRPr="004C59BB">
        <w:rPr>
          <w:color w:val="0000FF"/>
          <w:lang w:val="ru-RU"/>
        </w:rPr>
        <w:t>见《圣教父著作集》</w:t>
      </w:r>
      <w:r w:rsidRPr="004C59BB">
        <w:rPr>
          <w:color w:val="0000FF"/>
        </w:rPr>
        <w:t>第十卷</w:t>
      </w:r>
      <w:r w:rsidRPr="0097554A">
        <w:rPr>
          <w:color w:val="0000FF"/>
        </w:rPr>
        <w:t>，</w:t>
      </w:r>
      <w:r w:rsidRPr="004C59BB">
        <w:rPr>
          <w:color w:val="0000FF"/>
          <w:lang w:val="ru-RU"/>
        </w:rPr>
        <w:t>第</w:t>
      </w:r>
      <w:r w:rsidRPr="0097554A">
        <w:rPr>
          <w:color w:val="0000FF"/>
        </w:rPr>
        <w:t>219</w:t>
      </w:r>
      <w:r w:rsidRPr="004C59BB">
        <w:rPr>
          <w:color w:val="0000FF"/>
          <w:lang w:val="ru-RU"/>
        </w:rPr>
        <w:t>页</w:t>
      </w:r>
      <w:r w:rsidRPr="0097554A">
        <w:rPr>
          <w:color w:val="0000FF"/>
        </w:rPr>
        <w:t xml:space="preserve">）； </w:t>
      </w:r>
      <w:r w:rsidRPr="004C59BB">
        <w:rPr>
          <w:color w:val="0000FF"/>
          <w:lang w:val="ru-RU"/>
        </w:rPr>
        <w:t>埃皮法尼乌斯</w:t>
      </w:r>
      <w:r w:rsidRPr="0097554A">
        <w:rPr>
          <w:color w:val="0000FF"/>
        </w:rPr>
        <w:t>，</w:t>
      </w:r>
      <w:r w:rsidRPr="004C59BB">
        <w:rPr>
          <w:color w:val="0000FF"/>
          <w:lang w:val="ru-RU"/>
        </w:rPr>
        <w:t>《</w:t>
      </w:r>
      <w:r w:rsidRPr="004C59BB">
        <w:rPr>
          <w:color w:val="0000FF"/>
        </w:rPr>
        <w:t>锚定</w:t>
      </w:r>
      <w:r w:rsidRPr="004C59BB">
        <w:rPr>
          <w:color w:val="0000FF"/>
          <w:lang w:val="ru-RU"/>
        </w:rPr>
        <w:t>》</w:t>
      </w:r>
      <w:r w:rsidRPr="0097554A">
        <w:rPr>
          <w:color w:val="0000FF"/>
        </w:rPr>
        <w:t>，</w:t>
      </w:r>
      <w:r w:rsidRPr="004C59BB">
        <w:rPr>
          <w:color w:val="0000FF"/>
          <w:lang w:val="ru-RU"/>
        </w:rPr>
        <w:t>第</w:t>
      </w:r>
      <w:r w:rsidRPr="0097554A">
        <w:rPr>
          <w:color w:val="0000FF"/>
        </w:rPr>
        <w:t>57</w:t>
      </w:r>
      <w:r w:rsidRPr="004C59BB">
        <w:rPr>
          <w:color w:val="0000FF"/>
          <w:lang w:val="ru-RU"/>
        </w:rPr>
        <w:t>章</w:t>
      </w:r>
      <w:r w:rsidRPr="0097554A">
        <w:rPr>
          <w:color w:val="0000FF"/>
        </w:rPr>
        <w:t>；</w:t>
      </w:r>
      <w:r w:rsidRPr="004C59BB">
        <w:rPr>
          <w:color w:val="0000FF"/>
          <w:lang w:val="ru-RU"/>
        </w:rPr>
        <w:t>伊西多尔</w:t>
      </w:r>
      <w:r w:rsidRPr="0097554A">
        <w:rPr>
          <w:color w:val="0000FF"/>
        </w:rPr>
        <w:t>·</w:t>
      </w:r>
      <w:r w:rsidRPr="004C59BB">
        <w:rPr>
          <w:color w:val="0000FF"/>
          <w:lang w:val="ru-RU"/>
        </w:rPr>
        <w:t>佩拉吉乌斯</w:t>
      </w:r>
      <w:r w:rsidRPr="0097554A">
        <w:rPr>
          <w:color w:val="0000FF"/>
        </w:rPr>
        <w:t>，</w:t>
      </w:r>
      <w:r w:rsidRPr="004C59BB">
        <w:rPr>
          <w:color w:val="0000FF"/>
          <w:lang w:val="ru-RU"/>
        </w:rPr>
        <w:t>《书信集》</w:t>
      </w:r>
      <w:r w:rsidRPr="004C59BB">
        <w:rPr>
          <w:color w:val="0000FF"/>
        </w:rPr>
        <w:t>第三</w:t>
      </w:r>
      <w:r w:rsidRPr="004C59BB">
        <w:rPr>
          <w:color w:val="0000FF"/>
          <w:lang w:val="ru-RU"/>
        </w:rPr>
        <w:t>卷</w:t>
      </w:r>
      <w:r w:rsidRPr="004C59BB">
        <w:rPr>
          <w:color w:val="0000FF"/>
        </w:rPr>
        <w:t>，第364封；耶罗尼姆，《玛拉基书注释》1, 7，《以西结书注释》第41章；奥古斯丁，《论三位一体》第三卷，第10章；《反法乌斯图斯》第十二卷，第10章。</w:t>
      </w:r>
    </w:p>
  </w:footnote>
  <w:footnote w:id="1191">
    <w:p w14:paraId="30A7E751" w14:textId="0217F921"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狄奥多尔，《雅歌注》第三卷，第二章；《书信注》第五卷，第29章；亚历山大·库珀，《约翰福音注》第二十章，第27节；《反聂斯托里乌斯论》第四卷，第5、6章；大莱昂，《致君士坦丁堡教士及信众书》第五十九封</w:t>
      </w:r>
      <w:r w:rsidRPr="0097554A">
        <w:rPr>
          <w:color w:val="0000FF"/>
        </w:rPr>
        <w:t>，</w:t>
      </w:r>
      <w:r w:rsidRPr="004C59BB">
        <w:rPr>
          <w:color w:val="0000FF"/>
          <w:lang w:val="ru-RU"/>
        </w:rPr>
        <w:t>第</w:t>
      </w:r>
      <w:r w:rsidRPr="0097554A">
        <w:rPr>
          <w:color w:val="0000FF"/>
        </w:rPr>
        <w:t>11</w:t>
      </w:r>
      <w:r w:rsidRPr="004C59BB">
        <w:rPr>
          <w:color w:val="0000FF"/>
          <w:lang w:val="ru-RU"/>
        </w:rPr>
        <w:t>节。</w:t>
      </w:r>
    </w:p>
  </w:footnote>
  <w:footnote w:id="1192">
    <w:p w14:paraId="038F0803" w14:textId="3795F4F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他说</w:t>
      </w:r>
      <w:r w:rsidRPr="0097554A">
        <w:rPr>
          <w:color w:val="0000FF"/>
        </w:rPr>
        <w:t>：‘</w:t>
      </w:r>
      <w:r w:rsidRPr="004C59BB">
        <w:rPr>
          <w:color w:val="0000FF"/>
          <w:lang w:val="ru-RU"/>
        </w:rPr>
        <w:t>这是我的身体</w:t>
      </w:r>
      <w:r w:rsidRPr="0097554A">
        <w:rPr>
          <w:color w:val="0000FF"/>
        </w:rPr>
        <w:t>’，</w:t>
      </w:r>
      <w:r w:rsidRPr="004C59BB">
        <w:rPr>
          <w:color w:val="0000FF"/>
          <w:lang w:val="ru-RU"/>
        </w:rPr>
        <w:t>表明在圣礼中被祝圣的面饼正是主自己的身体</w:t>
      </w:r>
      <w:r w:rsidRPr="0097554A">
        <w:rPr>
          <w:color w:val="0000FF"/>
        </w:rPr>
        <w:t>，</w:t>
      </w:r>
      <w:r w:rsidRPr="004C59BB">
        <w:rPr>
          <w:color w:val="0000FF"/>
          <w:lang w:val="ru-RU"/>
        </w:rPr>
        <w:t>而非象征</w:t>
      </w:r>
      <w:r w:rsidRPr="0097554A">
        <w:rPr>
          <w:color w:val="0000FF"/>
        </w:rPr>
        <w:t>（</w:t>
      </w:r>
      <w:r w:rsidRPr="004C59BB">
        <w:rPr>
          <w:color w:val="0000FF"/>
        </w:rPr>
        <w:t>ουχΐ άντίτυπον</w:t>
      </w:r>
      <w:r w:rsidRPr="0097554A">
        <w:rPr>
          <w:color w:val="0000FF"/>
        </w:rPr>
        <w:t>）</w:t>
      </w:r>
      <w:r w:rsidRPr="004C59BB">
        <w:rPr>
          <w:color w:val="0000FF"/>
          <w:lang w:val="ru-RU"/>
        </w:rPr>
        <w:t>。</w:t>
      </w:r>
      <w:r w:rsidRPr="0097554A">
        <w:rPr>
          <w:color w:val="0000FF"/>
        </w:rPr>
        <w:t xml:space="preserve"> </w:t>
      </w:r>
      <w:r w:rsidRPr="004C59BB">
        <w:rPr>
          <w:color w:val="0000FF"/>
          <w:lang w:val="ru-RU"/>
        </w:rPr>
        <w:t>因为祂没有说</w:t>
      </w:r>
      <w:r w:rsidRPr="0097554A">
        <w:rPr>
          <w:color w:val="0000FF"/>
        </w:rPr>
        <w:t>：‘</w:t>
      </w:r>
      <w:r w:rsidRPr="004C59BB">
        <w:rPr>
          <w:color w:val="0000FF"/>
          <w:lang w:val="ru-RU"/>
        </w:rPr>
        <w:t>这是象征</w:t>
      </w:r>
      <w:r w:rsidRPr="0097554A">
        <w:rPr>
          <w:color w:val="0000FF"/>
        </w:rPr>
        <w:t>’，</w:t>
      </w:r>
      <w:r w:rsidRPr="004C59BB">
        <w:rPr>
          <w:color w:val="0000FF"/>
          <w:lang w:val="ru-RU"/>
        </w:rPr>
        <w:t>而是说</w:t>
      </w:r>
      <w:r w:rsidRPr="0097554A">
        <w:rPr>
          <w:color w:val="0000FF"/>
        </w:rPr>
        <w:t>——‘</w:t>
      </w:r>
      <w:r w:rsidRPr="004C59BB">
        <w:rPr>
          <w:color w:val="0000FF"/>
          <w:lang w:val="ru-RU"/>
        </w:rPr>
        <w:t>这是我的身体</w:t>
      </w:r>
      <w:r w:rsidRPr="0097554A">
        <w:rPr>
          <w:color w:val="0000FF"/>
        </w:rPr>
        <w:t>’；</w:t>
      </w:r>
      <w:r w:rsidRPr="004C59BB">
        <w:rPr>
          <w:color w:val="0000FF"/>
          <w:lang w:val="ru-RU"/>
        </w:rPr>
        <w:t>虽然在我们看来仍是饼</w:t>
      </w:r>
      <w:r w:rsidRPr="0097554A">
        <w:rPr>
          <w:color w:val="0000FF"/>
        </w:rPr>
        <w:t>，</w:t>
      </w:r>
      <w:r w:rsidRPr="004C59BB">
        <w:rPr>
          <w:color w:val="0000FF"/>
          <w:lang w:val="ru-RU"/>
        </w:rPr>
        <w:t>但通过奥秘的作为</w:t>
      </w:r>
      <w:r w:rsidRPr="0097554A">
        <w:rPr>
          <w:color w:val="0000FF"/>
        </w:rPr>
        <w:t>，</w:t>
      </w:r>
      <w:r w:rsidRPr="004C59BB">
        <w:rPr>
          <w:color w:val="0000FF"/>
          <w:lang w:val="ru-RU"/>
        </w:rPr>
        <w:t>它已被转化</w:t>
      </w:r>
      <w:r w:rsidRPr="0097554A">
        <w:rPr>
          <w:color w:val="0000FF"/>
        </w:rPr>
        <w:t>”（</w:t>
      </w:r>
      <w:r w:rsidRPr="004C59BB">
        <w:rPr>
          <w:color w:val="0000FF"/>
          <w:lang w:val="ru-RU"/>
        </w:rPr>
        <w:t>论《马太福音》</w:t>
      </w:r>
      <w:r w:rsidRPr="004C59BB">
        <w:rPr>
          <w:color w:val="0000FF"/>
        </w:rPr>
        <w:t>第26章</w:t>
      </w:r>
      <w:r w:rsidRPr="0097554A">
        <w:rPr>
          <w:color w:val="0000FF"/>
        </w:rPr>
        <w:t>）</w:t>
      </w:r>
      <w:r w:rsidRPr="004C59BB">
        <w:rPr>
          <w:color w:val="0000FF"/>
          <w:lang w:val="ru-RU"/>
        </w:rPr>
        <w:t>。</w:t>
      </w:r>
    </w:p>
  </w:footnote>
  <w:footnote w:id="1193">
    <w:p w14:paraId="15063CEC" w14:textId="3AB7670F"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迪迪姆。</w:t>
      </w:r>
      <w:r w:rsidRPr="0097554A">
        <w:rPr>
          <w:color w:val="0000FF"/>
        </w:rPr>
        <w:t xml:space="preserve"> </w:t>
      </w:r>
      <w:r w:rsidRPr="004C59BB">
        <w:rPr>
          <w:color w:val="0000FF"/>
          <w:lang w:val="ru-RU"/>
        </w:rPr>
        <w:t>亚历山大</w:t>
      </w:r>
      <w:r w:rsidRPr="0097554A">
        <w:rPr>
          <w:color w:val="0000FF"/>
        </w:rPr>
        <w:t>，</w:t>
      </w:r>
      <w:r w:rsidRPr="004C59BB">
        <w:rPr>
          <w:color w:val="0000FF"/>
        </w:rPr>
        <w:t>《诗篇注释</w:t>
      </w:r>
      <w:r w:rsidRPr="004C59BB">
        <w:rPr>
          <w:color w:val="0000FF"/>
          <w:lang w:val="ru-RU"/>
        </w:rPr>
        <w:t>》</w:t>
      </w:r>
      <w:r w:rsidRPr="004C59BB">
        <w:rPr>
          <w:color w:val="0000FF"/>
        </w:rPr>
        <w:t>第XXXIX</w:t>
      </w:r>
      <w:r w:rsidRPr="004C59BB">
        <w:rPr>
          <w:color w:val="0000FF"/>
          <w:lang w:val="ru-RU"/>
        </w:rPr>
        <w:t>篇</w:t>
      </w:r>
      <w:r w:rsidRPr="0097554A">
        <w:rPr>
          <w:color w:val="0000FF"/>
        </w:rPr>
        <w:t>，7；</w:t>
      </w:r>
      <w:r w:rsidRPr="004C59BB">
        <w:rPr>
          <w:color w:val="0000FF"/>
        </w:rPr>
        <w:t>费</w:t>
      </w:r>
      <w:r w:rsidRPr="004C59BB">
        <w:rPr>
          <w:color w:val="0000FF"/>
          <w:lang w:val="ru-RU"/>
        </w:rPr>
        <w:t>奥多尔</w:t>
      </w:r>
      <w:r w:rsidRPr="0097554A">
        <w:rPr>
          <w:color w:val="0000FF"/>
        </w:rPr>
        <w:t>·</w:t>
      </w:r>
      <w:r w:rsidRPr="004C59BB">
        <w:rPr>
          <w:color w:val="0000FF"/>
          <w:lang w:val="ru-RU"/>
        </w:rPr>
        <w:t>赫拉克利安</w:t>
      </w:r>
      <w:r w:rsidRPr="004C59BB">
        <w:rPr>
          <w:color w:val="0000FF"/>
        </w:rPr>
        <w:t>，</w:t>
      </w:r>
      <w:r w:rsidRPr="004C59BB">
        <w:rPr>
          <w:color w:val="0000FF"/>
          <w:lang w:val="ru-RU"/>
        </w:rPr>
        <w:t>《</w:t>
      </w:r>
      <w:r w:rsidRPr="004C59BB">
        <w:rPr>
          <w:color w:val="0000FF"/>
        </w:rPr>
        <w:t>诗篇注释</w:t>
      </w:r>
      <w:r w:rsidRPr="004C59BB">
        <w:rPr>
          <w:color w:val="0000FF"/>
          <w:lang w:val="ru-RU"/>
        </w:rPr>
        <w:t>》</w:t>
      </w:r>
      <w:r w:rsidRPr="004C59BB">
        <w:rPr>
          <w:color w:val="0000FF"/>
        </w:rPr>
        <w:t>第XII篇，5；亚历山大的西奥菲勒斯，《复活节文献》公元401年，第XI条；彼得·克里索洛格，《讲道集》第XXXIV篇；莱昂特·耶鲁斯，《反涅斯托里乌斯论》第VII卷，3（载于《五月文集》第IX卷）等。</w:t>
      </w:r>
    </w:p>
  </w:footnote>
  <w:footnote w:id="1194">
    <w:p w14:paraId="3CF677A8" w14:textId="09E092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盖拉斯，基齐凯纳人，《尼西亚大公会议记录》第XXXI章注释，Diatyp. 5。</w:t>
      </w:r>
    </w:p>
  </w:footnote>
  <w:footnote w:id="1195">
    <w:p w14:paraId="1C3304B6" w14:textId="118D5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索普西尔（以弗所）。《第二卷》，《会议记录》第1篇（第121页，比尼乌斯注）。参见基里尔（亚历山大）。《论战集》第V卷，第11篇，第72页，卢泰尔1638年版。</w:t>
      </w:r>
    </w:p>
  </w:footnote>
  <w:footnote w:id="1196">
    <w:p w14:paraId="00B7FF4F" w14:textId="5FE32D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尼西亚第二次大公会议，《会议记录》第六卷，执事埃皮法尼的讲道。</w:t>
      </w:r>
    </w:p>
  </w:footnote>
  <w:footnote w:id="1197">
    <w:p w14:paraId="60C6EE1E" w14:textId="2AA37754"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博纳，《礼仪事务》第1卷，第8章及后续；雷诺多，《东方礼仪文集》，巴黎，1685年；阿塞曼，《普世教会礼仪手稿集》，罗马，1749年；穆拉托尔，《古罗马礼仪》，威尼斯，</w:t>
      </w:r>
      <w:r w:rsidRPr="0097554A">
        <w:rPr>
          <w:color w:val="0000FF"/>
        </w:rPr>
        <w:t>1748</w:t>
      </w:r>
      <w:r w:rsidRPr="004C59BB">
        <w:rPr>
          <w:color w:val="0000FF"/>
          <w:lang w:val="ru-RU"/>
        </w:rPr>
        <w:t>年</w:t>
      </w:r>
      <w:r w:rsidRPr="0097554A">
        <w:rPr>
          <w:color w:val="0000FF"/>
        </w:rPr>
        <w:t>：</w:t>
      </w:r>
      <w:r w:rsidRPr="004C59BB">
        <w:rPr>
          <w:color w:val="0000FF"/>
          <w:lang w:val="ru-RU"/>
        </w:rPr>
        <w:t>《</w:t>
      </w:r>
      <w:r w:rsidRPr="004C59BB">
        <w:rPr>
          <w:color w:val="0000FF"/>
        </w:rPr>
        <w:t>论礼仪</w:t>
      </w:r>
      <w:r w:rsidRPr="004C59BB">
        <w:rPr>
          <w:color w:val="0000FF"/>
          <w:lang w:val="ru-RU"/>
        </w:rPr>
        <w:t>起源》第</w:t>
      </w:r>
      <w:r w:rsidRPr="0097554A">
        <w:rPr>
          <w:color w:val="0000FF"/>
        </w:rPr>
        <w:t>1</w:t>
      </w:r>
      <w:r w:rsidRPr="004C59BB">
        <w:rPr>
          <w:color w:val="0000FF"/>
        </w:rPr>
        <w:t>章</w:t>
      </w:r>
      <w:r w:rsidRPr="004C59BB">
        <w:rPr>
          <w:color w:val="0000FF"/>
          <w:lang w:val="ru-RU"/>
        </w:rPr>
        <w:t>。</w:t>
      </w:r>
    </w:p>
  </w:footnote>
  <w:footnote w:id="1198">
    <w:p w14:paraId="7E7E9F25" w14:textId="7D421358"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变质</w:t>
      </w:r>
      <w:r w:rsidRPr="0097554A">
        <w:rPr>
          <w:color w:val="0000FF"/>
        </w:rPr>
        <w:t>”（</w:t>
      </w:r>
      <w:r w:rsidRPr="004C59BB">
        <w:rPr>
          <w:color w:val="0000FF"/>
        </w:rPr>
        <w:t>μετουσίωσις，transsubstantiatio</w:t>
      </w:r>
      <w:r w:rsidRPr="0097554A">
        <w:rPr>
          <w:color w:val="0000FF"/>
        </w:rPr>
        <w:t>）</w:t>
      </w:r>
      <w:r w:rsidRPr="004C59BB">
        <w:rPr>
          <w:color w:val="0000FF"/>
          <w:lang w:val="ru-RU"/>
        </w:rPr>
        <w:t>一词</w:t>
      </w:r>
      <w:r w:rsidRPr="0097554A">
        <w:rPr>
          <w:color w:val="0000FF"/>
        </w:rPr>
        <w:t>，</w:t>
      </w:r>
      <w:r w:rsidRPr="004C59BB">
        <w:rPr>
          <w:color w:val="0000FF"/>
          <w:lang w:val="ru-RU"/>
        </w:rPr>
        <w:t>其表达的思想与上述完全一致</w:t>
      </w:r>
      <w:r w:rsidRPr="0097554A">
        <w:rPr>
          <w:color w:val="0000FF"/>
        </w:rPr>
        <w:t>，</w:t>
      </w:r>
      <w:r w:rsidRPr="004C59BB">
        <w:rPr>
          <w:color w:val="0000FF"/>
          <w:lang w:val="ru-RU"/>
        </w:rPr>
        <w:t>自</w:t>
      </w:r>
      <w:r w:rsidRPr="0097554A">
        <w:rPr>
          <w:color w:val="0000FF"/>
        </w:rPr>
        <w:t>11</w:t>
      </w:r>
      <w:r w:rsidRPr="004C59BB">
        <w:rPr>
          <w:color w:val="0000FF"/>
          <w:lang w:val="ru-RU"/>
        </w:rPr>
        <w:t>世纪中叶起开始在西方使用</w:t>
      </w:r>
      <w:r w:rsidRPr="0097554A">
        <w:rPr>
          <w:color w:val="0000FF"/>
        </w:rPr>
        <w:t>，</w:t>
      </w:r>
      <w:r w:rsidRPr="004C59BB">
        <w:rPr>
          <w:color w:val="0000FF"/>
          <w:lang w:val="ru-RU"/>
        </w:rPr>
        <w:t>而在东方则</w:t>
      </w:r>
      <w:r w:rsidRPr="004C59BB">
        <w:rPr>
          <w:color w:val="0000FF"/>
        </w:rPr>
        <w:t>始于15世纪</w:t>
      </w:r>
      <w:r w:rsidRPr="0097554A">
        <w:rPr>
          <w:color w:val="0000FF"/>
        </w:rPr>
        <w:t>，</w:t>
      </w:r>
      <w:r w:rsidRPr="004C59BB">
        <w:rPr>
          <w:color w:val="0000FF"/>
          <w:lang w:val="ru-RU"/>
        </w:rPr>
        <w:t>当时君士坦丁堡牧首根纳迪乌斯</w:t>
      </w:r>
      <w:r w:rsidRPr="0097554A">
        <w:rPr>
          <w:color w:val="0000FF"/>
        </w:rPr>
        <w:t>（</w:t>
      </w:r>
      <w:r w:rsidRPr="004C59BB">
        <w:rPr>
          <w:color w:val="0000FF"/>
          <w:lang w:val="ru-RU"/>
        </w:rPr>
        <w:t>以及耶路撒冷牧首多西菲乌斯</w:t>
      </w:r>
      <w:r w:rsidRPr="0097554A">
        <w:rPr>
          <w:color w:val="0000FF"/>
        </w:rPr>
        <w:t xml:space="preserve"> </w:t>
      </w:r>
      <w:r w:rsidRPr="004C59BB">
        <w:rPr>
          <w:color w:val="0000FF"/>
          <w:lang w:val="ru-RU"/>
        </w:rPr>
        <w:t>《</w:t>
      </w:r>
      <w:r w:rsidRPr="004C59BB">
        <w:rPr>
          <w:color w:val="0000FF"/>
        </w:rPr>
        <w:t>反对加尔文派</w:t>
      </w:r>
      <w:r w:rsidRPr="004C59BB">
        <w:rPr>
          <w:color w:val="0000FF"/>
          <w:lang w:val="ru-RU"/>
        </w:rPr>
        <w:t>》</w:t>
      </w:r>
      <w:r w:rsidRPr="0097554A">
        <w:rPr>
          <w:color w:val="0000FF"/>
        </w:rPr>
        <w:t>，</w:t>
      </w:r>
      <w:r w:rsidRPr="004C59BB">
        <w:rPr>
          <w:color w:val="0000FF"/>
          <w:lang w:val="ru-RU"/>
        </w:rPr>
        <w:t>第</w:t>
      </w:r>
      <w:r w:rsidRPr="0097554A">
        <w:rPr>
          <w:color w:val="0000FF"/>
        </w:rPr>
        <w:t>74</w:t>
      </w:r>
      <w:r w:rsidRPr="004C59BB">
        <w:rPr>
          <w:color w:val="0000FF"/>
          <w:lang w:val="ru-RU"/>
        </w:rPr>
        <w:t>、</w:t>
      </w:r>
      <w:r w:rsidRPr="0097554A">
        <w:rPr>
          <w:color w:val="0000FF"/>
        </w:rPr>
        <w:t>75</w:t>
      </w:r>
      <w:r w:rsidRPr="004C59BB">
        <w:rPr>
          <w:color w:val="0000FF"/>
          <w:lang w:val="ru-RU"/>
        </w:rPr>
        <w:t>页</w:t>
      </w:r>
      <w:r w:rsidRPr="0097554A">
        <w:rPr>
          <w:color w:val="0000FF"/>
        </w:rPr>
        <w:t>）</w:t>
      </w:r>
      <w:r w:rsidRPr="004C59BB">
        <w:rPr>
          <w:color w:val="0000FF"/>
          <w:lang w:val="ru-RU"/>
        </w:rPr>
        <w:t>。自那时起，该词因准确且有力地表达了教义思想，便与“转化”（preложение）一词并列，被东正教会广泛采用（参见《正统信仰解释》第1卷，对第56个问题的回答； 《东方教父论正统信仰》第17条；《主教宣誓仪式》等）。</w:t>
      </w:r>
    </w:p>
  </w:footnote>
  <w:footnote w:id="1199">
    <w:p w14:paraId="52763490" w14:textId="64108BB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《圣礼教义》</w:t>
      </w:r>
      <w:r w:rsidRPr="004C59BB">
        <w:rPr>
          <w:color w:val="0000FF"/>
        </w:rPr>
        <w:t>第四</w:t>
      </w:r>
      <w:r w:rsidRPr="004C59BB">
        <w:rPr>
          <w:color w:val="0000FF"/>
          <w:lang w:val="ru-RU"/>
        </w:rPr>
        <w:t>卷，第2节，第454页。</w:t>
      </w:r>
    </w:p>
  </w:footnote>
  <w:footnote w:id="1200">
    <w:p w14:paraId="18112023" w14:textId="29172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《圣事教义》第1卷，第7节，第440页。</w:t>
      </w:r>
    </w:p>
  </w:footnote>
  <w:footnote w:id="1201">
    <w:p w14:paraId="586D5EC1" w14:textId="523A5FB4"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教理问答</w:t>
      </w:r>
      <w:r w:rsidRPr="004C59BB">
        <w:rPr>
          <w:color w:val="0000FF"/>
          <w:lang w:val="ru-RU"/>
        </w:rPr>
        <w:t>》</w:t>
      </w:r>
      <w:r w:rsidRPr="004C59BB">
        <w:rPr>
          <w:color w:val="0000FF"/>
        </w:rPr>
        <w:t>第XXXVII章。</w:t>
      </w:r>
    </w:p>
  </w:footnote>
  <w:footnote w:id="1202">
    <w:p w14:paraId="760DA0A9" w14:textId="575E044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《论信仰》第四卷</w:t>
      </w:r>
      <w:r w:rsidRPr="0097554A">
        <w:rPr>
          <w:color w:val="0000FF"/>
          <w:lang w:val="ru-RU"/>
        </w:rPr>
        <w:t>，</w:t>
      </w:r>
      <w:r w:rsidRPr="004C59BB">
        <w:rPr>
          <w:color w:val="0000FF"/>
        </w:rPr>
        <w:t>第</w:t>
      </w:r>
      <w:r w:rsidRPr="0097554A">
        <w:rPr>
          <w:color w:val="0000FF"/>
          <w:lang w:val="ru-RU"/>
        </w:rPr>
        <w:t>10</w:t>
      </w:r>
      <w:r w:rsidRPr="004C59BB">
        <w:rPr>
          <w:color w:val="0000FF"/>
        </w:rPr>
        <w:t>章</w:t>
      </w:r>
      <w:r w:rsidRPr="0097554A">
        <w:rPr>
          <w:color w:val="0000FF"/>
          <w:lang w:val="ru-RU"/>
        </w:rPr>
        <w:t>，</w:t>
      </w:r>
      <w:r w:rsidRPr="004C59BB">
        <w:rPr>
          <w:color w:val="0000FF"/>
        </w:rPr>
        <w:t>第</w:t>
      </w:r>
      <w:r w:rsidRPr="0097554A">
        <w:rPr>
          <w:color w:val="0000FF"/>
          <w:lang w:val="ru-RU"/>
        </w:rPr>
        <w:t>124</w:t>
      </w:r>
      <w:r w:rsidRPr="004C59BB">
        <w:rPr>
          <w:color w:val="0000FF"/>
        </w:rPr>
        <w:t>条。</w:t>
      </w:r>
    </w:p>
  </w:footnote>
  <w:footnote w:id="1203">
    <w:p w14:paraId="7C48C706" w14:textId="2B91A5A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《论圣事》第四卷</w:t>
      </w:r>
      <w:r w:rsidRPr="0097554A">
        <w:rPr>
          <w:color w:val="0000FF"/>
          <w:lang w:val="ru-RU"/>
        </w:rPr>
        <w:t>，</w:t>
      </w:r>
      <w:r w:rsidRPr="004C59BB">
        <w:rPr>
          <w:color w:val="0000FF"/>
        </w:rPr>
        <w:t>第</w:t>
      </w:r>
      <w:r w:rsidRPr="0097554A">
        <w:rPr>
          <w:color w:val="0000FF"/>
          <w:lang w:val="ru-RU"/>
        </w:rPr>
        <w:t>50</w:t>
      </w:r>
      <w:r w:rsidRPr="004C59BB">
        <w:rPr>
          <w:color w:val="0000FF"/>
        </w:rPr>
        <w:t>条</w:t>
      </w:r>
      <w:r w:rsidRPr="0097554A">
        <w:rPr>
          <w:color w:val="0000FF"/>
          <w:lang w:val="ru-RU"/>
        </w:rPr>
        <w:t>；</w:t>
      </w:r>
      <w:r w:rsidRPr="004C59BB">
        <w:rPr>
          <w:color w:val="0000FF"/>
        </w:rPr>
        <w:t>参见第</w:t>
      </w:r>
      <w:r w:rsidRPr="0097554A">
        <w:rPr>
          <w:color w:val="0000FF"/>
          <w:lang w:val="ru-RU"/>
        </w:rPr>
        <w:t>54</w:t>
      </w:r>
      <w:r w:rsidRPr="004C59BB">
        <w:rPr>
          <w:color w:val="0000FF"/>
        </w:rPr>
        <w:t>条。</w:t>
      </w:r>
    </w:p>
  </w:footnote>
  <w:footnote w:id="1204">
    <w:p w14:paraId="5CE93251" w14:textId="6CFE130B"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《马太福音》第</w:t>
      </w:r>
      <w:r w:rsidRPr="0097554A">
        <w:rPr>
          <w:color w:val="0000FF"/>
          <w:lang w:val="ru-RU"/>
        </w:rPr>
        <w:t>26</w:t>
      </w:r>
      <w:r w:rsidRPr="004C59BB">
        <w:rPr>
          <w:color w:val="0000FF"/>
        </w:rPr>
        <w:t>章第</w:t>
      </w:r>
      <w:r w:rsidRPr="0097554A">
        <w:rPr>
          <w:color w:val="0000FF"/>
          <w:lang w:val="ru-RU"/>
        </w:rPr>
        <w:t>26</w:t>
      </w:r>
      <w:r w:rsidRPr="004C59BB">
        <w:rPr>
          <w:color w:val="0000FF"/>
        </w:rPr>
        <w:t>节</w:t>
      </w:r>
      <w:r w:rsidRPr="0097554A">
        <w:rPr>
          <w:color w:val="0000FF"/>
          <w:lang w:val="ru-RU"/>
        </w:rPr>
        <w:t>（</w:t>
      </w:r>
      <w:r w:rsidRPr="004C59BB">
        <w:rPr>
          <w:color w:val="0000FF"/>
        </w:rPr>
        <w:t>引自波辛《连珠</w:t>
      </w:r>
      <w:r w:rsidRPr="004C59BB">
        <w:rPr>
          <w:color w:val="0000FF"/>
          <w:lang w:val="ru-RU"/>
        </w:rPr>
        <w:t>注》）。</w:t>
      </w:r>
    </w:p>
  </w:footnote>
  <w:footnote w:id="1205">
    <w:p w14:paraId="09CC5568" w14:textId="61C85E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《正统信仰精确阐述》</w:t>
      </w:r>
      <w:r w:rsidRPr="004C59BB">
        <w:rPr>
          <w:color w:val="0000FF"/>
        </w:rPr>
        <w:t>第四</w:t>
      </w:r>
      <w:r w:rsidRPr="004C59BB">
        <w:rPr>
          <w:color w:val="0000FF"/>
          <w:lang w:val="ru-RU"/>
        </w:rPr>
        <w:t>卷，第13章，第252页。</w:t>
      </w:r>
    </w:p>
  </w:footnote>
  <w:footnote w:id="1206">
    <w:p w14:paraId="0DEF027D" w14:textId="6282567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《约翰福音》第六章。</w:t>
      </w:r>
    </w:p>
  </w:footnote>
  <w:footnote w:id="1207">
    <w:p w14:paraId="6C5AF01F" w14:textId="6E1AEB9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《马可福音注释》第十四章。</w:t>
      </w:r>
    </w:p>
  </w:footnote>
  <w:footnote w:id="1208">
    <w:p w14:paraId="23854666" w14:textId="4D793A23"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《马太福音》第</w:t>
      </w:r>
      <w:r w:rsidRPr="0097554A">
        <w:rPr>
          <w:color w:val="0000FF"/>
          <w:lang w:val="ru-RU"/>
        </w:rPr>
        <w:t>26</w:t>
      </w:r>
      <w:r w:rsidRPr="004C59BB">
        <w:rPr>
          <w:color w:val="0000FF"/>
        </w:rPr>
        <w:t>章第</w:t>
      </w:r>
      <w:r w:rsidRPr="0097554A">
        <w:rPr>
          <w:color w:val="0000FF"/>
          <w:lang w:val="ru-RU"/>
        </w:rPr>
        <w:t>28</w:t>
      </w:r>
      <w:r w:rsidRPr="004C59BB">
        <w:rPr>
          <w:color w:val="0000FF"/>
        </w:rPr>
        <w:t>节。参见《全备之铠》第11卷，第20题。</w:t>
      </w:r>
    </w:p>
  </w:footnote>
  <w:footnote w:id="1209">
    <w:p w14:paraId="49F69AFB" w14:textId="1D0216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金口若望，《论圣餐与十字架》第3节；安布罗斯，《论圣事》第四卷，第16、17节。</w:t>
      </w:r>
    </w:p>
  </w:footnote>
  <w:footnote w:id="1210">
    <w:p w14:paraId="06FDB57C" w14:textId="7AC980A7"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安布罗斯，《论圣事》第四</w:t>
      </w:r>
      <w:r w:rsidRPr="004C59BB">
        <w:rPr>
          <w:color w:val="0000FF"/>
          <w:lang w:val="ru-RU"/>
        </w:rPr>
        <w:t>卷</w:t>
      </w:r>
      <w:r w:rsidRPr="0097554A">
        <w:rPr>
          <w:color w:val="0000FF"/>
        </w:rPr>
        <w:t>，</w:t>
      </w:r>
      <w:r w:rsidRPr="004C59BB">
        <w:rPr>
          <w:color w:val="0000FF"/>
          <w:lang w:val="ru-RU"/>
        </w:rPr>
        <w:t>第</w:t>
      </w:r>
      <w:r w:rsidRPr="0097554A">
        <w:rPr>
          <w:color w:val="0000FF"/>
        </w:rPr>
        <w:t>4</w:t>
      </w:r>
      <w:r w:rsidRPr="004C59BB">
        <w:rPr>
          <w:color w:val="0000FF"/>
          <w:lang w:val="ru-RU"/>
        </w:rPr>
        <w:t>章</w:t>
      </w:r>
      <w:r w:rsidRPr="0097554A">
        <w:rPr>
          <w:color w:val="0000FF"/>
        </w:rPr>
        <w:t>，</w:t>
      </w:r>
      <w:r w:rsidRPr="004C59BB">
        <w:rPr>
          <w:color w:val="0000FF"/>
          <w:lang w:val="ru-RU"/>
        </w:rPr>
        <w:t>第</w:t>
      </w:r>
      <w:r w:rsidRPr="0097554A">
        <w:rPr>
          <w:color w:val="0000FF"/>
        </w:rPr>
        <w:t>15</w:t>
      </w:r>
      <w:r w:rsidRPr="004C59BB">
        <w:rPr>
          <w:color w:val="0000FF"/>
          <w:lang w:val="ru-RU"/>
        </w:rPr>
        <w:t>节</w:t>
      </w:r>
      <w:r w:rsidRPr="0097554A">
        <w:rPr>
          <w:color w:val="0000FF"/>
        </w:rPr>
        <w:t>；</w:t>
      </w:r>
      <w:r w:rsidRPr="004C59BB">
        <w:rPr>
          <w:color w:val="0000FF"/>
          <w:lang w:val="ru-RU"/>
        </w:rPr>
        <w:t>达马斯库斯</w:t>
      </w:r>
      <w:r w:rsidRPr="0097554A">
        <w:rPr>
          <w:color w:val="0000FF"/>
        </w:rPr>
        <w:t>，</w:t>
      </w:r>
      <w:r w:rsidRPr="004C59BB">
        <w:rPr>
          <w:color w:val="0000FF"/>
          <w:lang w:val="ru-RU"/>
        </w:rPr>
        <w:t>《信仰要义》</w:t>
      </w:r>
      <w:r w:rsidRPr="004C59BB">
        <w:rPr>
          <w:color w:val="0000FF"/>
        </w:rPr>
        <w:t>第四卷</w:t>
      </w:r>
      <w:r w:rsidRPr="0097554A">
        <w:rPr>
          <w:color w:val="0000FF"/>
        </w:rPr>
        <w:t>，</w:t>
      </w:r>
      <w:r w:rsidRPr="004C59BB">
        <w:rPr>
          <w:color w:val="0000FF"/>
          <w:lang w:val="ru-RU"/>
        </w:rPr>
        <w:t>第</w:t>
      </w:r>
      <w:r w:rsidRPr="0097554A">
        <w:rPr>
          <w:color w:val="0000FF"/>
        </w:rPr>
        <w:t>13</w:t>
      </w:r>
      <w:r w:rsidRPr="004C59BB">
        <w:rPr>
          <w:color w:val="0000FF"/>
          <w:lang w:val="ru-RU"/>
        </w:rPr>
        <w:t>章。</w:t>
      </w:r>
    </w:p>
  </w:footnote>
  <w:footnote w:id="1211">
    <w:p w14:paraId="74A0CB7C" w14:textId="540367E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安布罗斯</w:t>
      </w:r>
      <w:r w:rsidRPr="0097554A">
        <w:rPr>
          <w:color w:val="0000FF"/>
        </w:rPr>
        <w:t>，</w:t>
      </w:r>
      <w:r w:rsidRPr="004C59BB">
        <w:rPr>
          <w:color w:val="0000FF"/>
        </w:rPr>
        <w:t>《论奥秘</w:t>
      </w:r>
      <w:r w:rsidRPr="004C59BB">
        <w:rPr>
          <w:color w:val="0000FF"/>
          <w:lang w:val="ru-RU"/>
        </w:rPr>
        <w:t>》</w:t>
      </w:r>
      <w:r w:rsidRPr="004C59BB">
        <w:rPr>
          <w:color w:val="0000FF"/>
        </w:rPr>
        <w:t>第九卷</w:t>
      </w:r>
      <w:r w:rsidRPr="0097554A">
        <w:rPr>
          <w:color w:val="0000FF"/>
        </w:rPr>
        <w:t>，</w:t>
      </w:r>
      <w:r w:rsidRPr="004C59BB">
        <w:rPr>
          <w:color w:val="0000FF"/>
          <w:lang w:val="ru-RU"/>
        </w:rPr>
        <w:t>第</w:t>
      </w:r>
      <w:r w:rsidRPr="0097554A">
        <w:rPr>
          <w:color w:val="0000FF"/>
        </w:rPr>
        <w:t>53</w:t>
      </w:r>
      <w:r w:rsidRPr="004C59BB">
        <w:rPr>
          <w:color w:val="0000FF"/>
          <w:lang w:val="ru-RU"/>
        </w:rPr>
        <w:t>节</w:t>
      </w:r>
      <w:r w:rsidRPr="0097554A">
        <w:rPr>
          <w:color w:val="0000FF"/>
        </w:rPr>
        <w:t>；</w:t>
      </w:r>
      <w:r w:rsidRPr="004C59BB">
        <w:rPr>
          <w:color w:val="0000FF"/>
          <w:lang w:val="ru-RU"/>
        </w:rPr>
        <w:t>达马斯库斯</w:t>
      </w:r>
      <w:r w:rsidRPr="0097554A">
        <w:rPr>
          <w:color w:val="0000FF"/>
        </w:rPr>
        <w:t>，</w:t>
      </w:r>
      <w:r w:rsidRPr="004C59BB">
        <w:rPr>
          <w:color w:val="0000FF"/>
          <w:lang w:val="ru-RU"/>
        </w:rPr>
        <w:t>同上。</w:t>
      </w:r>
    </w:p>
  </w:footnote>
  <w:footnote w:id="1212">
    <w:p w14:paraId="6420E7CE" w14:textId="2E5E73B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耶路撒冷的西里尔</w:t>
      </w:r>
      <w:r w:rsidRPr="0097554A">
        <w:rPr>
          <w:color w:val="0000FF"/>
        </w:rPr>
        <w:t>，</w:t>
      </w:r>
      <w:r w:rsidRPr="004C59BB">
        <w:rPr>
          <w:color w:val="0000FF"/>
          <w:lang w:val="ru-RU"/>
        </w:rPr>
        <w:t>《论圣事教义》</w:t>
      </w:r>
      <w:r w:rsidRPr="004C59BB">
        <w:rPr>
          <w:color w:val="0000FF"/>
        </w:rPr>
        <w:t>第四</w:t>
      </w:r>
      <w:r w:rsidRPr="004C59BB">
        <w:rPr>
          <w:color w:val="0000FF"/>
          <w:lang w:val="ru-RU"/>
        </w:rPr>
        <w:t>卷</w:t>
      </w:r>
      <w:r w:rsidRPr="0097554A">
        <w:rPr>
          <w:color w:val="0000FF"/>
        </w:rPr>
        <w:t>，</w:t>
      </w:r>
      <w:r w:rsidRPr="004C59BB">
        <w:rPr>
          <w:color w:val="0000FF"/>
          <w:lang w:val="ru-RU"/>
        </w:rPr>
        <w:t>第</w:t>
      </w:r>
      <w:r w:rsidRPr="0097554A">
        <w:rPr>
          <w:color w:val="0000FF"/>
        </w:rPr>
        <w:t>2</w:t>
      </w:r>
      <w:r w:rsidRPr="004C59BB">
        <w:rPr>
          <w:color w:val="0000FF"/>
          <w:lang w:val="ru-RU"/>
        </w:rPr>
        <w:t>节</w:t>
      </w:r>
      <w:r w:rsidRPr="0097554A">
        <w:rPr>
          <w:color w:val="0000FF"/>
        </w:rPr>
        <w:t>；</w:t>
      </w:r>
      <w:r w:rsidRPr="004C59BB">
        <w:rPr>
          <w:color w:val="0000FF"/>
          <w:lang w:val="ru-RU"/>
        </w:rPr>
        <w:t>安布罗斯</w:t>
      </w:r>
      <w:r w:rsidRPr="0097554A">
        <w:rPr>
          <w:color w:val="0000FF"/>
        </w:rPr>
        <w:t>，</w:t>
      </w:r>
      <w:r w:rsidRPr="004C59BB">
        <w:rPr>
          <w:color w:val="0000FF"/>
        </w:rPr>
        <w:t>《论奥秘</w:t>
      </w:r>
      <w:r w:rsidRPr="004C59BB">
        <w:rPr>
          <w:color w:val="0000FF"/>
          <w:lang w:val="ru-RU"/>
        </w:rPr>
        <w:t>》</w:t>
      </w:r>
      <w:r w:rsidRPr="004C59BB">
        <w:rPr>
          <w:color w:val="0000FF"/>
        </w:rPr>
        <w:t>第九卷</w:t>
      </w:r>
      <w:r w:rsidRPr="0097554A">
        <w:rPr>
          <w:color w:val="0000FF"/>
        </w:rPr>
        <w:t>，</w:t>
      </w:r>
      <w:r w:rsidRPr="004C59BB">
        <w:rPr>
          <w:color w:val="0000FF"/>
          <w:lang w:val="ru-RU"/>
        </w:rPr>
        <w:t>第</w:t>
      </w:r>
      <w:r w:rsidRPr="0097554A">
        <w:rPr>
          <w:color w:val="0000FF"/>
        </w:rPr>
        <w:t>50</w:t>
      </w:r>
      <w:r w:rsidRPr="004C59BB">
        <w:rPr>
          <w:color w:val="0000FF"/>
        </w:rPr>
        <w:t>条</w:t>
      </w:r>
      <w:r w:rsidRPr="004C59BB">
        <w:rPr>
          <w:color w:val="0000FF"/>
          <w:lang w:val="ru-RU"/>
        </w:rPr>
        <w:t>。</w:t>
      </w:r>
    </w:p>
  </w:footnote>
  <w:footnote w:id="1213">
    <w:p w14:paraId="370FC77E" w14:textId="35A3BD5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约翰</w:t>
      </w:r>
      <w:r w:rsidRPr="0097554A">
        <w:rPr>
          <w:color w:val="0000FF"/>
        </w:rPr>
        <w:t>·</w:t>
      </w:r>
      <w:r w:rsidRPr="004C59BB">
        <w:rPr>
          <w:color w:val="0000FF"/>
          <w:lang w:val="ru-RU"/>
        </w:rPr>
        <w:t>达马斯库斯。《信仰真义》</w:t>
      </w:r>
      <w:r w:rsidRPr="004C59BB">
        <w:rPr>
          <w:color w:val="0000FF"/>
        </w:rPr>
        <w:t>第四卷</w:t>
      </w:r>
      <w:r w:rsidRPr="0097554A">
        <w:rPr>
          <w:color w:val="0000FF"/>
        </w:rPr>
        <w:t>，</w:t>
      </w:r>
      <w:r w:rsidRPr="004C59BB">
        <w:rPr>
          <w:color w:val="0000FF"/>
          <w:lang w:val="ru-RU"/>
        </w:rPr>
        <w:t>第</w:t>
      </w:r>
      <w:r w:rsidRPr="0097554A">
        <w:rPr>
          <w:color w:val="0000FF"/>
        </w:rPr>
        <w:t>13</w:t>
      </w:r>
      <w:r w:rsidRPr="004C59BB">
        <w:rPr>
          <w:color w:val="0000FF"/>
          <w:lang w:val="ru-RU"/>
        </w:rPr>
        <w:t>章</w:t>
      </w:r>
      <w:r w:rsidRPr="0097554A">
        <w:rPr>
          <w:color w:val="0000FF"/>
        </w:rPr>
        <w:t>，</w:t>
      </w:r>
      <w:r w:rsidRPr="004C59BB">
        <w:rPr>
          <w:color w:val="0000FF"/>
          <w:lang w:val="ru-RU"/>
        </w:rPr>
        <w:t>第</w:t>
      </w:r>
      <w:r w:rsidRPr="0097554A">
        <w:rPr>
          <w:color w:val="0000FF"/>
        </w:rPr>
        <w:t>252</w:t>
      </w:r>
      <w:r w:rsidRPr="004C59BB">
        <w:rPr>
          <w:color w:val="0000FF"/>
          <w:lang w:val="ru-RU"/>
        </w:rPr>
        <w:t>页。</w:t>
      </w:r>
    </w:p>
  </w:footnote>
  <w:footnote w:id="1214">
    <w:p w14:paraId="1CBEB7C5" w14:textId="2945FE08"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要怀着完全的信心领受至圣的主的圣体</w:t>
      </w:r>
      <w:r w:rsidRPr="0097554A">
        <w:rPr>
          <w:color w:val="0000FF"/>
        </w:rPr>
        <w:t>，</w:t>
      </w:r>
      <w:r w:rsidRPr="004C59BB">
        <w:rPr>
          <w:color w:val="0000FF"/>
          <w:lang w:val="ru-RU"/>
        </w:rPr>
        <w:t>确信无疑地知道</w:t>
      </w:r>
      <w:r w:rsidRPr="0097554A">
        <w:rPr>
          <w:color w:val="0000FF"/>
        </w:rPr>
        <w:t>，</w:t>
      </w:r>
      <w:r w:rsidRPr="004C59BB">
        <w:rPr>
          <w:color w:val="0000FF"/>
          <w:lang w:val="ru-RU"/>
        </w:rPr>
        <w:t>你所领受的正是羔羊本人</w:t>
      </w:r>
      <w:r w:rsidRPr="0097554A">
        <w:rPr>
          <w:color w:val="0000FF"/>
        </w:rPr>
        <w:t>”（</w:t>
      </w:r>
      <w:r w:rsidRPr="004C59BB">
        <w:rPr>
          <w:color w:val="0000FF"/>
        </w:rPr>
        <w:t>圣以弗所·西里尔，《希腊文著作集》第III卷，第424页，阿塞马尼于罗马1746年版）。</w:t>
      </w:r>
    </w:p>
  </w:footnote>
  <w:footnote w:id="1215">
    <w:p w14:paraId="057C6BD8" w14:textId="2798C44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主的圣体以一种崭新的方式与我们的身体结合</w:t>
      </w:r>
      <w:r w:rsidRPr="0097554A">
        <w:rPr>
          <w:color w:val="0000FF"/>
        </w:rPr>
        <w:t>，</w:t>
      </w:r>
      <w:r w:rsidRPr="004C59BB">
        <w:rPr>
          <w:color w:val="0000FF"/>
          <w:lang w:val="ru-RU"/>
        </w:rPr>
        <w:t>祂至纯的圣血注入我们的血管</w:t>
      </w:r>
      <w:r w:rsidRPr="0097554A">
        <w:rPr>
          <w:color w:val="0000FF"/>
        </w:rPr>
        <w:t>：</w:t>
      </w:r>
      <w:r w:rsidRPr="004C59BB">
        <w:rPr>
          <w:color w:val="0000FF"/>
          <w:lang w:val="ru-RU"/>
        </w:rPr>
        <w:t>祂凭着祂的仁慈</w:t>
      </w:r>
      <w:r w:rsidRPr="0097554A">
        <w:rPr>
          <w:color w:val="0000FF"/>
        </w:rPr>
        <w:t>，</w:t>
      </w:r>
      <w:r w:rsidRPr="004C59BB">
        <w:rPr>
          <w:color w:val="0000FF"/>
          <w:lang w:val="ru-RU"/>
        </w:rPr>
        <w:t>全然降临在我们所有人之中</w:t>
      </w:r>
      <w:r w:rsidRPr="0097554A">
        <w:rPr>
          <w:color w:val="0000FF"/>
        </w:rPr>
        <w:t>”（</w:t>
      </w:r>
      <w:r w:rsidRPr="004C59BB">
        <w:rPr>
          <w:color w:val="0000FF"/>
          <w:lang w:val="ru-RU"/>
        </w:rPr>
        <w:t>圣埃弗拉姆</w:t>
      </w:r>
      <w:r w:rsidRPr="0097554A">
        <w:rPr>
          <w:color w:val="0000FF"/>
        </w:rPr>
        <w:t>·</w:t>
      </w:r>
      <w:r w:rsidRPr="004C59BB">
        <w:rPr>
          <w:color w:val="0000FF"/>
          <w:lang w:val="ru-RU"/>
        </w:rPr>
        <w:t>西里尔</w:t>
      </w:r>
      <w:r w:rsidRPr="0097554A">
        <w:rPr>
          <w:color w:val="0000FF"/>
        </w:rPr>
        <w:t>，</w:t>
      </w:r>
      <w:r w:rsidRPr="004C59BB">
        <w:rPr>
          <w:color w:val="0000FF"/>
          <w:lang w:val="ru-RU"/>
        </w:rPr>
        <w:t>同上</w:t>
      </w:r>
      <w:r w:rsidRPr="0097554A">
        <w:rPr>
          <w:color w:val="0000FF"/>
        </w:rPr>
        <w:t>）</w:t>
      </w:r>
      <w:r w:rsidRPr="004C59BB">
        <w:rPr>
          <w:color w:val="0000FF"/>
          <w:lang w:val="ru-RU"/>
        </w:rPr>
        <w:t>。</w:t>
      </w:r>
    </w:p>
  </w:footnote>
  <w:footnote w:id="1216">
    <w:p w14:paraId="1607AB57" w14:textId="3295F2B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约翰</w:t>
      </w:r>
      <w:r w:rsidRPr="0097554A">
        <w:rPr>
          <w:color w:val="0000FF"/>
        </w:rPr>
        <w:t>·</w:t>
      </w:r>
      <w:r w:rsidRPr="004C59BB">
        <w:rPr>
          <w:color w:val="0000FF"/>
          <w:lang w:val="ru-RU"/>
        </w:rPr>
        <w:t>达马斯库斯。《正统信仰精要》</w:t>
      </w:r>
      <w:r w:rsidRPr="004C59BB">
        <w:rPr>
          <w:color w:val="0000FF"/>
        </w:rPr>
        <w:t>第四</w:t>
      </w:r>
      <w:r w:rsidRPr="004C59BB">
        <w:rPr>
          <w:color w:val="0000FF"/>
          <w:lang w:val="ru-RU"/>
        </w:rPr>
        <w:t>卷</w:t>
      </w:r>
      <w:r w:rsidRPr="0097554A">
        <w:rPr>
          <w:color w:val="0000FF"/>
        </w:rPr>
        <w:t>，</w:t>
      </w:r>
      <w:r w:rsidRPr="004C59BB">
        <w:rPr>
          <w:color w:val="0000FF"/>
          <w:lang w:val="ru-RU"/>
        </w:rPr>
        <w:t>第</w:t>
      </w:r>
      <w:r w:rsidRPr="0097554A">
        <w:rPr>
          <w:color w:val="0000FF"/>
        </w:rPr>
        <w:t>13</w:t>
      </w:r>
      <w:r w:rsidRPr="004C59BB">
        <w:rPr>
          <w:color w:val="0000FF"/>
          <w:lang w:val="ru-RU"/>
        </w:rPr>
        <w:t>章</w:t>
      </w:r>
      <w:r w:rsidRPr="0097554A">
        <w:rPr>
          <w:color w:val="0000FF"/>
        </w:rPr>
        <w:t>，</w:t>
      </w:r>
      <w:r w:rsidRPr="004C59BB">
        <w:rPr>
          <w:color w:val="0000FF"/>
          <w:lang w:val="ru-RU"/>
        </w:rPr>
        <w:t>第</w:t>
      </w:r>
      <w:r w:rsidRPr="0097554A">
        <w:rPr>
          <w:color w:val="0000FF"/>
        </w:rPr>
        <w:t>255</w:t>
      </w:r>
      <w:r w:rsidRPr="004C59BB">
        <w:rPr>
          <w:color w:val="0000FF"/>
          <w:lang w:val="ru-RU"/>
        </w:rPr>
        <w:t>页。</w:t>
      </w:r>
    </w:p>
  </w:footnote>
  <w:footnote w:id="1217">
    <w:p w14:paraId="7E6BEB55" w14:textId="3022B17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特鲁尔大公会议</w:t>
      </w:r>
      <w:r w:rsidRPr="0097554A">
        <w:rPr>
          <w:color w:val="0000FF"/>
        </w:rPr>
        <w:t>，</w:t>
      </w:r>
      <w:r w:rsidRPr="004C59BB">
        <w:rPr>
          <w:color w:val="0000FF"/>
          <w:lang w:val="ru-RU"/>
        </w:rPr>
        <w:t>第</w:t>
      </w:r>
      <w:r w:rsidRPr="0097554A">
        <w:rPr>
          <w:color w:val="0000FF"/>
        </w:rPr>
        <w:t>52</w:t>
      </w:r>
      <w:r w:rsidRPr="004C59BB">
        <w:rPr>
          <w:color w:val="0000FF"/>
          <w:lang w:val="ru-RU"/>
        </w:rPr>
        <w:t>条</w:t>
      </w:r>
      <w:r w:rsidRPr="0097554A">
        <w:rPr>
          <w:color w:val="0000FF"/>
        </w:rPr>
        <w:t>；</w:t>
      </w:r>
      <w:r w:rsidRPr="004C59BB">
        <w:rPr>
          <w:color w:val="0000FF"/>
          <w:lang w:val="ru-RU"/>
        </w:rPr>
        <w:t>拉奥狄基亚大公会议</w:t>
      </w:r>
      <w:r w:rsidRPr="0097554A">
        <w:rPr>
          <w:color w:val="0000FF"/>
        </w:rPr>
        <w:t>，</w:t>
      </w:r>
      <w:r w:rsidRPr="004C59BB">
        <w:rPr>
          <w:color w:val="0000FF"/>
          <w:lang w:val="ru-RU"/>
        </w:rPr>
        <w:t>第</w:t>
      </w:r>
      <w:r w:rsidRPr="0097554A">
        <w:rPr>
          <w:color w:val="0000FF"/>
        </w:rPr>
        <w:t>49</w:t>
      </w:r>
      <w:r w:rsidRPr="004C59BB">
        <w:rPr>
          <w:color w:val="0000FF"/>
          <w:lang w:val="ru-RU"/>
        </w:rPr>
        <w:t>条。</w:t>
      </w:r>
    </w:p>
  </w:footnote>
  <w:footnote w:id="1218">
    <w:p w14:paraId="29C48E61" w14:textId="42478A7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《使徒</w:t>
      </w:r>
      <w:r w:rsidRPr="004C59BB">
        <w:rPr>
          <w:color w:val="0000FF"/>
        </w:rPr>
        <w:t>宪章</w:t>
      </w:r>
      <w:r w:rsidRPr="004C59BB">
        <w:rPr>
          <w:color w:val="0000FF"/>
          <w:lang w:val="ru-RU"/>
        </w:rPr>
        <w:t>》</w:t>
      </w:r>
      <w:r w:rsidRPr="004C59BB">
        <w:rPr>
          <w:color w:val="0000FF"/>
        </w:rPr>
        <w:t>第八</w:t>
      </w:r>
      <w:r w:rsidRPr="004C59BB">
        <w:rPr>
          <w:color w:val="0000FF"/>
          <w:lang w:val="ru-RU"/>
        </w:rPr>
        <w:t>卷</w:t>
      </w:r>
      <w:r w:rsidRPr="0097554A">
        <w:rPr>
          <w:color w:val="0000FF"/>
        </w:rPr>
        <w:t>，</w:t>
      </w:r>
      <w:r w:rsidRPr="004C59BB">
        <w:rPr>
          <w:color w:val="0000FF"/>
          <w:lang w:val="ru-RU"/>
        </w:rPr>
        <w:t>第</w:t>
      </w:r>
      <w:r w:rsidRPr="0097554A">
        <w:rPr>
          <w:color w:val="0000FF"/>
        </w:rPr>
        <w:t>13</w:t>
      </w:r>
      <w:r w:rsidRPr="004C59BB">
        <w:rPr>
          <w:color w:val="0000FF"/>
          <w:lang w:val="ru-RU"/>
        </w:rPr>
        <w:t>章</w:t>
      </w:r>
      <w:r w:rsidRPr="0097554A">
        <w:rPr>
          <w:color w:val="0000FF"/>
        </w:rPr>
        <w:t>；</w:t>
      </w:r>
      <w:r w:rsidRPr="004C59BB">
        <w:rPr>
          <w:color w:val="0000FF"/>
          <w:lang w:val="ru-RU"/>
        </w:rPr>
        <w:t>优西比乌《教会史》</w:t>
      </w:r>
      <w:r w:rsidRPr="004C59BB">
        <w:rPr>
          <w:color w:val="0000FF"/>
        </w:rPr>
        <w:t>第七</w:t>
      </w:r>
      <w:r w:rsidRPr="004C59BB">
        <w:rPr>
          <w:color w:val="0000FF"/>
          <w:lang w:val="ru-RU"/>
        </w:rPr>
        <w:t>卷</w:t>
      </w:r>
      <w:r w:rsidRPr="0097554A">
        <w:rPr>
          <w:color w:val="0000FF"/>
        </w:rPr>
        <w:t>，</w:t>
      </w:r>
      <w:r w:rsidRPr="004C59BB">
        <w:rPr>
          <w:color w:val="0000FF"/>
          <w:lang w:val="ru-RU"/>
        </w:rPr>
        <w:t>第</w:t>
      </w:r>
      <w:r w:rsidRPr="0097554A">
        <w:rPr>
          <w:color w:val="0000FF"/>
        </w:rPr>
        <w:t>44</w:t>
      </w:r>
      <w:r w:rsidRPr="004C59BB">
        <w:rPr>
          <w:color w:val="0000FF"/>
          <w:lang w:val="ru-RU"/>
        </w:rPr>
        <w:t>章</w:t>
      </w:r>
      <w:r w:rsidRPr="0097554A">
        <w:rPr>
          <w:color w:val="0000FF"/>
        </w:rPr>
        <w:t>；</w:t>
      </w:r>
      <w:r w:rsidRPr="004C59BB">
        <w:rPr>
          <w:color w:val="0000FF"/>
          <w:lang w:val="ru-RU"/>
        </w:rPr>
        <w:t>金口若望</w:t>
      </w:r>
      <w:r w:rsidRPr="004C59BB">
        <w:rPr>
          <w:color w:val="0000FF"/>
        </w:rPr>
        <w:t>《致英诺森书</w:t>
      </w:r>
      <w:r w:rsidRPr="004C59BB">
        <w:rPr>
          <w:color w:val="0000FF"/>
          <w:lang w:val="ru-RU"/>
        </w:rPr>
        <w:t>》第</w:t>
      </w:r>
      <w:r w:rsidRPr="0097554A">
        <w:rPr>
          <w:color w:val="0000FF"/>
        </w:rPr>
        <w:t>3</w:t>
      </w:r>
      <w:r w:rsidRPr="004C59BB">
        <w:rPr>
          <w:color w:val="0000FF"/>
          <w:lang w:val="ru-RU"/>
        </w:rPr>
        <w:t>号</w:t>
      </w:r>
      <w:r w:rsidRPr="0097554A">
        <w:rPr>
          <w:color w:val="0000FF"/>
        </w:rPr>
        <w:t>；</w:t>
      </w:r>
      <w:r w:rsidRPr="004C59BB">
        <w:rPr>
          <w:color w:val="0000FF"/>
          <w:lang w:val="ru-RU"/>
        </w:rPr>
        <w:t>尼西亚大公会议第一卷</w:t>
      </w:r>
      <w:r w:rsidRPr="0097554A">
        <w:rPr>
          <w:color w:val="0000FF"/>
        </w:rPr>
        <w:t>，</w:t>
      </w:r>
      <w:r w:rsidRPr="004C59BB">
        <w:rPr>
          <w:color w:val="0000FF"/>
          <w:lang w:val="ru-RU"/>
        </w:rPr>
        <w:t>第</w:t>
      </w:r>
      <w:r w:rsidRPr="0097554A">
        <w:rPr>
          <w:color w:val="0000FF"/>
        </w:rPr>
        <w:t>13</w:t>
      </w:r>
      <w:r w:rsidRPr="004C59BB">
        <w:rPr>
          <w:color w:val="0000FF"/>
          <w:lang w:val="ru-RU"/>
        </w:rPr>
        <w:t>条。</w:t>
      </w:r>
    </w:p>
  </w:footnote>
  <w:footnote w:id="1219">
    <w:p w14:paraId="7530E600" w14:textId="536054CB"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尤斯丁</w:t>
      </w:r>
      <w:r w:rsidRPr="0097554A">
        <w:rPr>
          <w:color w:val="0000FF"/>
        </w:rPr>
        <w:t>，</w:t>
      </w:r>
      <w:r w:rsidRPr="004C59BB">
        <w:rPr>
          <w:color w:val="0000FF"/>
          <w:lang w:val="ru-RU"/>
        </w:rPr>
        <w:t>《</w:t>
      </w:r>
      <w:r w:rsidRPr="004C59BB">
        <w:rPr>
          <w:color w:val="0000FF"/>
        </w:rPr>
        <w:t>护教辞</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67</w:t>
      </w:r>
      <w:r w:rsidRPr="004C59BB">
        <w:rPr>
          <w:color w:val="0000FF"/>
          <w:lang w:val="ru-RU"/>
        </w:rPr>
        <w:t>节</w:t>
      </w:r>
      <w:r w:rsidRPr="0097554A">
        <w:rPr>
          <w:color w:val="0000FF"/>
        </w:rPr>
        <w:t>；</w:t>
      </w:r>
      <w:r w:rsidRPr="004C59BB">
        <w:rPr>
          <w:color w:val="0000FF"/>
          <w:lang w:val="ru-RU"/>
        </w:rPr>
        <w:t>优西比乌</w:t>
      </w:r>
      <w:r w:rsidRPr="0097554A">
        <w:rPr>
          <w:color w:val="0000FF"/>
        </w:rPr>
        <w:t>，</w:t>
      </w:r>
      <w:r w:rsidRPr="004C59BB">
        <w:rPr>
          <w:color w:val="0000FF"/>
          <w:lang w:val="ru-RU"/>
        </w:rPr>
        <w:t>《教会史》</w:t>
      </w:r>
      <w:r w:rsidRPr="004C59BB">
        <w:rPr>
          <w:color w:val="0000FF"/>
        </w:rPr>
        <w:t>第5卷，第44章。</w:t>
      </w:r>
    </w:p>
  </w:footnote>
  <w:footnote w:id="1220">
    <w:p w14:paraId="4BC188AA" w14:textId="04001A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基普里安《致科尔内利乌斯书》第LIV章。</w:t>
      </w:r>
    </w:p>
  </w:footnote>
  <w:footnote w:id="1221">
    <w:p w14:paraId="1AC7FD09" w14:textId="75256237"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金口若望</w:t>
      </w:r>
      <w:r w:rsidRPr="0097554A">
        <w:rPr>
          <w:color w:val="0000FF"/>
        </w:rPr>
        <w:t>，</w:t>
      </w:r>
      <w:r w:rsidRPr="004C59BB">
        <w:rPr>
          <w:color w:val="0000FF"/>
          <w:lang w:val="ru-RU"/>
        </w:rPr>
        <w:t>《论圣职》</w:t>
      </w:r>
      <w:r w:rsidRPr="004C59BB">
        <w:rPr>
          <w:color w:val="0000FF"/>
        </w:rPr>
        <w:t>第六</w:t>
      </w:r>
      <w:r w:rsidRPr="004C59BB">
        <w:rPr>
          <w:color w:val="0000FF"/>
          <w:lang w:val="ru-RU"/>
        </w:rPr>
        <w:t>卷</w:t>
      </w:r>
      <w:r w:rsidRPr="0097554A">
        <w:rPr>
          <w:color w:val="0000FF"/>
        </w:rPr>
        <w:t>，</w:t>
      </w:r>
      <w:r w:rsidRPr="004C59BB">
        <w:rPr>
          <w:color w:val="0000FF"/>
          <w:lang w:val="ru-RU"/>
        </w:rPr>
        <w:t>第</w:t>
      </w:r>
      <w:r w:rsidRPr="0097554A">
        <w:rPr>
          <w:color w:val="0000FF"/>
        </w:rPr>
        <w:t>4</w:t>
      </w:r>
      <w:r w:rsidRPr="004C59BB">
        <w:rPr>
          <w:color w:val="0000FF"/>
          <w:lang w:val="ru-RU"/>
        </w:rPr>
        <w:t>章。</w:t>
      </w:r>
    </w:p>
  </w:footnote>
  <w:footnote w:id="1222">
    <w:p w14:paraId="3743CF5D" w14:textId="3DE787B2"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特土良</w:t>
      </w:r>
      <w:r w:rsidRPr="0097554A">
        <w:rPr>
          <w:color w:val="0000FF"/>
        </w:rPr>
        <w:t>，</w:t>
      </w:r>
      <w:r w:rsidRPr="004C59BB">
        <w:rPr>
          <w:color w:val="0000FF"/>
        </w:rPr>
        <w:t>《论祈祷</w:t>
      </w:r>
      <w:r w:rsidRPr="004C59BB">
        <w:rPr>
          <w:color w:val="0000FF"/>
          <w:lang w:val="ru-RU"/>
        </w:rPr>
        <w:t>》第</w:t>
      </w:r>
      <w:r w:rsidRPr="0097554A">
        <w:rPr>
          <w:color w:val="0000FF"/>
        </w:rPr>
        <w:t>14</w:t>
      </w:r>
      <w:r w:rsidRPr="004C59BB">
        <w:rPr>
          <w:color w:val="0000FF"/>
          <w:lang w:val="ru-RU"/>
        </w:rPr>
        <w:t>章</w:t>
      </w:r>
      <w:r w:rsidRPr="0097554A">
        <w:rPr>
          <w:color w:val="0000FF"/>
        </w:rPr>
        <w:t>；</w:t>
      </w:r>
      <w:r w:rsidRPr="004C59BB">
        <w:rPr>
          <w:color w:val="0000FF"/>
          <w:lang w:val="ru-RU"/>
        </w:rPr>
        <w:t>《</w:t>
      </w:r>
      <w:r w:rsidRPr="004C59BB">
        <w:rPr>
          <w:color w:val="0000FF"/>
        </w:rPr>
        <w:t>致妻子</w:t>
      </w:r>
      <w:r w:rsidRPr="004C59BB">
        <w:rPr>
          <w:color w:val="0000FF"/>
          <w:lang w:val="ru-RU"/>
        </w:rPr>
        <w:t>书》</w:t>
      </w:r>
      <w:r w:rsidRPr="004C59BB">
        <w:rPr>
          <w:color w:val="0000FF"/>
        </w:rPr>
        <w:t>第11章第5节；基普里安，《论背教者》第381节；安布罗斯，《为斯塔提鲁斯所作的葬礼演说》；奥古斯丁，《反朱利安》未完成著作第III卷第154节。</w:t>
      </w:r>
    </w:p>
  </w:footnote>
  <w:footnote w:id="1223">
    <w:p w14:paraId="5CC302D8" w14:textId="6DA28F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巴塞洛缪大主教，《书信集》第93封（凯撒利亚）。</w:t>
      </w:r>
    </w:p>
  </w:footnote>
  <w:footnote w:id="1224">
    <w:p w14:paraId="0D8F620C" w14:textId="3FE76C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《哥林多前书讲道集》第XXV章，第5节。</w:t>
      </w:r>
    </w:p>
  </w:footnote>
  <w:footnote w:id="1225">
    <w:p w14:paraId="530B1976" w14:textId="5E857582"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《论圣灵》第十二卷，第11章，注78、</w:t>
      </w:r>
      <w:r w:rsidRPr="0097554A">
        <w:rPr>
          <w:color w:val="0000FF"/>
        </w:rPr>
        <w:t>79</w:t>
      </w:r>
      <w:r w:rsidRPr="004C59BB">
        <w:rPr>
          <w:color w:val="0000FF"/>
          <w:lang w:val="ru-RU"/>
        </w:rPr>
        <w:t>。</w:t>
      </w:r>
    </w:p>
  </w:footnote>
  <w:footnote w:id="1226">
    <w:p w14:paraId="758D7924" w14:textId="778E601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《诗篇</w:t>
      </w:r>
      <w:r w:rsidRPr="004C59BB">
        <w:rPr>
          <w:color w:val="0000FF"/>
          <w:lang w:val="ru-RU"/>
        </w:rPr>
        <w:t>》</w:t>
      </w:r>
      <w:r w:rsidRPr="004C59BB">
        <w:rPr>
          <w:color w:val="0000FF"/>
        </w:rPr>
        <w:t>第98篇</w:t>
      </w:r>
      <w:r w:rsidRPr="004C59BB">
        <w:rPr>
          <w:color w:val="0000FF"/>
          <w:lang w:val="ru-RU"/>
        </w:rPr>
        <w:t>。</w:t>
      </w:r>
    </w:p>
  </w:footnote>
  <w:footnote w:id="1227">
    <w:p w14:paraId="05D884A7" w14:textId="5704728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《正统信仰精确阐述》</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8</w:t>
      </w:r>
      <w:r w:rsidRPr="004C59BB">
        <w:rPr>
          <w:color w:val="0000FF"/>
          <w:lang w:val="ru-RU"/>
        </w:rPr>
        <w:t>章</w:t>
      </w:r>
      <w:r w:rsidRPr="0097554A">
        <w:rPr>
          <w:color w:val="0000FF"/>
        </w:rPr>
        <w:t>，</w:t>
      </w:r>
      <w:r w:rsidRPr="004C59BB">
        <w:rPr>
          <w:color w:val="0000FF"/>
          <w:lang w:val="ru-RU"/>
        </w:rPr>
        <w:t>第</w:t>
      </w:r>
      <w:r w:rsidRPr="0097554A">
        <w:rPr>
          <w:color w:val="0000FF"/>
        </w:rPr>
        <w:t>159</w:t>
      </w:r>
      <w:r w:rsidRPr="004C59BB">
        <w:rPr>
          <w:color w:val="0000FF"/>
          <w:lang w:val="ru-RU"/>
        </w:rPr>
        <w:t>页</w:t>
      </w:r>
      <w:r w:rsidRPr="0097554A">
        <w:rPr>
          <w:color w:val="0000FF"/>
        </w:rPr>
        <w:t>；</w:t>
      </w:r>
      <w:r w:rsidRPr="004C59BB">
        <w:rPr>
          <w:color w:val="0000FF"/>
        </w:rPr>
        <w:t>第四卷</w:t>
      </w:r>
      <w:r w:rsidRPr="0097554A">
        <w:rPr>
          <w:color w:val="0000FF"/>
        </w:rPr>
        <w:t>，</w:t>
      </w:r>
      <w:r w:rsidRPr="004C59BB">
        <w:rPr>
          <w:color w:val="0000FF"/>
          <w:lang w:val="el-GR"/>
        </w:rPr>
        <w:t>第</w:t>
      </w:r>
      <w:r w:rsidRPr="0097554A">
        <w:rPr>
          <w:color w:val="0000FF"/>
        </w:rPr>
        <w:t>3</w:t>
      </w:r>
      <w:r w:rsidRPr="004C59BB">
        <w:rPr>
          <w:color w:val="0000FF"/>
        </w:rPr>
        <w:t>章</w:t>
      </w:r>
      <w:r w:rsidRPr="0097554A">
        <w:rPr>
          <w:color w:val="0000FF"/>
        </w:rPr>
        <w:t>，</w:t>
      </w:r>
      <w:r w:rsidRPr="004C59BB">
        <w:rPr>
          <w:color w:val="0000FF"/>
          <w:lang w:val="el-GR"/>
        </w:rPr>
        <w:t>第</w:t>
      </w:r>
      <w:r w:rsidRPr="0097554A">
        <w:rPr>
          <w:color w:val="0000FF"/>
        </w:rPr>
        <w:t>225</w:t>
      </w:r>
      <w:r w:rsidRPr="004C59BB">
        <w:rPr>
          <w:color w:val="0000FF"/>
          <w:lang w:val="el-GR"/>
        </w:rPr>
        <w:t>页。</w:t>
      </w:r>
    </w:p>
  </w:footnote>
  <w:footnote w:id="1228">
    <w:p w14:paraId="5B903134" w14:textId="4B890A8D"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Ίεραρχος</w:t>
      </w:r>
      <w:r w:rsidRPr="0097554A">
        <w:rPr>
          <w:color w:val="0000FF"/>
        </w:rPr>
        <w:t xml:space="preserve">… </w:t>
      </w:r>
      <w:r w:rsidRPr="004C59BB">
        <w:rPr>
          <w:color w:val="0000FF"/>
          <w:lang w:val="el-GR"/>
        </w:rPr>
        <w:t>ιερουργεί</w:t>
      </w:r>
      <w:r w:rsidRPr="0097554A">
        <w:rPr>
          <w:color w:val="0000FF"/>
        </w:rPr>
        <w:t xml:space="preserve"> </w:t>
      </w:r>
      <w:r w:rsidRPr="004C59BB">
        <w:rPr>
          <w:color w:val="0000FF"/>
          <w:lang w:val="el-GR"/>
        </w:rPr>
        <w:t>τα</w:t>
      </w:r>
      <w:r w:rsidRPr="0097554A">
        <w:rPr>
          <w:color w:val="0000FF"/>
        </w:rPr>
        <w:t xml:space="preserve"> </w:t>
      </w:r>
      <w:r w:rsidRPr="004C59BB">
        <w:rPr>
          <w:color w:val="0000FF"/>
          <w:lang w:val="el-GR"/>
        </w:rPr>
        <w:t>θειότατα。</w:t>
      </w:r>
      <w:r w:rsidRPr="004C59BB">
        <w:rPr>
          <w:color w:val="0000FF"/>
          <w:lang w:val="ru-RU"/>
        </w:rPr>
        <w:t>关于教会等级制度</w:t>
      </w:r>
      <w:r w:rsidRPr="0097554A">
        <w:rPr>
          <w:color w:val="0000FF"/>
        </w:rPr>
        <w:t>，</w:t>
      </w:r>
      <w:r w:rsidRPr="004C59BB">
        <w:rPr>
          <w:color w:val="0000FF"/>
        </w:rPr>
        <w:t>第III</w:t>
      </w:r>
      <w:r w:rsidRPr="004C59BB">
        <w:rPr>
          <w:color w:val="0000FF"/>
          <w:lang w:val="ru-RU"/>
        </w:rPr>
        <w:t>章</w:t>
      </w:r>
      <w:r w:rsidRPr="0097554A">
        <w:rPr>
          <w:color w:val="0000FF"/>
        </w:rPr>
        <w:t>，</w:t>
      </w:r>
      <w:r w:rsidRPr="004C59BB">
        <w:rPr>
          <w:color w:val="0000FF"/>
          <w:lang w:val="ru-RU"/>
        </w:rPr>
        <w:t>第</w:t>
      </w:r>
      <w:r w:rsidRPr="0097554A">
        <w:rPr>
          <w:color w:val="0000FF"/>
        </w:rPr>
        <w:t>3</w:t>
      </w:r>
      <w:r w:rsidRPr="004C59BB">
        <w:rPr>
          <w:color w:val="0000FF"/>
          <w:lang w:val="ru-RU"/>
        </w:rPr>
        <w:t>页</w:t>
      </w:r>
      <w:r w:rsidRPr="0097554A">
        <w:rPr>
          <w:color w:val="0000FF"/>
        </w:rPr>
        <w:t>，</w:t>
      </w:r>
      <w:r w:rsidRPr="004C59BB">
        <w:rPr>
          <w:color w:val="0000FF"/>
          <w:lang w:val="ru-RU"/>
        </w:rPr>
        <w:t>第</w:t>
      </w:r>
      <w:r w:rsidRPr="0097554A">
        <w:rPr>
          <w:color w:val="0000FF"/>
        </w:rPr>
        <w:t>10</w:t>
      </w:r>
      <w:r w:rsidRPr="004C59BB">
        <w:rPr>
          <w:color w:val="0000FF"/>
          <w:lang w:val="ru-RU"/>
        </w:rPr>
        <w:t>节。</w:t>
      </w:r>
    </w:p>
  </w:footnote>
  <w:footnote w:id="1229">
    <w:p w14:paraId="670F6DDB" w14:textId="5B6DDA84"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当首席司祭献上感恩之后</w:t>
      </w:r>
      <w:r w:rsidRPr="0097554A">
        <w:rPr>
          <w:color w:val="0000FF"/>
        </w:rPr>
        <w:t>……</w:t>
      </w:r>
      <w:r w:rsidRPr="004C59BB">
        <w:rPr>
          <w:color w:val="0000FF"/>
        </w:rPr>
        <w:t>《辩护书</w:t>
      </w:r>
      <w:r w:rsidRPr="004C59BB">
        <w:rPr>
          <w:color w:val="0000FF"/>
          <w:lang w:val="el-GR"/>
        </w:rPr>
        <w:t>》</w:t>
      </w:r>
      <w:r w:rsidRPr="004C59BB">
        <w:rPr>
          <w:color w:val="0000FF"/>
        </w:rPr>
        <w:t>第1卷，第65节。</w:t>
      </w:r>
    </w:p>
  </w:footnote>
  <w:footnote w:id="1230">
    <w:p w14:paraId="0533CBE6" w14:textId="297F71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我们所领受的，并非来自他人之手，而是来自主持者之手。《论军事冠冕》第3章。</w:t>
      </w:r>
    </w:p>
  </w:footnote>
  <w:footnote w:id="1231">
    <w:p w14:paraId="7F408697" w14:textId="56CA2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瓦西里《大书信》</w:t>
      </w:r>
      <w:r w:rsidRPr="004C59BB">
        <w:rPr>
          <w:color w:val="0000FF"/>
          <w:lang w:val="ru-RU"/>
        </w:rPr>
        <w:t>第</w:t>
      </w:r>
      <w:r w:rsidRPr="0097554A">
        <w:rPr>
          <w:color w:val="0000FF"/>
        </w:rPr>
        <w:t>93</w:t>
      </w:r>
      <w:r w:rsidRPr="004C59BB">
        <w:rPr>
          <w:color w:val="0000FF"/>
          <w:lang w:val="ru-RU"/>
        </w:rPr>
        <w:t>封</w:t>
      </w:r>
      <w:r w:rsidRPr="0097554A">
        <w:rPr>
          <w:color w:val="0000FF"/>
        </w:rPr>
        <w:t>；</w:t>
      </w:r>
      <w:r w:rsidRPr="004C59BB">
        <w:rPr>
          <w:color w:val="0000FF"/>
          <w:lang w:val="ru-RU"/>
        </w:rPr>
        <w:t>约翰</w:t>
      </w:r>
      <w:r w:rsidRPr="0097554A">
        <w:rPr>
          <w:color w:val="0000FF"/>
        </w:rPr>
        <w:t>·</w:t>
      </w:r>
      <w:r w:rsidRPr="004C59BB">
        <w:rPr>
          <w:color w:val="0000FF"/>
          <w:lang w:val="ru-RU"/>
        </w:rPr>
        <w:t>扎拉坦《论圣职》</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4</w:t>
      </w:r>
      <w:r w:rsidRPr="004C59BB">
        <w:rPr>
          <w:color w:val="0000FF"/>
          <w:lang w:val="ru-RU"/>
        </w:rPr>
        <w:t>、</w:t>
      </w:r>
      <w:r w:rsidRPr="004C59BB">
        <w:rPr>
          <w:color w:val="0000FF"/>
        </w:rPr>
        <w:t>5章；第六卷，第4章；伊拉里乌斯《马太福音注释》第十四章，第10节； 埃皮法尼乌斯，《异端论》第LXXIX章；耶罗尼姆，《致福音书的书信》；西里西乌斯，《致高卢主教书信》第X卷第11章第5节；亚历山大的西里尔，《论阿巴克》第47节；《论索福克勒斯》第11节。</w:t>
      </w:r>
    </w:p>
  </w:footnote>
  <w:footnote w:id="1232">
    <w:p w14:paraId="13C0A5A1" w14:textId="33B5C2E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圣而大公的会议获悉</w:t>
      </w:r>
      <w:r w:rsidRPr="0097554A">
        <w:rPr>
          <w:color w:val="0000FF"/>
        </w:rPr>
        <w:t>，</w:t>
      </w:r>
      <w:r w:rsidRPr="004C59BB">
        <w:rPr>
          <w:color w:val="0000FF"/>
          <w:lang w:val="ru-RU"/>
        </w:rPr>
        <w:t>在某些地方和城市</w:t>
      </w:r>
      <w:r w:rsidRPr="0097554A">
        <w:rPr>
          <w:color w:val="0000FF"/>
        </w:rPr>
        <w:t>，</w:t>
      </w:r>
      <w:r w:rsidRPr="004C59BB">
        <w:rPr>
          <w:color w:val="0000FF"/>
          <w:lang w:val="ru-RU"/>
        </w:rPr>
        <w:t>执事向长老分发圣体</w:t>
      </w:r>
      <w:r w:rsidRPr="0097554A">
        <w:rPr>
          <w:color w:val="0000FF"/>
        </w:rPr>
        <w:t>，</w:t>
      </w:r>
      <w:r w:rsidRPr="004C59BB">
        <w:rPr>
          <w:color w:val="0000FF"/>
          <w:lang w:val="ru-RU"/>
        </w:rPr>
        <w:t>然而无论是教规还是惯例</w:t>
      </w:r>
      <w:r w:rsidRPr="0097554A">
        <w:rPr>
          <w:color w:val="0000FF"/>
        </w:rPr>
        <w:t>，</w:t>
      </w:r>
      <w:r w:rsidRPr="004C59BB">
        <w:rPr>
          <w:color w:val="0000FF"/>
          <w:lang w:val="ru-RU"/>
        </w:rPr>
        <w:t>都未曾规定那些无权献祭者可向献祭者分发基督的圣体。</w:t>
      </w:r>
      <w:r w:rsidRPr="0097554A">
        <w:rPr>
          <w:color w:val="0000FF"/>
        </w:rPr>
        <w:t xml:space="preserve"> </w:t>
      </w:r>
      <w:r w:rsidRPr="004C59BB">
        <w:rPr>
          <w:color w:val="0000FF"/>
          <w:lang w:val="ru-RU"/>
        </w:rPr>
        <w:t>此外</w:t>
      </w:r>
      <w:r w:rsidRPr="0097554A">
        <w:rPr>
          <w:color w:val="0000FF"/>
        </w:rPr>
        <w:t>，</w:t>
      </w:r>
      <w:r w:rsidRPr="004C59BB">
        <w:rPr>
          <w:color w:val="0000FF"/>
          <w:lang w:val="ru-RU"/>
        </w:rPr>
        <w:t>还发现甚至有些执事</w:t>
      </w:r>
      <w:r w:rsidRPr="0097554A">
        <w:rPr>
          <w:color w:val="0000FF"/>
        </w:rPr>
        <w:t>，</w:t>
      </w:r>
      <w:r w:rsidRPr="004C59BB">
        <w:rPr>
          <w:color w:val="0000FF"/>
          <w:lang w:val="ru-RU"/>
        </w:rPr>
        <w:t>甚至在主教之前</w:t>
      </w:r>
      <w:r w:rsidRPr="0097554A">
        <w:rPr>
          <w:color w:val="0000FF"/>
        </w:rPr>
        <w:t>，</w:t>
      </w:r>
      <w:r w:rsidRPr="004C59BB">
        <w:rPr>
          <w:color w:val="0000FF"/>
          <w:lang w:val="ru-RU"/>
        </w:rPr>
        <w:t>就触碰圣体。这一切都必须予以制止</w:t>
      </w:r>
      <w:r w:rsidRPr="0097554A">
        <w:rPr>
          <w:color w:val="0000FF"/>
        </w:rPr>
        <w:t>：</w:t>
      </w:r>
      <w:r w:rsidRPr="004C59BB">
        <w:rPr>
          <w:color w:val="0000FF"/>
          <w:lang w:val="ru-RU"/>
        </w:rPr>
        <w:t>执事应当安守本分</w:t>
      </w:r>
      <w:r w:rsidRPr="0097554A">
        <w:rPr>
          <w:color w:val="0000FF"/>
        </w:rPr>
        <w:t>，</w:t>
      </w:r>
      <w:r w:rsidRPr="004C59BB">
        <w:rPr>
          <w:color w:val="0000FF"/>
          <w:lang w:val="ru-RU"/>
        </w:rPr>
        <w:t>明白他们是主教的仆役</w:t>
      </w:r>
      <w:r w:rsidRPr="0097554A">
        <w:rPr>
          <w:color w:val="0000FF"/>
        </w:rPr>
        <w:t>，</w:t>
      </w:r>
      <w:r w:rsidRPr="004C59BB">
        <w:rPr>
          <w:color w:val="0000FF"/>
          <w:lang w:val="ru-RU"/>
        </w:rPr>
        <w:t>地位低于长老。</w:t>
      </w:r>
      <w:r w:rsidRPr="0097554A">
        <w:rPr>
          <w:color w:val="0000FF"/>
        </w:rPr>
        <w:t xml:space="preserve"> </w:t>
      </w:r>
      <w:r w:rsidRPr="004C59BB">
        <w:rPr>
          <w:color w:val="0000FF"/>
          <w:lang w:val="ru-RU"/>
        </w:rPr>
        <w:t>他们应当在长老之后</w:t>
      </w:r>
      <w:r w:rsidRPr="0097554A">
        <w:rPr>
          <w:color w:val="0000FF"/>
        </w:rPr>
        <w:t>，</w:t>
      </w:r>
      <w:r w:rsidRPr="004C59BB">
        <w:rPr>
          <w:color w:val="0000FF"/>
          <w:lang w:val="ru-RU"/>
        </w:rPr>
        <w:t>按次序领受由主教或长老分授的圣体</w:t>
      </w:r>
      <w:r w:rsidRPr="0097554A">
        <w:rPr>
          <w:color w:val="0000FF"/>
        </w:rPr>
        <w:t>”（</w:t>
      </w:r>
      <w:r w:rsidRPr="004C59BB">
        <w:rPr>
          <w:color w:val="0000FF"/>
          <w:lang w:val="ru-RU"/>
        </w:rPr>
        <w:t>第</w:t>
      </w:r>
      <w:r w:rsidRPr="0097554A">
        <w:rPr>
          <w:color w:val="0000FF"/>
        </w:rPr>
        <w:t>18</w:t>
      </w:r>
      <w:r w:rsidRPr="004C59BB">
        <w:rPr>
          <w:color w:val="0000FF"/>
          <w:lang w:val="ru-RU"/>
        </w:rPr>
        <w:t>条</w:t>
      </w:r>
      <w:r w:rsidRPr="0097554A">
        <w:rPr>
          <w:color w:val="0000FF"/>
        </w:rPr>
        <w:t>）</w:t>
      </w:r>
      <w:r w:rsidRPr="004C59BB">
        <w:rPr>
          <w:color w:val="0000FF"/>
          <w:lang w:val="ru-RU"/>
        </w:rPr>
        <w:t>。</w:t>
      </w:r>
    </w:p>
  </w:footnote>
  <w:footnote w:id="1233">
    <w:p w14:paraId="05D0FA47" w14:textId="31128DD7"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主教或长老不宜在家中举行奉献礼</w:t>
      </w:r>
      <w:r w:rsidRPr="0097554A">
        <w:rPr>
          <w:color w:val="0000FF"/>
        </w:rPr>
        <w:t>”（</w:t>
      </w:r>
      <w:r w:rsidRPr="004C59BB">
        <w:rPr>
          <w:color w:val="0000FF"/>
        </w:rPr>
        <w:t>第58条）。</w:t>
      </w:r>
    </w:p>
  </w:footnote>
  <w:footnote w:id="1234">
    <w:p w14:paraId="1F67F811" w14:textId="287C5A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《尼西亚教规》第一卷，第18条；杰罗姆，《致福音书的书信》。</w:t>
      </w:r>
    </w:p>
  </w:footnote>
  <w:footnote w:id="1235">
    <w:p w14:paraId="167B32BE" w14:textId="5715B6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安布罗斯，《论事工职责》1，41，第214条。</w:t>
      </w:r>
    </w:p>
  </w:footnote>
  <w:footnote w:id="1236">
    <w:p w14:paraId="3A6E65A7" w14:textId="7FABA5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伊西米努斯，《辩护书》1，65；亚他那修，《马太福音注释》VII，6（见加兰德版 V）。</w:t>
      </w:r>
    </w:p>
  </w:footnote>
  <w:footnote w:id="1237">
    <w:p w14:paraId="7603EE46" w14:textId="5F99F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《使徒宪章》第八卷，第13条；基普里安，《论背道者》，第381页奥古斯丁，《劳伦斯讲道集》第CCCIV篇，第III卷，注1。</w:t>
      </w:r>
    </w:p>
  </w:footnote>
  <w:footnote w:id="1238">
    <w:p w14:paraId="12AA3555" w14:textId="309F683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特鲁尔大公会议</w:t>
      </w:r>
      <w:r w:rsidRPr="0097554A">
        <w:rPr>
          <w:color w:val="0000FF"/>
        </w:rPr>
        <w:t>，</w:t>
      </w:r>
      <w:r w:rsidRPr="004C59BB">
        <w:rPr>
          <w:color w:val="0000FF"/>
          <w:lang w:val="ru-RU"/>
        </w:rPr>
        <w:t>第</w:t>
      </w:r>
      <w:r w:rsidRPr="0097554A">
        <w:rPr>
          <w:color w:val="0000FF"/>
        </w:rPr>
        <w:t>58</w:t>
      </w:r>
      <w:r w:rsidRPr="004C59BB">
        <w:rPr>
          <w:color w:val="0000FF"/>
          <w:lang w:val="ru-RU"/>
        </w:rPr>
        <w:t>条。</w:t>
      </w:r>
    </w:p>
  </w:footnote>
  <w:footnote w:id="1239">
    <w:p w14:paraId="205351E1" w14:textId="0EF462E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辩护书</w:t>
      </w:r>
      <w:r w:rsidRPr="004C59BB">
        <w:rPr>
          <w:color w:val="0000FF"/>
          <w:lang w:val="ru-RU"/>
        </w:rPr>
        <w:t>》</w:t>
      </w:r>
      <w:r w:rsidRPr="0097554A">
        <w:rPr>
          <w:color w:val="0000FF"/>
        </w:rPr>
        <w:t>1，</w:t>
      </w:r>
      <w:r w:rsidRPr="004C59BB">
        <w:rPr>
          <w:color w:val="0000FF"/>
          <w:lang w:val="ru-RU"/>
        </w:rPr>
        <w:t>第</w:t>
      </w:r>
      <w:r w:rsidRPr="0097554A">
        <w:rPr>
          <w:color w:val="0000FF"/>
        </w:rPr>
        <w:t>86</w:t>
      </w:r>
      <w:r w:rsidRPr="004C59BB">
        <w:rPr>
          <w:color w:val="0000FF"/>
          <w:lang w:val="ru-RU"/>
        </w:rPr>
        <w:t>节</w:t>
      </w:r>
      <w:r w:rsidRPr="0097554A">
        <w:rPr>
          <w:color w:val="0000FF"/>
        </w:rPr>
        <w:t>，</w:t>
      </w:r>
      <w:r w:rsidRPr="004C59BB">
        <w:rPr>
          <w:color w:val="0000FF"/>
          <w:lang w:val="ru-RU"/>
        </w:rPr>
        <w:t>载于《基督教读物》</w:t>
      </w:r>
      <w:r w:rsidRPr="0097554A">
        <w:rPr>
          <w:color w:val="0000FF"/>
        </w:rPr>
        <w:t>1825</w:t>
      </w:r>
      <w:r w:rsidRPr="004C59BB">
        <w:rPr>
          <w:color w:val="0000FF"/>
          <w:lang w:val="ru-RU"/>
        </w:rPr>
        <w:t>年</w:t>
      </w:r>
      <w:r w:rsidRPr="0097554A">
        <w:rPr>
          <w:color w:val="0000FF"/>
        </w:rPr>
        <w:t>，</w:t>
      </w:r>
      <w:r w:rsidRPr="004C59BB">
        <w:rPr>
          <w:color w:val="0000FF"/>
        </w:rPr>
        <w:t>第XVII卷</w:t>
      </w:r>
      <w:r w:rsidRPr="0097554A">
        <w:rPr>
          <w:color w:val="0000FF"/>
        </w:rPr>
        <w:t>，</w:t>
      </w:r>
      <w:r w:rsidRPr="004C59BB">
        <w:rPr>
          <w:color w:val="0000FF"/>
          <w:lang w:val="ru-RU"/>
        </w:rPr>
        <w:t>第</w:t>
      </w:r>
      <w:r w:rsidRPr="0097554A">
        <w:rPr>
          <w:color w:val="0000FF"/>
        </w:rPr>
        <w:t>99</w:t>
      </w:r>
      <w:r w:rsidRPr="004C59BB">
        <w:rPr>
          <w:color w:val="0000FF"/>
          <w:lang w:val="ru-RU"/>
        </w:rPr>
        <w:t>页。</w:t>
      </w:r>
    </w:p>
  </w:footnote>
  <w:footnote w:id="1240">
    <w:p w14:paraId="10C6E8FB" w14:textId="35F8278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参见第九卷规则索引中的词条</w:t>
      </w:r>
      <w:r w:rsidRPr="0097554A">
        <w:rPr>
          <w:color w:val="0000FF"/>
        </w:rPr>
        <w:t>：</w:t>
      </w:r>
      <w:r w:rsidRPr="004C59BB">
        <w:rPr>
          <w:color w:val="0000FF"/>
          <w:lang w:val="ru-RU"/>
        </w:rPr>
        <w:t>背弃信仰、异端、分裂者、补赎、异教徒等。</w:t>
      </w:r>
    </w:p>
  </w:footnote>
  <w:footnote w:id="1241">
    <w:p w14:paraId="7C5C94F1" w14:textId="320A4D3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宗座宪章</w:t>
      </w:r>
      <w:r w:rsidRPr="004C59BB">
        <w:rPr>
          <w:color w:val="0000FF"/>
          <w:lang w:val="ru-RU"/>
        </w:rPr>
        <w:t>》</w:t>
      </w:r>
      <w:r w:rsidRPr="004C59BB">
        <w:rPr>
          <w:color w:val="0000FF"/>
        </w:rPr>
        <w:t>第七卷</w:t>
      </w:r>
      <w:r w:rsidRPr="0097554A">
        <w:rPr>
          <w:color w:val="0000FF"/>
        </w:rPr>
        <w:t>，</w:t>
      </w:r>
      <w:r w:rsidRPr="004C59BB">
        <w:rPr>
          <w:color w:val="0000FF"/>
          <w:lang w:val="ru-RU"/>
        </w:rPr>
        <w:t>第</w:t>
      </w:r>
      <w:r w:rsidRPr="0097554A">
        <w:rPr>
          <w:color w:val="0000FF"/>
        </w:rPr>
        <w:t>7</w:t>
      </w:r>
      <w:r w:rsidRPr="004C59BB">
        <w:rPr>
          <w:color w:val="0000FF"/>
          <w:lang w:val="ru-RU"/>
        </w:rPr>
        <w:t>章。</w:t>
      </w:r>
    </w:p>
  </w:footnote>
  <w:footnote w:id="1242">
    <w:p w14:paraId="33DD846C" w14:textId="3B5A5A6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关于</w:t>
      </w:r>
      <w:r w:rsidRPr="004C59BB">
        <w:rPr>
          <w:color w:val="0000FF"/>
          <w:lang w:val="ru-RU"/>
        </w:rPr>
        <w:t>领受并参与神圣圣事的教导</w:t>
      </w:r>
      <w:r w:rsidRPr="0097554A">
        <w:rPr>
          <w:color w:val="0000FF"/>
        </w:rPr>
        <w:t>，</w:t>
      </w:r>
      <w:r w:rsidRPr="004C59BB">
        <w:rPr>
          <w:color w:val="0000FF"/>
          <w:lang w:val="ru-RU"/>
        </w:rPr>
        <w:t>载于《礼仪书》末尾。</w:t>
      </w:r>
    </w:p>
  </w:footnote>
  <w:footnote w:id="1243">
    <w:p w14:paraId="0CBCB383" w14:textId="299B74A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特伦托大公会议，第二十一届会议，第四条。</w:t>
      </w:r>
    </w:p>
  </w:footnote>
  <w:footnote w:id="1244">
    <w:p w14:paraId="2E56A2BD" w14:textId="100404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《宗座宪章》第八卷，第13章。</w:t>
      </w:r>
    </w:p>
  </w:footnote>
  <w:footnote w:id="1245">
    <w:p w14:paraId="578824FD" w14:textId="1579316E"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狄奥尼修斯</w:t>
      </w:r>
      <w:r w:rsidRPr="0097554A">
        <w:rPr>
          <w:color w:val="0000FF"/>
        </w:rPr>
        <w:t>·</w:t>
      </w:r>
      <w:r w:rsidRPr="004C59BB">
        <w:rPr>
          <w:color w:val="0000FF"/>
          <w:lang w:val="ru-RU"/>
        </w:rPr>
        <w:t>阿雷奥帕戈斯</w:t>
      </w:r>
      <w:r w:rsidRPr="0097554A">
        <w:rPr>
          <w:color w:val="0000FF"/>
        </w:rPr>
        <w:t>，</w:t>
      </w:r>
      <w:r w:rsidRPr="004C59BB">
        <w:rPr>
          <w:color w:val="0000FF"/>
          <w:lang w:val="ru-RU"/>
        </w:rPr>
        <w:t>《论教会等级制度》</w:t>
      </w:r>
      <w:r w:rsidRPr="004C59BB">
        <w:rPr>
          <w:color w:val="0000FF"/>
        </w:rPr>
        <w:t>第七</w:t>
      </w:r>
      <w:r w:rsidRPr="004C59BB">
        <w:rPr>
          <w:color w:val="0000FF"/>
          <w:lang w:val="ru-RU"/>
        </w:rPr>
        <w:t>章</w:t>
      </w:r>
      <w:r w:rsidRPr="004C59BB">
        <w:rPr>
          <w:color w:val="0000FF"/>
        </w:rPr>
        <w:t>，第11节；基普里安，《论背教者》第381页（Bal.版）；《证言》第三卷，第25章。</w:t>
      </w:r>
    </w:p>
  </w:footnote>
  <w:footnote w:id="1246">
    <w:p w14:paraId="6F5FD9CA" w14:textId="14EFE6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“倘若有人竟敢断言，‘除非你们领受……’这一教义不适用于幼童，且他们即使不参与这圣体圣血，也能在自身内拥有生命”（《论罪与功德》第1卷，第20章）。</w:t>
      </w:r>
    </w:p>
  </w:footnote>
  <w:footnote w:id="1247">
    <w:p w14:paraId="2D897724" w14:textId="700236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有人断言，即使没有洗礼，幼儿也能因永生的恩赏而蒙恩：因为若他们没有领受祂的宝血，便无法在自己里面拥有生命（致奥古斯丁书信第XCIII封及米列维塔会议）。</w:t>
      </w:r>
    </w:p>
  </w:footnote>
  <w:footnote w:id="1248">
    <w:p w14:paraId="3F69CFB1" w14:textId="2C6177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瓦西里·基利基亚，见福提乌斯《图书馆》手稿CVII，第281页；埃瓦格里乌斯，《教会历史》第四卷，第36章。</w:t>
      </w:r>
    </w:p>
  </w:footnote>
  <w:footnote w:id="1249">
    <w:p w14:paraId="5E16B838" w14:textId="0326D6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格纳迪乌斯，《论教会教义》第52章；托莱多大公会议第二卷，第XI章。</w:t>
      </w:r>
    </w:p>
  </w:footnote>
  <w:footnote w:id="1250">
    <w:p w14:paraId="5EECD037" w14:textId="34C64B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在9世纪编纂的《罗马礼仪》（Ordo Romanus）一书中，有如下教导：应照料幼童，使他们在受洗后，在领受基督圣体圣事之前，既不进食任何食物，也不在非必要情况下哺乳（见《教父文库》第X卷，第84页。巴黎，1654年）。</w:t>
      </w:r>
    </w:p>
  </w:footnote>
  <w:footnote w:id="1251">
    <w:p w14:paraId="3DF6D7BF" w14:textId="138B6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博纳，《礼仪事务》第二卷，第19章，第2节。</w:t>
      </w:r>
    </w:p>
  </w:footnote>
  <w:footnote w:id="1252">
    <w:p w14:paraId="75EE3FF8" w14:textId="228D4EE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《教规》第</w:t>
      </w:r>
      <w:r w:rsidRPr="0097554A">
        <w:rPr>
          <w:color w:val="0000FF"/>
        </w:rPr>
        <w:t>1</w:t>
      </w:r>
      <w:r w:rsidRPr="004C59BB">
        <w:rPr>
          <w:color w:val="0000FF"/>
          <w:lang w:val="ru-RU"/>
        </w:rPr>
        <w:t>卷</w:t>
      </w:r>
      <w:r w:rsidRPr="0097554A">
        <w:rPr>
          <w:color w:val="0000FF"/>
        </w:rPr>
        <w:t>，</w:t>
      </w:r>
      <w:r w:rsidRPr="004C59BB">
        <w:rPr>
          <w:color w:val="0000FF"/>
          <w:lang w:val="ru-RU"/>
        </w:rPr>
        <w:t>对第</w:t>
      </w:r>
      <w:r w:rsidRPr="0097554A">
        <w:rPr>
          <w:color w:val="0000FF"/>
        </w:rPr>
        <w:t>107</w:t>
      </w:r>
      <w:r w:rsidRPr="004C59BB">
        <w:rPr>
          <w:color w:val="0000FF"/>
          <w:lang w:val="ru-RU"/>
        </w:rPr>
        <w:t>个问题的解答</w:t>
      </w:r>
      <w:r w:rsidRPr="0097554A">
        <w:rPr>
          <w:color w:val="0000FF"/>
        </w:rPr>
        <w:t>；</w:t>
      </w:r>
      <w:r w:rsidRPr="004C59BB">
        <w:rPr>
          <w:color w:val="0000FF"/>
          <w:lang w:val="ru-RU"/>
        </w:rPr>
        <w:t>引自圣狄奥尼修斯</w:t>
      </w:r>
      <w:r w:rsidRPr="0097554A">
        <w:rPr>
          <w:color w:val="0000FF"/>
        </w:rPr>
        <w:t>·</w:t>
      </w:r>
      <w:r w:rsidRPr="004C59BB">
        <w:rPr>
          <w:color w:val="0000FF"/>
          <w:lang w:val="ru-RU"/>
        </w:rPr>
        <w:t>亚历山大《教规》第</w:t>
      </w:r>
      <w:r w:rsidRPr="0097554A">
        <w:rPr>
          <w:color w:val="0000FF"/>
        </w:rPr>
        <w:t>2</w:t>
      </w:r>
      <w:r w:rsidRPr="004C59BB">
        <w:rPr>
          <w:color w:val="0000FF"/>
          <w:lang w:val="ru-RU"/>
        </w:rPr>
        <w:t>章第</w:t>
      </w:r>
      <w:r w:rsidRPr="0097554A">
        <w:rPr>
          <w:color w:val="0000FF"/>
        </w:rPr>
        <w:t>4</w:t>
      </w:r>
      <w:r w:rsidRPr="004C59BB">
        <w:rPr>
          <w:color w:val="0000FF"/>
          <w:lang w:val="ru-RU"/>
        </w:rPr>
        <w:t>节</w:t>
      </w:r>
      <w:r w:rsidRPr="0097554A">
        <w:rPr>
          <w:color w:val="0000FF"/>
        </w:rPr>
        <w:t>；</w:t>
      </w:r>
      <w:r w:rsidRPr="004C59BB">
        <w:rPr>
          <w:color w:val="0000FF"/>
          <w:lang w:val="ru-RU"/>
        </w:rPr>
        <w:t>圣提摩太</w:t>
      </w:r>
      <w:r w:rsidRPr="0097554A">
        <w:rPr>
          <w:color w:val="0000FF"/>
        </w:rPr>
        <w:t>·</w:t>
      </w:r>
      <w:r w:rsidRPr="004C59BB">
        <w:rPr>
          <w:color w:val="0000FF"/>
          <w:lang w:val="ru-RU"/>
        </w:rPr>
        <w:t>亚历山大《教规》第</w:t>
      </w:r>
      <w:r w:rsidRPr="0097554A">
        <w:rPr>
          <w:color w:val="0000FF"/>
        </w:rPr>
        <w:t>5</w:t>
      </w:r>
      <w:r w:rsidRPr="004C59BB">
        <w:rPr>
          <w:color w:val="0000FF"/>
          <w:lang w:val="ru-RU"/>
        </w:rPr>
        <w:t>章第</w:t>
      </w:r>
      <w:r w:rsidRPr="0097554A">
        <w:rPr>
          <w:color w:val="0000FF"/>
        </w:rPr>
        <w:t>7</w:t>
      </w:r>
      <w:r w:rsidRPr="004C59BB">
        <w:rPr>
          <w:color w:val="0000FF"/>
          <w:lang w:val="ru-RU"/>
        </w:rPr>
        <w:t>、</w:t>
      </w:r>
      <w:r w:rsidRPr="0097554A">
        <w:rPr>
          <w:color w:val="0000FF"/>
        </w:rPr>
        <w:t>12</w:t>
      </w:r>
      <w:r w:rsidRPr="004C59BB">
        <w:rPr>
          <w:color w:val="0000FF"/>
          <w:lang w:val="ru-RU"/>
        </w:rPr>
        <w:t>节。</w:t>
      </w:r>
    </w:p>
  </w:footnote>
  <w:footnote w:id="1253">
    <w:p w14:paraId="22B76D9A" w14:textId="43B74DE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参见《礼仪书》中的</w:t>
      </w:r>
      <w:r w:rsidRPr="0097554A">
        <w:rPr>
          <w:color w:val="0000FF"/>
        </w:rPr>
        <w:t>“</w:t>
      </w:r>
      <w:r w:rsidRPr="004C59BB">
        <w:rPr>
          <w:color w:val="0000FF"/>
          <w:lang w:val="ru-RU"/>
        </w:rPr>
        <w:t>婴儿安葬礼仪</w:t>
      </w:r>
      <w:r w:rsidRPr="0097554A">
        <w:rPr>
          <w:color w:val="0000FF"/>
        </w:rPr>
        <w:t>”</w:t>
      </w:r>
      <w:r w:rsidRPr="004C59BB">
        <w:rPr>
          <w:color w:val="0000FF"/>
          <w:lang w:val="ru-RU"/>
        </w:rPr>
        <w:t>。</w:t>
      </w:r>
    </w:p>
  </w:footnote>
  <w:footnote w:id="1254">
    <w:p w14:paraId="42CF1BE5" w14:textId="4942F4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特伦托大公会议，第二十一届会议，教规 1、2。</w:t>
      </w:r>
    </w:p>
  </w:footnote>
  <w:footnote w:id="1255">
    <w:p w14:paraId="0AC2D886" w14:textId="0AA112BD"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佩罗内，《神学讲义·论圣体》，第1卷，第III章，命题IV</w:t>
      </w:r>
      <w:r w:rsidRPr="004C59BB">
        <w:rPr>
          <w:color w:val="0000FF"/>
          <w:lang w:val="ru-RU"/>
        </w:rPr>
        <w:t>。</w:t>
      </w:r>
    </w:p>
  </w:footnote>
  <w:footnote w:id="1256">
    <w:p w14:paraId="380595AB" w14:textId="484AAE6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同上</w:t>
      </w:r>
      <w:r w:rsidRPr="0097554A">
        <w:rPr>
          <w:color w:val="0000FF"/>
        </w:rPr>
        <w:t>，</w:t>
      </w:r>
      <w:r w:rsidRPr="004C59BB">
        <w:rPr>
          <w:color w:val="0000FF"/>
        </w:rPr>
        <w:t>第</w:t>
      </w:r>
      <w:r w:rsidRPr="0097554A">
        <w:rPr>
          <w:color w:val="0000FF"/>
        </w:rPr>
        <w:t>224</w:t>
      </w:r>
      <w:r w:rsidRPr="004C59BB">
        <w:rPr>
          <w:color w:val="0000FF"/>
          <w:lang w:val="ru-RU"/>
        </w:rPr>
        <w:t>条。</w:t>
      </w:r>
    </w:p>
  </w:footnote>
  <w:footnote w:id="1257">
    <w:p w14:paraId="62BA9534" w14:textId="2C65857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同上</w:t>
      </w:r>
      <w:r w:rsidRPr="0097554A">
        <w:rPr>
          <w:color w:val="0000FF"/>
        </w:rPr>
        <w:t>，</w:t>
      </w:r>
      <w:r w:rsidRPr="004C59BB">
        <w:rPr>
          <w:color w:val="0000FF"/>
        </w:rPr>
        <w:t>第</w:t>
      </w:r>
      <w:r w:rsidRPr="0097554A">
        <w:rPr>
          <w:color w:val="0000FF"/>
        </w:rPr>
        <w:t>197</w:t>
      </w:r>
      <w:r w:rsidRPr="004C59BB">
        <w:rPr>
          <w:color w:val="0000FF"/>
          <w:lang w:val="ru-RU"/>
        </w:rPr>
        <w:t>、</w:t>
      </w:r>
      <w:r w:rsidRPr="0097554A">
        <w:rPr>
          <w:color w:val="0000FF"/>
        </w:rPr>
        <w:t>199</w:t>
      </w:r>
      <w:r w:rsidRPr="004C59BB">
        <w:rPr>
          <w:color w:val="0000FF"/>
          <w:lang w:val="ru-RU"/>
        </w:rPr>
        <w:t>条。</w:t>
      </w:r>
    </w:p>
  </w:footnote>
  <w:footnote w:id="1258">
    <w:p w14:paraId="0B14F011" w14:textId="2F3D536A"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在主教完成感恩礼</w:t>
      </w:r>
      <w:r w:rsidRPr="0097554A">
        <w:rPr>
          <w:color w:val="0000FF"/>
        </w:rPr>
        <w:t>，</w:t>
      </w:r>
      <w:r w:rsidRPr="004C59BB">
        <w:rPr>
          <w:color w:val="0000FF"/>
          <w:lang w:val="ru-RU"/>
        </w:rPr>
        <w:t>全体信众齐声高呼</w:t>
      </w:r>
      <w:r w:rsidRPr="0097554A">
        <w:rPr>
          <w:color w:val="0000FF"/>
        </w:rPr>
        <w:t>‘</w:t>
      </w:r>
      <w:r w:rsidRPr="004C59BB">
        <w:rPr>
          <w:color w:val="0000FF"/>
          <w:lang w:val="ru-RU"/>
        </w:rPr>
        <w:t>阿门</w:t>
      </w:r>
      <w:r w:rsidRPr="0097554A">
        <w:rPr>
          <w:color w:val="0000FF"/>
        </w:rPr>
        <w:t>’</w:t>
      </w:r>
      <w:r w:rsidRPr="004C59BB">
        <w:rPr>
          <w:color w:val="0000FF"/>
          <w:lang w:val="ru-RU"/>
        </w:rPr>
        <w:t>之后</w:t>
      </w:r>
      <w:r w:rsidRPr="0097554A">
        <w:rPr>
          <w:color w:val="0000FF"/>
        </w:rPr>
        <w:t>，</w:t>
      </w:r>
      <w:r w:rsidRPr="004C59BB">
        <w:rPr>
          <w:color w:val="0000FF"/>
          <w:lang w:val="ru-RU"/>
        </w:rPr>
        <w:t>我们所称的执事会向每位在场者分发已举行过感恩礼的面饼、葡萄酒和水</w:t>
      </w:r>
      <w:r w:rsidRPr="0097554A">
        <w:rPr>
          <w:color w:val="0000FF"/>
        </w:rPr>
        <w:t>，</w:t>
      </w:r>
      <w:r w:rsidRPr="004C59BB">
        <w:rPr>
          <w:color w:val="0000FF"/>
          <w:lang w:val="ru-RU"/>
        </w:rPr>
        <w:t>并将这些也归于已故者</w:t>
      </w:r>
      <w:r w:rsidRPr="0097554A">
        <w:rPr>
          <w:color w:val="0000FF"/>
        </w:rPr>
        <w:t>”（</w:t>
      </w:r>
      <w:r w:rsidRPr="004C59BB">
        <w:rPr>
          <w:color w:val="0000FF"/>
          <w:lang w:val="ru-RU"/>
        </w:rPr>
        <w:t>《</w:t>
      </w:r>
      <w:r w:rsidRPr="004C59BB">
        <w:rPr>
          <w:color w:val="0000FF"/>
        </w:rPr>
        <w:t>辩护</w:t>
      </w:r>
      <w:r w:rsidRPr="004C59BB">
        <w:rPr>
          <w:color w:val="0000FF"/>
          <w:lang w:val="ru-RU"/>
        </w:rPr>
        <w:t>书》</w:t>
      </w:r>
      <w:r w:rsidRPr="004C59BB">
        <w:rPr>
          <w:color w:val="0000FF"/>
        </w:rPr>
        <w:t>1，85，载于《基督教读本》1825年， 第XVII卷，98–99）。</w:t>
      </w:r>
    </w:p>
  </w:footnote>
  <w:footnote w:id="1259">
    <w:p w14:paraId="7B2A35BD" w14:textId="3C2182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《反异端论》XV，18，注4、5；V，2。</w:t>
      </w:r>
    </w:p>
  </w:footnote>
  <w:footnote w:id="1260">
    <w:p w14:paraId="1EBD6123" w14:textId="4AC33A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《论肉身的复活》第8章，</w:t>
      </w:r>
    </w:p>
  </w:footnote>
  <w:footnote w:id="1261">
    <w:p w14:paraId="6ACEA04B" w14:textId="1987E0EC"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我们激励并劝勉他们投入战斗，绝不让他们赤手空拳、身无长物，而是要用基督圣体与宝血的护佑来武装他们……因为，如果我们拒绝向这些为基督而战的战士提供基督的宝血，我们又如何教导或激励他们在见证主名时倾洒自己的鲜血呢</w:t>
      </w:r>
      <w:r w:rsidRPr="0097554A">
        <w:rPr>
          <w:color w:val="0000FF"/>
        </w:rPr>
        <w:t>？（</w:t>
      </w:r>
      <w:r w:rsidRPr="004C59BB">
        <w:rPr>
          <w:color w:val="0000FF"/>
          <w:lang w:val="ru-RU"/>
        </w:rPr>
        <w:t>《</w:t>
      </w:r>
      <w:r w:rsidRPr="004C59BB">
        <w:rPr>
          <w:color w:val="0000FF"/>
        </w:rPr>
        <w:t>书信</w:t>
      </w:r>
      <w:r w:rsidRPr="004C59BB">
        <w:rPr>
          <w:color w:val="0000FF"/>
          <w:lang w:val="ru-RU"/>
        </w:rPr>
        <w:t>》</w:t>
      </w:r>
      <w:r w:rsidRPr="004C59BB">
        <w:rPr>
          <w:color w:val="0000FF"/>
        </w:rPr>
        <w:t>第LIV封</w:t>
      </w:r>
      <w:r w:rsidRPr="0097554A">
        <w:rPr>
          <w:color w:val="0000FF"/>
        </w:rPr>
        <w:t>）</w:t>
      </w:r>
      <w:r w:rsidRPr="004C59BB">
        <w:rPr>
          <w:color w:val="0000FF"/>
          <w:lang w:val="ru-RU"/>
        </w:rPr>
        <w:t>。</w:t>
      </w:r>
    </w:p>
  </w:footnote>
  <w:footnote w:id="1262">
    <w:p w14:paraId="001F5159" w14:textId="37044A9C"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西里尔</w:t>
      </w:r>
      <w:r w:rsidRPr="0097554A">
        <w:rPr>
          <w:color w:val="0000FF"/>
        </w:rPr>
        <w:t>，</w:t>
      </w:r>
      <w:r w:rsidRPr="004C59BB">
        <w:rPr>
          <w:color w:val="0000FF"/>
          <w:lang w:val="ru-RU"/>
        </w:rPr>
        <w:t>《耶路撒冷秘仪教义》第四卷</w:t>
      </w:r>
      <w:r w:rsidRPr="0097554A">
        <w:rPr>
          <w:color w:val="0000FF"/>
        </w:rPr>
        <w:t>，</w:t>
      </w:r>
      <w:r w:rsidRPr="004C59BB">
        <w:rPr>
          <w:color w:val="0000FF"/>
          <w:lang w:val="ru-RU"/>
        </w:rPr>
        <w:t>第</w:t>
      </w:r>
      <w:r w:rsidRPr="0097554A">
        <w:rPr>
          <w:color w:val="0000FF"/>
        </w:rPr>
        <w:t>3.6</w:t>
      </w:r>
      <w:r w:rsidRPr="004C59BB">
        <w:rPr>
          <w:color w:val="0000FF"/>
          <w:lang w:val="ru-RU"/>
        </w:rPr>
        <w:t>节</w:t>
      </w:r>
      <w:r w:rsidRPr="0097554A">
        <w:rPr>
          <w:color w:val="0000FF"/>
        </w:rPr>
        <w:t>；</w:t>
      </w:r>
      <w:r w:rsidRPr="004C59BB">
        <w:rPr>
          <w:color w:val="0000FF"/>
          <w:lang w:val="ru-RU"/>
        </w:rPr>
        <w:t>金口若望</w:t>
      </w:r>
      <w:r w:rsidRPr="0097554A">
        <w:rPr>
          <w:color w:val="0000FF"/>
        </w:rPr>
        <w:t>，</w:t>
      </w:r>
      <w:r w:rsidRPr="004C59BB">
        <w:rPr>
          <w:color w:val="0000FF"/>
          <w:lang w:val="ru-RU"/>
        </w:rPr>
        <w:t>《马太福音讲道集》</w:t>
      </w:r>
      <w:r w:rsidRPr="004C59BB">
        <w:rPr>
          <w:color w:val="0000FF"/>
        </w:rPr>
        <w:t>第八十二篇，第5段；安布罗斯，《论圣事》第八章，第48节。</w:t>
      </w:r>
    </w:p>
  </w:footnote>
  <w:footnote w:id="1263">
    <w:p w14:paraId="528C6169" w14:textId="638911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《大斋期讲道集》第四篇，载于《教父全集》第七卷，第1015页，里昂，1677年。</w:t>
      </w:r>
    </w:p>
  </w:footnote>
  <w:footnote w:id="1264">
    <w:p w14:paraId="0EE2AAE9" w14:textId="342C27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见格拉蒂安《教令集》第三卷《论祝圣》第11区分，第12章。</w:t>
      </w:r>
    </w:p>
  </w:footnote>
  <w:footnote w:id="1265">
    <w:p w14:paraId="2FE90ED8" w14:textId="351D0B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博纳，《礼仪事务》第九卷，第18章，第1节；第19章，第3节；参见布滕斯托克，《新约教会史》第三卷，第252页。</w:t>
      </w:r>
    </w:p>
  </w:footnote>
  <w:footnote w:id="1266">
    <w:p w14:paraId="34A38F31" w14:textId="3B234F82"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特伦托大公会议，第二十一届会议，第二条教规；参见佩罗内，《神学讲义·论圣体》，第一卷，第三章，第五命题</w:t>
      </w:r>
      <w:r w:rsidRPr="004C59BB">
        <w:rPr>
          <w:color w:val="0000FF"/>
          <w:lang w:val="ru-RU"/>
        </w:rPr>
        <w:t>。</w:t>
      </w:r>
    </w:p>
  </w:footnote>
  <w:footnote w:id="1267">
    <w:p w14:paraId="3822B295" w14:textId="30A5C124" w:rsidR="00254F25" w:rsidRPr="0097554A"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以下是其中最重要的原因</w:t>
      </w:r>
      <w:r w:rsidRPr="0097554A">
        <w:rPr>
          <w:color w:val="0000FF"/>
        </w:rPr>
        <w:t xml:space="preserve">：a) </w:t>
      </w:r>
      <w:r w:rsidRPr="004C59BB">
        <w:rPr>
          <w:color w:val="0000FF"/>
          <w:lang w:val="ru-RU"/>
        </w:rPr>
        <w:t>存在流血的危险</w:t>
      </w:r>
      <w:r w:rsidRPr="0097554A">
        <w:rPr>
          <w:color w:val="0000FF"/>
        </w:rPr>
        <w:t xml:space="preserve">；b) </w:t>
      </w:r>
      <w:r w:rsidRPr="004C59BB">
        <w:rPr>
          <w:color w:val="0000FF"/>
          <w:lang w:val="ru-RU"/>
        </w:rPr>
        <w:t>难以保持葡萄酒的外观以供病人使用</w:t>
      </w:r>
      <w:r w:rsidRPr="0097554A">
        <w:rPr>
          <w:color w:val="0000FF"/>
        </w:rPr>
        <w:t>，</w:t>
      </w:r>
      <w:r w:rsidRPr="004C59BB">
        <w:rPr>
          <w:color w:val="0000FF"/>
          <w:lang w:val="ru-RU"/>
        </w:rPr>
        <w:t>特别是在炎热和寒冷的国家</w:t>
      </w:r>
      <w:r w:rsidRPr="0097554A">
        <w:rPr>
          <w:color w:val="0000FF"/>
        </w:rPr>
        <w:t xml:space="preserve">；c) </w:t>
      </w:r>
      <w:r w:rsidRPr="004C59BB">
        <w:rPr>
          <w:color w:val="0000FF"/>
          <w:lang w:val="ru-RU"/>
        </w:rPr>
        <w:t>许多偏远地区缺乏此类葡萄酒</w:t>
      </w:r>
      <w:r w:rsidRPr="0097554A">
        <w:rPr>
          <w:color w:val="0000FF"/>
        </w:rPr>
        <w:t xml:space="preserve">；d) </w:t>
      </w:r>
      <w:r w:rsidRPr="004C59BB">
        <w:rPr>
          <w:color w:val="0000FF"/>
          <w:lang w:val="ru-RU"/>
        </w:rPr>
        <w:t>许多人对葡萄酒的自然反感等。</w:t>
      </w:r>
      <w:r w:rsidRPr="0097554A">
        <w:rPr>
          <w:color w:val="0000FF"/>
          <w:lang w:val="ru-RU"/>
        </w:rPr>
        <w:t>（</w:t>
      </w:r>
      <w:r w:rsidRPr="004C59BB">
        <w:rPr>
          <w:color w:val="0000FF"/>
        </w:rPr>
        <w:t>佩罗内</w:t>
      </w:r>
      <w:r w:rsidRPr="0097554A">
        <w:rPr>
          <w:color w:val="0000FF"/>
          <w:lang w:val="ru-RU"/>
        </w:rPr>
        <w:t>，</w:t>
      </w:r>
      <w:r w:rsidRPr="004C59BB">
        <w:rPr>
          <w:color w:val="0000FF"/>
        </w:rPr>
        <w:t>同上</w:t>
      </w:r>
      <w:r w:rsidRPr="0097554A">
        <w:rPr>
          <w:color w:val="0000FF"/>
          <w:lang w:val="ru-RU"/>
        </w:rPr>
        <w:t>，</w:t>
      </w:r>
      <w:r w:rsidRPr="004C59BB">
        <w:rPr>
          <w:color w:val="0000FF"/>
        </w:rPr>
        <w:t>第</w:t>
      </w:r>
      <w:r w:rsidRPr="0097554A">
        <w:rPr>
          <w:color w:val="0000FF"/>
          <w:lang w:val="ru-RU"/>
        </w:rPr>
        <w:t>214</w:t>
      </w:r>
      <w:r w:rsidRPr="004C59BB">
        <w:rPr>
          <w:color w:val="0000FF"/>
        </w:rPr>
        <w:t>号</w:t>
      </w:r>
      <w:r w:rsidRPr="0097554A">
        <w:rPr>
          <w:color w:val="0000FF"/>
          <w:lang w:val="ru-RU"/>
        </w:rPr>
        <w:t>）</w:t>
      </w:r>
      <w:r w:rsidRPr="004C59BB">
        <w:rPr>
          <w:color w:val="0000FF"/>
        </w:rPr>
        <w:t>。</w:t>
      </w:r>
    </w:p>
  </w:footnote>
  <w:footnote w:id="1268">
    <w:p w14:paraId="02ED7DE8" w14:textId="2631A31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佩罗内</w:t>
      </w:r>
      <w:r w:rsidRPr="0097554A">
        <w:rPr>
          <w:color w:val="0000FF"/>
          <w:lang w:val="ru-RU"/>
        </w:rPr>
        <w:t>，</w:t>
      </w:r>
      <w:r w:rsidRPr="004C59BB">
        <w:rPr>
          <w:color w:val="0000FF"/>
        </w:rPr>
        <w:t>同上</w:t>
      </w:r>
      <w:r w:rsidRPr="0097554A">
        <w:rPr>
          <w:color w:val="0000FF"/>
          <w:lang w:val="ru-RU"/>
        </w:rPr>
        <w:t>，</w:t>
      </w:r>
      <w:r w:rsidRPr="004C59BB">
        <w:rPr>
          <w:color w:val="0000FF"/>
        </w:rPr>
        <w:t>注</w:t>
      </w:r>
      <w:r w:rsidRPr="0097554A">
        <w:rPr>
          <w:color w:val="0000FF"/>
          <w:lang w:val="ru-RU"/>
        </w:rPr>
        <w:t>215</w:t>
      </w:r>
      <w:r w:rsidRPr="004C59BB">
        <w:rPr>
          <w:color w:val="0000FF"/>
        </w:rPr>
        <w:t>。</w:t>
      </w:r>
    </w:p>
  </w:footnote>
  <w:footnote w:id="1269">
    <w:p w14:paraId="3082FD6F" w14:textId="122211E0"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佩罗内</w:t>
      </w:r>
      <w:r w:rsidRPr="0097554A">
        <w:rPr>
          <w:color w:val="0000FF"/>
          <w:lang w:val="ru-RU"/>
        </w:rPr>
        <w:t>，</w:t>
      </w:r>
      <w:r w:rsidRPr="004C59BB">
        <w:rPr>
          <w:color w:val="0000FF"/>
        </w:rPr>
        <w:t>《神学讲义</w:t>
      </w:r>
      <w:r w:rsidRPr="0097554A">
        <w:rPr>
          <w:color w:val="0000FF"/>
          <w:lang w:val="ru-RU"/>
        </w:rPr>
        <w:t>·</w:t>
      </w:r>
      <w:r w:rsidRPr="004C59BB">
        <w:rPr>
          <w:color w:val="0000FF"/>
        </w:rPr>
        <w:t>论圣体》</w:t>
      </w:r>
      <w:r w:rsidRPr="0097554A">
        <w:rPr>
          <w:color w:val="0000FF"/>
          <w:lang w:val="ru-RU"/>
        </w:rPr>
        <w:t>，</w:t>
      </w:r>
      <w:r w:rsidRPr="004C59BB">
        <w:rPr>
          <w:color w:val="0000FF"/>
        </w:rPr>
        <w:t>第</w:t>
      </w:r>
      <w:r w:rsidRPr="0097554A">
        <w:rPr>
          <w:color w:val="0000FF"/>
          <w:lang w:val="ru-RU"/>
        </w:rPr>
        <w:t>1</w:t>
      </w:r>
      <w:r w:rsidRPr="004C59BB">
        <w:rPr>
          <w:color w:val="0000FF"/>
        </w:rPr>
        <w:t>卷</w:t>
      </w:r>
      <w:r w:rsidRPr="0097554A">
        <w:rPr>
          <w:color w:val="0000FF"/>
          <w:lang w:val="ru-RU"/>
        </w:rPr>
        <w:t>，</w:t>
      </w:r>
      <w:r w:rsidRPr="004C59BB">
        <w:rPr>
          <w:color w:val="0000FF"/>
        </w:rPr>
        <w:t>第III章</w:t>
      </w:r>
      <w:r w:rsidRPr="0097554A">
        <w:rPr>
          <w:color w:val="0000FF"/>
          <w:lang w:val="ru-RU"/>
        </w:rPr>
        <w:t>，</w:t>
      </w:r>
      <w:r w:rsidRPr="004C59BB">
        <w:rPr>
          <w:color w:val="0000FF"/>
        </w:rPr>
        <w:t>第IV命题</w:t>
      </w:r>
      <w:r w:rsidRPr="004C59BB">
        <w:rPr>
          <w:color w:val="0000FF"/>
          <w:lang w:val="ru-RU"/>
        </w:rPr>
        <w:t>，第192条。</w:t>
      </w:r>
    </w:p>
  </w:footnote>
  <w:footnote w:id="1270">
    <w:p w14:paraId="5806F4B7" w14:textId="7574BB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同上</w:t>
      </w:r>
      <w:r w:rsidRPr="004C59BB">
        <w:rPr>
          <w:color w:val="0000FF"/>
          <w:lang w:val="ru-RU"/>
        </w:rPr>
        <w:t>，</w:t>
      </w:r>
      <w:r w:rsidRPr="004C59BB">
        <w:rPr>
          <w:color w:val="0000FF"/>
        </w:rPr>
        <w:t>第</w:t>
      </w:r>
      <w:r w:rsidRPr="004C59BB">
        <w:rPr>
          <w:color w:val="0000FF"/>
          <w:lang w:val="ru-RU"/>
        </w:rPr>
        <w:t>189、191条。</w:t>
      </w:r>
    </w:p>
  </w:footnote>
  <w:footnote w:id="1271">
    <w:p w14:paraId="2A842B8C" w14:textId="4DAA184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伊里米努斯，《</w:t>
      </w:r>
      <w:r w:rsidRPr="004C59BB">
        <w:rPr>
          <w:color w:val="0000FF"/>
        </w:rPr>
        <w:t>辩护书</w:t>
      </w:r>
      <w:r w:rsidRPr="004C59BB">
        <w:rPr>
          <w:color w:val="0000FF"/>
          <w:lang w:val="ru-RU"/>
        </w:rPr>
        <w:t>》第1卷，第85条（参见</w:t>
      </w:r>
      <w:r w:rsidRPr="004C59BB">
        <w:rPr>
          <w:color w:val="0000FF"/>
        </w:rPr>
        <w:t>上文注</w:t>
      </w:r>
      <w:r w:rsidRPr="0097554A">
        <w:rPr>
          <w:color w:val="0000FF"/>
          <w:lang w:val="ru-RU"/>
        </w:rPr>
        <w:t>1258）</w:t>
      </w:r>
      <w:r w:rsidRPr="004C59BB">
        <w:rPr>
          <w:color w:val="0000FF"/>
        </w:rPr>
        <w:t>。参见巴罗尼《教会编年史》第V卷，CCCCIV年条目。</w:t>
      </w:r>
    </w:p>
  </w:footnote>
  <w:footnote w:id="1272">
    <w:p w14:paraId="5AA3BBA0" w14:textId="7696C76B"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巴罗尼写道：这一点也得到了罗马教宗圣格雷戈里奥的权威证实，他在《对话录》（Dialog. III, c. 36）中提到，航行者曾在船上携带基督的圣体和圣血（《教会编年史》同上）。 </w:t>
      </w:r>
      <w:r w:rsidRPr="004C59BB">
        <w:rPr>
          <w:color w:val="0000FF"/>
          <w:lang w:val="ru-RU"/>
        </w:rPr>
        <w:t>博纳枢机就隐士一事也证实了这一点</w:t>
      </w:r>
      <w:r w:rsidRPr="0097554A">
        <w:rPr>
          <w:color w:val="0000FF"/>
        </w:rPr>
        <w:t>（</w:t>
      </w:r>
      <w:r w:rsidRPr="004C59BB">
        <w:rPr>
          <w:color w:val="0000FF"/>
          <w:lang w:val="ru-RU"/>
        </w:rPr>
        <w:t>《</w:t>
      </w:r>
      <w:r w:rsidRPr="004C59BB">
        <w:rPr>
          <w:color w:val="0000FF"/>
        </w:rPr>
        <w:t>礼仪</w:t>
      </w:r>
      <w:r w:rsidRPr="004C59BB">
        <w:rPr>
          <w:color w:val="0000FF"/>
          <w:lang w:val="ru-RU"/>
        </w:rPr>
        <w:t>事务》</w:t>
      </w:r>
      <w:r w:rsidRPr="004C59BB">
        <w:rPr>
          <w:color w:val="0000FF"/>
        </w:rPr>
        <w:t>第二</w:t>
      </w:r>
      <w:r w:rsidRPr="004C59BB">
        <w:rPr>
          <w:color w:val="0000FF"/>
          <w:lang w:val="ru-RU"/>
        </w:rPr>
        <w:t>卷</w:t>
      </w:r>
      <w:r w:rsidRPr="0097554A">
        <w:rPr>
          <w:color w:val="0000FF"/>
        </w:rPr>
        <w:t>，</w:t>
      </w:r>
      <w:r w:rsidRPr="004C59BB">
        <w:rPr>
          <w:color w:val="0000FF"/>
          <w:lang w:val="ru-RU"/>
        </w:rPr>
        <w:t>第</w:t>
      </w:r>
      <w:r w:rsidRPr="0097554A">
        <w:rPr>
          <w:color w:val="0000FF"/>
        </w:rPr>
        <w:t>18</w:t>
      </w:r>
      <w:r w:rsidRPr="004C59BB">
        <w:rPr>
          <w:color w:val="0000FF"/>
          <w:lang w:val="ru-RU"/>
        </w:rPr>
        <w:t>章</w:t>
      </w:r>
      <w:r w:rsidRPr="0097554A">
        <w:rPr>
          <w:color w:val="0000FF"/>
        </w:rPr>
        <w:t>，</w:t>
      </w:r>
      <w:r w:rsidRPr="004C59BB">
        <w:rPr>
          <w:color w:val="0000FF"/>
          <w:lang w:val="ru-RU"/>
        </w:rPr>
        <w:t>第</w:t>
      </w:r>
      <w:r w:rsidRPr="0097554A">
        <w:rPr>
          <w:color w:val="0000FF"/>
        </w:rPr>
        <w:t>11</w:t>
      </w:r>
      <w:r w:rsidRPr="004C59BB">
        <w:rPr>
          <w:color w:val="0000FF"/>
          <w:lang w:val="ru-RU"/>
        </w:rPr>
        <w:t>节</w:t>
      </w:r>
      <w:r w:rsidRPr="0097554A">
        <w:rPr>
          <w:color w:val="0000FF"/>
        </w:rPr>
        <w:t>），</w:t>
      </w:r>
      <w:r w:rsidRPr="004C59BB">
        <w:rPr>
          <w:color w:val="0000FF"/>
          <w:lang w:val="ru-RU"/>
        </w:rPr>
        <w:t>其中特别提到了埃及的圣玛利亚的例子</w:t>
      </w:r>
      <w:r w:rsidRPr="0097554A">
        <w:rPr>
          <w:color w:val="0000FF"/>
        </w:rPr>
        <w:t>，</w:t>
      </w:r>
      <w:r w:rsidRPr="004C59BB">
        <w:rPr>
          <w:color w:val="0000FF"/>
          <w:lang w:val="ru-RU"/>
        </w:rPr>
        <w:t>她有幸在旷野中从圣佐西马手中领受了主的圣体和圣血</w:t>
      </w:r>
      <w:r w:rsidRPr="0097554A">
        <w:rPr>
          <w:color w:val="0000FF"/>
        </w:rPr>
        <w:t>（</w:t>
      </w:r>
      <w:r w:rsidRPr="004C59BB">
        <w:rPr>
          <w:color w:val="0000FF"/>
          <w:lang w:val="ru-RU"/>
        </w:rPr>
        <w:t>参见《每日读经》</w:t>
      </w:r>
      <w:r w:rsidRPr="0097554A">
        <w:rPr>
          <w:color w:val="0000FF"/>
        </w:rPr>
        <w:t>）</w:t>
      </w:r>
      <w:r w:rsidRPr="004C59BB">
        <w:rPr>
          <w:color w:val="0000FF"/>
          <w:lang w:val="ru-RU"/>
        </w:rPr>
        <w:t>。</w:t>
      </w:r>
    </w:p>
  </w:footnote>
  <w:footnote w:id="1273">
    <w:p w14:paraId="60276785" w14:textId="25A1314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佩罗内</w:t>
      </w:r>
      <w:r w:rsidRPr="0097554A">
        <w:rPr>
          <w:color w:val="0000FF"/>
        </w:rPr>
        <w:t>，</w:t>
      </w:r>
      <w:r w:rsidRPr="004C59BB">
        <w:rPr>
          <w:color w:val="0000FF"/>
        </w:rPr>
        <w:t>同上</w:t>
      </w:r>
      <w:r w:rsidRPr="0097554A">
        <w:rPr>
          <w:color w:val="0000FF"/>
        </w:rPr>
        <w:t>，</w:t>
      </w:r>
      <w:r w:rsidRPr="004C59BB">
        <w:rPr>
          <w:color w:val="0000FF"/>
        </w:rPr>
        <w:t>第</w:t>
      </w:r>
      <w:r w:rsidRPr="0097554A">
        <w:rPr>
          <w:color w:val="0000FF"/>
        </w:rPr>
        <w:t>190</w:t>
      </w:r>
      <w:r w:rsidRPr="004C59BB">
        <w:rPr>
          <w:color w:val="0000FF"/>
          <w:lang w:val="ru-RU"/>
        </w:rPr>
        <w:t>条。</w:t>
      </w:r>
    </w:p>
  </w:footnote>
  <w:footnote w:id="1274">
    <w:p w14:paraId="66BB58D1" w14:textId="6458C448"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基里尔</w:t>
      </w:r>
      <w:r w:rsidRPr="0097554A">
        <w:rPr>
          <w:color w:val="0000FF"/>
        </w:rPr>
        <w:t>·</w:t>
      </w:r>
      <w:r w:rsidRPr="004C59BB">
        <w:rPr>
          <w:color w:val="0000FF"/>
          <w:lang w:val="ru-RU"/>
        </w:rPr>
        <w:t>耶路撒冷</w:t>
      </w:r>
      <w:r w:rsidRPr="0097554A">
        <w:rPr>
          <w:color w:val="0000FF"/>
        </w:rPr>
        <w:t>，</w:t>
      </w:r>
      <w:r w:rsidRPr="004C59BB">
        <w:rPr>
          <w:color w:val="0000FF"/>
          <w:lang w:val="ru-RU"/>
        </w:rPr>
        <w:t>《圣礼教义》</w:t>
      </w:r>
      <w:r w:rsidRPr="004C59BB">
        <w:rPr>
          <w:color w:val="0000FF"/>
        </w:rPr>
        <w:t>第四卷</w:t>
      </w:r>
      <w:r w:rsidRPr="0097554A">
        <w:rPr>
          <w:color w:val="0000FF"/>
        </w:rPr>
        <w:t>，</w:t>
      </w:r>
      <w:r w:rsidRPr="004C59BB">
        <w:rPr>
          <w:color w:val="0000FF"/>
          <w:lang w:val="ru-RU"/>
        </w:rPr>
        <w:t>第</w:t>
      </w:r>
      <w:r w:rsidRPr="0097554A">
        <w:rPr>
          <w:color w:val="0000FF"/>
        </w:rPr>
        <w:t>3</w:t>
      </w:r>
      <w:r w:rsidRPr="004C59BB">
        <w:rPr>
          <w:color w:val="0000FF"/>
          <w:lang w:val="ru-RU"/>
        </w:rPr>
        <w:t>条</w:t>
      </w:r>
      <w:r w:rsidRPr="0097554A">
        <w:rPr>
          <w:color w:val="0000FF"/>
        </w:rPr>
        <w:t>；</w:t>
      </w:r>
      <w:r w:rsidRPr="004C59BB">
        <w:rPr>
          <w:color w:val="0000FF"/>
          <w:lang w:val="ru-RU"/>
        </w:rPr>
        <w:t>大马士革</w:t>
      </w:r>
      <w:r w:rsidRPr="0097554A">
        <w:rPr>
          <w:color w:val="0000FF"/>
        </w:rPr>
        <w:t>，</w:t>
      </w:r>
      <w:r w:rsidRPr="004C59BB">
        <w:rPr>
          <w:color w:val="0000FF"/>
          <w:lang w:val="ru-RU"/>
        </w:rPr>
        <w:t>《正信精要》</w:t>
      </w:r>
      <w:r w:rsidRPr="004C59BB">
        <w:rPr>
          <w:color w:val="0000FF"/>
        </w:rPr>
        <w:t>第四卷</w:t>
      </w:r>
      <w:r w:rsidRPr="0097554A">
        <w:rPr>
          <w:color w:val="0000FF"/>
        </w:rPr>
        <w:t>，</w:t>
      </w:r>
      <w:r w:rsidRPr="004C59BB">
        <w:rPr>
          <w:color w:val="0000FF"/>
          <w:lang w:val="ru-RU"/>
        </w:rPr>
        <w:t>第</w:t>
      </w:r>
      <w:r w:rsidRPr="0097554A">
        <w:rPr>
          <w:color w:val="0000FF"/>
        </w:rPr>
        <w:t>13</w:t>
      </w:r>
      <w:r w:rsidRPr="004C59BB">
        <w:rPr>
          <w:color w:val="0000FF"/>
          <w:lang w:val="ru-RU"/>
        </w:rPr>
        <w:t>章</w:t>
      </w:r>
      <w:r w:rsidRPr="0097554A">
        <w:rPr>
          <w:color w:val="0000FF"/>
        </w:rPr>
        <w:t>；</w:t>
      </w:r>
      <w:r w:rsidRPr="004C59BB">
        <w:rPr>
          <w:color w:val="0000FF"/>
          <w:lang w:val="ru-RU"/>
        </w:rPr>
        <w:t>马克西姆</w:t>
      </w:r>
      <w:r w:rsidRPr="0097554A">
        <w:rPr>
          <w:color w:val="0000FF"/>
        </w:rPr>
        <w:t>·</w:t>
      </w:r>
      <w:r w:rsidRPr="004C59BB">
        <w:rPr>
          <w:color w:val="0000FF"/>
          <w:lang w:val="ru-RU"/>
        </w:rPr>
        <w:t>殉道者</w:t>
      </w:r>
      <w:r w:rsidRPr="0097554A">
        <w:rPr>
          <w:color w:val="0000FF"/>
        </w:rPr>
        <w:t>，</w:t>
      </w:r>
      <w:r w:rsidRPr="004C59BB">
        <w:rPr>
          <w:color w:val="0000FF"/>
        </w:rPr>
        <w:t>《入</w:t>
      </w:r>
      <w:r w:rsidRPr="004C59BB">
        <w:rPr>
          <w:color w:val="0000FF"/>
          <w:lang w:val="ru-RU"/>
        </w:rPr>
        <w:t>圣礼</w:t>
      </w:r>
      <w:r w:rsidRPr="004C59BB">
        <w:rPr>
          <w:color w:val="0000FF"/>
        </w:rPr>
        <w:t>》第二十一章</w:t>
      </w:r>
      <w:r w:rsidRPr="004C59BB">
        <w:rPr>
          <w:color w:val="0000FF"/>
          <w:lang w:val="ru-RU"/>
        </w:rPr>
        <w:t>。</w:t>
      </w:r>
    </w:p>
  </w:footnote>
  <w:footnote w:id="1275">
    <w:p w14:paraId="7D9CA7C7" w14:textId="45720C58"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金口若望</w:t>
      </w:r>
      <w:r w:rsidRPr="0097554A">
        <w:rPr>
          <w:color w:val="0000FF"/>
        </w:rPr>
        <w:t>，</w:t>
      </w:r>
      <w:r w:rsidRPr="004C59BB">
        <w:rPr>
          <w:color w:val="0000FF"/>
          <w:lang w:val="ru-RU"/>
        </w:rPr>
        <w:t>《马太福音讲道集》</w:t>
      </w:r>
      <w:r w:rsidRPr="004C59BB">
        <w:rPr>
          <w:color w:val="0000FF"/>
        </w:rPr>
        <w:t>第四</w:t>
      </w:r>
      <w:r w:rsidRPr="004C59BB">
        <w:rPr>
          <w:color w:val="0000FF"/>
          <w:lang w:val="ru-RU"/>
        </w:rPr>
        <w:t>卷</w:t>
      </w:r>
      <w:r w:rsidRPr="0097554A">
        <w:rPr>
          <w:color w:val="0000FF"/>
        </w:rPr>
        <w:t>，</w:t>
      </w:r>
      <w:r w:rsidRPr="004C59BB">
        <w:rPr>
          <w:color w:val="0000FF"/>
          <w:lang w:val="ru-RU"/>
        </w:rPr>
        <w:t>第</w:t>
      </w:r>
      <w:r w:rsidRPr="0097554A">
        <w:rPr>
          <w:color w:val="0000FF"/>
        </w:rPr>
        <w:t>9</w:t>
      </w:r>
      <w:r w:rsidRPr="004C59BB">
        <w:rPr>
          <w:color w:val="0000FF"/>
          <w:lang w:val="ru-RU"/>
        </w:rPr>
        <w:t>段</w:t>
      </w:r>
      <w:r w:rsidRPr="0097554A">
        <w:rPr>
          <w:color w:val="0000FF"/>
        </w:rPr>
        <w:t>；</w:t>
      </w:r>
      <w:r w:rsidRPr="004C59BB">
        <w:rPr>
          <w:color w:val="0000FF"/>
          <w:lang w:val="ru-RU"/>
        </w:rPr>
        <w:t>大马士革的圣约翰</w:t>
      </w:r>
      <w:r w:rsidRPr="0097554A">
        <w:rPr>
          <w:color w:val="0000FF"/>
        </w:rPr>
        <w:t>，</w:t>
      </w:r>
      <w:r w:rsidRPr="004C59BB">
        <w:rPr>
          <w:color w:val="0000FF"/>
          <w:lang w:val="ru-RU"/>
        </w:rPr>
        <w:t>《正统信仰精确阐述》</w:t>
      </w:r>
      <w:r w:rsidRPr="004C59BB">
        <w:rPr>
          <w:color w:val="0000FF"/>
        </w:rPr>
        <w:t>第四卷，第13章。</w:t>
      </w:r>
    </w:p>
  </w:footnote>
  <w:footnote w:id="1276">
    <w:p w14:paraId="33D90DA8" w14:textId="237275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尤斯丁，《护教辞》第1卷，第65节；金口若望，《约翰福音讲道集》第XLVI篇，第3节；亚历山大的西里尔，《创世记注释》第11卷。</w:t>
      </w:r>
    </w:p>
  </w:footnote>
  <w:footnote w:id="1277">
    <w:p w14:paraId="67DCBFFF" w14:textId="6E8042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库里安《致科内利乌斯书》第LIV封；金口若望《约翰福音讲道集》第XLVI篇，第3节；安布罗斯《路加福音注释》第VIII卷，第51节。</w:t>
      </w:r>
    </w:p>
  </w:footnote>
  <w:footnote w:id="1278">
    <w:p w14:paraId="362EB2D9" w14:textId="1EB3FD25"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安布罗斯，《诗篇》第XLIII篇讲道集，第36段；亚历山大的库皮安，《约翰福音》注释</w:t>
      </w:r>
      <w:r w:rsidRPr="0097554A">
        <w:rPr>
          <w:color w:val="0000FF"/>
        </w:rPr>
        <w:t>，</w:t>
      </w:r>
      <w:r w:rsidRPr="004C59BB">
        <w:rPr>
          <w:color w:val="0000FF"/>
        </w:rPr>
        <w:t>第IV卷</w:t>
      </w:r>
      <w:r w:rsidRPr="0097554A">
        <w:rPr>
          <w:color w:val="0000FF"/>
        </w:rPr>
        <w:t>，</w:t>
      </w:r>
      <w:r w:rsidRPr="004C59BB">
        <w:rPr>
          <w:color w:val="0000FF"/>
          <w:lang w:val="ru-RU"/>
        </w:rPr>
        <w:t>第</w:t>
      </w:r>
      <w:r w:rsidRPr="0097554A">
        <w:rPr>
          <w:color w:val="0000FF"/>
        </w:rPr>
        <w:t>36</w:t>
      </w:r>
      <w:r w:rsidRPr="004C59BB">
        <w:rPr>
          <w:color w:val="0000FF"/>
          <w:lang w:val="ru-RU"/>
        </w:rPr>
        <w:t>节。</w:t>
      </w:r>
    </w:p>
  </w:footnote>
  <w:footnote w:id="1279">
    <w:p w14:paraId="4BF68229" w14:textId="3C4A67E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特鲁尔大公会议</w:t>
      </w:r>
      <w:r w:rsidRPr="0097554A">
        <w:rPr>
          <w:color w:val="0000FF"/>
        </w:rPr>
        <w:t>，</w:t>
      </w:r>
      <w:r w:rsidRPr="004C59BB">
        <w:rPr>
          <w:color w:val="0000FF"/>
          <w:lang w:val="ru-RU"/>
        </w:rPr>
        <w:t>第</w:t>
      </w:r>
      <w:r w:rsidRPr="0097554A">
        <w:rPr>
          <w:color w:val="0000FF"/>
        </w:rPr>
        <w:t>28</w:t>
      </w:r>
      <w:r w:rsidRPr="004C59BB">
        <w:rPr>
          <w:color w:val="0000FF"/>
          <w:lang w:val="ru-RU"/>
        </w:rPr>
        <w:t>条</w:t>
      </w:r>
      <w:r w:rsidRPr="0097554A">
        <w:rPr>
          <w:color w:val="0000FF"/>
        </w:rPr>
        <w:t>；</w:t>
      </w:r>
      <w:r w:rsidRPr="004C59BB">
        <w:rPr>
          <w:color w:val="0000FF"/>
          <w:lang w:val="ru-RU"/>
        </w:rPr>
        <w:t>安布罗斯</w:t>
      </w:r>
      <w:r w:rsidRPr="0097554A">
        <w:rPr>
          <w:color w:val="0000FF"/>
        </w:rPr>
        <w:t>，</w:t>
      </w:r>
      <w:r w:rsidRPr="004C59BB">
        <w:rPr>
          <w:color w:val="0000FF"/>
        </w:rPr>
        <w:t>《论圣礼</w:t>
      </w:r>
      <w:r w:rsidRPr="004C59BB">
        <w:rPr>
          <w:color w:val="0000FF"/>
          <w:lang w:val="ru-RU"/>
        </w:rPr>
        <w:t>》</w:t>
      </w:r>
      <w:r w:rsidRPr="004C59BB">
        <w:rPr>
          <w:color w:val="0000FF"/>
        </w:rPr>
        <w:t>第IV卷</w:t>
      </w:r>
      <w:r w:rsidRPr="0097554A">
        <w:rPr>
          <w:color w:val="0000FF"/>
        </w:rPr>
        <w:t>，</w:t>
      </w:r>
      <w:r w:rsidRPr="004C59BB">
        <w:rPr>
          <w:color w:val="0000FF"/>
          <w:lang w:val="ru-RU"/>
        </w:rPr>
        <w:t>第</w:t>
      </w:r>
      <w:r w:rsidRPr="0097554A">
        <w:rPr>
          <w:color w:val="0000FF"/>
        </w:rPr>
        <w:t>6</w:t>
      </w:r>
      <w:r w:rsidRPr="004C59BB">
        <w:rPr>
          <w:color w:val="0000FF"/>
          <w:lang w:val="ru-RU"/>
        </w:rPr>
        <w:t>章</w:t>
      </w:r>
      <w:r w:rsidRPr="0097554A">
        <w:rPr>
          <w:color w:val="0000FF"/>
        </w:rPr>
        <w:t>，</w:t>
      </w:r>
      <w:r w:rsidRPr="004C59BB">
        <w:rPr>
          <w:color w:val="0000FF"/>
          <w:lang w:val="ru-RU"/>
        </w:rPr>
        <w:t>第</w:t>
      </w:r>
      <w:r w:rsidRPr="0097554A">
        <w:rPr>
          <w:color w:val="0000FF"/>
        </w:rPr>
        <w:t>28</w:t>
      </w:r>
      <w:r w:rsidRPr="004C59BB">
        <w:rPr>
          <w:color w:val="0000FF"/>
          <w:lang w:val="ru-RU"/>
        </w:rPr>
        <w:t>节</w:t>
      </w:r>
      <w:r w:rsidRPr="0097554A">
        <w:rPr>
          <w:color w:val="0000FF"/>
        </w:rPr>
        <w:t>；</w:t>
      </w:r>
      <w:r w:rsidRPr="004C59BB">
        <w:rPr>
          <w:color w:val="0000FF"/>
        </w:rPr>
        <w:t>第V卷</w:t>
      </w:r>
      <w:r w:rsidRPr="0097554A">
        <w:rPr>
          <w:color w:val="0000FF"/>
        </w:rPr>
        <w:t>，</w:t>
      </w:r>
      <w:r w:rsidRPr="004C59BB">
        <w:rPr>
          <w:color w:val="0000FF"/>
          <w:lang w:val="ru-RU"/>
        </w:rPr>
        <w:t>第</w:t>
      </w:r>
      <w:r w:rsidRPr="0097554A">
        <w:rPr>
          <w:color w:val="0000FF"/>
        </w:rPr>
        <w:t>3</w:t>
      </w:r>
      <w:r w:rsidRPr="004C59BB">
        <w:rPr>
          <w:color w:val="0000FF"/>
        </w:rPr>
        <w:t>章</w:t>
      </w:r>
      <w:r w:rsidRPr="0097554A">
        <w:rPr>
          <w:color w:val="0000FF"/>
        </w:rPr>
        <w:t>，</w:t>
      </w:r>
      <w:r w:rsidRPr="004C59BB">
        <w:rPr>
          <w:color w:val="0000FF"/>
          <w:lang w:val="ru-RU"/>
        </w:rPr>
        <w:t>第</w:t>
      </w:r>
      <w:r w:rsidRPr="0097554A">
        <w:rPr>
          <w:color w:val="0000FF"/>
        </w:rPr>
        <w:t>17</w:t>
      </w:r>
      <w:r w:rsidRPr="004C59BB">
        <w:rPr>
          <w:color w:val="0000FF"/>
          <w:lang w:val="ru-RU"/>
        </w:rPr>
        <w:t>节。</w:t>
      </w:r>
    </w:p>
  </w:footnote>
  <w:footnote w:id="1280">
    <w:p w14:paraId="5DF1FE39" w14:textId="71084774"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基普里安</w:t>
      </w:r>
      <w:r w:rsidRPr="0097554A">
        <w:rPr>
          <w:color w:val="0000FF"/>
        </w:rPr>
        <w:t>，</w:t>
      </w:r>
      <w:r w:rsidRPr="004C59BB">
        <w:rPr>
          <w:color w:val="0000FF"/>
        </w:rPr>
        <w:t>《致塞西利乌斯的书信》第LXIII封；</w:t>
      </w:r>
      <w:r w:rsidRPr="004C59BB">
        <w:rPr>
          <w:color w:val="0000FF"/>
          <w:lang w:val="ru-RU"/>
        </w:rPr>
        <w:t>耶路撒冷的西里尔</w:t>
      </w:r>
      <w:r w:rsidRPr="0097554A">
        <w:rPr>
          <w:color w:val="0000FF"/>
        </w:rPr>
        <w:t>，</w:t>
      </w:r>
      <w:r w:rsidRPr="004C59BB">
        <w:rPr>
          <w:color w:val="0000FF"/>
          <w:lang w:val="ru-RU"/>
        </w:rPr>
        <w:t>《论圣礼的教导》第</w:t>
      </w:r>
      <w:r w:rsidRPr="0097554A">
        <w:rPr>
          <w:color w:val="0000FF"/>
        </w:rPr>
        <w:t>IV</w:t>
      </w:r>
      <w:r w:rsidRPr="004C59BB">
        <w:rPr>
          <w:color w:val="0000FF"/>
          <w:lang w:val="ru-RU"/>
        </w:rPr>
        <w:t>卷</w:t>
      </w:r>
      <w:r w:rsidRPr="0097554A">
        <w:rPr>
          <w:color w:val="0000FF"/>
        </w:rPr>
        <w:t>，</w:t>
      </w:r>
      <w:r w:rsidRPr="004C59BB">
        <w:rPr>
          <w:color w:val="0000FF"/>
          <w:lang w:val="ru-RU"/>
        </w:rPr>
        <w:t>第</w:t>
      </w:r>
      <w:r w:rsidRPr="0097554A">
        <w:rPr>
          <w:color w:val="0000FF"/>
        </w:rPr>
        <w:t>6</w:t>
      </w:r>
      <w:r w:rsidRPr="004C59BB">
        <w:rPr>
          <w:color w:val="0000FF"/>
          <w:lang w:val="ru-RU"/>
        </w:rPr>
        <w:t>节</w:t>
      </w:r>
      <w:r w:rsidRPr="0097554A">
        <w:rPr>
          <w:color w:val="0000FF"/>
        </w:rPr>
        <w:t>；</w:t>
      </w:r>
      <w:r w:rsidRPr="004C59BB">
        <w:rPr>
          <w:color w:val="0000FF"/>
          <w:lang w:val="ru-RU"/>
        </w:rPr>
        <w:t>特鲁尔大公会议</w:t>
      </w:r>
      <w:r w:rsidRPr="0097554A">
        <w:rPr>
          <w:color w:val="0000FF"/>
        </w:rPr>
        <w:t>，</w:t>
      </w:r>
      <w:r w:rsidRPr="004C59BB">
        <w:rPr>
          <w:color w:val="0000FF"/>
          <w:lang w:val="ru-RU"/>
        </w:rPr>
        <w:t>第</w:t>
      </w:r>
      <w:r w:rsidRPr="0097554A">
        <w:rPr>
          <w:color w:val="0000FF"/>
        </w:rPr>
        <w:t>23</w:t>
      </w:r>
      <w:r w:rsidRPr="004C59BB">
        <w:rPr>
          <w:color w:val="0000FF"/>
          <w:lang w:val="ru-RU"/>
        </w:rPr>
        <w:t>条。101：“吃基督、喝基督的人，不断被转化进入永生，并通过领受神的恩典，使灵魂和身体得以成圣。”</w:t>
      </w:r>
    </w:p>
  </w:footnote>
  <w:footnote w:id="1281">
    <w:p w14:paraId="24EAE525" w14:textId="102AB001"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基普里安。《致塞西利乌斯的书信》第LIV封</w:t>
      </w:r>
      <w:r w:rsidRPr="0097554A">
        <w:rPr>
          <w:color w:val="0000FF"/>
          <w:lang w:val="ru-RU"/>
        </w:rPr>
        <w:t>；</w:t>
      </w:r>
      <w:r w:rsidRPr="004C59BB">
        <w:rPr>
          <w:color w:val="0000FF"/>
        </w:rPr>
        <w:t>金口若望。《哥林多前书讲道集》第XXIV篇</w:t>
      </w:r>
      <w:r w:rsidRPr="004C59BB">
        <w:rPr>
          <w:color w:val="0000FF"/>
          <w:lang w:val="ru-RU"/>
        </w:rPr>
        <w:t>。</w:t>
      </w:r>
    </w:p>
  </w:footnote>
  <w:footnote w:id="1282">
    <w:p w14:paraId="779BE007" w14:textId="705A27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伊格纳提乌斯·神载者致以弗所人书，第20段，载于《基督教读本》1821年版，第1卷，第42页。</w:t>
      </w:r>
    </w:p>
  </w:footnote>
  <w:footnote w:id="1283">
    <w:p w14:paraId="55B9A844" w14:textId="7DD32203"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伊里内斯</w:t>
      </w:r>
      <w:r w:rsidRPr="0097554A">
        <w:rPr>
          <w:color w:val="0000FF"/>
          <w:lang w:val="ru-RU"/>
        </w:rPr>
        <w:t>，</w:t>
      </w:r>
      <w:r w:rsidRPr="004C59BB">
        <w:rPr>
          <w:color w:val="0000FF"/>
        </w:rPr>
        <w:t>《反异端》第四卷</w:t>
      </w:r>
      <w:r w:rsidRPr="0097554A">
        <w:rPr>
          <w:color w:val="0000FF"/>
          <w:lang w:val="ru-RU"/>
        </w:rPr>
        <w:t>，18</w:t>
      </w:r>
      <w:r w:rsidRPr="004C59BB">
        <w:rPr>
          <w:color w:val="0000FF"/>
        </w:rPr>
        <w:t>章</w:t>
      </w:r>
      <w:r w:rsidRPr="0097554A">
        <w:rPr>
          <w:color w:val="0000FF"/>
          <w:lang w:val="ru-RU"/>
        </w:rPr>
        <w:t>，</w:t>
      </w:r>
      <w:r w:rsidRPr="004C59BB">
        <w:rPr>
          <w:color w:val="0000FF"/>
        </w:rPr>
        <w:t>注</w:t>
      </w:r>
      <w:r w:rsidRPr="0097554A">
        <w:rPr>
          <w:color w:val="0000FF"/>
          <w:lang w:val="ru-RU"/>
        </w:rPr>
        <w:t>4</w:t>
      </w:r>
      <w:r w:rsidRPr="004C59BB">
        <w:rPr>
          <w:color w:val="0000FF"/>
        </w:rPr>
        <w:t>、</w:t>
      </w:r>
      <w:r w:rsidRPr="004C59BB">
        <w:rPr>
          <w:color w:val="0000FF"/>
          <w:lang w:val="ru-RU"/>
        </w:rPr>
        <w:t>5；另见：贾斯汀，《</w:t>
      </w:r>
      <w:r w:rsidRPr="004C59BB">
        <w:rPr>
          <w:color w:val="0000FF"/>
        </w:rPr>
        <w:t>护教辞</w:t>
      </w:r>
      <w:r w:rsidRPr="004C59BB">
        <w:rPr>
          <w:color w:val="0000FF"/>
          <w:lang w:val="ru-RU"/>
        </w:rPr>
        <w:t>》1，66；克利门特·亚历山大，《</w:t>
      </w:r>
      <w:r w:rsidRPr="004C59BB">
        <w:rPr>
          <w:color w:val="0000FF"/>
        </w:rPr>
        <w:t>教导</w:t>
      </w:r>
      <w:r w:rsidRPr="004C59BB">
        <w:rPr>
          <w:color w:val="0000FF"/>
          <w:lang w:val="ru-RU"/>
        </w:rPr>
        <w:t>》11，2；格里高利·尼撒，《</w:t>
      </w:r>
      <w:r w:rsidRPr="004C59BB">
        <w:rPr>
          <w:color w:val="0000FF"/>
        </w:rPr>
        <w:t>教理</w:t>
      </w:r>
      <w:r w:rsidRPr="004C59BB">
        <w:rPr>
          <w:color w:val="0000FF"/>
          <w:lang w:val="ru-RU"/>
        </w:rPr>
        <w:t>问答》第37页。</w:t>
      </w:r>
    </w:p>
  </w:footnote>
  <w:footnote w:id="1284">
    <w:p w14:paraId="332F5311" w14:textId="4B7921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安布罗斯</w:t>
      </w:r>
      <w:r w:rsidRPr="004C59BB">
        <w:rPr>
          <w:color w:val="0000FF"/>
        </w:rPr>
        <w:t>《路加福音注释</w:t>
      </w:r>
      <w:r w:rsidRPr="004C59BB">
        <w:rPr>
          <w:color w:val="0000FF"/>
          <w:lang w:val="ru-RU"/>
        </w:rPr>
        <w:t>》</w:t>
      </w:r>
      <w:r w:rsidRPr="004C59BB">
        <w:rPr>
          <w:color w:val="0000FF"/>
        </w:rPr>
        <w:t>第X卷</w:t>
      </w:r>
      <w:r w:rsidRPr="004C59BB">
        <w:rPr>
          <w:color w:val="0000FF"/>
          <w:lang w:val="ru-RU"/>
        </w:rPr>
        <w:t>，</w:t>
      </w:r>
      <w:r w:rsidRPr="004C59BB">
        <w:rPr>
          <w:color w:val="0000FF"/>
        </w:rPr>
        <w:t>注</w:t>
      </w:r>
      <w:r w:rsidRPr="004C59BB">
        <w:rPr>
          <w:color w:val="0000FF"/>
          <w:lang w:val="ru-RU"/>
        </w:rPr>
        <w:t>49。</w:t>
      </w:r>
    </w:p>
  </w:footnote>
  <w:footnote w:id="1285">
    <w:p w14:paraId="52620396" w14:textId="1D1FDF4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路德</w:t>
      </w:r>
      <w:r w:rsidRPr="0097554A">
        <w:rPr>
          <w:color w:val="0000FF"/>
          <w:lang w:val="ru-RU"/>
        </w:rPr>
        <w:t>，</w:t>
      </w:r>
      <w:r w:rsidRPr="004C59BB">
        <w:rPr>
          <w:color w:val="0000FF"/>
        </w:rPr>
        <w:t>《巴比伦囚徒》</w:t>
      </w:r>
      <w:r w:rsidRPr="0097554A">
        <w:rPr>
          <w:color w:val="0000FF"/>
          <w:lang w:val="ru-RU"/>
        </w:rPr>
        <w:t>，</w:t>
      </w:r>
      <w:r w:rsidRPr="004C59BB">
        <w:rPr>
          <w:color w:val="0000FF"/>
        </w:rPr>
        <w:t>第II卷</w:t>
      </w:r>
      <w:r w:rsidRPr="0097554A">
        <w:rPr>
          <w:color w:val="0000FF"/>
          <w:lang w:val="ru-RU"/>
        </w:rPr>
        <w:t>，</w:t>
      </w:r>
      <w:r w:rsidRPr="004C59BB">
        <w:rPr>
          <w:color w:val="0000FF"/>
        </w:rPr>
        <w:t>第</w:t>
      </w:r>
      <w:r w:rsidRPr="0097554A">
        <w:rPr>
          <w:color w:val="0000FF"/>
          <w:lang w:val="ru-RU"/>
        </w:rPr>
        <w:t>283</w:t>
      </w:r>
      <w:r w:rsidRPr="004C59BB">
        <w:rPr>
          <w:color w:val="0000FF"/>
        </w:rPr>
        <w:t>页</w:t>
      </w:r>
      <w:r w:rsidRPr="0097554A">
        <w:rPr>
          <w:color w:val="0000FF"/>
          <w:lang w:val="ru-RU"/>
        </w:rPr>
        <w:t>；</w:t>
      </w:r>
      <w:r w:rsidRPr="004C59BB">
        <w:rPr>
          <w:color w:val="0000FF"/>
        </w:rPr>
        <w:t>加尔文</w:t>
      </w:r>
      <w:r w:rsidRPr="0097554A">
        <w:rPr>
          <w:color w:val="0000FF"/>
          <w:lang w:val="ru-RU"/>
        </w:rPr>
        <w:t>，</w:t>
      </w:r>
      <w:r w:rsidRPr="004C59BB">
        <w:rPr>
          <w:color w:val="0000FF"/>
        </w:rPr>
        <w:t>《基督教要义》</w:t>
      </w:r>
      <w:r w:rsidRPr="0097554A">
        <w:rPr>
          <w:color w:val="0000FF"/>
          <w:lang w:val="ru-RU"/>
        </w:rPr>
        <w:t>，</w:t>
      </w:r>
      <w:r w:rsidRPr="004C59BB">
        <w:rPr>
          <w:color w:val="0000FF"/>
        </w:rPr>
        <w:t>第四卷</w:t>
      </w:r>
      <w:r w:rsidRPr="0097554A">
        <w:rPr>
          <w:color w:val="0000FF"/>
          <w:lang w:val="ru-RU"/>
        </w:rPr>
        <w:t>，</w:t>
      </w:r>
      <w:r w:rsidRPr="004C59BB">
        <w:rPr>
          <w:color w:val="0000FF"/>
        </w:rPr>
        <w:t>第</w:t>
      </w:r>
      <w:r w:rsidRPr="0097554A">
        <w:rPr>
          <w:color w:val="0000FF"/>
          <w:lang w:val="ru-RU"/>
        </w:rPr>
        <w:t>18</w:t>
      </w:r>
      <w:r w:rsidRPr="004C59BB">
        <w:rPr>
          <w:color w:val="0000FF"/>
        </w:rPr>
        <w:t>章</w:t>
      </w:r>
      <w:r w:rsidRPr="0097554A">
        <w:rPr>
          <w:color w:val="0000FF"/>
          <w:lang w:val="ru-RU"/>
        </w:rPr>
        <w:t>，</w:t>
      </w:r>
      <w:r w:rsidRPr="004C59BB">
        <w:rPr>
          <w:color w:val="0000FF"/>
        </w:rPr>
        <w:t>注</w:t>
      </w:r>
      <w:r w:rsidRPr="0097554A">
        <w:rPr>
          <w:color w:val="0000FF"/>
          <w:lang w:val="ru-RU"/>
        </w:rPr>
        <w:t>1</w:t>
      </w:r>
      <w:r w:rsidRPr="004C59BB">
        <w:rPr>
          <w:color w:val="0000FF"/>
        </w:rPr>
        <w:t>及以下</w:t>
      </w:r>
      <w:r w:rsidRPr="0097554A">
        <w:rPr>
          <w:color w:val="0000FF"/>
          <w:lang w:val="ru-RU"/>
        </w:rPr>
        <w:t>；</w:t>
      </w:r>
      <w:r w:rsidRPr="004C59BB">
        <w:rPr>
          <w:color w:val="0000FF"/>
        </w:rPr>
        <w:t>茨温利</w:t>
      </w:r>
      <w:r w:rsidRPr="0097554A">
        <w:rPr>
          <w:color w:val="0000FF"/>
          <w:lang w:val="ru-RU"/>
        </w:rPr>
        <w:t>，</w:t>
      </w:r>
      <w:r w:rsidRPr="004C59BB">
        <w:rPr>
          <w:color w:val="0000FF"/>
        </w:rPr>
        <w:t>《论弥撒经文的正典》</w:t>
      </w:r>
      <w:r w:rsidRPr="0097554A">
        <w:rPr>
          <w:color w:val="0000FF"/>
          <w:lang w:val="ru-RU"/>
        </w:rPr>
        <w:t>，</w:t>
      </w:r>
      <w:r w:rsidRPr="004C59BB">
        <w:rPr>
          <w:color w:val="0000FF"/>
        </w:rPr>
        <w:t>第三卷</w:t>
      </w:r>
      <w:r w:rsidRPr="0097554A">
        <w:rPr>
          <w:color w:val="0000FF"/>
          <w:lang w:val="ru-RU"/>
        </w:rPr>
        <w:t>，</w:t>
      </w:r>
      <w:r w:rsidRPr="004C59BB">
        <w:rPr>
          <w:color w:val="0000FF"/>
        </w:rPr>
        <w:t>第</w:t>
      </w:r>
      <w:r w:rsidRPr="0097554A">
        <w:rPr>
          <w:color w:val="0000FF"/>
          <w:lang w:val="ru-RU"/>
        </w:rPr>
        <w:t>100</w:t>
      </w:r>
      <w:r w:rsidRPr="004C59BB">
        <w:rPr>
          <w:color w:val="0000FF"/>
        </w:rPr>
        <w:t>页</w:t>
      </w:r>
      <w:r w:rsidRPr="0097554A">
        <w:rPr>
          <w:color w:val="0000FF"/>
          <w:lang w:val="ru-RU"/>
        </w:rPr>
        <w:t>，</w:t>
      </w:r>
      <w:r w:rsidRPr="004C59BB">
        <w:rPr>
          <w:color w:val="0000FF"/>
        </w:rPr>
        <w:t>舒尔和舒特版。</w:t>
      </w:r>
    </w:p>
  </w:footnote>
  <w:footnote w:id="1286">
    <w:p w14:paraId="22B4252B" w14:textId="5DC9363A"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爱任纽《反异端》第四卷</w:t>
      </w:r>
      <w:r w:rsidRPr="0097554A">
        <w:rPr>
          <w:color w:val="0000FF"/>
          <w:lang w:val="ru-RU"/>
        </w:rPr>
        <w:t>，</w:t>
      </w:r>
      <w:r w:rsidRPr="004C59BB">
        <w:rPr>
          <w:color w:val="0000FF"/>
        </w:rPr>
        <w:t>第</w:t>
      </w:r>
      <w:r w:rsidRPr="0097554A">
        <w:rPr>
          <w:color w:val="0000FF"/>
          <w:lang w:val="ru-RU"/>
        </w:rPr>
        <w:t>17</w:t>
      </w:r>
      <w:r w:rsidRPr="004C59BB">
        <w:rPr>
          <w:color w:val="0000FF"/>
        </w:rPr>
        <w:t>章</w:t>
      </w:r>
      <w:r w:rsidRPr="0097554A">
        <w:rPr>
          <w:color w:val="0000FF"/>
          <w:lang w:val="ru-RU"/>
        </w:rPr>
        <w:t>，</w:t>
      </w:r>
      <w:r w:rsidRPr="004C59BB">
        <w:rPr>
          <w:color w:val="0000FF"/>
        </w:rPr>
        <w:t>注</w:t>
      </w:r>
      <w:r w:rsidRPr="0097554A">
        <w:rPr>
          <w:color w:val="0000FF"/>
          <w:lang w:val="ru-RU"/>
        </w:rPr>
        <w:t>5；</w:t>
      </w:r>
      <w:r w:rsidRPr="004C59BB">
        <w:rPr>
          <w:color w:val="0000FF"/>
        </w:rPr>
        <w:t>贾斯汀。</w:t>
      </w:r>
      <w:r w:rsidRPr="0097554A">
        <w:rPr>
          <w:color w:val="0000FF"/>
          <w:lang w:val="ru-RU"/>
        </w:rPr>
        <w:t xml:space="preserve"> </w:t>
      </w:r>
      <w:r w:rsidRPr="004C59BB">
        <w:rPr>
          <w:color w:val="0000FF"/>
        </w:rPr>
        <w:t>《与特里丰的对话》第XLI章</w:t>
      </w:r>
      <w:r w:rsidRPr="0097554A">
        <w:rPr>
          <w:color w:val="0000FF"/>
          <w:lang w:val="ru-RU"/>
        </w:rPr>
        <w:t>；</w:t>
      </w:r>
      <w:r w:rsidRPr="004C59BB">
        <w:rPr>
          <w:color w:val="0000FF"/>
        </w:rPr>
        <w:t>希波吕托斯</w:t>
      </w:r>
      <w:r w:rsidRPr="0097554A">
        <w:rPr>
          <w:color w:val="0000FF"/>
          <w:lang w:val="ru-RU"/>
        </w:rPr>
        <w:t>，</w:t>
      </w:r>
      <w:r w:rsidRPr="004C59BB">
        <w:rPr>
          <w:color w:val="0000FF"/>
        </w:rPr>
        <w:t>《论恩赐》第XXVI章</w:t>
      </w:r>
      <w:r w:rsidRPr="0097554A">
        <w:rPr>
          <w:color w:val="0000FF"/>
          <w:lang w:val="ru-RU"/>
        </w:rPr>
        <w:t>；</w:t>
      </w:r>
      <w:r w:rsidRPr="004C59BB">
        <w:rPr>
          <w:color w:val="0000FF"/>
        </w:rPr>
        <w:t>优西比乌</w:t>
      </w:r>
      <w:r w:rsidRPr="0097554A">
        <w:rPr>
          <w:color w:val="0000FF"/>
          <w:lang w:val="ru-RU"/>
        </w:rPr>
        <w:t>，</w:t>
      </w:r>
      <w:r w:rsidRPr="004C59BB">
        <w:rPr>
          <w:color w:val="0000FF"/>
        </w:rPr>
        <w:t>《福音论证》第</w:t>
      </w:r>
      <w:r w:rsidRPr="0097554A">
        <w:rPr>
          <w:color w:val="0000FF"/>
          <w:lang w:val="ru-RU"/>
        </w:rPr>
        <w:t>1</w:t>
      </w:r>
      <w:r w:rsidRPr="004C59BB">
        <w:rPr>
          <w:color w:val="0000FF"/>
        </w:rPr>
        <w:t>卷第</w:t>
      </w:r>
      <w:r w:rsidRPr="0097554A">
        <w:rPr>
          <w:color w:val="0000FF"/>
          <w:lang w:val="ru-RU"/>
        </w:rPr>
        <w:t>10</w:t>
      </w:r>
      <w:r w:rsidRPr="004C59BB">
        <w:rPr>
          <w:color w:val="0000FF"/>
        </w:rPr>
        <w:t>章</w:t>
      </w:r>
      <w:r w:rsidRPr="0097554A">
        <w:rPr>
          <w:color w:val="0000FF"/>
          <w:lang w:val="ru-RU"/>
        </w:rPr>
        <w:t>；</w:t>
      </w:r>
      <w:r w:rsidRPr="004C59BB">
        <w:rPr>
          <w:color w:val="0000FF"/>
        </w:rPr>
        <w:t>金口若望</w:t>
      </w:r>
      <w:r w:rsidRPr="0097554A">
        <w:rPr>
          <w:color w:val="0000FF"/>
          <w:lang w:val="ru-RU"/>
        </w:rPr>
        <w:t>，</w:t>
      </w:r>
      <w:r w:rsidRPr="004C59BB">
        <w:rPr>
          <w:color w:val="0000FF"/>
        </w:rPr>
        <w:t>《反犹太人演说》第V篇</w:t>
      </w:r>
      <w:r w:rsidRPr="0097554A">
        <w:rPr>
          <w:color w:val="0000FF"/>
          <w:lang w:val="ru-RU"/>
        </w:rPr>
        <w:t>，</w:t>
      </w:r>
      <w:r w:rsidRPr="004C59BB">
        <w:rPr>
          <w:color w:val="0000FF"/>
        </w:rPr>
        <w:t>注</w:t>
      </w:r>
      <w:r w:rsidRPr="0097554A">
        <w:rPr>
          <w:color w:val="0000FF"/>
          <w:lang w:val="ru-RU"/>
        </w:rPr>
        <w:t>12；</w:t>
      </w:r>
      <w:r w:rsidRPr="004C59BB">
        <w:rPr>
          <w:color w:val="0000FF"/>
        </w:rPr>
        <w:t>狄奥多里特</w:t>
      </w:r>
      <w:r w:rsidRPr="0097554A">
        <w:rPr>
          <w:color w:val="0000FF"/>
          <w:lang w:val="ru-RU"/>
        </w:rPr>
        <w:t>，</w:t>
      </w:r>
      <w:r w:rsidRPr="004C59BB">
        <w:rPr>
          <w:color w:val="0000FF"/>
        </w:rPr>
        <w:t>《马拉基书注释》</w:t>
      </w:r>
      <w:r w:rsidRPr="004C59BB">
        <w:rPr>
          <w:color w:val="0000FF"/>
          <w:lang w:val="ru-RU"/>
        </w:rPr>
        <w:t>第1卷第11章。</w:t>
      </w:r>
    </w:p>
  </w:footnote>
  <w:footnote w:id="1287">
    <w:p w14:paraId="07816560" w14:textId="43AB84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参见圣大巴西尔和圣约翰·金口的神圣礼仪，</w:t>
      </w:r>
      <w:r w:rsidRPr="004C59BB">
        <w:rPr>
          <w:color w:val="0000FF"/>
        </w:rPr>
        <w:t>另见</w:t>
      </w:r>
      <w:r w:rsidRPr="0097554A">
        <w:rPr>
          <w:color w:val="0000FF"/>
          <w:lang w:val="ru-RU"/>
        </w:rPr>
        <w:t>——</w:t>
      </w:r>
      <w:r w:rsidRPr="004C59BB">
        <w:rPr>
          <w:color w:val="0000FF"/>
        </w:rPr>
        <w:t>雷诺多《东方礼仪》第I、II卷</w:t>
      </w:r>
      <w:r w:rsidRPr="0097554A">
        <w:rPr>
          <w:color w:val="0000FF"/>
          <w:lang w:val="ru-RU"/>
        </w:rPr>
        <w:t>；</w:t>
      </w:r>
      <w:r w:rsidRPr="004C59BB">
        <w:rPr>
          <w:color w:val="0000FF"/>
        </w:rPr>
        <w:t>阿塞曼《普世教会礼仪手稿集》第V卷</w:t>
      </w:r>
      <w:r w:rsidRPr="004C59BB">
        <w:rPr>
          <w:color w:val="0000FF"/>
          <w:lang w:val="ru-RU"/>
        </w:rPr>
        <w:t>。</w:t>
      </w:r>
    </w:p>
  </w:footnote>
  <w:footnote w:id="1288">
    <w:p w14:paraId="413B6289" w14:textId="56E67D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参见上文注释1194及本次大公会议第18条决议。</w:t>
      </w:r>
    </w:p>
  </w:footnote>
  <w:footnote w:id="1289">
    <w:p w14:paraId="49D0C24D" w14:textId="43D83E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参见上文注释1195。</w:t>
      </w:r>
    </w:p>
  </w:footnote>
  <w:footnote w:id="1290">
    <w:p w14:paraId="332866BD" w14:textId="5DEAF7DC"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第28条。参见第3条和第</w:t>
      </w:r>
      <w:r w:rsidRPr="0097554A">
        <w:rPr>
          <w:color w:val="0000FF"/>
          <w:lang w:val="ru-RU"/>
        </w:rPr>
        <w:t>32</w:t>
      </w:r>
      <w:r w:rsidRPr="004C59BB">
        <w:rPr>
          <w:color w:val="0000FF"/>
          <w:lang w:val="ru-RU"/>
        </w:rPr>
        <w:t>条</w:t>
      </w:r>
      <w:r w:rsidRPr="004C59BB">
        <w:rPr>
          <w:color w:val="0000FF"/>
        </w:rPr>
        <w:t>。</w:t>
      </w:r>
    </w:p>
  </w:footnote>
  <w:footnote w:id="1291">
    <w:p w14:paraId="078693AA" w14:textId="63076F3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参见上文注</w:t>
      </w:r>
      <w:r w:rsidRPr="0097554A">
        <w:rPr>
          <w:color w:val="0000FF"/>
          <w:lang w:val="ru-RU"/>
        </w:rPr>
        <w:t>1196</w:t>
      </w:r>
      <w:r w:rsidRPr="004C59BB">
        <w:rPr>
          <w:color w:val="0000FF"/>
        </w:rPr>
        <w:t>。</w:t>
      </w:r>
    </w:p>
  </w:footnote>
  <w:footnote w:id="1292">
    <w:p w14:paraId="07347273" w14:textId="59F781E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《致费城书》第IV章</w:t>
      </w:r>
      <w:r w:rsidRPr="0097554A">
        <w:rPr>
          <w:color w:val="0000FF"/>
          <w:lang w:val="ru-RU"/>
        </w:rPr>
        <w:t>；</w:t>
      </w:r>
      <w:r w:rsidRPr="004C59BB">
        <w:rPr>
          <w:color w:val="0000FF"/>
        </w:rPr>
        <w:t>参见《致马格内西亚书》第VIII章</w:t>
      </w:r>
      <w:r w:rsidRPr="0097554A">
        <w:rPr>
          <w:color w:val="0000FF"/>
          <w:lang w:val="ru-RU"/>
        </w:rPr>
        <w:t>；</w:t>
      </w:r>
      <w:r w:rsidRPr="004C59BB">
        <w:rPr>
          <w:color w:val="0000FF"/>
        </w:rPr>
        <w:t>《致以弗所书》第V章。</w:t>
      </w:r>
    </w:p>
  </w:footnote>
  <w:footnote w:id="1293">
    <w:p w14:paraId="0829C6D4" w14:textId="1D1161E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《与特里弗的对话》第CXVII节</w:t>
      </w:r>
      <w:r w:rsidRPr="0097554A">
        <w:rPr>
          <w:color w:val="0000FF"/>
          <w:lang w:val="ru-RU"/>
        </w:rPr>
        <w:t>；</w:t>
      </w:r>
      <w:r w:rsidRPr="004C59BB">
        <w:rPr>
          <w:color w:val="0000FF"/>
        </w:rPr>
        <w:t>参见第XLI节。</w:t>
      </w:r>
    </w:p>
  </w:footnote>
  <w:footnote w:id="1294">
    <w:p w14:paraId="200BE2B2" w14:textId="6453EC4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《反异端》第四卷</w:t>
      </w:r>
      <w:r w:rsidRPr="0097554A">
        <w:rPr>
          <w:color w:val="0000FF"/>
          <w:lang w:val="ru-RU"/>
        </w:rPr>
        <w:t>，</w:t>
      </w:r>
      <w:r w:rsidRPr="004C59BB">
        <w:rPr>
          <w:color w:val="0000FF"/>
        </w:rPr>
        <w:t>第</w:t>
      </w:r>
      <w:r w:rsidRPr="0097554A">
        <w:rPr>
          <w:color w:val="0000FF"/>
          <w:lang w:val="ru-RU"/>
        </w:rPr>
        <w:t>17</w:t>
      </w:r>
      <w:r w:rsidRPr="004C59BB">
        <w:rPr>
          <w:color w:val="0000FF"/>
        </w:rPr>
        <w:t>章</w:t>
      </w:r>
      <w:r w:rsidRPr="0097554A">
        <w:rPr>
          <w:color w:val="0000FF"/>
          <w:lang w:val="ru-RU"/>
        </w:rPr>
        <w:t>，</w:t>
      </w:r>
      <w:r w:rsidRPr="004C59BB">
        <w:rPr>
          <w:color w:val="0000FF"/>
        </w:rPr>
        <w:t>第</w:t>
      </w:r>
      <w:r w:rsidRPr="0097554A">
        <w:rPr>
          <w:color w:val="0000FF"/>
          <w:lang w:val="ru-RU"/>
        </w:rPr>
        <w:t>5</w:t>
      </w:r>
      <w:r w:rsidRPr="004C59BB">
        <w:rPr>
          <w:color w:val="0000FF"/>
        </w:rPr>
        <w:t>节</w:t>
      </w:r>
      <w:r w:rsidRPr="0097554A">
        <w:rPr>
          <w:color w:val="0000FF"/>
          <w:lang w:val="ru-RU"/>
        </w:rPr>
        <w:t>；</w:t>
      </w:r>
      <w:r w:rsidRPr="004C59BB">
        <w:rPr>
          <w:color w:val="0000FF"/>
        </w:rPr>
        <w:t>参见第</w:t>
      </w:r>
      <w:r w:rsidRPr="0097554A">
        <w:rPr>
          <w:color w:val="0000FF"/>
          <w:lang w:val="ru-RU"/>
        </w:rPr>
        <w:t>18</w:t>
      </w:r>
      <w:r w:rsidRPr="004C59BB">
        <w:rPr>
          <w:color w:val="0000FF"/>
        </w:rPr>
        <w:t>章</w:t>
      </w:r>
      <w:r w:rsidRPr="0097554A">
        <w:rPr>
          <w:color w:val="0000FF"/>
          <w:lang w:val="ru-RU"/>
        </w:rPr>
        <w:t>，</w:t>
      </w:r>
      <w:r w:rsidRPr="004C59BB">
        <w:rPr>
          <w:color w:val="0000FF"/>
        </w:rPr>
        <w:t>第</w:t>
      </w:r>
      <w:r w:rsidRPr="0097554A">
        <w:rPr>
          <w:color w:val="0000FF"/>
          <w:lang w:val="ru-RU"/>
        </w:rPr>
        <w:t>4</w:t>
      </w:r>
      <w:r w:rsidRPr="004C59BB">
        <w:rPr>
          <w:color w:val="0000FF"/>
        </w:rPr>
        <w:t>节。</w:t>
      </w:r>
    </w:p>
  </w:footnote>
  <w:footnote w:id="1295">
    <w:p w14:paraId="57B2FD90" w14:textId="04209F0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《论恩赐》第XXVI章</w:t>
      </w:r>
      <w:r w:rsidRPr="0097554A">
        <w:rPr>
          <w:color w:val="0000FF"/>
          <w:lang w:val="ru-RU"/>
        </w:rPr>
        <w:t>，</w:t>
      </w:r>
      <w:r w:rsidRPr="004C59BB">
        <w:rPr>
          <w:color w:val="0000FF"/>
        </w:rPr>
        <w:t>见加兰德版</w:t>
      </w:r>
      <w:r w:rsidRPr="0097554A">
        <w:rPr>
          <w:color w:val="0000FF"/>
          <w:lang w:val="ru-RU"/>
        </w:rPr>
        <w:t>，</w:t>
      </w:r>
      <w:r w:rsidRPr="004C59BB">
        <w:rPr>
          <w:color w:val="0000FF"/>
        </w:rPr>
        <w:t>第II卷</w:t>
      </w:r>
      <w:r w:rsidRPr="0097554A">
        <w:rPr>
          <w:color w:val="0000FF"/>
          <w:lang w:val="ru-RU"/>
        </w:rPr>
        <w:t>，</w:t>
      </w:r>
      <w:r w:rsidRPr="004C59BB">
        <w:rPr>
          <w:color w:val="0000FF"/>
        </w:rPr>
        <w:t>第</w:t>
      </w:r>
      <w:r w:rsidRPr="0097554A">
        <w:rPr>
          <w:color w:val="0000FF"/>
          <w:lang w:val="ru-RU"/>
        </w:rPr>
        <w:t>512</w:t>
      </w:r>
      <w:r w:rsidRPr="004C59BB">
        <w:rPr>
          <w:color w:val="0000FF"/>
        </w:rPr>
        <w:t>页。</w:t>
      </w:r>
    </w:p>
  </w:footnote>
  <w:footnote w:id="1296">
    <w:p w14:paraId="0965FE03" w14:textId="5600292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致凯基尔书第LXIII封。</w:t>
      </w:r>
    </w:p>
  </w:footnote>
  <w:footnote w:id="1297">
    <w:p w14:paraId="3E93DD1E" w14:textId="452B8E9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《论基督复活》讲道集第</w:t>
      </w:r>
      <w:r w:rsidRPr="0097554A">
        <w:rPr>
          <w:color w:val="0000FF"/>
          <w:lang w:val="ru-RU"/>
        </w:rPr>
        <w:t>1</w:t>
      </w:r>
      <w:r w:rsidRPr="004C59BB">
        <w:rPr>
          <w:color w:val="0000FF"/>
        </w:rPr>
        <w:t>篇</w:t>
      </w:r>
      <w:r w:rsidRPr="0097554A">
        <w:rPr>
          <w:color w:val="0000FF"/>
          <w:lang w:val="ru-RU"/>
        </w:rPr>
        <w:t>，</w:t>
      </w:r>
      <w:r w:rsidRPr="004C59BB">
        <w:rPr>
          <w:color w:val="0000FF"/>
        </w:rPr>
        <w:t>全集第III卷</w:t>
      </w:r>
      <w:r w:rsidRPr="0097554A">
        <w:rPr>
          <w:color w:val="0000FF"/>
          <w:lang w:val="ru-RU"/>
        </w:rPr>
        <w:t>，</w:t>
      </w:r>
      <w:r w:rsidRPr="004C59BB">
        <w:rPr>
          <w:color w:val="0000FF"/>
        </w:rPr>
        <w:t>第</w:t>
      </w:r>
      <w:r w:rsidRPr="0097554A">
        <w:rPr>
          <w:color w:val="0000FF"/>
          <w:lang w:val="ru-RU"/>
        </w:rPr>
        <w:t>389</w:t>
      </w:r>
      <w:r w:rsidRPr="004C59BB">
        <w:rPr>
          <w:color w:val="0000FF"/>
        </w:rPr>
        <w:t>页</w:t>
      </w:r>
      <w:r w:rsidRPr="0097554A">
        <w:rPr>
          <w:color w:val="0000FF"/>
          <w:lang w:val="ru-RU"/>
        </w:rPr>
        <w:t>，</w:t>
      </w:r>
      <w:r w:rsidRPr="004C59BB">
        <w:rPr>
          <w:color w:val="0000FF"/>
        </w:rPr>
        <w:t>莫雷尔校注本。</w:t>
      </w:r>
    </w:p>
  </w:footnote>
  <w:footnote w:id="1298">
    <w:p w14:paraId="39B950D0" w14:textId="3E5B08A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《希伯来书讲道集》第十七篇</w:t>
      </w:r>
      <w:r w:rsidRPr="0097554A">
        <w:rPr>
          <w:color w:val="0000FF"/>
          <w:lang w:val="ru-RU"/>
        </w:rPr>
        <w:t>，</w:t>
      </w:r>
      <w:r w:rsidRPr="004C59BB">
        <w:rPr>
          <w:color w:val="0000FF"/>
        </w:rPr>
        <w:t>第</w:t>
      </w:r>
      <w:r w:rsidRPr="0097554A">
        <w:rPr>
          <w:color w:val="0000FF"/>
          <w:lang w:val="ru-RU"/>
        </w:rPr>
        <w:t>3</w:t>
      </w:r>
      <w:r w:rsidRPr="004C59BB">
        <w:rPr>
          <w:color w:val="0000FF"/>
        </w:rPr>
        <w:t>段</w:t>
      </w:r>
      <w:r w:rsidRPr="0097554A">
        <w:rPr>
          <w:color w:val="0000FF"/>
          <w:lang w:val="ru-RU"/>
        </w:rPr>
        <w:t>；</w:t>
      </w:r>
      <w:r w:rsidRPr="004C59BB">
        <w:rPr>
          <w:color w:val="0000FF"/>
        </w:rPr>
        <w:t>参见《哥林多前书讲道集》第十四篇</w:t>
      </w:r>
      <w:r w:rsidRPr="0097554A">
        <w:rPr>
          <w:color w:val="0000FF"/>
          <w:lang w:val="ru-RU"/>
        </w:rPr>
        <w:t>，</w:t>
      </w:r>
      <w:r w:rsidRPr="004C59BB">
        <w:rPr>
          <w:color w:val="0000FF"/>
        </w:rPr>
        <w:t>第</w:t>
      </w:r>
      <w:r w:rsidRPr="0097554A">
        <w:rPr>
          <w:color w:val="0000FF"/>
          <w:lang w:val="ru-RU"/>
        </w:rPr>
        <w:t>4</w:t>
      </w:r>
      <w:r w:rsidRPr="004C59BB">
        <w:rPr>
          <w:color w:val="0000FF"/>
        </w:rPr>
        <w:t>段</w:t>
      </w:r>
      <w:r w:rsidRPr="0097554A">
        <w:rPr>
          <w:color w:val="0000FF"/>
          <w:lang w:val="ru-RU"/>
        </w:rPr>
        <w:t>；</w:t>
      </w:r>
      <w:r w:rsidRPr="004C59BB">
        <w:rPr>
          <w:color w:val="0000FF"/>
        </w:rPr>
        <w:t>《以弗所书讲道集》第三篇</w:t>
      </w:r>
      <w:r w:rsidRPr="0097554A">
        <w:rPr>
          <w:color w:val="0000FF"/>
          <w:lang w:val="ru-RU"/>
        </w:rPr>
        <w:t>，</w:t>
      </w:r>
      <w:r w:rsidRPr="004C59BB">
        <w:rPr>
          <w:color w:val="0000FF"/>
        </w:rPr>
        <w:t>第</w:t>
      </w:r>
      <w:r w:rsidRPr="0097554A">
        <w:rPr>
          <w:color w:val="0000FF"/>
          <w:lang w:val="ru-RU"/>
        </w:rPr>
        <w:t>5</w:t>
      </w:r>
      <w:r w:rsidRPr="004C59BB">
        <w:rPr>
          <w:color w:val="0000FF"/>
        </w:rPr>
        <w:t>段</w:t>
      </w:r>
      <w:r w:rsidRPr="0097554A">
        <w:rPr>
          <w:color w:val="0000FF"/>
          <w:lang w:val="ru-RU"/>
        </w:rPr>
        <w:t>；</w:t>
      </w:r>
      <w:r w:rsidRPr="004C59BB">
        <w:rPr>
          <w:color w:val="0000FF"/>
        </w:rPr>
        <w:t>《论司祭》第三篇</w:t>
      </w:r>
      <w:r w:rsidRPr="0097554A">
        <w:rPr>
          <w:color w:val="0000FF"/>
          <w:lang w:val="ru-RU"/>
        </w:rPr>
        <w:t>，</w:t>
      </w:r>
      <w:r w:rsidRPr="004C59BB">
        <w:rPr>
          <w:color w:val="0000FF"/>
        </w:rPr>
        <w:t>第</w:t>
      </w:r>
      <w:r w:rsidRPr="0097554A">
        <w:rPr>
          <w:color w:val="0000FF"/>
          <w:lang w:val="ru-RU"/>
        </w:rPr>
        <w:t>4</w:t>
      </w:r>
      <w:r w:rsidRPr="004C59BB">
        <w:rPr>
          <w:color w:val="0000FF"/>
        </w:rPr>
        <w:t>段</w:t>
      </w:r>
      <w:r w:rsidRPr="0097554A">
        <w:rPr>
          <w:color w:val="0000FF"/>
          <w:lang w:val="ru-RU"/>
        </w:rPr>
        <w:t>；</w:t>
      </w:r>
      <w:r w:rsidRPr="004C59BB">
        <w:rPr>
          <w:color w:val="0000FF"/>
        </w:rPr>
        <w:t>第六篇</w:t>
      </w:r>
      <w:r w:rsidRPr="0097554A">
        <w:rPr>
          <w:color w:val="0000FF"/>
          <w:lang w:val="ru-RU"/>
        </w:rPr>
        <w:t>，</w:t>
      </w:r>
      <w:r w:rsidRPr="004C59BB">
        <w:rPr>
          <w:color w:val="0000FF"/>
        </w:rPr>
        <w:t>第</w:t>
      </w:r>
      <w:r w:rsidRPr="0097554A">
        <w:rPr>
          <w:color w:val="0000FF"/>
          <w:lang w:val="ru-RU"/>
        </w:rPr>
        <w:t>4</w:t>
      </w:r>
      <w:r w:rsidRPr="004C59BB">
        <w:rPr>
          <w:color w:val="0000FF"/>
        </w:rPr>
        <w:t>段。</w:t>
      </w:r>
    </w:p>
  </w:footnote>
  <w:footnote w:id="1299">
    <w:p w14:paraId="4813C79C" w14:textId="5EEE293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领受主的圣体并妥善保存</w:t>
      </w:r>
      <w:r w:rsidRPr="0097554A">
        <w:rPr>
          <w:color w:val="0000FF"/>
          <w:lang w:val="ru-RU"/>
        </w:rPr>
        <w:t>，</w:t>
      </w:r>
      <w:r w:rsidRPr="004C59BB">
        <w:rPr>
          <w:color w:val="0000FF"/>
        </w:rPr>
        <w:t>既能保全圣体</w:t>
      </w:r>
      <w:r w:rsidRPr="0097554A">
        <w:rPr>
          <w:color w:val="0000FF"/>
          <w:lang w:val="ru-RU"/>
        </w:rPr>
        <w:t>，</w:t>
      </w:r>
      <w:r w:rsidRPr="004C59BB">
        <w:rPr>
          <w:color w:val="0000FF"/>
        </w:rPr>
        <w:t>也能保全参与圣祭及履行圣职</w:t>
      </w:r>
      <w:r w:rsidRPr="0097554A">
        <w:rPr>
          <w:color w:val="0000FF"/>
          <w:lang w:val="ru-RU"/>
        </w:rPr>
        <w:t>”（</w:t>
      </w:r>
      <w:r w:rsidRPr="004C59BB">
        <w:rPr>
          <w:color w:val="0000FF"/>
        </w:rPr>
        <w:t>《论祈祷》第XIV节</w:t>
      </w:r>
      <w:r w:rsidRPr="0097554A">
        <w:rPr>
          <w:color w:val="0000FF"/>
          <w:lang w:val="ru-RU"/>
        </w:rPr>
        <w:t>）</w:t>
      </w:r>
      <w:r w:rsidRPr="004C59BB">
        <w:rPr>
          <w:color w:val="0000FF"/>
        </w:rPr>
        <w:t>。</w:t>
      </w:r>
    </w:p>
  </w:footnote>
  <w:footnote w:id="1300">
    <w:p w14:paraId="6121179C" w14:textId="2DCAEB26"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《福音论证》</w:t>
      </w:r>
      <w:r w:rsidRPr="0097554A">
        <w:rPr>
          <w:color w:val="0000FF"/>
          <w:lang w:val="ru-RU"/>
        </w:rPr>
        <w:t>1, 10；5, 3；</w:t>
      </w:r>
      <w:r w:rsidRPr="004C59BB">
        <w:rPr>
          <w:color w:val="0000FF"/>
        </w:rPr>
        <w:t>《教会史》</w:t>
      </w:r>
      <w:r w:rsidRPr="0097554A">
        <w:rPr>
          <w:color w:val="0000FF"/>
          <w:lang w:val="ru-RU"/>
        </w:rPr>
        <w:t>10</w:t>
      </w:r>
      <w:r w:rsidRPr="004C59BB">
        <w:rPr>
          <w:color w:val="0000FF"/>
          <w:lang w:val="ru-RU"/>
        </w:rPr>
        <w:t>, 8。</w:t>
      </w:r>
    </w:p>
  </w:footnote>
  <w:footnote w:id="1301">
    <w:p w14:paraId="08FAB221" w14:textId="4A543515"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“当祭司一次献上并呈献了祭品之后；接受它作为全献之祭并每日领受圣体的人，理应确信自己所领受的，正是</w:t>
      </w:r>
      <w:r w:rsidRPr="004C59BB">
        <w:rPr>
          <w:color w:val="0000FF"/>
        </w:rPr>
        <w:t>来自</w:t>
      </w:r>
      <w:r w:rsidRPr="004C59BB">
        <w:rPr>
          <w:color w:val="0000FF"/>
          <w:lang w:val="ru-RU"/>
        </w:rPr>
        <w:t>那位亲自呈献者本身”（</w:t>
      </w:r>
      <w:r w:rsidRPr="004C59BB">
        <w:rPr>
          <w:color w:val="0000FF"/>
        </w:rPr>
        <w:t>致凯撒</w:t>
      </w:r>
      <w:r w:rsidRPr="004C59BB">
        <w:rPr>
          <w:color w:val="0000FF"/>
          <w:lang w:val="ru-RU"/>
        </w:rPr>
        <w:t>书</w:t>
      </w:r>
      <w:r w:rsidRPr="004C59BB">
        <w:rPr>
          <w:color w:val="0000FF"/>
          <w:lang w:val="el-GR"/>
        </w:rPr>
        <w:t>第</w:t>
      </w:r>
      <w:r w:rsidRPr="0097554A">
        <w:rPr>
          <w:color w:val="0000FF"/>
          <w:lang w:val="ru-RU"/>
        </w:rPr>
        <w:t>93</w:t>
      </w:r>
      <w:r w:rsidRPr="004C59BB">
        <w:rPr>
          <w:color w:val="0000FF"/>
          <w:lang w:val="el-GR"/>
        </w:rPr>
        <w:t>封</w:t>
      </w:r>
      <w:r w:rsidRPr="0097554A">
        <w:rPr>
          <w:color w:val="0000FF"/>
          <w:lang w:val="ru-RU"/>
        </w:rPr>
        <w:t>，</w:t>
      </w:r>
      <w:r w:rsidRPr="004C59BB">
        <w:rPr>
          <w:color w:val="0000FF"/>
        </w:rPr>
        <w:t>载于</w:t>
      </w:r>
      <w:r w:rsidRPr="004C59BB">
        <w:rPr>
          <w:color w:val="0000FF"/>
          <w:lang w:val="el-GR"/>
        </w:rPr>
        <w:t>《</w:t>
      </w:r>
      <w:r w:rsidRPr="004C59BB">
        <w:rPr>
          <w:color w:val="0000FF"/>
        </w:rPr>
        <w:t>教父著作集</w:t>
      </w:r>
      <w:r w:rsidRPr="004C59BB">
        <w:rPr>
          <w:color w:val="0000FF"/>
          <w:lang w:val="el-GR"/>
        </w:rPr>
        <w:t>》</w:t>
      </w:r>
      <w:r w:rsidRPr="004C59BB">
        <w:rPr>
          <w:color w:val="0000FF"/>
        </w:rPr>
        <w:t>第X卷</w:t>
      </w:r>
      <w:r w:rsidRPr="0097554A">
        <w:rPr>
          <w:color w:val="0000FF"/>
          <w:lang w:val="ru-RU"/>
        </w:rPr>
        <w:t>，</w:t>
      </w:r>
      <w:r w:rsidRPr="004C59BB">
        <w:rPr>
          <w:color w:val="0000FF"/>
          <w:lang w:val="el-GR"/>
        </w:rPr>
        <w:t>第</w:t>
      </w:r>
      <w:r w:rsidRPr="0097554A">
        <w:rPr>
          <w:color w:val="0000FF"/>
          <w:lang w:val="ru-RU"/>
        </w:rPr>
        <w:t>220</w:t>
      </w:r>
      <w:r w:rsidRPr="004C59BB">
        <w:rPr>
          <w:color w:val="0000FF"/>
          <w:lang w:val="el-GR"/>
        </w:rPr>
        <w:t>页</w:t>
      </w:r>
      <w:r w:rsidRPr="0097554A">
        <w:rPr>
          <w:color w:val="0000FF"/>
          <w:lang w:val="ru-RU"/>
        </w:rPr>
        <w:t>）</w:t>
      </w:r>
      <w:r w:rsidRPr="004C59BB">
        <w:rPr>
          <w:color w:val="0000FF"/>
          <w:lang w:val="el-GR"/>
        </w:rPr>
        <w:t>。</w:t>
      </w:r>
    </w:p>
  </w:footnote>
  <w:footnote w:id="1302">
    <w:p w14:paraId="64E7890C" w14:textId="5EF6557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上帝</w:t>
      </w:r>
      <w:r w:rsidRPr="0097554A">
        <w:rPr>
          <w:color w:val="0000FF"/>
          <w:lang w:val="ru-RU"/>
        </w:rPr>
        <w:t>）</w:t>
      </w:r>
      <w:r w:rsidRPr="004C59BB">
        <w:rPr>
          <w:color w:val="0000FF"/>
          <w:lang w:val="el-GR"/>
        </w:rPr>
        <w:t>接受那虔诚且真实地献上的无血祭</w:t>
      </w:r>
      <w:r w:rsidRPr="0097554A">
        <w:rPr>
          <w:color w:val="0000FF"/>
          <w:lang w:val="ru-RU"/>
        </w:rPr>
        <w:t>（</w:t>
      </w:r>
      <w:r w:rsidRPr="004C59BB">
        <w:rPr>
          <w:color w:val="0000FF"/>
        </w:rPr>
        <w:t>《论</w:t>
      </w:r>
      <w:r w:rsidRPr="004C59BB">
        <w:rPr>
          <w:color w:val="0000FF"/>
          <w:lang w:val="el-GR"/>
        </w:rPr>
        <w:t>三位一体》</w:t>
      </w:r>
      <w:r w:rsidRPr="0097554A">
        <w:rPr>
          <w:color w:val="0000FF"/>
          <w:lang w:val="ru-RU"/>
        </w:rPr>
        <w:t xml:space="preserve">11, 7, </w:t>
      </w:r>
      <w:r w:rsidRPr="004C59BB">
        <w:rPr>
          <w:color w:val="0000FF"/>
        </w:rPr>
        <w:t>n</w:t>
      </w:r>
      <w:r w:rsidRPr="0097554A">
        <w:rPr>
          <w:color w:val="0000FF"/>
          <w:lang w:val="ru-RU"/>
        </w:rPr>
        <w:t>. 8）</w:t>
      </w:r>
      <w:r w:rsidRPr="004C59BB">
        <w:rPr>
          <w:color w:val="0000FF"/>
          <w:lang w:val="el-GR"/>
        </w:rPr>
        <w:t>。</w:t>
      </w:r>
      <w:r w:rsidRPr="0097554A">
        <w:rPr>
          <w:color w:val="0000FF"/>
          <w:lang w:val="ru-RU"/>
        </w:rPr>
        <w:t xml:space="preserve"> </w:t>
      </w:r>
      <w:r w:rsidRPr="004C59BB">
        <w:rPr>
          <w:color w:val="0000FF"/>
          <w:lang w:val="el-GR"/>
        </w:rPr>
        <w:t>他将无血的祭献引入</w:t>
      </w:r>
      <w:r w:rsidRPr="0097554A">
        <w:rPr>
          <w:color w:val="0000FF"/>
          <w:lang w:val="ru-RU"/>
        </w:rPr>
        <w:t>，</w:t>
      </w:r>
      <w:r w:rsidRPr="004C59BB">
        <w:rPr>
          <w:color w:val="0000FF"/>
          <w:lang w:val="el-GR"/>
        </w:rPr>
        <w:t>并将其视为主之身体与宝血的合理象征</w:t>
      </w:r>
      <w:r w:rsidRPr="0097554A">
        <w:rPr>
          <w:color w:val="0000FF"/>
          <w:lang w:val="ru-RU"/>
        </w:rPr>
        <w:t>（</w:t>
      </w:r>
      <w:r w:rsidRPr="004C59BB">
        <w:rPr>
          <w:color w:val="0000FF"/>
        </w:rPr>
        <w:t>见</w:t>
      </w:r>
      <w:r w:rsidRPr="004C59BB">
        <w:rPr>
          <w:color w:val="0000FF"/>
          <w:lang w:val="el-GR"/>
        </w:rPr>
        <w:t>《</w:t>
      </w:r>
      <w:r w:rsidRPr="004C59BB">
        <w:rPr>
          <w:color w:val="0000FF"/>
        </w:rPr>
        <w:t>诗篇</w:t>
      </w:r>
      <w:r w:rsidRPr="004C59BB">
        <w:rPr>
          <w:color w:val="0000FF"/>
          <w:lang w:val="el-GR"/>
        </w:rPr>
        <w:t>》</w:t>
      </w:r>
      <w:r w:rsidRPr="004C59BB">
        <w:rPr>
          <w:color w:val="0000FF"/>
        </w:rPr>
        <w:t>第</w:t>
      </w:r>
      <w:r w:rsidRPr="0097554A">
        <w:rPr>
          <w:color w:val="0000FF"/>
          <w:lang w:val="ru-RU"/>
        </w:rPr>
        <w:t>39</w:t>
      </w:r>
      <w:r w:rsidRPr="004C59BB">
        <w:rPr>
          <w:color w:val="0000FF"/>
        </w:rPr>
        <w:t>篇</w:t>
      </w:r>
      <w:r w:rsidRPr="0097554A">
        <w:rPr>
          <w:color w:val="0000FF"/>
          <w:lang w:val="ru-RU"/>
        </w:rPr>
        <w:t>7</w:t>
      </w:r>
      <w:r w:rsidRPr="004C59BB">
        <w:rPr>
          <w:color w:val="0000FF"/>
        </w:rPr>
        <w:t>节</w:t>
      </w:r>
      <w:r w:rsidRPr="0097554A">
        <w:rPr>
          <w:color w:val="0000FF"/>
          <w:lang w:val="ru-RU"/>
        </w:rPr>
        <w:t>，</w:t>
      </w:r>
      <w:r w:rsidRPr="004C59BB">
        <w:rPr>
          <w:color w:val="0000FF"/>
        </w:rPr>
        <w:t>科德尔《经文链注》</w:t>
      </w:r>
      <w:r w:rsidRPr="0097554A">
        <w:rPr>
          <w:color w:val="0000FF"/>
          <w:lang w:val="ru-RU"/>
        </w:rPr>
        <w:t>）</w:t>
      </w:r>
      <w:r w:rsidRPr="004C59BB">
        <w:rPr>
          <w:color w:val="0000FF"/>
        </w:rPr>
        <w:t>。</w:t>
      </w:r>
    </w:p>
  </w:footnote>
  <w:footnote w:id="1303">
    <w:p w14:paraId="14B9DD78" w14:textId="44F62C2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《论圣职》</w:t>
      </w:r>
      <w:r w:rsidRPr="0097554A">
        <w:rPr>
          <w:color w:val="0000FF"/>
          <w:lang w:val="ru-RU"/>
        </w:rPr>
        <w:t xml:space="preserve">1, 48, </w:t>
      </w:r>
      <w:r w:rsidRPr="004C59BB">
        <w:rPr>
          <w:color w:val="0000FF"/>
        </w:rPr>
        <w:t>n</w:t>
      </w:r>
      <w:r w:rsidRPr="0097554A">
        <w:rPr>
          <w:color w:val="0000FF"/>
          <w:lang w:val="ru-RU"/>
        </w:rPr>
        <w:t>. 248</w:t>
      </w:r>
      <w:r w:rsidRPr="004C59BB">
        <w:rPr>
          <w:color w:val="0000FF"/>
        </w:rPr>
        <w:t>。</w:t>
      </w:r>
    </w:p>
  </w:footnote>
  <w:footnote w:id="1304">
    <w:p w14:paraId="5B87BBCE" w14:textId="2ED23286"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那为拯救而献给悔罪者的带斑小牛</w:t>
      </w:r>
      <w:r w:rsidRPr="0097554A">
        <w:rPr>
          <w:color w:val="0000FF"/>
          <w:lang w:val="ru-RU"/>
        </w:rPr>
        <w:t>，</w:t>
      </w:r>
      <w:r w:rsidRPr="004C59BB">
        <w:rPr>
          <w:color w:val="0000FF"/>
        </w:rPr>
        <w:t>就是救主本人</w:t>
      </w:r>
      <w:r w:rsidRPr="0097554A">
        <w:rPr>
          <w:color w:val="0000FF"/>
          <w:lang w:val="ru-RU"/>
        </w:rPr>
        <w:t>，</w:t>
      </w:r>
      <w:r w:rsidRPr="004C59BB">
        <w:rPr>
          <w:color w:val="0000FF"/>
        </w:rPr>
        <w:t>我们每日以祂的肉为食</w:t>
      </w:r>
      <w:r w:rsidRPr="0097554A">
        <w:rPr>
          <w:color w:val="0000FF"/>
          <w:lang w:val="ru-RU"/>
        </w:rPr>
        <w:t>，</w:t>
      </w:r>
      <w:r w:rsidRPr="004C59BB">
        <w:rPr>
          <w:color w:val="0000FF"/>
        </w:rPr>
        <w:t>以祂的血为饮</w:t>
      </w:r>
      <w:r w:rsidRPr="0097554A">
        <w:rPr>
          <w:color w:val="0000FF"/>
          <w:lang w:val="ru-RU"/>
        </w:rPr>
        <w:t>（</w:t>
      </w:r>
      <w:r w:rsidRPr="004C59BB">
        <w:rPr>
          <w:color w:val="0000FF"/>
        </w:rPr>
        <w:t>《致达马斯书》第十四章</w:t>
      </w:r>
      <w:r w:rsidRPr="0097554A">
        <w:rPr>
          <w:color w:val="0000FF"/>
          <w:lang w:val="ru-RU"/>
        </w:rPr>
        <w:t>）</w:t>
      </w:r>
      <w:r w:rsidRPr="004C59BB">
        <w:rPr>
          <w:color w:val="0000FF"/>
        </w:rPr>
        <w:t>。</w:t>
      </w:r>
    </w:p>
  </w:footnote>
  <w:footnote w:id="1305">
    <w:p w14:paraId="4B498C40" w14:textId="532E4A51"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长老在那里献上了基督圣体的祭品</w:t>
      </w:r>
      <w:r w:rsidRPr="0097554A">
        <w:rPr>
          <w:color w:val="0000FF"/>
          <w:lang w:val="ru-RU"/>
        </w:rPr>
        <w:t>（</w:t>
      </w:r>
      <w:r w:rsidRPr="004C59BB">
        <w:rPr>
          <w:color w:val="0000FF"/>
        </w:rPr>
        <w:t>《上帝之城》第XXII卷</w:t>
      </w:r>
      <w:r w:rsidRPr="0097554A">
        <w:rPr>
          <w:color w:val="0000FF"/>
          <w:lang w:val="ru-RU"/>
        </w:rPr>
        <w:t>，</w:t>
      </w:r>
      <w:r w:rsidRPr="004C59BB">
        <w:rPr>
          <w:color w:val="0000FF"/>
        </w:rPr>
        <w:t>第</w:t>
      </w:r>
      <w:r w:rsidRPr="0097554A">
        <w:rPr>
          <w:color w:val="0000FF"/>
          <w:lang w:val="ru-RU"/>
        </w:rPr>
        <w:t>8</w:t>
      </w:r>
      <w:r w:rsidRPr="004C59BB">
        <w:rPr>
          <w:color w:val="0000FF"/>
        </w:rPr>
        <w:t>章</w:t>
      </w:r>
      <w:r w:rsidRPr="0097554A">
        <w:rPr>
          <w:color w:val="0000FF"/>
          <w:lang w:val="ru-RU"/>
        </w:rPr>
        <w:t>，</w:t>
      </w:r>
      <w:r w:rsidRPr="004C59BB">
        <w:rPr>
          <w:color w:val="0000FF"/>
        </w:rPr>
        <w:t>注</w:t>
      </w:r>
      <w:r w:rsidRPr="0097554A">
        <w:rPr>
          <w:color w:val="0000FF"/>
          <w:lang w:val="ru-RU"/>
        </w:rPr>
        <w:t>6；</w:t>
      </w:r>
      <w:r w:rsidRPr="004C59BB">
        <w:rPr>
          <w:color w:val="0000FF"/>
        </w:rPr>
        <w:t>参见第XVI卷</w:t>
      </w:r>
      <w:r w:rsidRPr="0097554A">
        <w:rPr>
          <w:color w:val="0000FF"/>
          <w:lang w:val="ru-RU"/>
        </w:rPr>
        <w:t>，</w:t>
      </w:r>
      <w:r w:rsidRPr="004C59BB">
        <w:rPr>
          <w:color w:val="0000FF"/>
        </w:rPr>
        <w:t>第</w:t>
      </w:r>
      <w:r w:rsidRPr="0097554A">
        <w:rPr>
          <w:color w:val="0000FF"/>
          <w:lang w:val="ru-RU"/>
        </w:rPr>
        <w:t>22</w:t>
      </w:r>
      <w:r w:rsidRPr="004C59BB">
        <w:rPr>
          <w:color w:val="0000FF"/>
        </w:rPr>
        <w:t>章</w:t>
      </w:r>
      <w:r w:rsidRPr="0097554A">
        <w:rPr>
          <w:color w:val="0000FF"/>
          <w:lang w:val="ru-RU"/>
        </w:rPr>
        <w:t>；</w:t>
      </w:r>
      <w:r w:rsidRPr="004C59BB">
        <w:rPr>
          <w:color w:val="0000FF"/>
        </w:rPr>
        <w:t>第XVIII卷</w:t>
      </w:r>
      <w:r w:rsidRPr="0097554A">
        <w:rPr>
          <w:color w:val="0000FF"/>
          <w:lang w:val="ru-RU"/>
        </w:rPr>
        <w:t>，</w:t>
      </w:r>
      <w:r w:rsidRPr="004C59BB">
        <w:rPr>
          <w:color w:val="0000FF"/>
        </w:rPr>
        <w:t>第</w:t>
      </w:r>
      <w:r w:rsidRPr="0097554A">
        <w:rPr>
          <w:color w:val="0000FF"/>
          <w:lang w:val="ru-RU"/>
        </w:rPr>
        <w:t>20</w:t>
      </w:r>
      <w:r w:rsidRPr="004C59BB">
        <w:rPr>
          <w:color w:val="0000FF"/>
        </w:rPr>
        <w:t>章</w:t>
      </w:r>
      <w:r w:rsidRPr="0097554A">
        <w:rPr>
          <w:color w:val="0000FF"/>
          <w:lang w:val="ru-RU"/>
        </w:rPr>
        <w:t>，</w:t>
      </w:r>
      <w:r w:rsidRPr="004C59BB">
        <w:rPr>
          <w:color w:val="0000FF"/>
        </w:rPr>
        <w:t>注</w:t>
      </w:r>
      <w:r w:rsidRPr="0097554A">
        <w:rPr>
          <w:color w:val="0000FF"/>
          <w:lang w:val="ru-RU"/>
        </w:rPr>
        <w:t>2）</w:t>
      </w:r>
      <w:r w:rsidRPr="004C59BB">
        <w:rPr>
          <w:color w:val="0000FF"/>
        </w:rPr>
        <w:t>。</w:t>
      </w:r>
    </w:p>
  </w:footnote>
  <w:footnote w:id="1306">
    <w:p w14:paraId="38E74A6A" w14:textId="0DEAFE88"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ru-RU"/>
        </w:rPr>
        <w:t xml:space="preserve"> </w:t>
      </w:r>
      <w:r w:rsidRPr="004C59BB">
        <w:rPr>
          <w:color w:val="0000FF"/>
          <w:lang w:val="el-GR"/>
        </w:rPr>
        <w:t>唯有那除掉世人罪孽者</w:t>
      </w:r>
      <w:r w:rsidRPr="0097554A">
        <w:rPr>
          <w:color w:val="0000FF"/>
          <w:lang w:val="ru-RU"/>
        </w:rPr>
        <w:t>，</w:t>
      </w:r>
      <w:r w:rsidRPr="004C59BB">
        <w:rPr>
          <w:color w:val="0000FF"/>
          <w:lang w:val="el-GR"/>
        </w:rPr>
        <w:t>才是无瑕无疵的大祭司。</w:t>
      </w:r>
      <w:r w:rsidRPr="004C59BB">
        <w:rPr>
          <w:color w:val="0000FF"/>
        </w:rPr>
        <w:t>见</w:t>
      </w:r>
      <w:r w:rsidRPr="004C59BB">
        <w:rPr>
          <w:color w:val="0000FF"/>
          <w:lang w:val="el-GR"/>
        </w:rPr>
        <w:t>《</w:t>
      </w:r>
      <w:r w:rsidRPr="004C59BB">
        <w:rPr>
          <w:color w:val="0000FF"/>
        </w:rPr>
        <w:t>玛拉基书</w:t>
      </w:r>
      <w:r w:rsidRPr="004C59BB">
        <w:rPr>
          <w:color w:val="0000FF"/>
          <w:lang w:val="el-GR"/>
        </w:rPr>
        <w:t>》</w:t>
      </w:r>
      <w:r w:rsidRPr="0097554A">
        <w:rPr>
          <w:color w:val="0000FF"/>
          <w:lang w:val="ru-RU"/>
        </w:rPr>
        <w:t>1:11</w:t>
      </w:r>
      <w:r w:rsidRPr="004C59BB">
        <w:rPr>
          <w:color w:val="0000FF"/>
          <w:lang w:val="el-GR"/>
        </w:rPr>
        <w:t>。</w:t>
      </w:r>
      <w:r w:rsidRPr="004C59BB">
        <w:rPr>
          <w:color w:val="0000FF"/>
        </w:rPr>
        <w:t>参见《诗篇</w:t>
      </w:r>
      <w:r w:rsidRPr="004C59BB">
        <w:rPr>
          <w:color w:val="0000FF"/>
          <w:lang w:val="el-GR"/>
        </w:rPr>
        <w:t>》</w:t>
      </w:r>
      <w:r w:rsidRPr="0097554A">
        <w:rPr>
          <w:color w:val="0000FF"/>
          <w:lang w:val="el-GR"/>
        </w:rPr>
        <w:t>109</w:t>
      </w:r>
      <w:r w:rsidRPr="004C59BB">
        <w:rPr>
          <w:color w:val="0000FF"/>
          <w:lang w:val="el-GR"/>
        </w:rPr>
        <w:t>:4。</w:t>
      </w:r>
    </w:p>
  </w:footnote>
  <w:footnote w:id="1307">
    <w:p w14:paraId="3A39406E" w14:textId="4AFE770F"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至于葡萄酒，它象征着无血牺牲的奥秘性祝福，这种方式正是我们在圣堂中惯常实践的。</w:t>
      </w:r>
      <w:r w:rsidRPr="004C59BB">
        <w:rPr>
          <w:color w:val="0000FF"/>
        </w:rPr>
        <w:t>见《以赛亚书》</w:t>
      </w:r>
      <w:r w:rsidRPr="0097554A">
        <w:rPr>
          <w:color w:val="0000FF"/>
          <w:lang w:val="el-GR"/>
        </w:rPr>
        <w:t>（</w:t>
      </w:r>
      <w:r w:rsidRPr="004C59BB">
        <w:rPr>
          <w:color w:val="0000FF"/>
        </w:rPr>
        <w:t>XXV</w:t>
      </w:r>
      <w:r w:rsidRPr="0097554A">
        <w:rPr>
          <w:color w:val="0000FF"/>
          <w:lang w:val="el-GR"/>
        </w:rPr>
        <w:t>, 6）</w:t>
      </w:r>
      <w:r w:rsidRPr="004C59BB">
        <w:rPr>
          <w:color w:val="0000FF"/>
        </w:rPr>
        <w:t>第三卷</w:t>
      </w:r>
      <w:r w:rsidRPr="0097554A">
        <w:rPr>
          <w:color w:val="0000FF"/>
          <w:lang w:val="el-GR"/>
        </w:rPr>
        <w:t>，</w:t>
      </w:r>
      <w:r w:rsidRPr="004C59BB">
        <w:rPr>
          <w:color w:val="0000FF"/>
        </w:rPr>
        <w:t>第一册。</w:t>
      </w:r>
    </w:p>
  </w:footnote>
  <w:footnote w:id="1308">
    <w:p w14:paraId="051BC6A2" w14:textId="24C48FD2"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克利门特</w:t>
      </w:r>
      <w:r w:rsidRPr="0097554A">
        <w:rPr>
          <w:color w:val="0000FF"/>
          <w:lang w:val="el-GR"/>
        </w:rPr>
        <w:t>·</w:t>
      </w:r>
      <w:r w:rsidRPr="004C59BB">
        <w:rPr>
          <w:color w:val="0000FF"/>
        </w:rPr>
        <w:t>亚历山大</w:t>
      </w:r>
      <w:r w:rsidRPr="0097554A">
        <w:rPr>
          <w:color w:val="0000FF"/>
          <w:lang w:val="el-GR"/>
        </w:rPr>
        <w:t>，</w:t>
      </w:r>
      <w:r w:rsidRPr="004C59BB">
        <w:rPr>
          <w:color w:val="0000FF"/>
        </w:rPr>
        <w:t>《</w:t>
      </w:r>
      <w:r w:rsidRPr="0097554A">
        <w:rPr>
          <w:color w:val="0000FF"/>
          <w:lang w:val="el-GR"/>
        </w:rPr>
        <w:t xml:space="preserve"> </w:t>
      </w:r>
      <w:r w:rsidRPr="004C59BB">
        <w:rPr>
          <w:color w:val="0000FF"/>
        </w:rPr>
        <w:t>Strom</w:t>
      </w:r>
      <w:r w:rsidRPr="0097554A">
        <w:rPr>
          <w:color w:val="0000FF"/>
          <w:lang w:val="el-GR"/>
        </w:rPr>
        <w:t>.</w:t>
      </w:r>
      <w:r w:rsidRPr="004C59BB">
        <w:rPr>
          <w:color w:val="0000FF"/>
        </w:rPr>
        <w:t>》第四卷</w:t>
      </w:r>
      <w:r w:rsidRPr="0097554A">
        <w:rPr>
          <w:color w:val="0000FF"/>
          <w:lang w:val="el-GR"/>
        </w:rPr>
        <w:t>，</w:t>
      </w:r>
      <w:r w:rsidRPr="004C59BB">
        <w:rPr>
          <w:color w:val="0000FF"/>
        </w:rPr>
        <w:t>第</w:t>
      </w:r>
      <w:r w:rsidRPr="0097554A">
        <w:rPr>
          <w:color w:val="0000FF"/>
          <w:lang w:val="el-GR"/>
        </w:rPr>
        <w:t>25</w:t>
      </w:r>
      <w:r w:rsidRPr="004C59BB">
        <w:rPr>
          <w:color w:val="0000FF"/>
        </w:rPr>
        <w:t>章</w:t>
      </w:r>
      <w:r w:rsidRPr="0097554A">
        <w:rPr>
          <w:color w:val="0000FF"/>
          <w:lang w:val="el-GR"/>
        </w:rPr>
        <w:t>；</w:t>
      </w:r>
      <w:r w:rsidRPr="004C59BB">
        <w:rPr>
          <w:color w:val="0000FF"/>
        </w:rPr>
        <w:t>奥利金</w:t>
      </w:r>
      <w:r w:rsidRPr="0097554A">
        <w:rPr>
          <w:color w:val="0000FF"/>
          <w:lang w:val="el-GR"/>
        </w:rPr>
        <w:t>，</w:t>
      </w:r>
      <w:r w:rsidRPr="004C59BB">
        <w:rPr>
          <w:color w:val="0000FF"/>
        </w:rPr>
        <w:t>《利未记讲道集》第十三篇</w:t>
      </w:r>
      <w:r w:rsidRPr="0097554A">
        <w:rPr>
          <w:color w:val="0000FF"/>
          <w:lang w:val="el-GR"/>
        </w:rPr>
        <w:t>，</w:t>
      </w:r>
      <w:r w:rsidRPr="004C59BB">
        <w:rPr>
          <w:color w:val="0000FF"/>
        </w:rPr>
        <w:t>第</w:t>
      </w:r>
      <w:r w:rsidRPr="0097554A">
        <w:rPr>
          <w:color w:val="0000FF"/>
          <w:lang w:val="el-GR"/>
        </w:rPr>
        <w:t>3</w:t>
      </w:r>
      <w:r w:rsidRPr="004C59BB">
        <w:rPr>
          <w:color w:val="0000FF"/>
        </w:rPr>
        <w:t>节</w:t>
      </w:r>
      <w:r w:rsidRPr="0097554A">
        <w:rPr>
          <w:color w:val="0000FF"/>
          <w:lang w:val="el-GR"/>
        </w:rPr>
        <w:t>；</w:t>
      </w:r>
      <w:r w:rsidRPr="004C59BB">
        <w:rPr>
          <w:color w:val="0000FF"/>
        </w:rPr>
        <w:t>科内利乌斯</w:t>
      </w:r>
      <w:r w:rsidRPr="0097554A">
        <w:rPr>
          <w:color w:val="0000FF"/>
          <w:lang w:val="el-GR"/>
        </w:rPr>
        <w:t>·</w:t>
      </w:r>
      <w:r w:rsidRPr="004C59BB">
        <w:rPr>
          <w:color w:val="0000FF"/>
        </w:rPr>
        <w:t>纳纳</w:t>
      </w:r>
      <w:r w:rsidRPr="0097554A">
        <w:rPr>
          <w:color w:val="0000FF"/>
          <w:lang w:val="el-GR"/>
        </w:rPr>
        <w:t>，</w:t>
      </w:r>
      <w:r w:rsidRPr="004C59BB">
        <w:rPr>
          <w:color w:val="0000FF"/>
        </w:rPr>
        <w:t>《致安提阿的法比乌斯书信》</w:t>
      </w:r>
      <w:r w:rsidRPr="0097554A">
        <w:rPr>
          <w:color w:val="0000FF"/>
          <w:lang w:val="el-GR"/>
        </w:rPr>
        <w:t>，</w:t>
      </w:r>
      <w:r w:rsidRPr="004C59BB">
        <w:rPr>
          <w:color w:val="0000FF"/>
          <w:lang w:val="ru-RU"/>
        </w:rPr>
        <w:t>第</w:t>
      </w:r>
      <w:r w:rsidRPr="0097554A">
        <w:rPr>
          <w:color w:val="0000FF"/>
          <w:lang w:val="el-GR"/>
        </w:rPr>
        <w:t>7</w:t>
      </w:r>
      <w:r w:rsidRPr="004C59BB">
        <w:rPr>
          <w:color w:val="0000FF"/>
          <w:lang w:val="ru-RU"/>
        </w:rPr>
        <w:t>节</w:t>
      </w:r>
      <w:r w:rsidRPr="0097554A">
        <w:rPr>
          <w:color w:val="0000FF"/>
          <w:lang w:val="el-GR"/>
        </w:rPr>
        <w:t>；</w:t>
      </w:r>
      <w:r w:rsidRPr="004C59BB">
        <w:rPr>
          <w:color w:val="0000FF"/>
          <w:lang w:val="ru-RU"/>
        </w:rPr>
        <w:t>大阿法纳西乌斯</w:t>
      </w:r>
      <w:r w:rsidRPr="0097554A">
        <w:rPr>
          <w:color w:val="0000FF"/>
          <w:lang w:val="el-GR"/>
        </w:rPr>
        <w:t>，</w:t>
      </w:r>
      <w:r w:rsidRPr="004C59BB">
        <w:rPr>
          <w:color w:val="0000FF"/>
          <w:lang w:val="ru-RU"/>
        </w:rPr>
        <w:t>《</w:t>
      </w:r>
      <w:r w:rsidRPr="004C59BB">
        <w:rPr>
          <w:color w:val="0000FF"/>
        </w:rPr>
        <w:t>反阿里乌派</w:t>
      </w:r>
      <w:r w:rsidRPr="004C59BB">
        <w:rPr>
          <w:color w:val="0000FF"/>
          <w:lang w:val="ru-RU"/>
        </w:rPr>
        <w:t>辩护书》</w:t>
      </w:r>
      <w:r w:rsidRPr="0097554A">
        <w:rPr>
          <w:color w:val="0000FF"/>
          <w:lang w:val="el-GR"/>
        </w:rPr>
        <w:t>，</w:t>
      </w:r>
      <w:r w:rsidRPr="004C59BB">
        <w:rPr>
          <w:color w:val="0000FF"/>
          <w:lang w:val="ru-RU"/>
        </w:rPr>
        <w:t>第</w:t>
      </w:r>
      <w:r w:rsidRPr="0097554A">
        <w:rPr>
          <w:color w:val="0000FF"/>
          <w:lang w:val="el-GR"/>
        </w:rPr>
        <w:t>11</w:t>
      </w:r>
      <w:r w:rsidRPr="004C59BB">
        <w:rPr>
          <w:color w:val="0000FF"/>
          <w:lang w:val="ru-RU"/>
        </w:rPr>
        <w:t>节。</w:t>
      </w:r>
    </w:p>
  </w:footnote>
  <w:footnote w:id="1309">
    <w:p w14:paraId="586CFAAC" w14:textId="5FD26784"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在《基路伯颂》期间</w:t>
      </w:r>
      <w:r w:rsidRPr="0097554A">
        <w:rPr>
          <w:color w:val="0000FF"/>
          <w:lang w:val="el-GR"/>
        </w:rPr>
        <w:t>，</w:t>
      </w:r>
      <w:r w:rsidRPr="004C59BB">
        <w:rPr>
          <w:color w:val="0000FF"/>
          <w:lang w:val="ru-RU"/>
        </w:rPr>
        <w:t>司祭所诵念的祷词。</w:t>
      </w:r>
      <w:r w:rsidRPr="0097554A">
        <w:rPr>
          <w:color w:val="0000FF"/>
          <w:lang w:val="el-GR"/>
        </w:rPr>
        <w:t xml:space="preserve"> </w:t>
      </w:r>
      <w:r w:rsidRPr="004C59BB">
        <w:rPr>
          <w:color w:val="0000FF"/>
        </w:rPr>
        <w:t>另见安布罗斯</w:t>
      </w:r>
      <w:r w:rsidRPr="0097554A">
        <w:rPr>
          <w:color w:val="0000FF"/>
          <w:lang w:val="el-GR"/>
        </w:rPr>
        <w:t>，</w:t>
      </w:r>
      <w:r w:rsidRPr="004C59BB">
        <w:rPr>
          <w:color w:val="0000FF"/>
        </w:rPr>
        <w:t>《论祝福宗主教》第九章</w:t>
      </w:r>
      <w:r w:rsidRPr="0097554A">
        <w:rPr>
          <w:color w:val="0000FF"/>
          <w:lang w:val="el-GR"/>
        </w:rPr>
        <w:t>；</w:t>
      </w:r>
      <w:r w:rsidRPr="004C59BB">
        <w:rPr>
          <w:color w:val="0000FF"/>
        </w:rPr>
        <w:t>《诗篇注释》第二十八篇</w:t>
      </w:r>
      <w:r w:rsidRPr="0097554A">
        <w:rPr>
          <w:color w:val="0000FF"/>
          <w:lang w:val="el-GR"/>
        </w:rPr>
        <w:t>，</w:t>
      </w:r>
      <w:r w:rsidRPr="004C59BB">
        <w:rPr>
          <w:color w:val="0000FF"/>
        </w:rPr>
        <w:t>第</w:t>
      </w:r>
      <w:r w:rsidRPr="0097554A">
        <w:rPr>
          <w:color w:val="0000FF"/>
          <w:lang w:val="el-GR"/>
        </w:rPr>
        <w:t>25</w:t>
      </w:r>
      <w:r w:rsidRPr="004C59BB">
        <w:rPr>
          <w:color w:val="0000FF"/>
        </w:rPr>
        <w:t>节</w:t>
      </w:r>
      <w:r w:rsidRPr="0097554A">
        <w:rPr>
          <w:color w:val="0000FF"/>
          <w:lang w:val="el-GR"/>
        </w:rPr>
        <w:t>；</w:t>
      </w:r>
      <w:r w:rsidRPr="004C59BB">
        <w:rPr>
          <w:color w:val="0000FF"/>
        </w:rPr>
        <w:t>奥古斯丁</w:t>
      </w:r>
      <w:r w:rsidRPr="0097554A">
        <w:rPr>
          <w:color w:val="0000FF"/>
          <w:lang w:val="el-GR"/>
        </w:rPr>
        <w:t>，</w:t>
      </w:r>
      <w:r w:rsidRPr="004C59BB">
        <w:rPr>
          <w:color w:val="0000FF"/>
        </w:rPr>
        <w:t>《上帝之城》第十卷</w:t>
      </w:r>
      <w:r w:rsidRPr="0097554A">
        <w:rPr>
          <w:color w:val="0000FF"/>
          <w:lang w:val="el-GR"/>
        </w:rPr>
        <w:t>，</w:t>
      </w:r>
      <w:r w:rsidRPr="004C59BB">
        <w:rPr>
          <w:color w:val="0000FF"/>
        </w:rPr>
        <w:t>第</w:t>
      </w:r>
      <w:r w:rsidRPr="0097554A">
        <w:rPr>
          <w:color w:val="0000FF"/>
          <w:lang w:val="el-GR"/>
        </w:rPr>
        <w:t>20</w:t>
      </w:r>
      <w:r w:rsidRPr="004C59BB">
        <w:rPr>
          <w:color w:val="0000FF"/>
        </w:rPr>
        <w:t>章</w:t>
      </w:r>
      <w:r w:rsidRPr="0097554A">
        <w:rPr>
          <w:color w:val="0000FF"/>
          <w:lang w:val="el-GR"/>
        </w:rPr>
        <w:t>：“</w:t>
      </w:r>
      <w:r w:rsidRPr="004C59BB">
        <w:rPr>
          <w:color w:val="0000FF"/>
        </w:rPr>
        <w:t>祭司既是献祭者</w:t>
      </w:r>
      <w:r w:rsidRPr="0097554A">
        <w:rPr>
          <w:color w:val="0000FF"/>
          <w:lang w:val="el-GR"/>
        </w:rPr>
        <w:t>，</w:t>
      </w:r>
      <w:r w:rsidRPr="004C59BB">
        <w:rPr>
          <w:color w:val="0000FF"/>
        </w:rPr>
        <w:t>也是祭品本身</w:t>
      </w:r>
      <w:r w:rsidRPr="0097554A">
        <w:rPr>
          <w:color w:val="0000FF"/>
          <w:lang w:val="el-GR"/>
        </w:rPr>
        <w:t>，</w:t>
      </w:r>
      <w:r w:rsidRPr="004C59BB">
        <w:rPr>
          <w:color w:val="0000FF"/>
        </w:rPr>
        <w:t>上帝愿教会的每日祭祀成为此事的圣礼</w:t>
      </w:r>
      <w:r w:rsidRPr="0097554A">
        <w:rPr>
          <w:color w:val="0000FF"/>
          <w:lang w:val="el-GR"/>
        </w:rPr>
        <w:t>……”</w:t>
      </w:r>
    </w:p>
  </w:footnote>
  <w:footnote w:id="1310">
    <w:p w14:paraId="2CC327BC" w14:textId="1F7B9C76" w:rsidR="00254F25" w:rsidRPr="004C59BB" w:rsidRDefault="00000000">
      <w:pPr>
        <w:pStyle w:val="FootnoteText"/>
        <w:rPr>
          <w:color w:val="0000FF"/>
        </w:rPr>
      </w:pPr>
      <w:r w:rsidRPr="004C59BB">
        <w:rPr>
          <w:rStyle w:val="FootnoteReference"/>
          <w:color w:val="0000FF"/>
        </w:rPr>
        <w:footnoteRef/>
      </w:r>
      <w:r w:rsidRPr="0097554A">
        <w:rPr>
          <w:color w:val="0000FF"/>
          <w:lang w:val="el-GR"/>
        </w:rPr>
        <w:t xml:space="preserve"> “</w:t>
      </w:r>
      <w:r w:rsidRPr="004C59BB">
        <w:rPr>
          <w:color w:val="0000FF"/>
          <w:lang w:val="ru-RU"/>
        </w:rPr>
        <w:t>使那些属于圣职人员的人</w:t>
      </w:r>
      <w:r w:rsidRPr="0097554A">
        <w:rPr>
          <w:color w:val="0000FF"/>
          <w:lang w:val="el-GR"/>
        </w:rPr>
        <w:t>……</w:t>
      </w:r>
      <w:r w:rsidRPr="004C59BB">
        <w:rPr>
          <w:color w:val="0000FF"/>
          <w:lang w:val="ru-RU"/>
        </w:rPr>
        <w:t>被视为</w:t>
      </w:r>
      <w:r w:rsidRPr="0097554A">
        <w:rPr>
          <w:color w:val="0000FF"/>
          <w:lang w:val="el-GR"/>
        </w:rPr>
        <w:t>……</w:t>
      </w:r>
      <w:r w:rsidRPr="004C59BB">
        <w:rPr>
          <w:color w:val="0000FF"/>
          <w:lang w:val="ru-RU"/>
        </w:rPr>
        <w:t>配得上向那位既是祭物又是大祭司的伟大上帝献上精神上的祭品</w:t>
      </w:r>
      <w:r w:rsidRPr="0097554A">
        <w:rPr>
          <w:color w:val="0000FF"/>
          <w:lang w:val="el-GR"/>
        </w:rPr>
        <w:t>……（</w:t>
      </w:r>
      <w:r w:rsidRPr="004C59BB">
        <w:rPr>
          <w:color w:val="0000FF"/>
        </w:rPr>
        <w:t>特鲁尔大公会议</w:t>
      </w:r>
      <w:r w:rsidRPr="0097554A">
        <w:rPr>
          <w:color w:val="0000FF"/>
          <w:lang w:val="el-GR"/>
        </w:rPr>
        <w:t>，</w:t>
      </w:r>
      <w:r w:rsidRPr="004C59BB">
        <w:rPr>
          <w:color w:val="0000FF"/>
        </w:rPr>
        <w:t>第</w:t>
      </w:r>
      <w:r w:rsidRPr="0097554A">
        <w:rPr>
          <w:color w:val="0000FF"/>
          <w:lang w:val="el-GR"/>
        </w:rPr>
        <w:t>3</w:t>
      </w:r>
      <w:r w:rsidRPr="004C59BB">
        <w:rPr>
          <w:color w:val="0000FF"/>
        </w:rPr>
        <w:t>条</w:t>
      </w:r>
      <w:r w:rsidRPr="0097554A">
        <w:rPr>
          <w:color w:val="0000FF"/>
          <w:lang w:val="el-GR"/>
        </w:rPr>
        <w:t>）</w:t>
      </w:r>
      <w:r w:rsidRPr="004C59BB">
        <w:rPr>
          <w:color w:val="0000FF"/>
        </w:rPr>
        <w:t>。参见金口若望：《论犹大书》讲道集第1篇，第6节；《论提摩太后书》讲道集第11篇，第4节。</w:t>
      </w:r>
    </w:p>
  </w:footnote>
  <w:footnote w:id="1311">
    <w:p w14:paraId="1B0C5B64" w14:textId="45FE5F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《希伯来书讲道集》第XVII篇，第3节。参见注释1307。</w:t>
      </w:r>
    </w:p>
  </w:footnote>
  <w:footnote w:id="1312">
    <w:p w14:paraId="6C1BAA60" w14:textId="05AB499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尼萨的格里高利，《论基督复活的祷文》第1篇；狄奥多里特，《希伯来书讲道集》</w:t>
      </w:r>
      <w:r w:rsidRPr="004C59BB">
        <w:rPr>
          <w:color w:val="0000FF"/>
          <w:lang w:val="el-GR"/>
        </w:rPr>
        <w:t>第八章</w:t>
      </w:r>
      <w:r w:rsidRPr="0097554A">
        <w:rPr>
          <w:color w:val="0000FF"/>
        </w:rPr>
        <w:t>，</w:t>
      </w:r>
      <w:r w:rsidRPr="004C59BB">
        <w:rPr>
          <w:color w:val="0000FF"/>
          <w:lang w:val="el-GR"/>
        </w:rPr>
        <w:t>第</w:t>
      </w:r>
      <w:r w:rsidRPr="0097554A">
        <w:rPr>
          <w:color w:val="0000FF"/>
        </w:rPr>
        <w:t>5</w:t>
      </w:r>
      <w:r w:rsidRPr="004C59BB">
        <w:rPr>
          <w:color w:val="0000FF"/>
          <w:lang w:val="el-GR"/>
        </w:rPr>
        <w:t>节</w:t>
      </w:r>
      <w:r w:rsidRPr="0097554A">
        <w:rPr>
          <w:color w:val="0000FF"/>
        </w:rPr>
        <w:t>：</w:t>
      </w:r>
      <w:r w:rsidRPr="004C59BB">
        <w:rPr>
          <w:color w:val="0000FF"/>
          <w:lang w:val="el-GR"/>
        </w:rPr>
        <w:t>我们并非献上另一种祭品</w:t>
      </w:r>
      <w:r w:rsidRPr="0097554A">
        <w:rPr>
          <w:color w:val="0000FF"/>
        </w:rPr>
        <w:t>，</w:t>
      </w:r>
      <w:r w:rsidRPr="004C59BB">
        <w:rPr>
          <w:color w:val="0000FF"/>
          <w:lang w:val="el-GR"/>
        </w:rPr>
        <w:t>而是纪念那唯一的、带来救赎的祭品</w:t>
      </w:r>
      <w:r w:rsidRPr="0097554A">
        <w:rPr>
          <w:color w:val="0000FF"/>
        </w:rPr>
        <w:t xml:space="preserve">……； </w:t>
      </w:r>
      <w:r w:rsidRPr="004C59BB">
        <w:rPr>
          <w:color w:val="0000FF"/>
        </w:rPr>
        <w:t>奥古斯丁，《致博尼法斯书》第XVIII卷，注9：基督岂不是曾一次在自己身上献上为祭，然而在圣事中，他不仅在所有的复活节庆典中，而且在每一天都为众人献上为祭；那位被问及此事并回答说基督正在被献为祭的人，绝非在说谎。</w:t>
      </w:r>
    </w:p>
  </w:footnote>
  <w:footnote w:id="1313">
    <w:p w14:paraId="50C51A2A" w14:textId="2D676DC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1287–1291</w:t>
      </w:r>
      <w:r w:rsidRPr="004C59BB">
        <w:rPr>
          <w:color w:val="0000FF"/>
          <w:lang w:val="ru-RU"/>
        </w:rPr>
        <w:t>、</w:t>
      </w:r>
      <w:r w:rsidRPr="0097554A">
        <w:rPr>
          <w:color w:val="0000FF"/>
        </w:rPr>
        <w:t>1295</w:t>
      </w:r>
      <w:r w:rsidRPr="004C59BB">
        <w:rPr>
          <w:color w:val="0000FF"/>
          <w:lang w:val="ru-RU"/>
        </w:rPr>
        <w:t>。</w:t>
      </w:r>
    </w:p>
  </w:footnote>
  <w:footnote w:id="1314">
    <w:p w14:paraId="70FA712D" w14:textId="244B244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参见上述所指的礼仪书。</w:t>
      </w:r>
    </w:p>
  </w:footnote>
  <w:footnote w:id="1315">
    <w:p w14:paraId="6E113A13" w14:textId="287727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《希腊-拉丁教父文库》（Biblioth. PP. Gr. – Latin.）第II卷，第12页；《使徒宪章》（Const. Apost.）第八卷，第12章。</w:t>
      </w:r>
    </w:p>
  </w:footnote>
  <w:footnote w:id="1316">
    <w:p w14:paraId="6F4F8BF9" w14:textId="5D04C47C"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《辩护书》1，第85节，载于《基督教读本》1825年版，第XVII卷，第98页。另见《与特里丰的对话》第4节；金口若望《哥林多前书讲道集》第XXIV篇</w:t>
      </w:r>
      <w:r w:rsidRPr="004C59BB">
        <w:rPr>
          <w:color w:val="0000FF"/>
          <w:lang w:val="ru-RU"/>
        </w:rPr>
        <w:t>。</w:t>
      </w:r>
    </w:p>
  </w:footnote>
  <w:footnote w:id="1317">
    <w:p w14:paraId="407AC650" w14:textId="5D85397E"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在此</w:t>
      </w:r>
      <w:r w:rsidRPr="0097554A">
        <w:rPr>
          <w:color w:val="0000FF"/>
        </w:rPr>
        <w:t>，</w:t>
      </w:r>
      <w:r w:rsidRPr="004C59BB">
        <w:rPr>
          <w:color w:val="0000FF"/>
          <w:lang w:val="ru-RU"/>
        </w:rPr>
        <w:t>圣礼圣物祝圣后</w:t>
      </w:r>
      <w:r w:rsidRPr="0097554A">
        <w:rPr>
          <w:color w:val="0000FF"/>
        </w:rPr>
        <w:t>，</w:t>
      </w:r>
      <w:r w:rsidRPr="004C59BB">
        <w:rPr>
          <w:color w:val="0000FF"/>
          <w:lang w:val="ru-RU"/>
        </w:rPr>
        <w:t>司祭祈祷道</w:t>
      </w:r>
      <w:r w:rsidRPr="0097554A">
        <w:rPr>
          <w:color w:val="0000FF"/>
        </w:rPr>
        <w:t>： “</w:t>
      </w:r>
      <w:r w:rsidRPr="004C59BB">
        <w:rPr>
          <w:color w:val="0000FF"/>
          <w:lang w:val="ru-RU"/>
        </w:rPr>
        <w:t>主啊</w:t>
      </w:r>
      <w:r w:rsidRPr="0097554A">
        <w:rPr>
          <w:color w:val="0000FF"/>
        </w:rPr>
        <w:t>，</w:t>
      </w:r>
      <w:r w:rsidRPr="004C59BB">
        <w:rPr>
          <w:color w:val="0000FF"/>
          <w:lang w:val="ru-RU"/>
        </w:rPr>
        <w:t>我们向祢献上这庄严而无血的祭献</w:t>
      </w:r>
      <w:r w:rsidRPr="0097554A">
        <w:rPr>
          <w:color w:val="0000FF"/>
        </w:rPr>
        <w:t>，</w:t>
      </w:r>
      <w:r w:rsidRPr="004C59BB">
        <w:rPr>
          <w:color w:val="0000FF"/>
          <w:lang w:val="ru-RU"/>
        </w:rPr>
        <w:t>求祢不要按我们的过犯待我们</w:t>
      </w:r>
      <w:r w:rsidRPr="0097554A">
        <w:rPr>
          <w:color w:val="0000FF"/>
        </w:rPr>
        <w:t>，</w:t>
      </w:r>
      <w:r w:rsidRPr="004C59BB">
        <w:rPr>
          <w:color w:val="0000FF"/>
          <w:lang w:val="ru-RU"/>
        </w:rPr>
        <w:t>也不要按我们的罪孽报应我们</w:t>
      </w:r>
      <w:r w:rsidRPr="0097554A">
        <w:rPr>
          <w:color w:val="0000FF"/>
        </w:rPr>
        <w:t>；</w:t>
      </w:r>
      <w:r w:rsidRPr="004C59BB">
        <w:rPr>
          <w:color w:val="0000FF"/>
          <w:lang w:val="ru-RU"/>
        </w:rPr>
        <w:t>但愿祢凭祢的慈爱</w:t>
      </w:r>
      <w:r w:rsidRPr="0097554A">
        <w:rPr>
          <w:color w:val="0000FF"/>
        </w:rPr>
        <w:t>，</w:t>
      </w:r>
      <w:r w:rsidRPr="004C59BB">
        <w:rPr>
          <w:color w:val="0000FF"/>
          <w:lang w:val="ru-RU"/>
        </w:rPr>
        <w:t>以及祢对世人那伟大而不可言喻的爱</w:t>
      </w:r>
      <w:r w:rsidRPr="0097554A">
        <w:rPr>
          <w:color w:val="0000FF"/>
        </w:rPr>
        <w:t>，</w:t>
      </w:r>
      <w:r w:rsidRPr="004C59BB">
        <w:rPr>
          <w:color w:val="0000FF"/>
          <w:lang w:val="ru-RU"/>
        </w:rPr>
        <w:t>洁净我们这些投靠祢的仆人的过犯</w:t>
      </w:r>
      <w:r w:rsidRPr="0097554A">
        <w:rPr>
          <w:color w:val="0000FF"/>
        </w:rPr>
        <w:t>”（</w:t>
      </w:r>
      <w:r w:rsidRPr="004C59BB">
        <w:rPr>
          <w:color w:val="0000FF"/>
        </w:rPr>
        <w:t>雷诺多，《东方礼仪》， 第II卷，第51页）。</w:t>
      </w:r>
    </w:p>
  </w:footnote>
  <w:footnote w:id="1318">
    <w:p w14:paraId="105DE746" w14:textId="18D585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Hostia placationis, sacrificium placationis（阿塞曼《普世教会文学手稿集》第IV卷，序言第26页）。</w:t>
      </w:r>
    </w:p>
  </w:footnote>
  <w:footnote w:id="1319">
    <w:p w14:paraId="23D566BA" w14:textId="549DDD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《致妻子书》，11，8；《致斯卡普尔书》，第十一章。</w:t>
      </w:r>
    </w:p>
  </w:footnote>
  <w:footnote w:id="1320">
    <w:p w14:paraId="316E03B7" w14:textId="298B2E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我们每年都会为逝者及诞辰举行奉献仪式（《论军人冠冕》第三章；参见《论一夫一妻制》第九章）。</w:t>
      </w:r>
    </w:p>
  </w:footnote>
  <w:footnote w:id="1321">
    <w:p w14:paraId="171BA66E" w14:textId="4527044F"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不应为某位维克多（此人公然违反了教会法规）的安息，在你们那里举行奉献仪式，也不应在教堂中以他的名义进行任何祈祷（《书信集》第LXVI封</w:t>
      </w:r>
      <w:r w:rsidRPr="0097554A">
        <w:rPr>
          <w:color w:val="0000FF"/>
        </w:rPr>
        <w:t>）</w:t>
      </w:r>
      <w:r w:rsidRPr="004C59BB">
        <w:rPr>
          <w:color w:val="0000FF"/>
          <w:lang w:val="ru-RU"/>
        </w:rPr>
        <w:t>。</w:t>
      </w:r>
    </w:p>
  </w:footnote>
  <w:footnote w:id="1322">
    <w:p w14:paraId="0020119B" w14:textId="386CA9E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赎罪祭</w:t>
      </w:r>
      <w:r w:rsidRPr="0097554A">
        <w:rPr>
          <w:color w:val="0000FF"/>
        </w:rPr>
        <w:t>，</w:t>
      </w:r>
      <w:r w:rsidRPr="004C59BB">
        <w:rPr>
          <w:color w:val="0000FF"/>
          <w:lang w:val="ru-RU"/>
        </w:rPr>
        <w:t>《公开训诫》</w:t>
      </w:r>
      <w:r w:rsidRPr="004C59BB">
        <w:rPr>
          <w:color w:val="0000FF"/>
        </w:rPr>
        <w:t>第五</w:t>
      </w:r>
      <w:r w:rsidRPr="004C59BB">
        <w:rPr>
          <w:color w:val="0000FF"/>
          <w:lang w:val="ru-RU"/>
        </w:rPr>
        <w:t>卷</w:t>
      </w:r>
      <w:r w:rsidRPr="0097554A">
        <w:rPr>
          <w:color w:val="0000FF"/>
        </w:rPr>
        <w:t>，</w:t>
      </w:r>
      <w:r w:rsidRPr="004C59BB">
        <w:rPr>
          <w:color w:val="0000FF"/>
          <w:lang w:val="ru-RU"/>
        </w:rPr>
        <w:t>第</w:t>
      </w:r>
      <w:r w:rsidRPr="0097554A">
        <w:rPr>
          <w:color w:val="0000FF"/>
        </w:rPr>
        <w:t>8</w:t>
      </w:r>
      <w:r w:rsidRPr="004C59BB">
        <w:rPr>
          <w:color w:val="0000FF"/>
          <w:lang w:val="ru-RU"/>
        </w:rPr>
        <w:t>条</w:t>
      </w:r>
      <w:r w:rsidRPr="0097554A">
        <w:rPr>
          <w:color w:val="0000FF"/>
        </w:rPr>
        <w:t>，</w:t>
      </w:r>
      <w:r w:rsidRPr="004C59BB">
        <w:rPr>
          <w:color w:val="0000FF"/>
          <w:lang w:val="ru-RU"/>
        </w:rPr>
        <w:t>第</w:t>
      </w:r>
      <w:r w:rsidRPr="0097554A">
        <w:rPr>
          <w:color w:val="0000FF"/>
        </w:rPr>
        <w:t>462</w:t>
      </w:r>
      <w:r w:rsidRPr="004C59BB">
        <w:rPr>
          <w:color w:val="0000FF"/>
          <w:lang w:val="ru-RU"/>
        </w:rPr>
        <w:t>页。</w:t>
      </w:r>
    </w:p>
  </w:footnote>
  <w:footnote w:id="1323">
    <w:p w14:paraId="0063EC29" w14:textId="380E0D1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同上</w:t>
      </w:r>
      <w:r w:rsidRPr="0097554A">
        <w:rPr>
          <w:color w:val="0000FF"/>
        </w:rPr>
        <w:t>，</w:t>
      </w:r>
      <w:r w:rsidRPr="004C59BB">
        <w:rPr>
          <w:color w:val="0000FF"/>
          <w:lang w:val="ru-RU"/>
        </w:rPr>
        <w:t>第</w:t>
      </w:r>
      <w:r w:rsidRPr="0097554A">
        <w:rPr>
          <w:color w:val="0000FF"/>
        </w:rPr>
        <w:t>10</w:t>
      </w:r>
      <w:r w:rsidRPr="004C59BB">
        <w:rPr>
          <w:color w:val="0000FF"/>
          <w:lang w:val="ru-RU"/>
        </w:rPr>
        <w:t>条。</w:t>
      </w:r>
    </w:p>
  </w:footnote>
  <w:footnote w:id="1324">
    <w:p w14:paraId="7FCF1658" w14:textId="2DCD3DBA"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《哥林多前书讲道集》第XLI篇，第5节。在另一处，圣金口若望明确将无血祭祀中纪念亡者的习俗称为使徒的法定规定： “这些并非由使徒们随意制定的，而是在举行神圣圣礼时纪念已故者，这本身便带来极大的益处，带来丰厚的恩惠”（《腓立比书讲道集》第三篇</w:t>
      </w:r>
      <w:r w:rsidRPr="0097554A">
        <w:rPr>
          <w:color w:val="0000FF"/>
        </w:rPr>
        <w:t>，</w:t>
      </w:r>
      <w:r w:rsidRPr="004C59BB">
        <w:rPr>
          <w:color w:val="0000FF"/>
        </w:rPr>
        <w:t>第十一</w:t>
      </w:r>
      <w:r w:rsidRPr="004C59BB">
        <w:rPr>
          <w:color w:val="0000FF"/>
          <w:lang w:val="ru-RU"/>
        </w:rPr>
        <w:t>卷</w:t>
      </w:r>
      <w:r w:rsidRPr="0097554A">
        <w:rPr>
          <w:color w:val="0000FF"/>
        </w:rPr>
        <w:t>，</w:t>
      </w:r>
      <w:r w:rsidRPr="004C59BB">
        <w:rPr>
          <w:color w:val="0000FF"/>
          <w:lang w:val="ru-RU"/>
        </w:rPr>
        <w:t>第</w:t>
      </w:r>
      <w:r w:rsidRPr="0097554A">
        <w:rPr>
          <w:color w:val="0000FF"/>
        </w:rPr>
        <w:t>217</w:t>
      </w:r>
      <w:r w:rsidRPr="004C59BB">
        <w:rPr>
          <w:color w:val="0000FF"/>
          <w:lang w:val="ru-RU"/>
        </w:rPr>
        <w:t>页</w:t>
      </w:r>
      <w:r w:rsidRPr="0097554A">
        <w:rPr>
          <w:color w:val="0000FF"/>
        </w:rPr>
        <w:t>，</w:t>
      </w:r>
      <w:r w:rsidRPr="004C59BB">
        <w:rPr>
          <w:color w:val="0000FF"/>
        </w:rPr>
        <w:t>E</w:t>
      </w:r>
      <w:r w:rsidRPr="0097554A">
        <w:rPr>
          <w:color w:val="0000FF"/>
        </w:rPr>
        <w:t>）</w:t>
      </w:r>
      <w:r w:rsidRPr="004C59BB">
        <w:rPr>
          <w:color w:val="0000FF"/>
          <w:lang w:val="ru-RU"/>
        </w:rPr>
        <w:t>。</w:t>
      </w:r>
    </w:p>
  </w:footnote>
  <w:footnote w:id="1325">
    <w:p w14:paraId="416E1FA0" w14:textId="69B2438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参见圣约翰</w:t>
      </w:r>
      <w:r w:rsidRPr="0097554A">
        <w:rPr>
          <w:color w:val="0000FF"/>
        </w:rPr>
        <w:t>·</w:t>
      </w:r>
      <w:r w:rsidRPr="004C59BB">
        <w:rPr>
          <w:color w:val="0000FF"/>
          <w:lang w:val="ru-RU"/>
        </w:rPr>
        <w:t>金口和圣巴西尔大帝的礼仪文。</w:t>
      </w:r>
    </w:p>
  </w:footnote>
  <w:footnote w:id="1326">
    <w:p w14:paraId="50C21D43" w14:textId="0633E712" w:rsidR="00254F25" w:rsidRPr="0097554A"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《秘仪教义》</w:t>
      </w:r>
      <w:r w:rsidRPr="004C59BB">
        <w:rPr>
          <w:color w:val="0000FF"/>
        </w:rPr>
        <w:t>第五</w:t>
      </w:r>
      <w:r w:rsidRPr="004C59BB">
        <w:rPr>
          <w:color w:val="0000FF"/>
          <w:lang w:val="ru-RU"/>
        </w:rPr>
        <w:t>卷</w:t>
      </w:r>
      <w:r w:rsidRPr="0097554A">
        <w:rPr>
          <w:color w:val="0000FF"/>
        </w:rPr>
        <w:t>，</w:t>
      </w:r>
      <w:r w:rsidRPr="004C59BB">
        <w:rPr>
          <w:color w:val="0000FF"/>
          <w:lang w:val="ru-RU"/>
        </w:rPr>
        <w:t>第</w:t>
      </w:r>
      <w:r w:rsidRPr="0097554A">
        <w:rPr>
          <w:color w:val="0000FF"/>
        </w:rPr>
        <w:t>9</w:t>
      </w:r>
      <w:r w:rsidRPr="004C59BB">
        <w:rPr>
          <w:color w:val="0000FF"/>
          <w:lang w:val="ru-RU"/>
        </w:rPr>
        <w:t>节</w:t>
      </w:r>
      <w:r w:rsidRPr="0097554A">
        <w:rPr>
          <w:color w:val="0000FF"/>
        </w:rPr>
        <w:t>，</w:t>
      </w:r>
      <w:r w:rsidRPr="004C59BB">
        <w:rPr>
          <w:color w:val="0000FF"/>
          <w:lang w:val="ru-RU"/>
        </w:rPr>
        <w:t>第</w:t>
      </w:r>
      <w:r w:rsidRPr="0097554A">
        <w:rPr>
          <w:color w:val="0000FF"/>
        </w:rPr>
        <w:t>462</w:t>
      </w:r>
      <w:r w:rsidRPr="004C59BB">
        <w:rPr>
          <w:color w:val="0000FF"/>
          <w:lang w:val="ru-RU"/>
        </w:rPr>
        <w:t>页。</w:t>
      </w:r>
      <w:r w:rsidRPr="004C59BB">
        <w:rPr>
          <w:color w:val="0000FF"/>
        </w:rPr>
        <w:t>圣奥古斯丁也</w:t>
      </w:r>
      <w:r w:rsidRPr="004C59BB">
        <w:rPr>
          <w:color w:val="0000FF"/>
          <w:lang w:val="ru-RU"/>
        </w:rPr>
        <w:t>表达了同样的观点</w:t>
      </w:r>
      <w:r w:rsidRPr="0097554A">
        <w:rPr>
          <w:color w:val="0000FF"/>
          <w:lang w:val="ru-RU"/>
        </w:rPr>
        <w:t>：</w:t>
      </w:r>
      <w:r w:rsidRPr="004C59BB">
        <w:rPr>
          <w:color w:val="0000FF"/>
        </w:rPr>
        <w:t>ut</w:t>
      </w:r>
      <w:r w:rsidRPr="0097554A">
        <w:rPr>
          <w:color w:val="0000FF"/>
          <w:lang w:val="ru-RU"/>
        </w:rPr>
        <w:t xml:space="preserve"> </w:t>
      </w:r>
      <w:r w:rsidRPr="004C59BB">
        <w:rPr>
          <w:color w:val="0000FF"/>
        </w:rPr>
        <w:t>orent</w:t>
      </w:r>
      <w:r w:rsidRPr="0097554A">
        <w:rPr>
          <w:color w:val="0000FF"/>
          <w:lang w:val="ru-RU"/>
        </w:rPr>
        <w:t xml:space="preserve"> </w:t>
      </w:r>
      <w:r w:rsidRPr="004C59BB">
        <w:rPr>
          <w:color w:val="0000FF"/>
        </w:rPr>
        <w:t>ipsi</w:t>
      </w:r>
      <w:r w:rsidRPr="0097554A">
        <w:rPr>
          <w:color w:val="0000FF"/>
          <w:lang w:val="ru-RU"/>
        </w:rPr>
        <w:t xml:space="preserve"> </w:t>
      </w:r>
      <w:r w:rsidRPr="004C59BB">
        <w:rPr>
          <w:color w:val="0000FF"/>
        </w:rPr>
        <w:t>pro</w:t>
      </w:r>
      <w:r w:rsidRPr="0097554A">
        <w:rPr>
          <w:color w:val="0000FF"/>
          <w:lang w:val="ru-RU"/>
        </w:rPr>
        <w:t xml:space="preserve"> </w:t>
      </w:r>
      <w:r w:rsidRPr="004C59BB">
        <w:rPr>
          <w:color w:val="0000FF"/>
        </w:rPr>
        <w:t>nobis</w:t>
      </w:r>
      <w:r w:rsidRPr="0097554A">
        <w:rPr>
          <w:color w:val="0000FF"/>
          <w:lang w:val="ru-RU"/>
        </w:rPr>
        <w:t>…（</w:t>
      </w:r>
      <w:r w:rsidRPr="004C59BB">
        <w:rPr>
          <w:color w:val="0000FF"/>
        </w:rPr>
        <w:t>见《约翰福音讲道集》第八十四篇</w:t>
      </w:r>
      <w:r w:rsidRPr="0097554A">
        <w:rPr>
          <w:color w:val="0000FF"/>
          <w:lang w:val="ru-RU"/>
        </w:rPr>
        <w:t>，</w:t>
      </w:r>
      <w:r w:rsidRPr="004C59BB">
        <w:rPr>
          <w:color w:val="0000FF"/>
        </w:rPr>
        <w:t>第</w:t>
      </w:r>
      <w:r w:rsidRPr="0097554A">
        <w:rPr>
          <w:color w:val="0000FF"/>
          <w:lang w:val="ru-RU"/>
        </w:rPr>
        <w:t>1</w:t>
      </w:r>
      <w:r w:rsidRPr="004C59BB">
        <w:rPr>
          <w:color w:val="0000FF"/>
        </w:rPr>
        <w:t>节</w:t>
      </w:r>
      <w:r w:rsidRPr="0097554A">
        <w:rPr>
          <w:color w:val="0000FF"/>
          <w:lang w:val="ru-RU"/>
        </w:rPr>
        <w:t>）</w:t>
      </w:r>
      <w:r w:rsidRPr="004C59BB">
        <w:rPr>
          <w:color w:val="0000FF"/>
        </w:rPr>
        <w:t>。</w:t>
      </w:r>
    </w:p>
  </w:footnote>
  <w:footnote w:id="1327">
    <w:p w14:paraId="7E870C79" w14:textId="3957F01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《秘传教义》第五卷</w:t>
      </w:r>
      <w:r w:rsidRPr="0097554A">
        <w:rPr>
          <w:color w:val="0000FF"/>
          <w:lang w:val="ru-RU"/>
        </w:rPr>
        <w:t>，</w:t>
      </w:r>
      <w:r w:rsidRPr="004C59BB">
        <w:rPr>
          <w:color w:val="0000FF"/>
        </w:rPr>
        <w:t>第</w:t>
      </w:r>
      <w:r w:rsidRPr="0097554A">
        <w:rPr>
          <w:color w:val="0000FF"/>
          <w:lang w:val="ru-RU"/>
        </w:rPr>
        <w:t>8</w:t>
      </w:r>
      <w:r w:rsidRPr="004C59BB">
        <w:rPr>
          <w:color w:val="0000FF"/>
        </w:rPr>
        <w:t>节</w:t>
      </w:r>
      <w:r w:rsidRPr="0097554A">
        <w:rPr>
          <w:color w:val="0000FF"/>
          <w:lang w:val="ru-RU"/>
        </w:rPr>
        <w:t>，</w:t>
      </w:r>
      <w:r w:rsidRPr="004C59BB">
        <w:rPr>
          <w:color w:val="0000FF"/>
        </w:rPr>
        <w:t>第</w:t>
      </w:r>
      <w:r w:rsidRPr="0097554A">
        <w:rPr>
          <w:color w:val="0000FF"/>
          <w:lang w:val="ru-RU"/>
        </w:rPr>
        <w:t>642</w:t>
      </w:r>
      <w:r w:rsidRPr="004C59BB">
        <w:rPr>
          <w:color w:val="0000FF"/>
        </w:rPr>
        <w:t>页。</w:t>
      </w:r>
    </w:p>
  </w:footnote>
  <w:footnote w:id="1328">
    <w:p w14:paraId="7DDB95F6" w14:textId="4E7BB1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因为悔改可以被理解为美德，而且至今仍被如此理解。</w:t>
      </w:r>
    </w:p>
  </w:footnote>
  <w:footnote w:id="1329">
    <w:p w14:paraId="32E23E5A" w14:textId="218AF43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特土良</w:t>
      </w:r>
      <w:r w:rsidRPr="0097554A">
        <w:rPr>
          <w:color w:val="0000FF"/>
          <w:lang w:val="ru-RU"/>
        </w:rPr>
        <w:t>，</w:t>
      </w:r>
      <w:r w:rsidRPr="004C59BB">
        <w:rPr>
          <w:color w:val="0000FF"/>
        </w:rPr>
        <w:t>《论忏悔》第九、第十章</w:t>
      </w:r>
      <w:r w:rsidRPr="0097554A">
        <w:rPr>
          <w:color w:val="0000FF"/>
          <w:lang w:val="ru-RU"/>
        </w:rPr>
        <w:t>，</w:t>
      </w:r>
    </w:p>
  </w:footnote>
  <w:footnote w:id="1330">
    <w:p w14:paraId="2129D7F0" w14:textId="11072306"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《忏悔》</w:t>
      </w:r>
      <w:r w:rsidRPr="0097554A">
        <w:rPr>
          <w:color w:val="0000FF"/>
          <w:lang w:val="ru-RU"/>
        </w:rPr>
        <w:t>，</w:t>
      </w:r>
      <w:r w:rsidRPr="004C59BB">
        <w:rPr>
          <w:color w:val="0000FF"/>
        </w:rPr>
        <w:t>伊里内斯《反异端》</w:t>
      </w:r>
      <w:r w:rsidRPr="0097554A">
        <w:rPr>
          <w:color w:val="0000FF"/>
          <w:lang w:val="ru-RU"/>
        </w:rPr>
        <w:t>1，13，</w:t>
      </w:r>
      <w:r w:rsidRPr="004C59BB">
        <w:rPr>
          <w:color w:val="0000FF"/>
        </w:rPr>
        <w:t>注</w:t>
      </w:r>
      <w:r w:rsidRPr="0097554A">
        <w:rPr>
          <w:color w:val="0000FF"/>
          <w:lang w:val="ru-RU"/>
        </w:rPr>
        <w:t>5</w:t>
      </w:r>
      <w:r w:rsidRPr="004C59BB">
        <w:rPr>
          <w:color w:val="0000FF"/>
        </w:rPr>
        <w:t>、</w:t>
      </w:r>
      <w:r w:rsidRPr="0097554A">
        <w:rPr>
          <w:color w:val="0000FF"/>
          <w:lang w:val="ru-RU"/>
        </w:rPr>
        <w:t>7</w:t>
      </w:r>
      <w:r w:rsidRPr="004C59BB">
        <w:rPr>
          <w:color w:val="0000FF"/>
        </w:rPr>
        <w:t>。</w:t>
      </w:r>
    </w:p>
  </w:footnote>
  <w:footnote w:id="1331">
    <w:p w14:paraId="16645AC8" w14:textId="1B06EA3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奥古斯丁</w:t>
      </w:r>
      <w:r w:rsidRPr="0097554A">
        <w:rPr>
          <w:color w:val="0000FF"/>
          <w:lang w:val="ru-RU"/>
        </w:rPr>
        <w:t>，</w:t>
      </w:r>
      <w:r w:rsidRPr="004C59BB">
        <w:rPr>
          <w:color w:val="0000FF"/>
        </w:rPr>
        <w:t>《上帝之城》第</w:t>
      </w:r>
      <w:r w:rsidRPr="0097554A">
        <w:rPr>
          <w:color w:val="0000FF"/>
          <w:lang w:val="ru-RU"/>
        </w:rPr>
        <w:t>20</w:t>
      </w:r>
      <w:r w:rsidRPr="004C59BB">
        <w:rPr>
          <w:color w:val="0000FF"/>
        </w:rPr>
        <w:t>卷</w:t>
      </w:r>
      <w:r w:rsidRPr="0097554A">
        <w:rPr>
          <w:color w:val="0000FF"/>
          <w:lang w:val="ru-RU"/>
        </w:rPr>
        <w:t>，</w:t>
      </w:r>
      <w:r w:rsidRPr="004C59BB">
        <w:rPr>
          <w:color w:val="0000FF"/>
        </w:rPr>
        <w:t>第</w:t>
      </w:r>
      <w:r w:rsidRPr="0097554A">
        <w:rPr>
          <w:color w:val="0000FF"/>
          <w:lang w:val="ru-RU"/>
        </w:rPr>
        <w:t>9</w:t>
      </w:r>
      <w:r w:rsidRPr="004C59BB">
        <w:rPr>
          <w:color w:val="0000FF"/>
        </w:rPr>
        <w:t>章</w:t>
      </w:r>
      <w:r w:rsidRPr="0097554A">
        <w:rPr>
          <w:color w:val="0000FF"/>
          <w:lang w:val="ru-RU"/>
        </w:rPr>
        <w:t>，</w:t>
      </w:r>
      <w:r w:rsidRPr="004C59BB">
        <w:rPr>
          <w:color w:val="0000FF"/>
        </w:rPr>
        <w:t>第</w:t>
      </w:r>
      <w:r w:rsidRPr="0097554A">
        <w:rPr>
          <w:color w:val="0000FF"/>
          <w:lang w:val="ru-RU"/>
        </w:rPr>
        <w:t>2</w:t>
      </w:r>
      <w:r w:rsidRPr="004C59BB">
        <w:rPr>
          <w:color w:val="0000FF"/>
        </w:rPr>
        <w:t>节。</w:t>
      </w:r>
    </w:p>
  </w:footnote>
  <w:footnote w:id="1332">
    <w:p w14:paraId="67FE061C" w14:textId="3F213FE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迦太基大公会议</w:t>
      </w:r>
      <w:r w:rsidRPr="0097554A">
        <w:rPr>
          <w:color w:val="0000FF"/>
          <w:lang w:val="ru-RU"/>
        </w:rPr>
        <w:t>，</w:t>
      </w:r>
      <w:r w:rsidRPr="004C59BB">
        <w:rPr>
          <w:color w:val="0000FF"/>
        </w:rPr>
        <w:t>第五次</w:t>
      </w:r>
      <w:r w:rsidRPr="0097554A">
        <w:rPr>
          <w:color w:val="0000FF"/>
          <w:lang w:val="ru-RU"/>
        </w:rPr>
        <w:t>，</w:t>
      </w:r>
      <w:r w:rsidRPr="004C59BB">
        <w:rPr>
          <w:color w:val="0000FF"/>
        </w:rPr>
        <w:t>第十一章。</w:t>
      </w:r>
    </w:p>
  </w:footnote>
  <w:footnote w:id="1333">
    <w:p w14:paraId="060D68D0" w14:textId="29AD7E6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特土良</w:t>
      </w:r>
      <w:r w:rsidRPr="0097554A">
        <w:rPr>
          <w:color w:val="0000FF"/>
          <w:lang w:val="ru-RU"/>
        </w:rPr>
        <w:t>，</w:t>
      </w:r>
      <w:r w:rsidRPr="004C59BB">
        <w:rPr>
          <w:color w:val="0000FF"/>
        </w:rPr>
        <w:t>《论忏悔》第IV章</w:t>
      </w:r>
      <w:r w:rsidRPr="0097554A">
        <w:rPr>
          <w:color w:val="0000FF"/>
          <w:lang w:val="ru-RU"/>
        </w:rPr>
        <w:t>；</w:t>
      </w:r>
      <w:r w:rsidRPr="004C59BB">
        <w:rPr>
          <w:color w:val="0000FF"/>
        </w:rPr>
        <w:t>杰罗姆</w:t>
      </w:r>
      <w:r w:rsidRPr="0097554A">
        <w:rPr>
          <w:color w:val="0000FF"/>
          <w:lang w:val="ru-RU"/>
        </w:rPr>
        <w:t>，</w:t>
      </w:r>
      <w:r w:rsidRPr="004C59BB">
        <w:rPr>
          <w:color w:val="0000FF"/>
        </w:rPr>
        <w:t>《致帕马赫与奥克安书</w:t>
      </w:r>
      <w:r w:rsidRPr="0097554A">
        <w:rPr>
          <w:color w:val="0000FF"/>
          <w:lang w:val="ru-RU"/>
        </w:rPr>
        <w:t>：</w:t>
      </w:r>
      <w:r w:rsidRPr="004C59BB">
        <w:rPr>
          <w:color w:val="0000FF"/>
        </w:rPr>
        <w:t>论奥利金的谬误》</w:t>
      </w:r>
      <w:r w:rsidRPr="0097554A">
        <w:rPr>
          <w:color w:val="0000FF"/>
          <w:lang w:val="ru-RU"/>
        </w:rPr>
        <w:t>；</w:t>
      </w:r>
      <w:r w:rsidRPr="004C59BB">
        <w:rPr>
          <w:color w:val="0000FF"/>
        </w:rPr>
        <w:t>《致德米特里亚德书第XVII章</w:t>
      </w:r>
      <w:r w:rsidRPr="0097554A">
        <w:rPr>
          <w:color w:val="0000FF"/>
          <w:lang w:val="ru-RU"/>
        </w:rPr>
        <w:t>：</w:t>
      </w:r>
      <w:r w:rsidRPr="004C59BB">
        <w:rPr>
          <w:color w:val="0000FF"/>
        </w:rPr>
        <w:t>论贞洁的保持》。</w:t>
      </w:r>
    </w:p>
  </w:footnote>
  <w:footnote w:id="1334">
    <w:p w14:paraId="5E8901E9" w14:textId="56AB59E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《使徒宪章》第II卷</w:t>
      </w:r>
      <w:r w:rsidRPr="0097554A">
        <w:rPr>
          <w:color w:val="0000FF"/>
          <w:lang w:val="ru-RU"/>
        </w:rPr>
        <w:t>，</w:t>
      </w:r>
      <w:r w:rsidRPr="004C59BB">
        <w:rPr>
          <w:color w:val="0000FF"/>
        </w:rPr>
        <w:t>第</w:t>
      </w:r>
      <w:r w:rsidRPr="0097554A">
        <w:rPr>
          <w:color w:val="0000FF"/>
          <w:lang w:val="ru-RU"/>
        </w:rPr>
        <w:t>11</w:t>
      </w:r>
      <w:r w:rsidRPr="004C59BB">
        <w:rPr>
          <w:color w:val="0000FF"/>
        </w:rPr>
        <w:t>、</w:t>
      </w:r>
      <w:r w:rsidRPr="0097554A">
        <w:rPr>
          <w:color w:val="0000FF"/>
          <w:lang w:val="ru-RU"/>
        </w:rPr>
        <w:t>12</w:t>
      </w:r>
      <w:r w:rsidRPr="004C59BB">
        <w:rPr>
          <w:color w:val="0000FF"/>
        </w:rPr>
        <w:t>章。</w:t>
      </w:r>
    </w:p>
  </w:footnote>
  <w:footnote w:id="1335">
    <w:p w14:paraId="1A12EE64" w14:textId="440AE56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同上</w:t>
      </w:r>
      <w:r w:rsidRPr="0097554A">
        <w:rPr>
          <w:color w:val="0000FF"/>
          <w:lang w:val="ru-RU"/>
        </w:rPr>
        <w:t>，</w:t>
      </w:r>
      <w:r w:rsidRPr="004C59BB">
        <w:rPr>
          <w:color w:val="0000FF"/>
        </w:rPr>
        <w:t>第</w:t>
      </w:r>
      <w:r w:rsidRPr="0097554A">
        <w:rPr>
          <w:color w:val="0000FF"/>
          <w:lang w:val="ru-RU"/>
        </w:rPr>
        <w:t>15</w:t>
      </w:r>
      <w:r w:rsidRPr="004C59BB">
        <w:rPr>
          <w:color w:val="0000FF"/>
        </w:rPr>
        <w:t>、</w:t>
      </w:r>
      <w:r w:rsidRPr="0097554A">
        <w:rPr>
          <w:color w:val="0000FF"/>
          <w:lang w:val="ru-RU"/>
        </w:rPr>
        <w:t>16</w:t>
      </w:r>
      <w:r w:rsidRPr="004C59BB">
        <w:rPr>
          <w:color w:val="0000FF"/>
        </w:rPr>
        <w:t>章。</w:t>
      </w:r>
    </w:p>
  </w:footnote>
  <w:footnote w:id="1336">
    <w:p w14:paraId="393EF019" w14:textId="322000D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同上</w:t>
      </w:r>
      <w:r w:rsidRPr="0097554A">
        <w:rPr>
          <w:color w:val="0000FF"/>
          <w:lang w:val="ru-RU"/>
        </w:rPr>
        <w:t>，</w:t>
      </w:r>
      <w:r w:rsidRPr="004C59BB">
        <w:rPr>
          <w:color w:val="0000FF"/>
        </w:rPr>
        <w:t>第</w:t>
      </w:r>
      <w:r w:rsidRPr="0097554A">
        <w:rPr>
          <w:color w:val="0000FF"/>
          <w:lang w:val="ru-RU"/>
        </w:rPr>
        <w:t>38</w:t>
      </w:r>
      <w:r w:rsidRPr="004C59BB">
        <w:rPr>
          <w:color w:val="0000FF"/>
        </w:rPr>
        <w:t>、</w:t>
      </w:r>
      <w:r w:rsidRPr="0097554A">
        <w:rPr>
          <w:color w:val="0000FF"/>
          <w:lang w:val="ru-RU"/>
        </w:rPr>
        <w:t>40</w:t>
      </w:r>
      <w:r w:rsidRPr="004C59BB">
        <w:rPr>
          <w:color w:val="0000FF"/>
          <w:lang w:val="el-GR"/>
        </w:rPr>
        <w:t>、</w:t>
      </w:r>
      <w:r w:rsidRPr="0097554A">
        <w:rPr>
          <w:color w:val="0000FF"/>
          <w:lang w:val="ru-RU"/>
        </w:rPr>
        <w:t>41–43</w:t>
      </w:r>
      <w:r w:rsidRPr="004C59BB">
        <w:rPr>
          <w:color w:val="0000FF"/>
          <w:lang w:val="el-GR"/>
        </w:rPr>
        <w:t>、</w:t>
      </w:r>
      <w:r w:rsidRPr="0097554A">
        <w:rPr>
          <w:color w:val="0000FF"/>
          <w:lang w:val="ru-RU"/>
        </w:rPr>
        <w:t>18</w:t>
      </w:r>
      <w:r w:rsidRPr="004C59BB">
        <w:rPr>
          <w:color w:val="0000FF"/>
          <w:lang w:val="el-GR"/>
        </w:rPr>
        <w:t>章。</w:t>
      </w:r>
    </w:p>
  </w:footnote>
  <w:footnote w:id="1337">
    <w:p w14:paraId="7CF55194" w14:textId="574382E0"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Ουτοϊ γάρ παρά Θεώ ζωής και θανάτου εξουσίαν είληφασιν…</w:t>
      </w:r>
      <w:r w:rsidRPr="0097554A">
        <w:rPr>
          <w:color w:val="0000FF"/>
          <w:lang w:val="el-GR"/>
        </w:rPr>
        <w:t xml:space="preserve"> </w:t>
      </w:r>
      <w:r w:rsidRPr="004C59BB">
        <w:rPr>
          <w:color w:val="0000FF"/>
        </w:rPr>
        <w:t>同上</w:t>
      </w:r>
      <w:r w:rsidRPr="0097554A">
        <w:rPr>
          <w:color w:val="0000FF"/>
          <w:lang w:val="el-GR"/>
        </w:rPr>
        <w:t>，</w:t>
      </w:r>
      <w:r w:rsidRPr="004C59BB">
        <w:rPr>
          <w:color w:val="0000FF"/>
        </w:rPr>
        <w:t>第</w:t>
      </w:r>
      <w:r w:rsidRPr="0097554A">
        <w:rPr>
          <w:color w:val="0000FF"/>
          <w:lang w:val="el-GR"/>
        </w:rPr>
        <w:t>33</w:t>
      </w:r>
      <w:r w:rsidRPr="004C59BB">
        <w:rPr>
          <w:color w:val="0000FF"/>
        </w:rPr>
        <w:t>章。</w:t>
      </w:r>
    </w:p>
  </w:footnote>
  <w:footnote w:id="1338">
    <w:p w14:paraId="53E0E3ED" w14:textId="1D6B5F4B"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《论堕落》第</w:t>
      </w:r>
      <w:r w:rsidRPr="0097554A">
        <w:rPr>
          <w:color w:val="0000FF"/>
          <w:lang w:val="el-GR"/>
        </w:rPr>
        <w:t>28</w:t>
      </w:r>
      <w:r w:rsidRPr="004C59BB">
        <w:rPr>
          <w:color w:val="0000FF"/>
        </w:rPr>
        <w:t>、</w:t>
      </w:r>
      <w:r w:rsidRPr="0097554A">
        <w:rPr>
          <w:color w:val="0000FF"/>
          <w:lang w:val="el-GR"/>
        </w:rPr>
        <w:t>29</w:t>
      </w:r>
      <w:r w:rsidRPr="004C59BB">
        <w:rPr>
          <w:color w:val="0000FF"/>
        </w:rPr>
        <w:t>章</w:t>
      </w:r>
      <w:r w:rsidRPr="0097554A">
        <w:rPr>
          <w:color w:val="0000FF"/>
          <w:lang w:val="el-GR"/>
        </w:rPr>
        <w:t>，</w:t>
      </w:r>
      <w:r w:rsidRPr="004C59BB">
        <w:rPr>
          <w:color w:val="0000FF"/>
        </w:rPr>
        <w:t>载于《教父全集》第IV卷</w:t>
      </w:r>
      <w:r w:rsidRPr="0097554A">
        <w:rPr>
          <w:color w:val="0000FF"/>
          <w:lang w:val="el-GR"/>
        </w:rPr>
        <w:t>，</w:t>
      </w:r>
      <w:r w:rsidRPr="004C59BB">
        <w:rPr>
          <w:color w:val="0000FF"/>
        </w:rPr>
        <w:t>第</w:t>
      </w:r>
      <w:r w:rsidRPr="0097554A">
        <w:rPr>
          <w:color w:val="0000FF"/>
          <w:lang w:val="el-GR"/>
        </w:rPr>
        <w:t>488</w:t>
      </w:r>
      <w:r w:rsidRPr="004C59BB">
        <w:rPr>
          <w:color w:val="0000FF"/>
        </w:rPr>
        <w:t>、</w:t>
      </w:r>
      <w:r w:rsidRPr="004C59BB">
        <w:rPr>
          <w:color w:val="0000FF"/>
          <w:lang w:val="el-GR"/>
        </w:rPr>
        <w:t>489</w:t>
      </w:r>
      <w:r w:rsidRPr="004C59BB">
        <w:rPr>
          <w:color w:val="0000FF"/>
        </w:rPr>
        <w:t>页</w:t>
      </w:r>
      <w:r w:rsidRPr="004C59BB">
        <w:rPr>
          <w:color w:val="0000FF"/>
          <w:lang w:val="el-GR"/>
        </w:rPr>
        <w:t>。</w:t>
      </w:r>
    </w:p>
  </w:footnote>
  <w:footnote w:id="1339">
    <w:p w14:paraId="240F502A" w14:textId="181ADDBD"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……通过司祭，人得以因基督的恩典而获得赦免。</w:t>
      </w:r>
      <w:r w:rsidRPr="004C59BB">
        <w:rPr>
          <w:color w:val="0000FF"/>
        </w:rPr>
        <w:t>《反诺瓦特》</w:t>
      </w:r>
      <w:r w:rsidRPr="0097554A">
        <w:rPr>
          <w:color w:val="0000FF"/>
          <w:lang w:val="el-GR"/>
        </w:rPr>
        <w:t>，</w:t>
      </w:r>
      <w:r w:rsidRPr="004C59BB">
        <w:rPr>
          <w:color w:val="0000FF"/>
        </w:rPr>
        <w:t>残篇</w:t>
      </w:r>
      <w:r w:rsidRPr="0097554A">
        <w:rPr>
          <w:color w:val="0000FF"/>
          <w:lang w:val="el-GR"/>
        </w:rPr>
        <w:t>（</w:t>
      </w:r>
      <w:r w:rsidRPr="004C59BB">
        <w:rPr>
          <w:color w:val="0000FF"/>
        </w:rPr>
        <w:t>见加兰德</w:t>
      </w:r>
      <w:r w:rsidRPr="0097554A">
        <w:rPr>
          <w:color w:val="0000FF"/>
          <w:lang w:val="el-GR"/>
        </w:rPr>
        <w:t>，</w:t>
      </w:r>
      <w:r w:rsidRPr="004C59BB">
        <w:rPr>
          <w:color w:val="0000FF"/>
        </w:rPr>
        <w:t>第V卷</w:t>
      </w:r>
      <w:r w:rsidRPr="0097554A">
        <w:rPr>
          <w:color w:val="0000FF"/>
          <w:lang w:val="el-GR"/>
        </w:rPr>
        <w:t>，</w:t>
      </w:r>
      <w:r w:rsidRPr="004C59BB">
        <w:rPr>
          <w:color w:val="0000FF"/>
          <w:lang w:val="ru-RU"/>
        </w:rPr>
        <w:t>第</w:t>
      </w:r>
      <w:r w:rsidRPr="0097554A">
        <w:rPr>
          <w:color w:val="0000FF"/>
          <w:lang w:val="el-GR"/>
        </w:rPr>
        <w:t>213</w:t>
      </w:r>
      <w:r w:rsidRPr="004C59BB">
        <w:rPr>
          <w:color w:val="0000FF"/>
          <w:lang w:val="ru-RU"/>
        </w:rPr>
        <w:t>页</w:t>
      </w:r>
      <w:r w:rsidRPr="0097554A">
        <w:rPr>
          <w:color w:val="0000FF"/>
          <w:lang w:val="el-GR"/>
        </w:rPr>
        <w:t>）</w:t>
      </w:r>
      <w:r w:rsidRPr="004C59BB">
        <w:rPr>
          <w:color w:val="0000FF"/>
          <w:lang w:val="ru-RU"/>
        </w:rPr>
        <w:t>。</w:t>
      </w:r>
    </w:p>
  </w:footnote>
  <w:footnote w:id="1340">
    <w:p w14:paraId="78B281C7" w14:textId="047E738A"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《关于苦修规则的简要阐述》</w:t>
      </w:r>
      <w:r w:rsidRPr="0097554A">
        <w:rPr>
          <w:color w:val="0000FF"/>
          <w:lang w:val="el-GR"/>
        </w:rPr>
        <w:t>，</w:t>
      </w:r>
      <w:r w:rsidRPr="004C59BB">
        <w:rPr>
          <w:color w:val="0000FF"/>
          <w:lang w:val="ru-RU"/>
        </w:rPr>
        <w:t>对第</w:t>
      </w:r>
      <w:r w:rsidRPr="0097554A">
        <w:rPr>
          <w:color w:val="0000FF"/>
          <w:lang w:val="el-GR"/>
        </w:rPr>
        <w:t>288</w:t>
      </w:r>
      <w:r w:rsidRPr="004C59BB">
        <w:rPr>
          <w:color w:val="0000FF"/>
          <w:lang w:val="ru-RU"/>
        </w:rPr>
        <w:t>个问题的回答</w:t>
      </w:r>
      <w:r w:rsidRPr="0097554A">
        <w:rPr>
          <w:color w:val="0000FF"/>
          <w:lang w:val="el-GR"/>
        </w:rPr>
        <w:t>，</w:t>
      </w:r>
      <w:r w:rsidRPr="004C59BB">
        <w:rPr>
          <w:color w:val="0000FF"/>
          <w:lang w:val="ru-RU"/>
        </w:rPr>
        <w:t>载于《圣教父著作集》</w:t>
      </w:r>
      <w:r w:rsidRPr="004C59BB">
        <w:rPr>
          <w:color w:val="0000FF"/>
        </w:rPr>
        <w:t>第XX</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360</w:t>
      </w:r>
      <w:r w:rsidRPr="004C59BB">
        <w:rPr>
          <w:color w:val="0000FF"/>
          <w:lang w:val="ru-RU"/>
        </w:rPr>
        <w:t>页。</w:t>
      </w:r>
    </w:p>
  </w:footnote>
  <w:footnote w:id="1341">
    <w:p w14:paraId="594346CC" w14:textId="71DB2768"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同上</w:t>
      </w:r>
      <w:r w:rsidRPr="0097554A">
        <w:rPr>
          <w:color w:val="0000FF"/>
          <w:lang w:val="el-GR"/>
        </w:rPr>
        <w:t>，</w:t>
      </w:r>
      <w:r w:rsidRPr="004C59BB">
        <w:rPr>
          <w:color w:val="0000FF"/>
          <w:lang w:val="ru-RU"/>
        </w:rPr>
        <w:t>对第</w:t>
      </w:r>
      <w:r w:rsidRPr="0097554A">
        <w:rPr>
          <w:color w:val="0000FF"/>
          <w:lang w:val="el-GR"/>
        </w:rPr>
        <w:t>110</w:t>
      </w:r>
      <w:r w:rsidRPr="004C59BB">
        <w:rPr>
          <w:color w:val="0000FF"/>
          <w:lang w:val="ru-RU"/>
        </w:rPr>
        <w:t>个问题的回答。</w:t>
      </w:r>
    </w:p>
  </w:footnote>
  <w:footnote w:id="1342">
    <w:p w14:paraId="074B27DF" w14:textId="16F363C6"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《论圣职》</w:t>
      </w:r>
      <w:r w:rsidRPr="004C59BB">
        <w:rPr>
          <w:color w:val="0000FF"/>
        </w:rPr>
        <w:t>第三</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4</w:t>
      </w:r>
      <w:r w:rsidRPr="004C59BB">
        <w:rPr>
          <w:color w:val="0000FF"/>
          <w:lang w:val="ru-RU"/>
        </w:rPr>
        <w:t>、</w:t>
      </w:r>
      <w:r w:rsidRPr="0097554A">
        <w:rPr>
          <w:color w:val="0000FF"/>
          <w:lang w:val="el-GR"/>
        </w:rPr>
        <w:t>5</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59–60</w:t>
      </w:r>
      <w:r w:rsidRPr="004C59BB">
        <w:rPr>
          <w:color w:val="0000FF"/>
          <w:lang w:val="ru-RU"/>
        </w:rPr>
        <w:t>页</w:t>
      </w:r>
      <w:r w:rsidRPr="0097554A">
        <w:rPr>
          <w:color w:val="0000FF"/>
          <w:lang w:val="el-GR"/>
        </w:rPr>
        <w:t>，</w:t>
      </w:r>
      <w:r w:rsidRPr="004C59BB">
        <w:rPr>
          <w:color w:val="0000FF"/>
          <w:lang w:val="ru-RU"/>
        </w:rPr>
        <w:t>俄文译本</w:t>
      </w:r>
      <w:r w:rsidRPr="0097554A">
        <w:rPr>
          <w:color w:val="0000FF"/>
          <w:lang w:val="el-GR"/>
        </w:rPr>
        <w:t>，</w:t>
      </w:r>
      <w:r w:rsidRPr="004C59BB">
        <w:rPr>
          <w:color w:val="0000FF"/>
          <w:lang w:val="ru-RU"/>
        </w:rPr>
        <w:t>圣彼得堡</w:t>
      </w:r>
      <w:r w:rsidRPr="0097554A">
        <w:rPr>
          <w:color w:val="0000FF"/>
          <w:lang w:val="el-GR"/>
        </w:rPr>
        <w:t>，1836</w:t>
      </w:r>
      <w:r w:rsidRPr="004C59BB">
        <w:rPr>
          <w:color w:val="0000FF"/>
          <w:lang w:val="ru-RU"/>
        </w:rPr>
        <w:t>年。</w:t>
      </w:r>
    </w:p>
  </w:footnote>
  <w:footnote w:id="1343">
    <w:p w14:paraId="0EA0AD60" w14:textId="5DC8DFA8"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明知主所设立的忏悔制度</w:t>
      </w:r>
      <w:r w:rsidRPr="0097554A">
        <w:rPr>
          <w:color w:val="0000FF"/>
          <w:lang w:val="el-GR"/>
        </w:rPr>
        <w:t>，</w:t>
      </w:r>
      <w:r w:rsidRPr="004C59BB">
        <w:rPr>
          <w:color w:val="0000FF"/>
        </w:rPr>
        <w:t>却拒绝履行</w:t>
      </w:r>
      <w:r w:rsidRPr="0097554A">
        <w:rPr>
          <w:color w:val="0000FF"/>
          <w:lang w:val="el-GR"/>
        </w:rPr>
        <w:t>，</w:t>
      </w:r>
      <w:r w:rsidRPr="004C59BB">
        <w:rPr>
          <w:color w:val="0000FF"/>
        </w:rPr>
        <w:t>此人将与那位使巴比伦王重登王位的罪人无异</w:t>
      </w:r>
      <w:r w:rsidRPr="0097554A">
        <w:rPr>
          <w:color w:val="0000FF"/>
          <w:lang w:val="el-GR"/>
        </w:rPr>
        <w:t>（</w:t>
      </w:r>
      <w:r w:rsidRPr="004C59BB">
        <w:rPr>
          <w:color w:val="0000FF"/>
        </w:rPr>
        <w:t>《论忏悔》第</w:t>
      </w:r>
      <w:r w:rsidRPr="0097554A">
        <w:rPr>
          <w:color w:val="0000FF"/>
          <w:lang w:val="el-GR"/>
        </w:rPr>
        <w:t>12</w:t>
      </w:r>
      <w:r w:rsidRPr="004C59BB">
        <w:rPr>
          <w:color w:val="0000FF"/>
        </w:rPr>
        <w:t>章</w:t>
      </w:r>
      <w:r w:rsidRPr="0097554A">
        <w:rPr>
          <w:color w:val="0000FF"/>
          <w:lang w:val="el-GR"/>
        </w:rPr>
        <w:t>）</w:t>
      </w:r>
      <w:r w:rsidRPr="004C59BB">
        <w:rPr>
          <w:color w:val="0000FF"/>
        </w:rPr>
        <w:t>。</w:t>
      </w:r>
    </w:p>
  </w:footnote>
  <w:footnote w:id="1344">
    <w:p w14:paraId="7CE688E2" w14:textId="34AA5CF3"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拉克曼茨</w:t>
      </w:r>
      <w:r w:rsidRPr="0097554A">
        <w:rPr>
          <w:color w:val="0000FF"/>
          <w:lang w:val="el-GR"/>
        </w:rPr>
        <w:t>，</w:t>
      </w:r>
      <w:r w:rsidRPr="004C59BB">
        <w:rPr>
          <w:color w:val="0000FF"/>
        </w:rPr>
        <w:t>《神学原理》第四卷</w:t>
      </w:r>
      <w:r w:rsidRPr="0097554A">
        <w:rPr>
          <w:color w:val="0000FF"/>
          <w:lang w:val="el-GR"/>
        </w:rPr>
        <w:t>，</w:t>
      </w:r>
      <w:r w:rsidRPr="004C59BB">
        <w:rPr>
          <w:color w:val="0000FF"/>
        </w:rPr>
        <w:t>第</w:t>
      </w:r>
      <w:r w:rsidRPr="0097554A">
        <w:rPr>
          <w:color w:val="0000FF"/>
          <w:lang w:val="el-GR"/>
        </w:rPr>
        <w:t>30</w:t>
      </w:r>
      <w:r w:rsidRPr="004C59BB">
        <w:rPr>
          <w:color w:val="0000FF"/>
        </w:rPr>
        <w:t>章</w:t>
      </w:r>
      <w:r w:rsidRPr="0097554A">
        <w:rPr>
          <w:color w:val="0000FF"/>
          <w:lang w:val="el-GR"/>
        </w:rPr>
        <w:t>；</w:t>
      </w:r>
      <w:r w:rsidRPr="004C59BB">
        <w:rPr>
          <w:color w:val="0000FF"/>
        </w:rPr>
        <w:t>格里高利</w:t>
      </w:r>
      <w:r w:rsidRPr="0097554A">
        <w:rPr>
          <w:color w:val="0000FF"/>
          <w:lang w:val="el-GR"/>
        </w:rPr>
        <w:t>·</w:t>
      </w:r>
      <w:r w:rsidRPr="004C59BB">
        <w:rPr>
          <w:color w:val="0000FF"/>
        </w:rPr>
        <w:t>尼萨</w:t>
      </w:r>
      <w:r w:rsidRPr="0097554A">
        <w:rPr>
          <w:color w:val="0000FF"/>
          <w:lang w:val="el-GR"/>
        </w:rPr>
        <w:t>，</w:t>
      </w:r>
      <w:r w:rsidRPr="004C59BB">
        <w:rPr>
          <w:color w:val="0000FF"/>
        </w:rPr>
        <w:t>《针对那些严厉论断他人者的讲道》</w:t>
      </w:r>
      <w:r w:rsidRPr="0097554A">
        <w:rPr>
          <w:color w:val="0000FF"/>
          <w:lang w:val="el-GR"/>
        </w:rPr>
        <w:t>，</w:t>
      </w:r>
      <w:r w:rsidRPr="004C59BB">
        <w:rPr>
          <w:color w:val="0000FF"/>
        </w:rPr>
        <w:t>载于第二卷</w:t>
      </w:r>
      <w:r w:rsidRPr="0097554A">
        <w:rPr>
          <w:color w:val="0000FF"/>
          <w:lang w:val="el-GR"/>
        </w:rPr>
        <w:t>，</w:t>
      </w:r>
      <w:r w:rsidRPr="004C59BB">
        <w:rPr>
          <w:color w:val="0000FF"/>
        </w:rPr>
        <w:t>第</w:t>
      </w:r>
      <w:r w:rsidRPr="0097554A">
        <w:rPr>
          <w:color w:val="0000FF"/>
          <w:lang w:val="el-GR"/>
        </w:rPr>
        <w:t>234</w:t>
      </w:r>
      <w:r w:rsidRPr="004C59BB">
        <w:rPr>
          <w:color w:val="0000FF"/>
        </w:rPr>
        <w:t>页</w:t>
      </w:r>
      <w:r w:rsidRPr="0097554A">
        <w:rPr>
          <w:color w:val="0000FF"/>
          <w:lang w:val="el-GR"/>
        </w:rPr>
        <w:t>，</w:t>
      </w:r>
      <w:r w:rsidRPr="004C59BB">
        <w:rPr>
          <w:color w:val="0000FF"/>
        </w:rPr>
        <w:t>莫雷尔版</w:t>
      </w:r>
      <w:r w:rsidRPr="0097554A">
        <w:rPr>
          <w:color w:val="0000FF"/>
          <w:lang w:val="el-GR"/>
        </w:rPr>
        <w:t>；</w:t>
      </w:r>
      <w:r w:rsidRPr="004C59BB">
        <w:rPr>
          <w:color w:val="0000FF"/>
        </w:rPr>
        <w:t>安布罗斯</w:t>
      </w:r>
      <w:r w:rsidRPr="0097554A">
        <w:rPr>
          <w:color w:val="0000FF"/>
          <w:lang w:val="el-GR"/>
        </w:rPr>
        <w:t>，</w:t>
      </w:r>
      <w:r w:rsidRPr="004C59BB">
        <w:rPr>
          <w:color w:val="0000FF"/>
        </w:rPr>
        <w:t>《论忏悔》第二卷</w:t>
      </w:r>
      <w:r w:rsidRPr="0097554A">
        <w:rPr>
          <w:color w:val="0000FF"/>
          <w:lang w:val="el-GR"/>
        </w:rPr>
        <w:t>，</w:t>
      </w:r>
      <w:r w:rsidRPr="004C59BB">
        <w:rPr>
          <w:color w:val="0000FF"/>
        </w:rPr>
        <w:t>第</w:t>
      </w:r>
      <w:r w:rsidRPr="0097554A">
        <w:rPr>
          <w:color w:val="0000FF"/>
          <w:lang w:val="el-GR"/>
        </w:rPr>
        <w:t>7</w:t>
      </w:r>
      <w:r w:rsidRPr="004C59BB">
        <w:rPr>
          <w:color w:val="0000FF"/>
        </w:rPr>
        <w:t>、</w:t>
      </w:r>
      <w:r w:rsidRPr="0097554A">
        <w:rPr>
          <w:color w:val="0000FF"/>
          <w:lang w:val="el-GR"/>
        </w:rPr>
        <w:t>11</w:t>
      </w:r>
      <w:r w:rsidRPr="004C59BB">
        <w:rPr>
          <w:color w:val="0000FF"/>
        </w:rPr>
        <w:t>章</w:t>
      </w:r>
      <w:r w:rsidRPr="0097554A">
        <w:rPr>
          <w:color w:val="0000FF"/>
          <w:lang w:val="el-GR"/>
        </w:rPr>
        <w:t xml:space="preserve">； </w:t>
      </w:r>
      <w:r w:rsidRPr="004C59BB">
        <w:rPr>
          <w:color w:val="0000FF"/>
        </w:rPr>
        <w:t>耶罗尼姆《马太福音注释》第十六章</w:t>
      </w:r>
      <w:r w:rsidRPr="0097554A">
        <w:rPr>
          <w:color w:val="0000FF"/>
          <w:lang w:val="el-GR"/>
        </w:rPr>
        <w:t>，19</w:t>
      </w:r>
      <w:r w:rsidRPr="004C59BB">
        <w:rPr>
          <w:color w:val="0000FF"/>
        </w:rPr>
        <w:t>节</w:t>
      </w:r>
      <w:r w:rsidRPr="0097554A">
        <w:rPr>
          <w:color w:val="0000FF"/>
          <w:lang w:val="el-GR"/>
        </w:rPr>
        <w:t>；</w:t>
      </w:r>
      <w:r w:rsidRPr="004C59BB">
        <w:rPr>
          <w:color w:val="0000FF"/>
        </w:rPr>
        <w:t>奥古斯丁《论成年婚姻》第</w:t>
      </w:r>
      <w:r w:rsidRPr="0097554A">
        <w:rPr>
          <w:color w:val="0000FF"/>
          <w:lang w:val="el-GR"/>
        </w:rPr>
        <w:t>1</w:t>
      </w:r>
      <w:r w:rsidRPr="004C59BB">
        <w:rPr>
          <w:color w:val="0000FF"/>
        </w:rPr>
        <w:t>卷</w:t>
      </w:r>
      <w:r w:rsidRPr="0097554A">
        <w:rPr>
          <w:color w:val="0000FF"/>
          <w:lang w:val="el-GR"/>
        </w:rPr>
        <w:t>，28</w:t>
      </w:r>
      <w:r w:rsidRPr="004C59BB">
        <w:rPr>
          <w:color w:val="0000FF"/>
        </w:rPr>
        <w:t>章</w:t>
      </w:r>
      <w:r w:rsidRPr="0097554A">
        <w:rPr>
          <w:color w:val="0000FF"/>
          <w:lang w:val="el-GR"/>
        </w:rPr>
        <w:t>，</w:t>
      </w:r>
      <w:r w:rsidRPr="004C59BB">
        <w:rPr>
          <w:color w:val="0000FF"/>
        </w:rPr>
        <w:t>注</w:t>
      </w:r>
      <w:r w:rsidRPr="0097554A">
        <w:rPr>
          <w:color w:val="0000FF"/>
          <w:lang w:val="el-GR"/>
        </w:rPr>
        <w:t>35；</w:t>
      </w:r>
      <w:r w:rsidRPr="004C59BB">
        <w:rPr>
          <w:color w:val="0000FF"/>
        </w:rPr>
        <w:t>第</w:t>
      </w:r>
      <w:r w:rsidRPr="0097554A">
        <w:rPr>
          <w:color w:val="0000FF"/>
          <w:lang w:val="el-GR"/>
        </w:rPr>
        <w:t>11</w:t>
      </w:r>
      <w:r w:rsidRPr="004C59BB">
        <w:rPr>
          <w:color w:val="0000FF"/>
        </w:rPr>
        <w:t>卷</w:t>
      </w:r>
      <w:r w:rsidRPr="0097554A">
        <w:rPr>
          <w:color w:val="0000FF"/>
          <w:lang w:val="el-GR"/>
        </w:rPr>
        <w:t>，16</w:t>
      </w:r>
      <w:r w:rsidRPr="004C59BB">
        <w:rPr>
          <w:color w:val="0000FF"/>
        </w:rPr>
        <w:t>章</w:t>
      </w:r>
      <w:r w:rsidRPr="0097554A">
        <w:rPr>
          <w:color w:val="0000FF"/>
          <w:lang w:val="el-GR"/>
        </w:rPr>
        <w:t>，</w:t>
      </w:r>
      <w:r w:rsidRPr="004C59BB">
        <w:rPr>
          <w:color w:val="0000FF"/>
        </w:rPr>
        <w:t>注</w:t>
      </w:r>
      <w:r w:rsidRPr="0097554A">
        <w:rPr>
          <w:color w:val="0000FF"/>
          <w:lang w:val="el-GR"/>
        </w:rPr>
        <w:t>16</w:t>
      </w:r>
      <w:r w:rsidRPr="004C59BB">
        <w:rPr>
          <w:color w:val="0000FF"/>
        </w:rPr>
        <w:t>、</w:t>
      </w:r>
      <w:r w:rsidRPr="0097554A">
        <w:rPr>
          <w:color w:val="0000FF"/>
          <w:lang w:val="el-GR"/>
        </w:rPr>
        <w:t>17；</w:t>
      </w:r>
      <w:r w:rsidRPr="004C59BB">
        <w:rPr>
          <w:color w:val="0000FF"/>
        </w:rPr>
        <w:t>《上帝之城》第</w:t>
      </w:r>
      <w:r w:rsidRPr="0097554A">
        <w:rPr>
          <w:color w:val="0000FF"/>
          <w:lang w:val="el-GR"/>
        </w:rPr>
        <w:t>20</w:t>
      </w:r>
      <w:r w:rsidRPr="004C59BB">
        <w:rPr>
          <w:color w:val="0000FF"/>
        </w:rPr>
        <w:t>卷</w:t>
      </w:r>
      <w:r w:rsidRPr="0097554A">
        <w:rPr>
          <w:color w:val="0000FF"/>
          <w:lang w:val="el-GR"/>
        </w:rPr>
        <w:t>，9</w:t>
      </w:r>
      <w:r w:rsidRPr="004C59BB">
        <w:rPr>
          <w:color w:val="0000FF"/>
        </w:rPr>
        <w:t>章</w:t>
      </w:r>
      <w:r w:rsidRPr="0097554A">
        <w:rPr>
          <w:color w:val="0000FF"/>
          <w:lang w:val="el-GR"/>
        </w:rPr>
        <w:t>，</w:t>
      </w:r>
      <w:r w:rsidRPr="004C59BB">
        <w:rPr>
          <w:color w:val="0000FF"/>
        </w:rPr>
        <w:t>注</w:t>
      </w:r>
      <w:r w:rsidRPr="0097554A">
        <w:rPr>
          <w:color w:val="0000FF"/>
          <w:lang w:val="el-GR"/>
        </w:rPr>
        <w:t>2；</w:t>
      </w:r>
      <w:r w:rsidRPr="004C59BB">
        <w:rPr>
          <w:color w:val="0000FF"/>
        </w:rPr>
        <w:t>库普</w:t>
      </w:r>
      <w:r w:rsidRPr="0097554A">
        <w:rPr>
          <w:color w:val="0000FF"/>
          <w:lang w:val="el-GR"/>
        </w:rPr>
        <w:t>·</w:t>
      </w:r>
      <w:r w:rsidRPr="004C59BB">
        <w:rPr>
          <w:color w:val="0000FF"/>
        </w:rPr>
        <w:t>亚历山大《约翰福音注释》第</w:t>
      </w:r>
      <w:r w:rsidRPr="0097554A">
        <w:rPr>
          <w:color w:val="0000FF"/>
          <w:lang w:val="el-GR"/>
        </w:rPr>
        <w:t>20</w:t>
      </w:r>
      <w:r w:rsidRPr="004C59BB">
        <w:rPr>
          <w:color w:val="0000FF"/>
        </w:rPr>
        <w:t>卷</w:t>
      </w:r>
      <w:r w:rsidRPr="0097554A">
        <w:rPr>
          <w:color w:val="0000FF"/>
          <w:lang w:val="el-GR"/>
        </w:rPr>
        <w:t>，23</w:t>
      </w:r>
      <w:r w:rsidRPr="004C59BB">
        <w:rPr>
          <w:color w:val="0000FF"/>
        </w:rPr>
        <w:t>章。</w:t>
      </w:r>
    </w:p>
  </w:footnote>
  <w:footnote w:id="1345">
    <w:p w14:paraId="53202C84" w14:textId="18E7812A"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因为</w:t>
      </w:r>
      <w:r w:rsidRPr="0097554A">
        <w:rPr>
          <w:color w:val="0000FF"/>
          <w:lang w:val="el-GR"/>
        </w:rPr>
        <w:t>，</w:t>
      </w:r>
      <w:r w:rsidRPr="004C59BB">
        <w:rPr>
          <w:color w:val="0000FF"/>
        </w:rPr>
        <w:t>在末日来临之前</w:t>
      </w:r>
      <w:r w:rsidRPr="0097554A">
        <w:rPr>
          <w:color w:val="0000FF"/>
          <w:lang w:val="el-GR"/>
        </w:rPr>
        <w:t>，</w:t>
      </w:r>
      <w:r w:rsidRPr="004C59BB">
        <w:rPr>
          <w:color w:val="0000FF"/>
        </w:rPr>
        <w:t>通过司祭的祈祷使罪人的罪孽得到救赎</w:t>
      </w:r>
      <w:r w:rsidRPr="0097554A">
        <w:rPr>
          <w:color w:val="0000FF"/>
          <w:lang w:val="el-GR"/>
        </w:rPr>
        <w:t>，</w:t>
      </w:r>
      <w:r w:rsidRPr="004C59BB">
        <w:rPr>
          <w:color w:val="0000FF"/>
        </w:rPr>
        <w:t>这是非常有益且必要的</w:t>
      </w:r>
      <w:r w:rsidRPr="0097554A">
        <w:rPr>
          <w:color w:val="0000FF"/>
          <w:lang w:val="el-GR"/>
        </w:rPr>
        <w:t>（</w:t>
      </w:r>
      <w:r w:rsidRPr="004C59BB">
        <w:rPr>
          <w:color w:val="0000FF"/>
        </w:rPr>
        <w:t>《书信集》LXXXV</w:t>
      </w:r>
      <w:r w:rsidRPr="0097554A">
        <w:rPr>
          <w:color w:val="0000FF"/>
          <w:lang w:val="el-GR"/>
        </w:rPr>
        <w:t>，</w:t>
      </w:r>
      <w:r w:rsidRPr="004C59BB">
        <w:rPr>
          <w:color w:val="0000FF"/>
        </w:rPr>
        <w:t>第</w:t>
      </w:r>
      <w:r w:rsidRPr="0097554A">
        <w:rPr>
          <w:color w:val="0000FF"/>
          <w:lang w:val="el-GR"/>
        </w:rPr>
        <w:t>3</w:t>
      </w:r>
      <w:r w:rsidRPr="004C59BB">
        <w:rPr>
          <w:color w:val="0000FF"/>
        </w:rPr>
        <w:t>章</w:t>
      </w:r>
      <w:r w:rsidRPr="0097554A">
        <w:rPr>
          <w:color w:val="0000FF"/>
          <w:lang w:val="el-GR"/>
        </w:rPr>
        <w:t>，</w:t>
      </w:r>
      <w:r w:rsidRPr="004C59BB">
        <w:rPr>
          <w:color w:val="0000FF"/>
        </w:rPr>
        <w:t>致卡西安</w:t>
      </w:r>
      <w:r w:rsidRPr="0097554A">
        <w:rPr>
          <w:color w:val="0000FF"/>
          <w:lang w:val="el-GR"/>
        </w:rPr>
        <w:t>）</w:t>
      </w:r>
      <w:r w:rsidRPr="004C59BB">
        <w:rPr>
          <w:color w:val="0000FF"/>
        </w:rPr>
        <w:t>。</w:t>
      </w:r>
    </w:p>
  </w:footnote>
  <w:footnote w:id="1346">
    <w:p w14:paraId="34BD340B" w14:textId="28F5169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阿斯特里乌斯《路加福音注》第十五卷第</w:t>
      </w:r>
      <w:r w:rsidRPr="0097554A">
        <w:rPr>
          <w:color w:val="0000FF"/>
          <w:lang w:val="el-GR"/>
        </w:rPr>
        <w:t>11</w:t>
      </w:r>
      <w:r w:rsidRPr="004C59BB">
        <w:rPr>
          <w:color w:val="0000FF"/>
        </w:rPr>
        <w:t>章</w:t>
      </w:r>
      <w:r w:rsidRPr="0097554A">
        <w:rPr>
          <w:color w:val="0000FF"/>
          <w:lang w:val="el-GR"/>
        </w:rPr>
        <w:t>（</w:t>
      </w:r>
      <w:r w:rsidRPr="004C59BB">
        <w:rPr>
          <w:color w:val="0000FF"/>
        </w:rPr>
        <w:t>残篇见于康贝菲斯</w:t>
      </w:r>
      <w:r w:rsidRPr="0097554A">
        <w:rPr>
          <w:color w:val="0000FF"/>
          <w:lang w:val="el-GR"/>
        </w:rPr>
        <w:t>，</w:t>
      </w:r>
      <w:r w:rsidRPr="004C59BB">
        <w:rPr>
          <w:color w:val="0000FF"/>
        </w:rPr>
        <w:t>增补第</w:t>
      </w:r>
      <w:r w:rsidRPr="0097554A">
        <w:rPr>
          <w:color w:val="0000FF"/>
          <w:lang w:val="el-GR"/>
        </w:rPr>
        <w:t>228</w:t>
      </w:r>
      <w:r w:rsidRPr="004C59BB">
        <w:rPr>
          <w:color w:val="0000FF"/>
        </w:rPr>
        <w:t>条</w:t>
      </w:r>
      <w:r w:rsidRPr="0097554A">
        <w:rPr>
          <w:color w:val="0000FF"/>
          <w:lang w:val="el-GR"/>
        </w:rPr>
        <w:t>）；</w:t>
      </w:r>
      <w:r w:rsidRPr="004C59BB">
        <w:rPr>
          <w:color w:val="0000FF"/>
        </w:rPr>
        <w:t>卡西安《论道成肉身》第六卷第</w:t>
      </w:r>
      <w:r w:rsidRPr="0097554A">
        <w:rPr>
          <w:color w:val="0000FF"/>
          <w:lang w:val="el-GR"/>
        </w:rPr>
        <w:t>18</w:t>
      </w:r>
      <w:r w:rsidRPr="004C59BB">
        <w:rPr>
          <w:color w:val="0000FF"/>
        </w:rPr>
        <w:t>章。</w:t>
      </w:r>
    </w:p>
  </w:footnote>
  <w:footnote w:id="1347">
    <w:p w14:paraId="33152D3D" w14:textId="437A8CCE"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《使徒宪章》第</w:t>
      </w:r>
      <w:r w:rsidRPr="0097554A">
        <w:rPr>
          <w:color w:val="0000FF"/>
          <w:lang w:val="el-GR"/>
        </w:rPr>
        <w:t>52</w:t>
      </w:r>
      <w:r w:rsidRPr="004C59BB">
        <w:rPr>
          <w:color w:val="0000FF"/>
        </w:rPr>
        <w:t>条</w:t>
      </w:r>
      <w:r w:rsidRPr="0097554A">
        <w:rPr>
          <w:color w:val="0000FF"/>
          <w:lang w:val="el-GR"/>
        </w:rPr>
        <w:t>；</w:t>
      </w:r>
      <w:r w:rsidRPr="004C59BB">
        <w:rPr>
          <w:color w:val="0000FF"/>
        </w:rPr>
        <w:t>参见注释</w:t>
      </w:r>
      <w:r w:rsidRPr="0097554A">
        <w:rPr>
          <w:color w:val="0000FF"/>
          <w:lang w:val="el-GR"/>
        </w:rPr>
        <w:t>1334–1337</w:t>
      </w:r>
      <w:r w:rsidRPr="004C59BB">
        <w:rPr>
          <w:color w:val="0000FF"/>
        </w:rPr>
        <w:t>。</w:t>
      </w:r>
    </w:p>
  </w:footnote>
  <w:footnote w:id="1348">
    <w:p w14:paraId="25734DF1" w14:textId="2A9DB470"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赦免罪过的权柄既赐予了使徒</w:t>
      </w:r>
      <w:r w:rsidRPr="0097554A">
        <w:rPr>
          <w:color w:val="0000FF"/>
          <w:lang w:val="el-GR"/>
        </w:rPr>
        <w:t>，</w:t>
      </w:r>
      <w:r w:rsidRPr="004C59BB">
        <w:rPr>
          <w:color w:val="0000FF"/>
        </w:rPr>
        <w:t>也赐予了由他们奉基督之命建立的教会</w:t>
      </w:r>
      <w:r w:rsidRPr="0097554A">
        <w:rPr>
          <w:color w:val="0000FF"/>
          <w:lang w:val="el-GR"/>
        </w:rPr>
        <w:t>，</w:t>
      </w:r>
      <w:r w:rsidRPr="004C59BB">
        <w:rPr>
          <w:color w:val="0000FF"/>
        </w:rPr>
        <w:t>以及通过代任按立继任他们的主教</w:t>
      </w:r>
      <w:r w:rsidRPr="0097554A">
        <w:rPr>
          <w:color w:val="0000FF"/>
          <w:lang w:val="el-GR"/>
        </w:rPr>
        <w:t>（</w:t>
      </w:r>
      <w:r w:rsidRPr="004C59BB">
        <w:rPr>
          <w:color w:val="0000FF"/>
        </w:rPr>
        <w:t>致塞浦路斯的书信</w:t>
      </w:r>
      <w:r w:rsidRPr="0097554A">
        <w:rPr>
          <w:color w:val="0000FF"/>
          <w:lang w:val="el-GR"/>
        </w:rPr>
        <w:t>）</w:t>
      </w:r>
      <w:r w:rsidRPr="004C59BB">
        <w:rPr>
          <w:color w:val="0000FF"/>
        </w:rPr>
        <w:t>。</w:t>
      </w:r>
    </w:p>
  </w:footnote>
  <w:footnote w:id="1349">
    <w:p w14:paraId="76110EC1" w14:textId="7B43BE9C"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见《路加福音》第V卷</w:t>
      </w:r>
      <w:r w:rsidRPr="0097554A">
        <w:rPr>
          <w:color w:val="0000FF"/>
          <w:lang w:val="el-GR"/>
        </w:rPr>
        <w:t>，</w:t>
      </w:r>
      <w:r w:rsidRPr="004C59BB">
        <w:rPr>
          <w:color w:val="0000FF"/>
        </w:rPr>
        <w:t>第</w:t>
      </w:r>
      <w:r w:rsidRPr="0097554A">
        <w:rPr>
          <w:color w:val="0000FF"/>
          <w:lang w:val="el-GR"/>
        </w:rPr>
        <w:t>13</w:t>
      </w:r>
      <w:r w:rsidRPr="004C59BB">
        <w:rPr>
          <w:color w:val="0000FF"/>
        </w:rPr>
        <w:t>节。</w:t>
      </w:r>
    </w:p>
  </w:footnote>
  <w:footnote w:id="1350">
    <w:p w14:paraId="4DFDF2FB" w14:textId="68585850"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此权仅授予司铎</w:t>
      </w:r>
      <w:r w:rsidRPr="0097554A">
        <w:rPr>
          <w:color w:val="0000FF"/>
          <w:lang w:val="el-GR"/>
        </w:rPr>
        <w:t>（</w:t>
      </w:r>
      <w:r w:rsidRPr="004C59BB">
        <w:rPr>
          <w:color w:val="0000FF"/>
        </w:rPr>
        <w:t>《论忏悔》第</w:t>
      </w:r>
      <w:r w:rsidRPr="0097554A">
        <w:rPr>
          <w:color w:val="0000FF"/>
          <w:lang w:val="el-GR"/>
        </w:rPr>
        <w:t>1</w:t>
      </w:r>
      <w:r w:rsidRPr="004C59BB">
        <w:rPr>
          <w:color w:val="0000FF"/>
        </w:rPr>
        <w:t>卷</w:t>
      </w:r>
      <w:r w:rsidRPr="0097554A">
        <w:rPr>
          <w:color w:val="0000FF"/>
          <w:lang w:val="el-GR"/>
        </w:rPr>
        <w:t>，</w:t>
      </w:r>
      <w:r w:rsidRPr="004C59BB">
        <w:rPr>
          <w:color w:val="0000FF"/>
        </w:rPr>
        <w:t>第</w:t>
      </w:r>
      <w:r w:rsidRPr="0097554A">
        <w:rPr>
          <w:color w:val="0000FF"/>
          <w:lang w:val="el-GR"/>
        </w:rPr>
        <w:t>2</w:t>
      </w:r>
      <w:r w:rsidRPr="004C59BB">
        <w:rPr>
          <w:color w:val="0000FF"/>
        </w:rPr>
        <w:t>章</w:t>
      </w:r>
      <w:r w:rsidRPr="0097554A">
        <w:rPr>
          <w:color w:val="0000FF"/>
          <w:lang w:val="el-GR"/>
        </w:rPr>
        <w:t>，</w:t>
      </w:r>
      <w:r w:rsidRPr="004C59BB">
        <w:rPr>
          <w:color w:val="0000FF"/>
        </w:rPr>
        <w:t>第</w:t>
      </w:r>
      <w:r w:rsidRPr="0097554A">
        <w:rPr>
          <w:color w:val="0000FF"/>
          <w:lang w:val="el-GR"/>
        </w:rPr>
        <w:t>7</w:t>
      </w:r>
      <w:r w:rsidRPr="004C59BB">
        <w:rPr>
          <w:color w:val="0000FF"/>
        </w:rPr>
        <w:t>节</w:t>
      </w:r>
      <w:r w:rsidRPr="0097554A">
        <w:rPr>
          <w:color w:val="0000FF"/>
          <w:lang w:val="el-GR"/>
        </w:rPr>
        <w:t>）</w:t>
      </w:r>
      <w:r w:rsidRPr="004C59BB">
        <w:rPr>
          <w:color w:val="0000FF"/>
        </w:rPr>
        <w:t>。</w:t>
      </w:r>
    </w:p>
  </w:footnote>
  <w:footnote w:id="1351">
    <w:p w14:paraId="1225CED1" w14:textId="1B1A9F3F"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《论圣神》第三卷</w:t>
      </w:r>
      <w:r w:rsidRPr="0097554A">
        <w:rPr>
          <w:color w:val="0000FF"/>
          <w:lang w:val="el-GR"/>
        </w:rPr>
        <w:t>，</w:t>
      </w:r>
      <w:r w:rsidRPr="004C59BB">
        <w:rPr>
          <w:color w:val="0000FF"/>
        </w:rPr>
        <w:t>第</w:t>
      </w:r>
      <w:r w:rsidRPr="0097554A">
        <w:rPr>
          <w:color w:val="0000FF"/>
          <w:lang w:val="el-GR"/>
        </w:rPr>
        <w:t>8</w:t>
      </w:r>
      <w:r w:rsidRPr="004C59BB">
        <w:rPr>
          <w:color w:val="0000FF"/>
        </w:rPr>
        <w:t>章。</w:t>
      </w:r>
    </w:p>
  </w:footnote>
  <w:footnote w:id="1352">
    <w:p w14:paraId="57CDABAE" w14:textId="72D38966"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《论圣职》</w:t>
      </w:r>
      <w:r w:rsidRPr="004C59BB">
        <w:rPr>
          <w:color w:val="0000FF"/>
        </w:rPr>
        <w:t>第三</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5</w:t>
      </w:r>
      <w:r w:rsidRPr="004C59BB">
        <w:rPr>
          <w:color w:val="0000FF"/>
          <w:lang w:val="ru-RU"/>
        </w:rPr>
        <w:t>、</w:t>
      </w:r>
      <w:r w:rsidRPr="0097554A">
        <w:rPr>
          <w:color w:val="0000FF"/>
          <w:lang w:val="el-GR"/>
        </w:rPr>
        <w:t>6</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60</w:t>
      </w:r>
      <w:r w:rsidRPr="004C59BB">
        <w:rPr>
          <w:color w:val="0000FF"/>
          <w:lang w:val="ru-RU"/>
        </w:rPr>
        <w:t>、</w:t>
      </w:r>
      <w:r w:rsidRPr="0097554A">
        <w:rPr>
          <w:color w:val="0000FF"/>
          <w:lang w:val="el-GR"/>
        </w:rPr>
        <w:t>61–62</w:t>
      </w:r>
      <w:r w:rsidRPr="004C59BB">
        <w:rPr>
          <w:color w:val="0000FF"/>
          <w:lang w:val="ru-RU"/>
        </w:rPr>
        <w:t>页</w:t>
      </w:r>
      <w:r w:rsidRPr="0097554A">
        <w:rPr>
          <w:color w:val="0000FF"/>
          <w:lang w:val="el-GR"/>
        </w:rPr>
        <w:t>，</w:t>
      </w:r>
      <w:r w:rsidRPr="004C59BB">
        <w:rPr>
          <w:color w:val="0000FF"/>
          <w:lang w:val="ru-RU"/>
        </w:rPr>
        <w:t>俄文译本。</w:t>
      </w:r>
    </w:p>
  </w:footnote>
  <w:footnote w:id="1353">
    <w:p w14:paraId="7159FEB5" w14:textId="5A044889"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《书信集》第</w:t>
      </w:r>
      <w:r w:rsidRPr="0097554A">
        <w:rPr>
          <w:color w:val="0000FF"/>
          <w:lang w:val="el-GR"/>
        </w:rPr>
        <w:t>1</w:t>
      </w:r>
      <w:r w:rsidRPr="004C59BB">
        <w:rPr>
          <w:color w:val="0000FF"/>
        </w:rPr>
        <w:t>卷</w:t>
      </w:r>
      <w:r w:rsidRPr="0097554A">
        <w:rPr>
          <w:color w:val="0000FF"/>
          <w:lang w:val="el-GR"/>
        </w:rPr>
        <w:t>，</w:t>
      </w:r>
      <w:r w:rsidRPr="004C59BB">
        <w:rPr>
          <w:color w:val="0000FF"/>
        </w:rPr>
        <w:t>第</w:t>
      </w:r>
      <w:r w:rsidRPr="0097554A">
        <w:rPr>
          <w:color w:val="0000FF"/>
          <w:lang w:val="el-GR"/>
        </w:rPr>
        <w:t>6</w:t>
      </w:r>
      <w:r w:rsidRPr="004C59BB">
        <w:rPr>
          <w:color w:val="0000FF"/>
        </w:rPr>
        <w:t>条。</w:t>
      </w:r>
    </w:p>
  </w:footnote>
  <w:footnote w:id="1354">
    <w:p w14:paraId="6861C1F2" w14:textId="486CC87D"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救世主本人无疑会不间断地介入这项工作</w:t>
      </w:r>
      <w:r w:rsidRPr="0097554A">
        <w:rPr>
          <w:color w:val="0000FF"/>
          <w:lang w:val="el-GR"/>
        </w:rPr>
        <w:t>（</w:t>
      </w:r>
      <w:r w:rsidRPr="004C59BB">
        <w:rPr>
          <w:color w:val="0000FF"/>
        </w:rPr>
        <w:t>《书信集》第LXXXIV封</w:t>
      </w:r>
      <w:r w:rsidRPr="0097554A">
        <w:rPr>
          <w:color w:val="0000FF"/>
          <w:lang w:val="el-GR"/>
        </w:rPr>
        <w:t>，</w:t>
      </w:r>
      <w:r w:rsidRPr="004C59BB">
        <w:rPr>
          <w:color w:val="0000FF"/>
        </w:rPr>
        <w:t>Cacc</w:t>
      </w:r>
      <w:r w:rsidRPr="0097554A">
        <w:rPr>
          <w:color w:val="0000FF"/>
          <w:lang w:val="el-GR"/>
        </w:rPr>
        <w:t xml:space="preserve">. </w:t>
      </w:r>
      <w:r w:rsidRPr="004C59BB">
        <w:rPr>
          <w:color w:val="0000FF"/>
        </w:rPr>
        <w:t>版</w:t>
      </w:r>
      <w:r w:rsidRPr="0097554A">
        <w:rPr>
          <w:color w:val="0000FF"/>
          <w:lang w:val="el-GR"/>
        </w:rPr>
        <w:t>）</w:t>
      </w:r>
      <w:r w:rsidRPr="004C59BB">
        <w:rPr>
          <w:color w:val="0000FF"/>
        </w:rPr>
        <w:t>。</w:t>
      </w:r>
    </w:p>
  </w:footnote>
  <w:footnote w:id="1355">
    <w:p w14:paraId="37FAC3E3" w14:textId="7EE8FBF8"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奥利金</w:t>
      </w:r>
      <w:r w:rsidRPr="0097554A">
        <w:rPr>
          <w:color w:val="0000FF"/>
          <w:lang w:val="el-GR"/>
        </w:rPr>
        <w:t>，</w:t>
      </w:r>
      <w:r w:rsidRPr="004C59BB">
        <w:rPr>
          <w:color w:val="0000FF"/>
        </w:rPr>
        <w:t>《利未记讲道集》第八篇</w:t>
      </w:r>
      <w:r w:rsidRPr="0097554A">
        <w:rPr>
          <w:color w:val="0000FF"/>
          <w:lang w:val="el-GR"/>
        </w:rPr>
        <w:t>，</w:t>
      </w:r>
      <w:r w:rsidRPr="004C59BB">
        <w:rPr>
          <w:color w:val="0000FF"/>
        </w:rPr>
        <w:t>第</w:t>
      </w:r>
      <w:r w:rsidRPr="0097554A">
        <w:rPr>
          <w:color w:val="0000FF"/>
          <w:lang w:val="el-GR"/>
        </w:rPr>
        <w:t>10</w:t>
      </w:r>
      <w:r w:rsidRPr="004C59BB">
        <w:rPr>
          <w:color w:val="0000FF"/>
        </w:rPr>
        <w:t>节</w:t>
      </w:r>
      <w:r w:rsidRPr="0097554A">
        <w:rPr>
          <w:color w:val="0000FF"/>
          <w:lang w:val="el-GR"/>
        </w:rPr>
        <w:t>；</w:t>
      </w:r>
      <w:r w:rsidRPr="004C59BB">
        <w:rPr>
          <w:color w:val="0000FF"/>
        </w:rPr>
        <w:t>帕茨万</w:t>
      </w:r>
      <w:r w:rsidRPr="0097554A">
        <w:rPr>
          <w:color w:val="0000FF"/>
          <w:lang w:val="el-GR"/>
        </w:rPr>
        <w:t>，</w:t>
      </w:r>
      <w:r w:rsidRPr="004C59BB">
        <w:rPr>
          <w:color w:val="0000FF"/>
        </w:rPr>
        <w:t>《致西姆普里安书》第三卷</w:t>
      </w:r>
      <w:r w:rsidRPr="0097554A">
        <w:rPr>
          <w:color w:val="0000FF"/>
          <w:lang w:val="el-GR"/>
        </w:rPr>
        <w:t>，</w:t>
      </w:r>
      <w:r w:rsidRPr="004C59BB">
        <w:rPr>
          <w:color w:val="0000FF"/>
        </w:rPr>
        <w:t>第</w:t>
      </w:r>
      <w:r w:rsidRPr="0097554A">
        <w:rPr>
          <w:color w:val="0000FF"/>
          <w:lang w:val="el-GR"/>
        </w:rPr>
        <w:t>7</w:t>
      </w:r>
      <w:r w:rsidRPr="004C59BB">
        <w:rPr>
          <w:color w:val="0000FF"/>
        </w:rPr>
        <w:t>节。</w:t>
      </w:r>
    </w:p>
  </w:footnote>
  <w:footnote w:id="1356">
    <w:p w14:paraId="38375FD1" w14:textId="73B1B7A9"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安布罗斯</w:t>
      </w:r>
      <w:r w:rsidRPr="0097554A">
        <w:rPr>
          <w:color w:val="0000FF"/>
          <w:lang w:val="el-GR"/>
        </w:rPr>
        <w:t>，</w:t>
      </w:r>
      <w:r w:rsidRPr="004C59BB">
        <w:rPr>
          <w:color w:val="0000FF"/>
        </w:rPr>
        <w:t>《论忏悔》</w:t>
      </w:r>
      <w:r w:rsidRPr="0097554A">
        <w:rPr>
          <w:color w:val="0000FF"/>
          <w:lang w:val="el-GR"/>
        </w:rPr>
        <w:t>1，2；</w:t>
      </w:r>
      <w:r w:rsidRPr="004C59BB">
        <w:rPr>
          <w:color w:val="0000FF"/>
        </w:rPr>
        <w:t>优西比乌</w:t>
      </w:r>
      <w:r w:rsidRPr="0097554A">
        <w:rPr>
          <w:color w:val="0000FF"/>
          <w:lang w:val="el-GR"/>
        </w:rPr>
        <w:t>，</w:t>
      </w:r>
      <w:r w:rsidRPr="004C59BB">
        <w:rPr>
          <w:color w:val="0000FF"/>
        </w:rPr>
        <w:t>《致马里努斯的问答》第</w:t>
      </w:r>
      <w:r w:rsidRPr="0097554A">
        <w:rPr>
          <w:color w:val="0000FF"/>
          <w:lang w:val="el-GR"/>
        </w:rPr>
        <w:t>9</w:t>
      </w:r>
      <w:r w:rsidRPr="004C59BB">
        <w:rPr>
          <w:color w:val="0000FF"/>
        </w:rPr>
        <w:t>节</w:t>
      </w:r>
      <w:r w:rsidRPr="0097554A">
        <w:rPr>
          <w:color w:val="0000FF"/>
          <w:lang w:val="el-GR"/>
        </w:rPr>
        <w:t>（</w:t>
      </w:r>
      <w:r w:rsidRPr="004C59BB">
        <w:rPr>
          <w:color w:val="0000FF"/>
        </w:rPr>
        <w:t>Mai</w:t>
      </w:r>
      <w:r w:rsidRPr="0097554A">
        <w:rPr>
          <w:color w:val="0000FF"/>
          <w:lang w:val="el-GR"/>
        </w:rPr>
        <w:t xml:space="preserve"> 1，277）；</w:t>
      </w:r>
      <w:r w:rsidRPr="004C59BB">
        <w:rPr>
          <w:color w:val="0000FF"/>
        </w:rPr>
        <w:t>库普</w:t>
      </w:r>
      <w:r w:rsidRPr="0097554A">
        <w:rPr>
          <w:color w:val="0000FF"/>
          <w:lang w:val="el-GR"/>
        </w:rPr>
        <w:t>·</w:t>
      </w:r>
      <w:r w:rsidRPr="004C59BB">
        <w:rPr>
          <w:color w:val="0000FF"/>
        </w:rPr>
        <w:t>亚历山大</w:t>
      </w:r>
      <w:r w:rsidRPr="0097554A">
        <w:rPr>
          <w:color w:val="0000FF"/>
          <w:lang w:val="el-GR"/>
        </w:rPr>
        <w:t>，</w:t>
      </w:r>
      <w:r w:rsidRPr="004C59BB">
        <w:rPr>
          <w:color w:val="0000FF"/>
        </w:rPr>
        <w:t>《约翰福音讲道集》XX</w:t>
      </w:r>
      <w:r w:rsidRPr="0097554A">
        <w:rPr>
          <w:color w:val="0000FF"/>
          <w:lang w:val="el-GR"/>
        </w:rPr>
        <w:t>，33</w:t>
      </w:r>
      <w:r w:rsidRPr="004C59BB">
        <w:rPr>
          <w:color w:val="0000FF"/>
        </w:rPr>
        <w:t>。</w:t>
      </w:r>
    </w:p>
  </w:footnote>
  <w:footnote w:id="1357">
    <w:p w14:paraId="62DD4C6C" w14:textId="77B5187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《使徒宪章》</w:t>
      </w:r>
      <w:r w:rsidRPr="0097554A">
        <w:rPr>
          <w:color w:val="0000FF"/>
          <w:lang w:val="el-GR"/>
        </w:rPr>
        <w:t>11</w:t>
      </w:r>
      <w:r w:rsidRPr="004C59BB">
        <w:rPr>
          <w:color w:val="0000FF"/>
        </w:rPr>
        <w:t>、</w:t>
      </w:r>
      <w:r w:rsidRPr="0097554A">
        <w:rPr>
          <w:color w:val="0000FF"/>
          <w:lang w:val="el-GR"/>
        </w:rPr>
        <w:t>12</w:t>
      </w:r>
      <w:r w:rsidRPr="004C59BB">
        <w:rPr>
          <w:color w:val="0000FF"/>
        </w:rPr>
        <w:t>、</w:t>
      </w:r>
      <w:r w:rsidRPr="0097554A">
        <w:rPr>
          <w:color w:val="0000FF"/>
          <w:lang w:val="el-GR"/>
        </w:rPr>
        <w:t>20</w:t>
      </w:r>
      <w:r w:rsidRPr="004C59BB">
        <w:rPr>
          <w:color w:val="0000FF"/>
        </w:rPr>
        <w:t>、</w:t>
      </w:r>
      <w:r w:rsidRPr="0097554A">
        <w:rPr>
          <w:color w:val="0000FF"/>
          <w:lang w:val="el-GR"/>
        </w:rPr>
        <w:t>21；</w:t>
      </w:r>
      <w:r w:rsidRPr="004C59BB">
        <w:rPr>
          <w:color w:val="0000FF"/>
        </w:rPr>
        <w:t>菲尔米利安《致塞浦路斯的书信》</w:t>
      </w:r>
      <w:r w:rsidRPr="0097554A">
        <w:rPr>
          <w:color w:val="0000FF"/>
          <w:lang w:val="el-GR"/>
        </w:rPr>
        <w:t>（</w:t>
      </w:r>
      <w:r w:rsidRPr="004C59BB">
        <w:rPr>
          <w:color w:val="0000FF"/>
        </w:rPr>
        <w:t>收录于塞浦路斯《书信集》LXXV</w:t>
      </w:r>
      <w:r w:rsidRPr="0097554A">
        <w:rPr>
          <w:color w:val="0000FF"/>
          <w:lang w:val="el-GR"/>
        </w:rPr>
        <w:t>）；</w:t>
      </w:r>
      <w:r w:rsidRPr="004C59BB">
        <w:rPr>
          <w:color w:val="0000FF"/>
        </w:rPr>
        <w:t>亚他那修大主教</w:t>
      </w:r>
      <w:r w:rsidRPr="0097554A">
        <w:rPr>
          <w:color w:val="0000FF"/>
          <w:lang w:val="el-GR"/>
        </w:rPr>
        <w:t>，</w:t>
      </w:r>
      <w:r w:rsidRPr="004C59BB">
        <w:rPr>
          <w:color w:val="0000FF"/>
        </w:rPr>
        <w:t>《关于</w:t>
      </w:r>
      <w:r w:rsidRPr="0097554A">
        <w:rPr>
          <w:color w:val="0000FF"/>
          <w:lang w:val="el-GR"/>
        </w:rPr>
        <w:t>“</w:t>
      </w:r>
      <w:r w:rsidRPr="004C59BB">
        <w:rPr>
          <w:color w:val="0000FF"/>
        </w:rPr>
        <w:t>前往乡村</w:t>
      </w:r>
      <w:r w:rsidRPr="0097554A">
        <w:rPr>
          <w:color w:val="0000FF"/>
          <w:lang w:val="el-GR"/>
        </w:rPr>
        <w:t>”</w:t>
      </w:r>
      <w:r w:rsidRPr="004C59BB">
        <w:rPr>
          <w:color w:val="0000FF"/>
        </w:rPr>
        <w:t>的讲道》</w:t>
      </w:r>
      <w:r w:rsidRPr="0097554A">
        <w:rPr>
          <w:color w:val="0000FF"/>
          <w:lang w:val="el-GR"/>
        </w:rPr>
        <w:t>，</w:t>
      </w:r>
      <w:r w:rsidRPr="004C59BB">
        <w:rPr>
          <w:color w:val="0000FF"/>
        </w:rPr>
        <w:t>第</w:t>
      </w:r>
      <w:r w:rsidRPr="0097554A">
        <w:rPr>
          <w:color w:val="0000FF"/>
          <w:lang w:val="el-GR"/>
        </w:rPr>
        <w:t>7</w:t>
      </w:r>
      <w:r w:rsidRPr="004C59BB">
        <w:rPr>
          <w:color w:val="0000FF"/>
        </w:rPr>
        <w:t>节</w:t>
      </w:r>
      <w:r w:rsidRPr="0097554A">
        <w:rPr>
          <w:color w:val="0000FF"/>
          <w:lang w:val="el-GR"/>
        </w:rPr>
        <w:t>；</w:t>
      </w:r>
      <w:r w:rsidRPr="004C59BB">
        <w:rPr>
          <w:color w:val="0000FF"/>
        </w:rPr>
        <w:t>安布罗斯《论忏悔》</w:t>
      </w:r>
      <w:r w:rsidRPr="0097554A">
        <w:rPr>
          <w:color w:val="0000FF"/>
          <w:lang w:val="el-GR"/>
        </w:rPr>
        <w:t>11</w:t>
      </w:r>
      <w:r w:rsidRPr="004C59BB">
        <w:rPr>
          <w:color w:val="0000FF"/>
        </w:rPr>
        <w:t>、</w:t>
      </w:r>
      <w:r w:rsidRPr="0097554A">
        <w:rPr>
          <w:color w:val="0000FF"/>
          <w:lang w:val="el-GR"/>
        </w:rPr>
        <w:t>2</w:t>
      </w:r>
      <w:r w:rsidRPr="004C59BB">
        <w:rPr>
          <w:color w:val="0000FF"/>
        </w:rPr>
        <w:t>。</w:t>
      </w:r>
    </w:p>
  </w:footnote>
  <w:footnote w:id="1358">
    <w:p w14:paraId="71B9F3ED" w14:textId="1CA79C6C"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奥利金</w:t>
      </w:r>
      <w:r w:rsidRPr="0097554A">
        <w:rPr>
          <w:color w:val="0000FF"/>
          <w:lang w:val="el-GR"/>
        </w:rPr>
        <w:t>，</w:t>
      </w:r>
      <w:r w:rsidRPr="004C59BB">
        <w:rPr>
          <w:color w:val="0000FF"/>
        </w:rPr>
        <w:t>《民数记讲道集》第X篇</w:t>
      </w:r>
      <w:r w:rsidRPr="0097554A">
        <w:rPr>
          <w:color w:val="0000FF"/>
          <w:lang w:val="el-GR"/>
        </w:rPr>
        <w:t>，</w:t>
      </w:r>
      <w:r w:rsidRPr="004C59BB">
        <w:rPr>
          <w:color w:val="0000FF"/>
        </w:rPr>
        <w:t>第</w:t>
      </w:r>
      <w:r w:rsidRPr="0097554A">
        <w:rPr>
          <w:color w:val="0000FF"/>
          <w:lang w:val="el-GR"/>
        </w:rPr>
        <w:t>1</w:t>
      </w:r>
      <w:r w:rsidRPr="004C59BB">
        <w:rPr>
          <w:color w:val="0000FF"/>
        </w:rPr>
        <w:t>节</w:t>
      </w:r>
      <w:r w:rsidRPr="0097554A">
        <w:rPr>
          <w:color w:val="0000FF"/>
          <w:lang w:val="el-GR"/>
        </w:rPr>
        <w:t>；</w:t>
      </w:r>
      <w:r w:rsidRPr="004C59BB">
        <w:rPr>
          <w:color w:val="0000FF"/>
        </w:rPr>
        <w:t>雅各</w:t>
      </w:r>
      <w:r w:rsidRPr="0097554A">
        <w:rPr>
          <w:color w:val="0000FF"/>
          <w:lang w:val="el-GR"/>
        </w:rPr>
        <w:t>·</w:t>
      </w:r>
      <w:r w:rsidRPr="004C59BB">
        <w:rPr>
          <w:color w:val="0000FF"/>
        </w:rPr>
        <w:t>尼西布</w:t>
      </w:r>
      <w:r w:rsidRPr="0097554A">
        <w:rPr>
          <w:color w:val="0000FF"/>
          <w:lang w:val="el-GR"/>
        </w:rPr>
        <w:t>，</w:t>
      </w:r>
      <w:r w:rsidRPr="004C59BB">
        <w:rPr>
          <w:color w:val="0000FF"/>
        </w:rPr>
        <w:t>《论忏悔》第七篇讲道</w:t>
      </w:r>
      <w:r w:rsidRPr="0097554A">
        <w:rPr>
          <w:color w:val="0000FF"/>
          <w:lang w:val="el-GR"/>
        </w:rPr>
        <w:t>；</w:t>
      </w:r>
      <w:r w:rsidRPr="004C59BB">
        <w:rPr>
          <w:color w:val="0000FF"/>
        </w:rPr>
        <w:t>耶罗尼姆</w:t>
      </w:r>
      <w:r w:rsidRPr="0097554A">
        <w:rPr>
          <w:color w:val="0000FF"/>
          <w:lang w:val="el-GR"/>
        </w:rPr>
        <w:t>，</w:t>
      </w:r>
      <w:r w:rsidRPr="004C59BB">
        <w:rPr>
          <w:color w:val="0000FF"/>
        </w:rPr>
        <w:t>《马太福音》第XVI章</w:t>
      </w:r>
      <w:r w:rsidRPr="0097554A">
        <w:rPr>
          <w:color w:val="0000FF"/>
          <w:lang w:val="el-GR"/>
        </w:rPr>
        <w:t>，</w:t>
      </w:r>
      <w:r w:rsidRPr="004C59BB">
        <w:rPr>
          <w:color w:val="0000FF"/>
        </w:rPr>
        <w:t>第</w:t>
      </w:r>
      <w:r w:rsidRPr="0097554A">
        <w:rPr>
          <w:color w:val="0000FF"/>
          <w:lang w:val="el-GR"/>
        </w:rPr>
        <w:t>19</w:t>
      </w:r>
      <w:r w:rsidRPr="004C59BB">
        <w:rPr>
          <w:color w:val="0000FF"/>
        </w:rPr>
        <w:t>节</w:t>
      </w:r>
      <w:r w:rsidRPr="0097554A">
        <w:rPr>
          <w:color w:val="0000FF"/>
          <w:lang w:val="el-GR"/>
        </w:rPr>
        <w:t>；</w:t>
      </w:r>
      <w:r w:rsidRPr="004C59BB">
        <w:rPr>
          <w:color w:val="0000FF"/>
        </w:rPr>
        <w:t>狄奥多里特</w:t>
      </w:r>
      <w:r w:rsidRPr="0097554A">
        <w:rPr>
          <w:color w:val="0000FF"/>
          <w:lang w:val="el-GR"/>
        </w:rPr>
        <w:t>，</w:t>
      </w:r>
      <w:r w:rsidRPr="004C59BB">
        <w:rPr>
          <w:color w:val="0000FF"/>
        </w:rPr>
        <w:t>《出埃及记讲道集》第十五问。</w:t>
      </w:r>
    </w:p>
  </w:footnote>
  <w:footnote w:id="1359">
    <w:p w14:paraId="5381F787" w14:textId="4784D605"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《约伯记》第</w:t>
      </w:r>
      <w:r w:rsidRPr="0097554A">
        <w:rPr>
          <w:color w:val="0000FF"/>
          <w:lang w:val="el-GR"/>
        </w:rPr>
        <w:t>20</w:t>
      </w:r>
      <w:r w:rsidRPr="004C59BB">
        <w:rPr>
          <w:color w:val="0000FF"/>
        </w:rPr>
        <w:t>章</w:t>
      </w:r>
      <w:r w:rsidRPr="0097554A">
        <w:rPr>
          <w:color w:val="0000FF"/>
          <w:lang w:val="el-GR"/>
        </w:rPr>
        <w:t>，</w:t>
      </w:r>
      <w:r w:rsidRPr="004C59BB">
        <w:rPr>
          <w:color w:val="0000FF"/>
        </w:rPr>
        <w:t>第</w:t>
      </w:r>
      <w:r w:rsidRPr="0097554A">
        <w:rPr>
          <w:color w:val="0000FF"/>
          <w:lang w:val="el-GR"/>
        </w:rPr>
        <w:t>23</w:t>
      </w:r>
      <w:r w:rsidRPr="004C59BB">
        <w:rPr>
          <w:color w:val="0000FF"/>
        </w:rPr>
        <w:t>节。</w:t>
      </w:r>
    </w:p>
  </w:footnote>
  <w:footnote w:id="1360">
    <w:p w14:paraId="700D0177" w14:textId="73A34FBA"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《论成年婚姻》</w:t>
      </w:r>
      <w:r w:rsidRPr="0097554A">
        <w:rPr>
          <w:color w:val="0000FF"/>
          <w:lang w:val="el-GR"/>
        </w:rPr>
        <w:t xml:space="preserve">11, 16, </w:t>
      </w:r>
      <w:r w:rsidRPr="004C59BB">
        <w:rPr>
          <w:color w:val="0000FF"/>
        </w:rPr>
        <w:t>n</w:t>
      </w:r>
      <w:r w:rsidRPr="0097554A">
        <w:rPr>
          <w:color w:val="0000FF"/>
          <w:lang w:val="el-GR"/>
        </w:rPr>
        <w:t>. 16</w:t>
      </w:r>
      <w:r w:rsidRPr="004C59BB">
        <w:rPr>
          <w:color w:val="0000FF"/>
        </w:rPr>
        <w:t>。参见</w:t>
      </w:r>
      <w:r w:rsidRPr="0097554A">
        <w:rPr>
          <w:color w:val="0000FF"/>
          <w:lang w:val="el-GR"/>
        </w:rPr>
        <w:t>：</w:t>
      </w:r>
      <w:r w:rsidRPr="004C59BB">
        <w:rPr>
          <w:color w:val="0000FF"/>
        </w:rPr>
        <w:t>特土良</w:t>
      </w:r>
      <w:r w:rsidRPr="0097554A">
        <w:rPr>
          <w:color w:val="0000FF"/>
          <w:lang w:val="el-GR"/>
        </w:rPr>
        <w:t>，</w:t>
      </w:r>
      <w:r w:rsidRPr="004C59BB">
        <w:rPr>
          <w:color w:val="0000FF"/>
        </w:rPr>
        <w:t>《论忏悔》第</w:t>
      </w:r>
      <w:r w:rsidRPr="0097554A">
        <w:rPr>
          <w:color w:val="0000FF"/>
          <w:lang w:val="el-GR"/>
        </w:rPr>
        <w:t>7</w:t>
      </w:r>
      <w:r w:rsidRPr="004C59BB">
        <w:rPr>
          <w:color w:val="0000FF"/>
        </w:rPr>
        <w:t>章</w:t>
      </w:r>
      <w:r w:rsidRPr="0097554A">
        <w:rPr>
          <w:color w:val="0000FF"/>
          <w:lang w:val="el-GR"/>
        </w:rPr>
        <w:t>，12</w:t>
      </w:r>
      <w:r w:rsidRPr="004C59BB">
        <w:rPr>
          <w:color w:val="0000FF"/>
        </w:rPr>
        <w:t>节。</w:t>
      </w:r>
    </w:p>
  </w:footnote>
  <w:footnote w:id="1361">
    <w:p w14:paraId="203D08D0" w14:textId="4FA6897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《论失足者》第XXXV章</w:t>
      </w:r>
      <w:r w:rsidRPr="0097554A">
        <w:rPr>
          <w:color w:val="0000FF"/>
          <w:lang w:val="el-GR"/>
        </w:rPr>
        <w:t>，</w:t>
      </w:r>
      <w:r w:rsidRPr="004C59BB">
        <w:rPr>
          <w:color w:val="0000FF"/>
        </w:rPr>
        <w:t>见《教父文集》综合版第IV</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492</w:t>
      </w:r>
      <w:r w:rsidRPr="004C59BB">
        <w:rPr>
          <w:color w:val="0000FF"/>
          <w:lang w:val="ru-RU"/>
        </w:rPr>
        <w:t>页。</w:t>
      </w:r>
    </w:p>
  </w:footnote>
  <w:footnote w:id="1362">
    <w:p w14:paraId="4480CAF1" w14:textId="12F420B4"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《论悔改》</w:t>
      </w:r>
      <w:r w:rsidRPr="004C59BB">
        <w:rPr>
          <w:color w:val="0000FF"/>
        </w:rPr>
        <w:t>第三</w:t>
      </w:r>
      <w:r w:rsidRPr="004C59BB">
        <w:rPr>
          <w:color w:val="0000FF"/>
          <w:lang w:val="ru-RU"/>
        </w:rPr>
        <w:t>篇</w:t>
      </w:r>
      <w:r w:rsidRPr="0097554A">
        <w:rPr>
          <w:color w:val="0000FF"/>
          <w:lang w:val="el-GR"/>
        </w:rPr>
        <w:t>，</w:t>
      </w:r>
      <w:r w:rsidRPr="004C59BB">
        <w:rPr>
          <w:color w:val="0000FF"/>
          <w:lang w:val="ru-RU"/>
        </w:rPr>
        <w:t>第</w:t>
      </w:r>
      <w:r w:rsidRPr="0097554A">
        <w:rPr>
          <w:color w:val="0000FF"/>
          <w:lang w:val="el-GR"/>
        </w:rPr>
        <w:t>13</w:t>
      </w:r>
      <w:r w:rsidRPr="004C59BB">
        <w:rPr>
          <w:color w:val="0000FF"/>
          <w:lang w:val="ru-RU"/>
        </w:rPr>
        <w:t>节</w:t>
      </w:r>
      <w:r w:rsidRPr="0097554A">
        <w:rPr>
          <w:color w:val="0000FF"/>
          <w:lang w:val="el-GR"/>
        </w:rPr>
        <w:t>，</w:t>
      </w:r>
      <w:r w:rsidRPr="004C59BB">
        <w:rPr>
          <w:color w:val="0000FF"/>
          <w:lang w:val="ru-RU"/>
        </w:rPr>
        <w:t>载于《致安提阿民众的讲道集》</w:t>
      </w:r>
      <w:r w:rsidRPr="004C59BB">
        <w:rPr>
          <w:color w:val="0000FF"/>
        </w:rPr>
        <w:t>第二卷</w:t>
      </w:r>
      <w:r w:rsidRPr="0097554A">
        <w:rPr>
          <w:color w:val="0000FF"/>
          <w:lang w:val="el-GR"/>
        </w:rPr>
        <w:t>，</w:t>
      </w:r>
      <w:r w:rsidRPr="004C59BB">
        <w:rPr>
          <w:color w:val="0000FF"/>
          <w:lang w:val="ru-RU"/>
        </w:rPr>
        <w:t>第</w:t>
      </w:r>
      <w:r w:rsidRPr="0097554A">
        <w:rPr>
          <w:color w:val="0000FF"/>
          <w:lang w:val="el-GR"/>
        </w:rPr>
        <w:t>320–321</w:t>
      </w:r>
      <w:r w:rsidRPr="004C59BB">
        <w:rPr>
          <w:color w:val="0000FF"/>
          <w:lang w:val="ru-RU"/>
        </w:rPr>
        <w:t>页</w:t>
      </w:r>
      <w:r w:rsidRPr="0097554A">
        <w:rPr>
          <w:color w:val="0000FF"/>
          <w:lang w:val="el-GR"/>
        </w:rPr>
        <w:t>，</w:t>
      </w:r>
      <w:r w:rsidRPr="004C59BB">
        <w:rPr>
          <w:color w:val="0000FF"/>
          <w:lang w:val="ru-RU"/>
        </w:rPr>
        <w:t>圣彼得堡</w:t>
      </w:r>
      <w:r w:rsidRPr="0097554A">
        <w:rPr>
          <w:color w:val="0000FF"/>
          <w:lang w:val="el-GR"/>
        </w:rPr>
        <w:t>，1850</w:t>
      </w:r>
      <w:r w:rsidRPr="004C59BB">
        <w:rPr>
          <w:color w:val="0000FF"/>
          <w:lang w:val="ru-RU"/>
        </w:rPr>
        <w:t>年。</w:t>
      </w:r>
    </w:p>
  </w:footnote>
  <w:footnote w:id="1363">
    <w:p w14:paraId="539523AE" w14:textId="5AE2C6B1"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《关于自身的诗篇》</w:t>
      </w:r>
      <w:r w:rsidRPr="0097554A">
        <w:rPr>
          <w:color w:val="0000FF"/>
          <w:lang w:val="el-GR"/>
        </w:rPr>
        <w:t>，</w:t>
      </w:r>
      <w:r w:rsidRPr="004C59BB">
        <w:rPr>
          <w:color w:val="0000FF"/>
          <w:lang w:val="ru-RU"/>
        </w:rPr>
        <w:t>载于《圣教父文集》</w:t>
      </w:r>
      <w:r w:rsidRPr="004C59BB">
        <w:rPr>
          <w:color w:val="0000FF"/>
        </w:rPr>
        <w:t>第四卷</w:t>
      </w:r>
      <w:r w:rsidRPr="0097554A">
        <w:rPr>
          <w:color w:val="0000FF"/>
          <w:lang w:val="el-GR"/>
        </w:rPr>
        <w:t>，</w:t>
      </w:r>
      <w:r w:rsidRPr="004C59BB">
        <w:rPr>
          <w:color w:val="0000FF"/>
          <w:lang w:val="ru-RU"/>
        </w:rPr>
        <w:t>第</w:t>
      </w:r>
      <w:r w:rsidRPr="0097554A">
        <w:rPr>
          <w:color w:val="0000FF"/>
          <w:lang w:val="el-GR"/>
        </w:rPr>
        <w:t>291</w:t>
      </w:r>
      <w:r w:rsidRPr="004C59BB">
        <w:rPr>
          <w:color w:val="0000FF"/>
          <w:lang w:val="ru-RU"/>
        </w:rPr>
        <w:t>页。</w:t>
      </w:r>
    </w:p>
  </w:footnote>
  <w:footnote w:id="1364">
    <w:p w14:paraId="2884839B" w14:textId="76AB0D58"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《道德准则》第</w:t>
      </w:r>
      <w:r w:rsidRPr="0097554A">
        <w:rPr>
          <w:color w:val="0000FF"/>
          <w:lang w:val="el-GR"/>
        </w:rPr>
        <w:t>1</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3</w:t>
      </w:r>
      <w:r w:rsidRPr="004C59BB">
        <w:rPr>
          <w:color w:val="0000FF"/>
          <w:lang w:val="ru-RU"/>
        </w:rPr>
        <w:t>章</w:t>
      </w:r>
      <w:r w:rsidRPr="0097554A">
        <w:rPr>
          <w:color w:val="0000FF"/>
          <w:lang w:val="el-GR"/>
        </w:rPr>
        <w:t>，</w:t>
      </w:r>
      <w:r w:rsidRPr="004C59BB">
        <w:rPr>
          <w:color w:val="0000FF"/>
          <w:lang w:val="ru-RU"/>
        </w:rPr>
        <w:t>同上</w:t>
      </w:r>
      <w:r w:rsidRPr="0097554A">
        <w:rPr>
          <w:color w:val="0000FF"/>
          <w:lang w:val="el-GR"/>
        </w:rPr>
        <w:t>，</w:t>
      </w:r>
      <w:r w:rsidRPr="004C59BB">
        <w:rPr>
          <w:color w:val="0000FF"/>
        </w:rPr>
        <w:t>第VII卷</w:t>
      </w:r>
      <w:r w:rsidRPr="0097554A">
        <w:rPr>
          <w:color w:val="0000FF"/>
          <w:lang w:val="el-GR"/>
        </w:rPr>
        <w:t>，</w:t>
      </w:r>
      <w:r w:rsidRPr="004C59BB">
        <w:rPr>
          <w:color w:val="0000FF"/>
          <w:lang w:val="ru-RU"/>
        </w:rPr>
        <w:t>第</w:t>
      </w:r>
      <w:r w:rsidRPr="0097554A">
        <w:rPr>
          <w:color w:val="0000FF"/>
          <w:lang w:val="el-GR"/>
        </w:rPr>
        <w:t>360</w:t>
      </w:r>
      <w:r w:rsidRPr="004C59BB">
        <w:rPr>
          <w:color w:val="0000FF"/>
          <w:lang w:val="ru-RU"/>
        </w:rPr>
        <w:t>页。</w:t>
      </w:r>
    </w:p>
  </w:footnote>
  <w:footnote w:id="1365">
    <w:p w14:paraId="66E7BC55" w14:textId="0BBB4912"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《以赛亚书》第</w:t>
      </w:r>
      <w:r w:rsidRPr="0097554A">
        <w:rPr>
          <w:color w:val="0000FF"/>
          <w:lang w:val="el-GR"/>
        </w:rPr>
        <w:t>15</w:t>
      </w:r>
      <w:r w:rsidRPr="004C59BB">
        <w:rPr>
          <w:color w:val="0000FF"/>
          <w:lang w:val="ru-RU"/>
        </w:rPr>
        <w:t>章注释</w:t>
      </w:r>
      <w:r w:rsidRPr="0097554A">
        <w:rPr>
          <w:color w:val="0000FF"/>
          <w:lang w:val="el-GR"/>
        </w:rPr>
        <w:t>，</w:t>
      </w:r>
      <w:r w:rsidRPr="004C59BB">
        <w:rPr>
          <w:color w:val="0000FF"/>
          <w:lang w:val="ru-RU"/>
        </w:rPr>
        <w:t>同上</w:t>
      </w:r>
      <w:r w:rsidRPr="0097554A">
        <w:rPr>
          <w:color w:val="0000FF"/>
          <w:lang w:val="el-GR"/>
        </w:rPr>
        <w:t>，</w:t>
      </w:r>
      <w:r w:rsidRPr="004C59BB">
        <w:rPr>
          <w:color w:val="0000FF"/>
        </w:rPr>
        <w:t>第六卷</w:t>
      </w:r>
      <w:r w:rsidRPr="0097554A">
        <w:rPr>
          <w:color w:val="0000FF"/>
          <w:lang w:val="el-GR"/>
        </w:rPr>
        <w:t>，</w:t>
      </w:r>
      <w:r w:rsidRPr="004C59BB">
        <w:rPr>
          <w:color w:val="0000FF"/>
          <w:lang w:val="ru-RU"/>
        </w:rPr>
        <w:t>第</w:t>
      </w:r>
      <w:r w:rsidRPr="0097554A">
        <w:rPr>
          <w:color w:val="0000FF"/>
          <w:lang w:val="el-GR"/>
        </w:rPr>
        <w:t>422</w:t>
      </w:r>
      <w:r w:rsidRPr="004C59BB">
        <w:rPr>
          <w:color w:val="0000FF"/>
          <w:lang w:val="ru-RU"/>
        </w:rPr>
        <w:t>页。</w:t>
      </w:r>
    </w:p>
  </w:footnote>
  <w:footnote w:id="1366">
    <w:p w14:paraId="2305DAFC" w14:textId="45A7B67D"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当你犯罪时</w:t>
      </w:r>
      <w:r w:rsidRPr="0097554A">
        <w:rPr>
          <w:color w:val="0000FF"/>
          <w:lang w:val="el-GR"/>
        </w:rPr>
        <w:t>，</w:t>
      </w:r>
      <w:r w:rsidRPr="004C59BB">
        <w:rPr>
          <w:color w:val="0000FF"/>
          <w:lang w:val="ru-RU"/>
        </w:rPr>
        <w:t>不要为将要受到的惩罚而哭泣和哀号</w:t>
      </w:r>
      <w:r w:rsidRPr="0097554A">
        <w:rPr>
          <w:color w:val="0000FF"/>
          <w:lang w:val="el-GR"/>
        </w:rPr>
        <w:t>，</w:t>
      </w:r>
      <w:r w:rsidRPr="004C59BB">
        <w:rPr>
          <w:color w:val="0000FF"/>
          <w:lang w:val="ru-RU"/>
        </w:rPr>
        <w:t>因为这毫无意义</w:t>
      </w:r>
      <w:r w:rsidRPr="0097554A">
        <w:rPr>
          <w:color w:val="0000FF"/>
          <w:lang w:val="el-GR"/>
        </w:rPr>
        <w:t>；</w:t>
      </w:r>
      <w:r w:rsidRPr="004C59BB">
        <w:rPr>
          <w:color w:val="0000FF"/>
          <w:lang w:val="ru-RU"/>
        </w:rPr>
        <w:t>而要为冒犯了你的主而痛哭</w:t>
      </w:r>
      <w:r w:rsidRPr="0097554A">
        <w:rPr>
          <w:color w:val="0000FF"/>
          <w:lang w:val="el-GR"/>
        </w:rPr>
        <w:t>，</w:t>
      </w:r>
      <w:r w:rsidRPr="004C59BB">
        <w:rPr>
          <w:color w:val="0000FF"/>
          <w:lang w:val="ru-RU"/>
        </w:rPr>
        <w:t>祂是如此温和</w:t>
      </w:r>
      <w:r w:rsidRPr="0097554A">
        <w:rPr>
          <w:color w:val="0000FF"/>
          <w:lang w:val="el-GR"/>
        </w:rPr>
        <w:t>，</w:t>
      </w:r>
      <w:r w:rsidRPr="004C59BB">
        <w:rPr>
          <w:color w:val="0000FF"/>
          <w:lang w:val="ru-RU"/>
        </w:rPr>
        <w:t>如此爱你</w:t>
      </w:r>
      <w:r w:rsidRPr="0097554A">
        <w:rPr>
          <w:color w:val="0000FF"/>
          <w:lang w:val="el-GR"/>
        </w:rPr>
        <w:t>，</w:t>
      </w:r>
      <w:r w:rsidRPr="004C59BB">
        <w:rPr>
          <w:color w:val="0000FF"/>
          <w:lang w:val="ru-RU"/>
        </w:rPr>
        <w:t>如此关心你的得救</w:t>
      </w:r>
      <w:r w:rsidRPr="0097554A">
        <w:rPr>
          <w:color w:val="0000FF"/>
          <w:lang w:val="el-GR"/>
        </w:rPr>
        <w:t>，</w:t>
      </w:r>
      <w:r w:rsidRPr="004C59BB">
        <w:rPr>
          <w:color w:val="0000FF"/>
          <w:lang w:val="ru-RU"/>
        </w:rPr>
        <w:t>甚至为你舍弃了祂的儿子。</w:t>
      </w:r>
      <w:r w:rsidRPr="0097554A">
        <w:rPr>
          <w:color w:val="0000FF"/>
          <w:lang w:val="el-GR"/>
        </w:rPr>
        <w:t xml:space="preserve"> </w:t>
      </w:r>
      <w:r w:rsidRPr="004C59BB">
        <w:rPr>
          <w:color w:val="0000FF"/>
          <w:lang w:val="ru-RU"/>
        </w:rPr>
        <w:t>这才是你应当为此哭泣、哀号</w:t>
      </w:r>
      <w:r w:rsidRPr="0097554A">
        <w:rPr>
          <w:color w:val="0000FF"/>
          <w:lang w:val="el-GR"/>
        </w:rPr>
        <w:t>，</w:t>
      </w:r>
      <w:r w:rsidRPr="004C59BB">
        <w:rPr>
          <w:color w:val="0000FF"/>
          <w:lang w:val="ru-RU"/>
        </w:rPr>
        <w:t>并且不断哭泣的原因。因为这正是忏悔的真谛</w:t>
      </w:r>
      <w:r w:rsidRPr="0097554A">
        <w:rPr>
          <w:color w:val="0000FF"/>
          <w:lang w:val="el-GR"/>
        </w:rPr>
        <w:t>”（</w:t>
      </w:r>
      <w:r w:rsidRPr="004C59BB">
        <w:rPr>
          <w:color w:val="0000FF"/>
          <w:lang w:val="ru-RU"/>
        </w:rPr>
        <w:t>金口若望《哥林多后书讲道集》</w:t>
      </w:r>
      <w:r w:rsidRPr="004C59BB">
        <w:rPr>
          <w:color w:val="0000FF"/>
        </w:rPr>
        <w:t>第四卷</w:t>
      </w:r>
      <w:r w:rsidRPr="0097554A">
        <w:rPr>
          <w:color w:val="0000FF"/>
          <w:lang w:val="el-GR"/>
        </w:rPr>
        <w:t>，</w:t>
      </w:r>
      <w:r w:rsidRPr="004C59BB">
        <w:rPr>
          <w:color w:val="0000FF"/>
          <w:lang w:val="ru-RU"/>
        </w:rPr>
        <w:t>第</w:t>
      </w:r>
      <w:r w:rsidRPr="0097554A">
        <w:rPr>
          <w:color w:val="0000FF"/>
          <w:lang w:val="el-GR"/>
        </w:rPr>
        <w:t>120</w:t>
      </w:r>
      <w:r w:rsidRPr="004C59BB">
        <w:rPr>
          <w:color w:val="0000FF"/>
          <w:lang w:val="ru-RU"/>
        </w:rPr>
        <w:t>页</w:t>
      </w:r>
      <w:r w:rsidRPr="0097554A">
        <w:rPr>
          <w:color w:val="0000FF"/>
          <w:lang w:val="el-GR"/>
        </w:rPr>
        <w:t>，</w:t>
      </w:r>
      <w:r w:rsidRPr="004C59BB">
        <w:rPr>
          <w:color w:val="0000FF"/>
          <w:lang w:val="ru-RU"/>
        </w:rPr>
        <w:t>莫斯科</w:t>
      </w:r>
      <w:r w:rsidRPr="0097554A">
        <w:rPr>
          <w:color w:val="0000FF"/>
          <w:lang w:val="el-GR"/>
        </w:rPr>
        <w:t>，1843</w:t>
      </w:r>
      <w:r w:rsidRPr="004C59BB">
        <w:rPr>
          <w:color w:val="0000FF"/>
          <w:lang w:val="ru-RU"/>
        </w:rPr>
        <w:t>年</w:t>
      </w:r>
      <w:r w:rsidRPr="0097554A">
        <w:rPr>
          <w:color w:val="0000FF"/>
          <w:lang w:val="el-GR"/>
        </w:rPr>
        <w:t>）</w:t>
      </w:r>
      <w:r w:rsidRPr="004C59BB">
        <w:rPr>
          <w:color w:val="0000FF"/>
          <w:lang w:val="ru-RU"/>
        </w:rPr>
        <w:t>。</w:t>
      </w:r>
    </w:p>
  </w:footnote>
  <w:footnote w:id="1367">
    <w:p w14:paraId="1C6E86A4" w14:textId="6CA8D955" w:rsidR="00254F25" w:rsidRPr="004C59BB" w:rsidRDefault="00000000">
      <w:pPr>
        <w:pStyle w:val="FootnoteText"/>
        <w:rPr>
          <w:color w:val="0000FF"/>
        </w:rPr>
      </w:pPr>
      <w:r w:rsidRPr="004C59BB">
        <w:rPr>
          <w:rStyle w:val="FootnoteReference"/>
          <w:color w:val="0000FF"/>
        </w:rPr>
        <w:footnoteRef/>
      </w:r>
      <w:r w:rsidRPr="0097554A">
        <w:rPr>
          <w:color w:val="0000FF"/>
          <w:lang w:val="el-GR"/>
        </w:rPr>
        <w:t xml:space="preserve"> </w:t>
      </w:r>
      <w:r w:rsidRPr="004C59BB">
        <w:rPr>
          <w:color w:val="0000FF"/>
        </w:rPr>
        <w:t>那种尚未纯洁的恐惧</w:t>
      </w:r>
      <w:r w:rsidRPr="0097554A">
        <w:rPr>
          <w:color w:val="0000FF"/>
          <w:lang w:val="el-GR"/>
        </w:rPr>
        <w:t>，</w:t>
      </w:r>
      <w:r w:rsidRPr="004C59BB">
        <w:rPr>
          <w:color w:val="0000FF"/>
        </w:rPr>
        <w:t>是因惧怕</w:t>
      </w:r>
      <w:r w:rsidRPr="0097554A">
        <w:rPr>
          <w:color w:val="0000FF"/>
          <w:lang w:val="el-GR"/>
        </w:rPr>
        <w:t>（</w:t>
      </w:r>
      <w:r w:rsidRPr="004C59BB">
        <w:rPr>
          <w:color w:val="0000FF"/>
        </w:rPr>
        <w:t>主的</w:t>
      </w:r>
      <w:r w:rsidRPr="0097554A">
        <w:rPr>
          <w:color w:val="0000FF"/>
          <w:lang w:val="el-GR"/>
        </w:rPr>
        <w:t>）</w:t>
      </w:r>
      <w:r w:rsidRPr="004C59BB">
        <w:rPr>
          <w:color w:val="0000FF"/>
        </w:rPr>
        <w:t>临在与刑罚</w:t>
      </w:r>
      <w:r w:rsidRPr="0097554A">
        <w:rPr>
          <w:color w:val="0000FF"/>
          <w:lang w:val="el-GR"/>
        </w:rPr>
        <w:t>……</w:t>
      </w:r>
      <w:r w:rsidRPr="004C59BB">
        <w:rPr>
          <w:color w:val="0000FF"/>
        </w:rPr>
        <w:t>它并非害怕失去最美新郎的拥抱</w:t>
      </w:r>
      <w:r w:rsidRPr="0097554A">
        <w:rPr>
          <w:color w:val="0000FF"/>
          <w:lang w:val="el-GR"/>
        </w:rPr>
        <w:t>，</w:t>
      </w:r>
      <w:r w:rsidRPr="004C59BB">
        <w:rPr>
          <w:color w:val="0000FF"/>
        </w:rPr>
        <w:t>而是害怕被投入地狱。这种恐惧也是好的，是有益的。（奥古斯丁，《诗篇讲义》第127篇，第8节）。 因此，必须先让敬畏进入，借此使仁爱随之而来。敬畏是良药，仁爱是健康。（奥古斯丁，《约翰一书讲道集》第九篇，第4节）。</w:t>
      </w:r>
    </w:p>
  </w:footnote>
  <w:footnote w:id="1368">
    <w:p w14:paraId="078A51CB" w14:textId="20A99FEB"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正如火焰降临在物质上时</w:t>
      </w:r>
      <w:r w:rsidRPr="0097554A">
        <w:rPr>
          <w:color w:val="0000FF"/>
        </w:rPr>
        <w:t>，</w:t>
      </w:r>
      <w:r w:rsidRPr="004C59BB">
        <w:rPr>
          <w:color w:val="0000FF"/>
          <w:lang w:val="ru-RU"/>
        </w:rPr>
        <w:t>通常会将一切吞噬殆尽</w:t>
      </w:r>
      <w:r w:rsidRPr="0097554A">
        <w:rPr>
          <w:color w:val="0000FF"/>
        </w:rPr>
        <w:t>；</w:t>
      </w:r>
      <w:r w:rsidRPr="004C59BB">
        <w:rPr>
          <w:color w:val="0000FF"/>
          <w:lang w:val="ru-RU"/>
        </w:rPr>
        <w:t>同样</w:t>
      </w:r>
      <w:r w:rsidRPr="0097554A">
        <w:rPr>
          <w:color w:val="0000FF"/>
        </w:rPr>
        <w:t>，</w:t>
      </w:r>
      <w:r w:rsidRPr="004C59BB">
        <w:rPr>
          <w:color w:val="0000FF"/>
          <w:lang w:val="ru-RU"/>
        </w:rPr>
        <w:t>爱的火焰无论降临何处</w:t>
      </w:r>
      <w:r w:rsidRPr="0097554A">
        <w:rPr>
          <w:color w:val="0000FF"/>
        </w:rPr>
        <w:t>，</w:t>
      </w:r>
      <w:r w:rsidRPr="004C59BB">
        <w:rPr>
          <w:color w:val="0000FF"/>
          <w:lang w:val="ru-RU"/>
        </w:rPr>
        <w:t>都会将一切吞噬并抹去</w:t>
      </w:r>
      <w:r w:rsidRPr="0097554A">
        <w:rPr>
          <w:color w:val="0000FF"/>
        </w:rPr>
        <w:t>……</w:t>
      </w:r>
      <w:r w:rsidRPr="004C59BB">
        <w:rPr>
          <w:color w:val="0000FF"/>
          <w:lang w:val="ru-RU"/>
        </w:rPr>
        <w:t>哪里有爱</w:t>
      </w:r>
      <w:r w:rsidRPr="0097554A">
        <w:rPr>
          <w:color w:val="0000FF"/>
        </w:rPr>
        <w:t>，</w:t>
      </w:r>
      <w:r w:rsidRPr="004C59BB">
        <w:rPr>
          <w:color w:val="0000FF"/>
          <w:lang w:val="ru-RU"/>
        </w:rPr>
        <w:t>那里所有的罪孽便被消灭了。”（金口若望，《提摩太后书讲道集》</w:t>
      </w:r>
      <w:r w:rsidRPr="004C59BB">
        <w:rPr>
          <w:color w:val="0000FF"/>
        </w:rPr>
        <w:t>第七</w:t>
      </w:r>
      <w:r w:rsidRPr="004C59BB">
        <w:rPr>
          <w:color w:val="0000FF"/>
          <w:lang w:val="ru-RU"/>
        </w:rPr>
        <w:t>篇，第3段）。</w:t>
      </w:r>
    </w:p>
  </w:footnote>
  <w:footnote w:id="1369">
    <w:p w14:paraId="0831483C" w14:textId="7AD1072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《以赛亚书》1章14节注释，载于《圣教父著作集》</w:t>
      </w:r>
      <w:r w:rsidRPr="004C59BB">
        <w:rPr>
          <w:color w:val="0000FF"/>
        </w:rPr>
        <w:t>第六卷</w:t>
      </w:r>
      <w:r w:rsidRPr="004C59BB">
        <w:rPr>
          <w:color w:val="0000FF"/>
          <w:lang w:val="ru-RU"/>
        </w:rPr>
        <w:t>，第58、59页。</w:t>
      </w:r>
    </w:p>
  </w:footnote>
  <w:footnote w:id="1370">
    <w:p w14:paraId="262DD850" w14:textId="702012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《道德法则》第1卷，第4章，同上卷</w:t>
      </w:r>
      <w:r w:rsidRPr="004C59BB">
        <w:rPr>
          <w:color w:val="0000FF"/>
        </w:rPr>
        <w:t>第VII</w:t>
      </w:r>
      <w:r w:rsidRPr="004C59BB">
        <w:rPr>
          <w:color w:val="0000FF"/>
          <w:lang w:val="ru-RU"/>
        </w:rPr>
        <w:t>，361。</w:t>
      </w:r>
    </w:p>
  </w:footnote>
  <w:footnote w:id="1371">
    <w:p w14:paraId="4BDAA748" w14:textId="258D4F26"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甚至用更完善的善行来掩盖和遮蔽先前的过犯</w:t>
      </w:r>
      <w:r w:rsidRPr="0097554A">
        <w:rPr>
          <w:color w:val="0000FF"/>
          <w:lang w:val="ru-RU"/>
        </w:rPr>
        <w:t>，</w:t>
      </w:r>
      <w:r w:rsidRPr="004C59BB">
        <w:rPr>
          <w:color w:val="0000FF"/>
        </w:rPr>
        <w:t>以免罪过归咎于他</w:t>
      </w:r>
      <w:r w:rsidRPr="0097554A">
        <w:rPr>
          <w:color w:val="0000FF"/>
          <w:lang w:val="ru-RU"/>
        </w:rPr>
        <w:t>（</w:t>
      </w:r>
      <w:r w:rsidRPr="004C59BB">
        <w:rPr>
          <w:color w:val="0000FF"/>
        </w:rPr>
        <w:t>《论忏悔》第二卷</w:t>
      </w:r>
      <w:r w:rsidRPr="004C59BB">
        <w:rPr>
          <w:color w:val="0000FF"/>
          <w:lang w:val="ru-RU"/>
        </w:rPr>
        <w:t>，第五</w:t>
      </w:r>
      <w:r w:rsidRPr="004C59BB">
        <w:rPr>
          <w:color w:val="0000FF"/>
        </w:rPr>
        <w:t>章</w:t>
      </w:r>
      <w:r w:rsidRPr="004C59BB">
        <w:rPr>
          <w:color w:val="0000FF"/>
          <w:lang w:val="ru-RU"/>
        </w:rPr>
        <w:t>，第35节）。</w:t>
      </w:r>
    </w:p>
  </w:footnote>
  <w:footnote w:id="1372">
    <w:p w14:paraId="303F3D06" w14:textId="4AD6C3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须知，尽管早期教会中存在两种告解形式：一种是在全体教会成员面前进行的公开告解，另一种是在一位神父面前进行的私人告解；但在第一种形式中——即所有基督徒都在场聆听的告解——赦免或不赦免悔罪者罪过的权利，仅归属于牧者，这与第二种形式的情况相同。 因此，无论哪种情况，忏悔圣事的本质都始终未受影响。随着时间的推移，教会出于对子民的母性宽容，废除了公开忏悔的形式，但这丝毫没有改变圣事本身。</w:t>
      </w:r>
    </w:p>
  </w:footnote>
  <w:footnote w:id="1373">
    <w:p w14:paraId="0CB5EFBF" w14:textId="010B3E5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《反异端论》</w:t>
      </w:r>
      <w:r w:rsidRPr="0097554A">
        <w:rPr>
          <w:color w:val="0000FF"/>
          <w:lang w:val="ru-RU"/>
        </w:rPr>
        <w:t xml:space="preserve">1, 6, </w:t>
      </w:r>
      <w:r w:rsidRPr="004C59BB">
        <w:rPr>
          <w:color w:val="0000FF"/>
        </w:rPr>
        <w:t>n</w:t>
      </w:r>
      <w:r w:rsidRPr="0097554A">
        <w:rPr>
          <w:color w:val="0000FF"/>
          <w:lang w:val="ru-RU"/>
        </w:rPr>
        <w:t xml:space="preserve">. 3；13, </w:t>
      </w:r>
      <w:r w:rsidRPr="004C59BB">
        <w:rPr>
          <w:color w:val="0000FF"/>
        </w:rPr>
        <w:t>n</w:t>
      </w:r>
      <w:r w:rsidRPr="0097554A">
        <w:rPr>
          <w:color w:val="0000FF"/>
          <w:lang w:val="ru-RU"/>
        </w:rPr>
        <w:t>. 5, 7</w:t>
      </w:r>
      <w:r w:rsidRPr="004C59BB">
        <w:rPr>
          <w:color w:val="0000FF"/>
        </w:rPr>
        <w:t>。</w:t>
      </w:r>
    </w:p>
  </w:footnote>
  <w:footnote w:id="1374">
    <w:p w14:paraId="08589601" w14:textId="767F537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(1373) </w:t>
      </w:r>
      <w:r w:rsidRPr="004C59BB">
        <w:rPr>
          <w:color w:val="0000FF"/>
        </w:rPr>
        <w:t>《书信集》第十卷。</w:t>
      </w:r>
    </w:p>
  </w:footnote>
  <w:footnote w:id="1375">
    <w:p w14:paraId="3D509C59" w14:textId="1DBC2D3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(1374) </w:t>
      </w:r>
      <w:r w:rsidRPr="004C59BB">
        <w:rPr>
          <w:color w:val="0000FF"/>
        </w:rPr>
        <w:t>《论忏悔》第X章</w:t>
      </w:r>
      <w:r w:rsidRPr="0097554A">
        <w:rPr>
          <w:color w:val="0000FF"/>
          <w:lang w:val="ru-RU"/>
        </w:rPr>
        <w:t>；</w:t>
      </w:r>
      <w:r w:rsidRPr="004C59BB">
        <w:rPr>
          <w:color w:val="0000FF"/>
        </w:rPr>
        <w:t>参见第III章。</w:t>
      </w:r>
    </w:p>
  </w:footnote>
  <w:footnote w:id="1376">
    <w:p w14:paraId="15973E17" w14:textId="7CDB028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《论背教者》第XXVIII章。</w:t>
      </w:r>
    </w:p>
  </w:footnote>
  <w:footnote w:id="1377">
    <w:p w14:paraId="720869E7" w14:textId="2C5EB66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同上</w:t>
      </w:r>
      <w:r w:rsidRPr="0097554A">
        <w:rPr>
          <w:color w:val="0000FF"/>
          <w:lang w:val="ru-RU"/>
        </w:rPr>
        <w:t>，</w:t>
      </w:r>
      <w:r w:rsidRPr="004C59BB">
        <w:rPr>
          <w:color w:val="0000FF"/>
        </w:rPr>
        <w:t>第XXIX章。</w:t>
      </w:r>
    </w:p>
  </w:footnote>
  <w:footnote w:id="1378">
    <w:p w14:paraId="4C308A6F" w14:textId="595EAC7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《利未记讲道集》第十七篇。</w:t>
      </w:r>
    </w:p>
  </w:footnote>
  <w:footnote w:id="1379">
    <w:p w14:paraId="5C413BB9" w14:textId="73158FD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同上</w:t>
      </w:r>
      <w:r w:rsidRPr="0097554A">
        <w:rPr>
          <w:color w:val="0000FF"/>
          <w:lang w:val="ru-RU"/>
        </w:rPr>
        <w:t>：</w:t>
      </w:r>
      <w:r w:rsidRPr="004C59BB">
        <w:rPr>
          <w:color w:val="0000FF"/>
        </w:rPr>
        <w:t>参见《创世记讲道集》第XVII篇</w:t>
      </w:r>
      <w:r w:rsidRPr="0097554A">
        <w:rPr>
          <w:color w:val="0000FF"/>
          <w:lang w:val="ru-RU"/>
        </w:rPr>
        <w:t>，</w:t>
      </w:r>
      <w:r w:rsidRPr="004C59BB">
        <w:rPr>
          <w:color w:val="0000FF"/>
        </w:rPr>
        <w:t>第</w:t>
      </w:r>
      <w:r w:rsidRPr="0097554A">
        <w:rPr>
          <w:color w:val="0000FF"/>
          <w:lang w:val="ru-RU"/>
        </w:rPr>
        <w:t>3</w:t>
      </w:r>
      <w:r w:rsidRPr="004C59BB">
        <w:rPr>
          <w:color w:val="0000FF"/>
        </w:rPr>
        <w:t>、</w:t>
      </w:r>
      <w:r w:rsidRPr="0097554A">
        <w:rPr>
          <w:color w:val="0000FF"/>
          <w:lang w:val="ru-RU"/>
        </w:rPr>
        <w:t>9</w:t>
      </w:r>
      <w:r w:rsidRPr="004C59BB">
        <w:rPr>
          <w:color w:val="0000FF"/>
        </w:rPr>
        <w:t>节</w:t>
      </w:r>
      <w:r w:rsidRPr="0097554A">
        <w:rPr>
          <w:color w:val="0000FF"/>
          <w:lang w:val="ru-RU"/>
        </w:rPr>
        <w:t>；</w:t>
      </w:r>
      <w:r w:rsidRPr="004C59BB">
        <w:rPr>
          <w:color w:val="0000FF"/>
        </w:rPr>
        <w:t>《诗篇》第XXXVII篇</w:t>
      </w:r>
      <w:r w:rsidRPr="0097554A">
        <w:rPr>
          <w:color w:val="0000FF"/>
          <w:lang w:val="ru-RU"/>
        </w:rPr>
        <w:t>，</w:t>
      </w:r>
      <w:r w:rsidRPr="004C59BB">
        <w:rPr>
          <w:color w:val="0000FF"/>
        </w:rPr>
        <w:t>讲道集第二篇</w:t>
      </w:r>
      <w:r w:rsidRPr="0097554A">
        <w:rPr>
          <w:color w:val="0000FF"/>
          <w:lang w:val="ru-RU"/>
        </w:rPr>
        <w:t>，</w:t>
      </w:r>
      <w:r w:rsidRPr="004C59BB">
        <w:rPr>
          <w:color w:val="0000FF"/>
        </w:rPr>
        <w:t>第</w:t>
      </w:r>
      <w:r w:rsidRPr="0097554A">
        <w:rPr>
          <w:color w:val="0000FF"/>
          <w:lang w:val="ru-RU"/>
        </w:rPr>
        <w:t>6</w:t>
      </w:r>
      <w:r w:rsidRPr="004C59BB">
        <w:rPr>
          <w:color w:val="0000FF"/>
        </w:rPr>
        <w:t>节。</w:t>
      </w:r>
    </w:p>
  </w:footnote>
  <w:footnote w:id="1380">
    <w:p w14:paraId="47C7D1E2" w14:textId="34FB033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参见上文注释</w:t>
      </w:r>
      <w:r w:rsidRPr="0097554A">
        <w:rPr>
          <w:color w:val="0000FF"/>
          <w:lang w:val="ru-RU"/>
        </w:rPr>
        <w:t>1339–1341</w:t>
      </w:r>
      <w:r w:rsidRPr="004C59BB">
        <w:rPr>
          <w:color w:val="0000FF"/>
        </w:rPr>
        <w:t>。</w:t>
      </w:r>
    </w:p>
  </w:footnote>
  <w:footnote w:id="1381">
    <w:p w14:paraId="3BA2CCA3" w14:textId="12B0816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主在讲道中非常明确地吩咐</w:t>
      </w:r>
      <w:r w:rsidRPr="0097554A">
        <w:rPr>
          <w:color w:val="0000FF"/>
          <w:lang w:val="ru-RU"/>
        </w:rPr>
        <w:t>，</w:t>
      </w:r>
      <w:r w:rsidRPr="004C59BB">
        <w:rPr>
          <w:color w:val="0000FF"/>
        </w:rPr>
        <w:t>即便是犯下最严重罪行的罪人</w:t>
      </w:r>
      <w:r w:rsidRPr="0097554A">
        <w:rPr>
          <w:color w:val="0000FF"/>
          <w:lang w:val="ru-RU"/>
        </w:rPr>
        <w:t>，</w:t>
      </w:r>
      <w:r w:rsidRPr="004C59BB">
        <w:rPr>
          <w:color w:val="0000FF"/>
        </w:rPr>
        <w:t>只要他们发自内心并明确承认罪过而表示忏悔</w:t>
      </w:r>
      <w:r w:rsidRPr="0097554A">
        <w:rPr>
          <w:color w:val="0000FF"/>
          <w:lang w:val="ru-RU"/>
        </w:rPr>
        <w:t>，</w:t>
      </w:r>
      <w:r w:rsidRPr="004C59BB">
        <w:rPr>
          <w:color w:val="0000FF"/>
        </w:rPr>
        <w:t>就应获得天赐圣事的恩典</w:t>
      </w:r>
      <w:r w:rsidRPr="0097554A">
        <w:rPr>
          <w:color w:val="0000FF"/>
          <w:lang w:val="ru-RU"/>
        </w:rPr>
        <w:t>（</w:t>
      </w:r>
      <w:r w:rsidRPr="004C59BB">
        <w:rPr>
          <w:color w:val="0000FF"/>
        </w:rPr>
        <w:t>《论忏悔》</w:t>
      </w:r>
      <w:r w:rsidRPr="0097554A">
        <w:rPr>
          <w:color w:val="0000FF"/>
          <w:lang w:val="ru-RU"/>
        </w:rPr>
        <w:t>11, 3）</w:t>
      </w:r>
      <w:r w:rsidRPr="004C59BB">
        <w:rPr>
          <w:color w:val="0000FF"/>
        </w:rPr>
        <w:t>。</w:t>
      </w:r>
    </w:p>
  </w:footnote>
  <w:footnote w:id="1382">
    <w:p w14:paraId="0F29D52B" w14:textId="4275FD7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《论忏悔》第七篇</w:t>
      </w:r>
      <w:r w:rsidRPr="0097554A">
        <w:rPr>
          <w:color w:val="0000FF"/>
          <w:lang w:val="ru-RU"/>
        </w:rPr>
        <w:t>，</w:t>
      </w:r>
      <w:r w:rsidRPr="004C59BB">
        <w:rPr>
          <w:color w:val="0000FF"/>
        </w:rPr>
        <w:t>第</w:t>
      </w:r>
      <w:r w:rsidRPr="0097554A">
        <w:rPr>
          <w:color w:val="0000FF"/>
          <w:lang w:val="ru-RU"/>
        </w:rPr>
        <w:t>2</w:t>
      </w:r>
      <w:r w:rsidRPr="004C59BB">
        <w:rPr>
          <w:color w:val="0000FF"/>
        </w:rPr>
        <w:t>章</w:t>
      </w:r>
      <w:r w:rsidRPr="0097554A">
        <w:rPr>
          <w:color w:val="0000FF"/>
          <w:lang w:val="ru-RU"/>
        </w:rPr>
        <w:t>，</w:t>
      </w:r>
      <w:r w:rsidRPr="004C59BB">
        <w:rPr>
          <w:color w:val="0000FF"/>
        </w:rPr>
        <w:t>第</w:t>
      </w:r>
      <w:r w:rsidRPr="0097554A">
        <w:rPr>
          <w:color w:val="0000FF"/>
          <w:lang w:val="ru-RU"/>
        </w:rPr>
        <w:t>4</w:t>
      </w:r>
      <w:r w:rsidRPr="004C59BB">
        <w:rPr>
          <w:color w:val="0000FF"/>
        </w:rPr>
        <w:t>节。</w:t>
      </w:r>
    </w:p>
  </w:footnote>
  <w:footnote w:id="1383">
    <w:p w14:paraId="0500CA41" w14:textId="7E83486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《论那些对他人过于严厉的审判者》讲道集</w:t>
      </w:r>
      <w:r w:rsidRPr="0097554A">
        <w:rPr>
          <w:color w:val="0000FF"/>
          <w:lang w:val="ru-RU"/>
        </w:rPr>
        <w:t>，</w:t>
      </w:r>
      <w:r w:rsidRPr="004C59BB">
        <w:rPr>
          <w:color w:val="0000FF"/>
        </w:rPr>
        <w:t>载于《全集》第</w:t>
      </w:r>
      <w:r w:rsidRPr="0097554A">
        <w:rPr>
          <w:color w:val="0000FF"/>
          <w:lang w:val="ru-RU"/>
        </w:rPr>
        <w:t>11</w:t>
      </w:r>
      <w:r w:rsidRPr="004C59BB">
        <w:rPr>
          <w:color w:val="0000FF"/>
        </w:rPr>
        <w:t>卷</w:t>
      </w:r>
      <w:r w:rsidRPr="0097554A">
        <w:rPr>
          <w:color w:val="0000FF"/>
          <w:lang w:val="ru-RU"/>
        </w:rPr>
        <w:t>，</w:t>
      </w:r>
      <w:r w:rsidRPr="004C59BB">
        <w:rPr>
          <w:color w:val="0000FF"/>
        </w:rPr>
        <w:t>第</w:t>
      </w:r>
      <w:r w:rsidRPr="0097554A">
        <w:rPr>
          <w:color w:val="0000FF"/>
          <w:lang w:val="ru-RU"/>
        </w:rPr>
        <w:t>137</w:t>
      </w:r>
      <w:r w:rsidRPr="004C59BB">
        <w:rPr>
          <w:color w:val="0000FF"/>
        </w:rPr>
        <w:t>页</w:t>
      </w:r>
      <w:r w:rsidRPr="0097554A">
        <w:rPr>
          <w:color w:val="0000FF"/>
          <w:lang w:val="ru-RU"/>
        </w:rPr>
        <w:t>，</w:t>
      </w:r>
      <w:r w:rsidRPr="004C59BB">
        <w:rPr>
          <w:color w:val="0000FF"/>
        </w:rPr>
        <w:t>莫雷尔版。</w:t>
      </w:r>
    </w:p>
  </w:footnote>
  <w:footnote w:id="1384">
    <w:p w14:paraId="5506AD76" w14:textId="603CA763"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金口若望</w:t>
      </w:r>
      <w:r w:rsidRPr="0097554A">
        <w:rPr>
          <w:color w:val="0000FF"/>
          <w:lang w:val="ru-RU"/>
        </w:rPr>
        <w:t>，</w:t>
      </w:r>
      <w:r w:rsidRPr="004C59BB">
        <w:rPr>
          <w:color w:val="0000FF"/>
        </w:rPr>
        <w:t>《论十字架与盗贼的讲道》第九篇</w:t>
      </w:r>
      <w:r w:rsidRPr="0097554A">
        <w:rPr>
          <w:color w:val="0000FF"/>
          <w:lang w:val="ru-RU"/>
        </w:rPr>
        <w:t>，</w:t>
      </w:r>
      <w:r w:rsidRPr="004C59BB">
        <w:rPr>
          <w:color w:val="0000FF"/>
        </w:rPr>
        <w:t>第</w:t>
      </w:r>
      <w:r w:rsidRPr="0097554A">
        <w:rPr>
          <w:color w:val="0000FF"/>
          <w:lang w:val="ru-RU"/>
        </w:rPr>
        <w:t>3</w:t>
      </w:r>
      <w:r w:rsidRPr="004C59BB">
        <w:rPr>
          <w:color w:val="0000FF"/>
        </w:rPr>
        <w:t>节</w:t>
      </w:r>
      <w:r w:rsidRPr="0097554A">
        <w:rPr>
          <w:color w:val="0000FF"/>
          <w:lang w:val="ru-RU"/>
        </w:rPr>
        <w:t>；</w:t>
      </w:r>
      <w:r w:rsidRPr="004C59BB">
        <w:rPr>
          <w:color w:val="0000FF"/>
        </w:rPr>
        <w:t>《希伯来书讲道》第九</w:t>
      </w:r>
      <w:r w:rsidRPr="004C59BB">
        <w:rPr>
          <w:color w:val="0000FF"/>
          <w:lang w:val="ru-RU"/>
        </w:rPr>
        <w:t>篇，第4、5节；狄奥多尔·赫拉克利乌斯</w:t>
      </w:r>
      <w:r w:rsidRPr="0097554A">
        <w:rPr>
          <w:color w:val="0000FF"/>
          <w:lang w:val="ru-RU"/>
        </w:rPr>
        <w:t>，</w:t>
      </w:r>
      <w:r w:rsidRPr="004C59BB">
        <w:rPr>
          <w:color w:val="0000FF"/>
          <w:lang w:val="ru-RU"/>
        </w:rPr>
        <w:t>《诗篇》</w:t>
      </w:r>
      <w:r w:rsidRPr="004C59BB">
        <w:rPr>
          <w:color w:val="0000FF"/>
        </w:rPr>
        <w:t>第</w:t>
      </w:r>
      <w:r w:rsidRPr="0097554A">
        <w:rPr>
          <w:color w:val="0000FF"/>
          <w:lang w:val="ru-RU"/>
        </w:rPr>
        <w:t>106</w:t>
      </w:r>
      <w:r w:rsidRPr="004C59BB">
        <w:rPr>
          <w:color w:val="0000FF"/>
        </w:rPr>
        <w:t>篇</w:t>
      </w:r>
      <w:r w:rsidRPr="0097554A">
        <w:rPr>
          <w:color w:val="0000FF"/>
          <w:lang w:val="ru-RU"/>
        </w:rPr>
        <w:t>，</w:t>
      </w:r>
      <w:r w:rsidRPr="004C59BB">
        <w:rPr>
          <w:color w:val="0000FF"/>
        </w:rPr>
        <w:t>第</w:t>
      </w:r>
      <w:r w:rsidRPr="0097554A">
        <w:rPr>
          <w:color w:val="0000FF"/>
          <w:lang w:val="ru-RU"/>
        </w:rPr>
        <w:t>23</w:t>
      </w:r>
      <w:r w:rsidRPr="004C59BB">
        <w:rPr>
          <w:color w:val="0000FF"/>
        </w:rPr>
        <w:t>节</w:t>
      </w:r>
      <w:r w:rsidRPr="0097554A">
        <w:rPr>
          <w:color w:val="0000FF"/>
          <w:lang w:val="ru-RU"/>
        </w:rPr>
        <w:t>；</w:t>
      </w:r>
      <w:r w:rsidRPr="004C59BB">
        <w:rPr>
          <w:color w:val="0000FF"/>
        </w:rPr>
        <w:t>英诺森</w:t>
      </w:r>
      <w:r w:rsidRPr="0097554A">
        <w:rPr>
          <w:color w:val="0000FF"/>
          <w:lang w:val="ru-RU"/>
        </w:rPr>
        <w:t>，</w:t>
      </w:r>
      <w:r w:rsidRPr="004C59BB">
        <w:rPr>
          <w:color w:val="0000FF"/>
        </w:rPr>
        <w:t>《致德森特书信》第七章</w:t>
      </w:r>
      <w:r w:rsidRPr="0097554A">
        <w:rPr>
          <w:color w:val="0000FF"/>
          <w:lang w:val="ru-RU"/>
        </w:rPr>
        <w:t>；</w:t>
      </w:r>
      <w:r w:rsidRPr="004C59BB">
        <w:rPr>
          <w:color w:val="0000FF"/>
        </w:rPr>
        <w:t>胡尔</w:t>
      </w:r>
      <w:r w:rsidRPr="0097554A">
        <w:rPr>
          <w:color w:val="0000FF"/>
          <w:lang w:val="ru-RU"/>
        </w:rPr>
        <w:t>，</w:t>
      </w:r>
      <w:r w:rsidRPr="004C59BB">
        <w:rPr>
          <w:color w:val="0000FF"/>
        </w:rPr>
        <w:t>《书信集》第三卷</w:t>
      </w:r>
      <w:r w:rsidRPr="0097554A">
        <w:rPr>
          <w:color w:val="0000FF"/>
          <w:lang w:val="ru-RU"/>
        </w:rPr>
        <w:t>，</w:t>
      </w:r>
      <w:r w:rsidRPr="004C59BB">
        <w:rPr>
          <w:color w:val="0000FF"/>
          <w:lang w:val="ru-RU"/>
        </w:rPr>
        <w:t>第33封； 大格里高利，</w:t>
      </w:r>
      <w:r w:rsidRPr="004C59BB">
        <w:rPr>
          <w:color w:val="0000FF"/>
        </w:rPr>
        <w:t>《列王</w:t>
      </w:r>
      <w:r w:rsidRPr="004C59BB">
        <w:rPr>
          <w:color w:val="0000FF"/>
          <w:lang w:val="ru-RU"/>
        </w:rPr>
        <w:t>纪上注释》</w:t>
      </w:r>
      <w:r w:rsidRPr="004C59BB">
        <w:rPr>
          <w:color w:val="0000FF"/>
        </w:rPr>
        <w:t>第V</w:t>
      </w:r>
      <w:r w:rsidRPr="004C59BB">
        <w:rPr>
          <w:color w:val="0000FF"/>
          <w:lang w:val="ru-RU"/>
        </w:rPr>
        <w:t>卷，第4章，第55节。</w:t>
      </w:r>
    </w:p>
  </w:footnote>
  <w:footnote w:id="1385">
    <w:p w14:paraId="2235E5FE" w14:textId="3913A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另见安基拉《教规》第2、5、7条；涅奥凯斯《教规》第3条；尼西亚《教规》第1卷第17条；大巴西勒《教规》第84条。</w:t>
      </w:r>
    </w:p>
  </w:footnote>
  <w:footnote w:id="1386">
    <w:p w14:paraId="685D0CD3" w14:textId="55D2AA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《以赛亚书注释》</w:t>
      </w:r>
      <w:r w:rsidRPr="004C59BB">
        <w:rPr>
          <w:color w:val="0000FF"/>
        </w:rPr>
        <w:t>第XIV</w:t>
      </w:r>
      <w:r w:rsidRPr="004C59BB">
        <w:rPr>
          <w:color w:val="0000FF"/>
          <w:lang w:val="ru-RU"/>
        </w:rPr>
        <w:t>章，第20节，载于《圣教父著作集》</w:t>
      </w:r>
      <w:r w:rsidRPr="004C59BB">
        <w:rPr>
          <w:color w:val="0000FF"/>
        </w:rPr>
        <w:t>第六卷</w:t>
      </w:r>
      <w:r w:rsidRPr="004C59BB">
        <w:rPr>
          <w:color w:val="0000FF"/>
          <w:lang w:val="ru-RU"/>
        </w:rPr>
        <w:t>，第397页。</w:t>
      </w:r>
    </w:p>
  </w:footnote>
  <w:footnote w:id="1387">
    <w:p w14:paraId="2D91A3CF" w14:textId="127A4F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《以赛亚书注释》</w:t>
      </w:r>
      <w:r w:rsidRPr="004C59BB">
        <w:rPr>
          <w:color w:val="0000FF"/>
        </w:rPr>
        <w:t>第IX</w:t>
      </w:r>
      <w:r w:rsidRPr="004C59BB">
        <w:rPr>
          <w:color w:val="0000FF"/>
          <w:lang w:val="ru-RU"/>
        </w:rPr>
        <w:t>章，第18节，同上，第326页。</w:t>
      </w:r>
    </w:p>
  </w:footnote>
  <w:footnote w:id="1388">
    <w:p w14:paraId="00D16BE4" w14:textId="73447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《论圣职》</w:t>
      </w:r>
      <w:r w:rsidRPr="004C59BB">
        <w:rPr>
          <w:color w:val="0000FF"/>
        </w:rPr>
        <w:t>第三</w:t>
      </w:r>
      <w:r w:rsidRPr="004C59BB">
        <w:rPr>
          <w:color w:val="0000FF"/>
          <w:lang w:val="ru-RU"/>
        </w:rPr>
        <w:t>卷，第5章，第64页，据俄文译本。</w:t>
      </w:r>
    </w:p>
  </w:footnote>
  <w:footnote w:id="1389">
    <w:p w14:paraId="12803F86" w14:textId="14236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《论悔改》</w:t>
      </w:r>
      <w:r w:rsidRPr="004C59BB">
        <w:rPr>
          <w:color w:val="0000FF"/>
        </w:rPr>
        <w:t>第三篇</w:t>
      </w:r>
      <w:r w:rsidRPr="004C59BB">
        <w:rPr>
          <w:color w:val="0000FF"/>
          <w:lang w:val="ru-RU"/>
        </w:rPr>
        <w:t>，</w:t>
      </w:r>
      <w:r w:rsidRPr="004C59BB">
        <w:rPr>
          <w:color w:val="0000FF"/>
        </w:rPr>
        <w:t>第二</w:t>
      </w:r>
      <w:r w:rsidRPr="004C59BB">
        <w:rPr>
          <w:color w:val="0000FF"/>
          <w:lang w:val="ru-RU"/>
        </w:rPr>
        <w:t>章，载于《致安提阿民众的讲道集》</w:t>
      </w:r>
      <w:r w:rsidRPr="004C59BB">
        <w:rPr>
          <w:color w:val="0000FF"/>
        </w:rPr>
        <w:t>第二</w:t>
      </w:r>
      <w:r w:rsidRPr="004C59BB">
        <w:rPr>
          <w:color w:val="0000FF"/>
          <w:lang w:val="ru-RU"/>
        </w:rPr>
        <w:t>卷，第318–319页，据俄文译本。</w:t>
      </w:r>
    </w:p>
  </w:footnote>
  <w:footnote w:id="1390">
    <w:p w14:paraId="7C1D5F3E" w14:textId="4B48208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《书信》LXXXV</w:t>
      </w:r>
      <w:r w:rsidRPr="0097554A">
        <w:rPr>
          <w:color w:val="0000FF"/>
          <w:lang w:val="ru-RU"/>
        </w:rPr>
        <w:t>，</w:t>
      </w:r>
      <w:r w:rsidRPr="004C59BB">
        <w:rPr>
          <w:color w:val="0000FF"/>
        </w:rPr>
        <w:t>第</w:t>
      </w:r>
      <w:r w:rsidRPr="0097554A">
        <w:rPr>
          <w:color w:val="0000FF"/>
          <w:lang w:val="ru-RU"/>
        </w:rPr>
        <w:t>3</w:t>
      </w:r>
      <w:r w:rsidRPr="004C59BB">
        <w:rPr>
          <w:color w:val="0000FF"/>
        </w:rPr>
        <w:t>章</w:t>
      </w:r>
      <w:r w:rsidRPr="0097554A">
        <w:rPr>
          <w:color w:val="0000FF"/>
          <w:lang w:val="ru-RU"/>
        </w:rPr>
        <w:t>，</w:t>
      </w:r>
      <w:r w:rsidRPr="004C59BB">
        <w:rPr>
          <w:color w:val="0000FF"/>
        </w:rPr>
        <w:t>萨斯版。</w:t>
      </w:r>
    </w:p>
  </w:footnote>
  <w:footnote w:id="1391">
    <w:p w14:paraId="740A2BC1" w14:textId="0445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“凡辱骂人子（Son of Man）的，必蒙赦免；但凡辱骂圣灵的，必不蒙赦免。 为什么？因为你们认识圣灵，却毫不羞愧地否认显而易见的真理。因为既然你们说不认识我，那么你们就确切地知道，赶鬼和行医治之事乃是圣灵所为。 因此，你们不仅诽谤我，也诽谤圣灵；所以，无论在此世还是来世，你们的惩罚都是不可避免的。”（金口若望《马太福音讲道集》</w:t>
      </w:r>
      <w:r w:rsidRPr="004C59BB">
        <w:rPr>
          <w:color w:val="0000FF"/>
        </w:rPr>
        <w:t>第四十一篇</w:t>
      </w:r>
      <w:r w:rsidRPr="004C59BB">
        <w:rPr>
          <w:color w:val="0000FF"/>
          <w:lang w:val="ru-RU"/>
        </w:rPr>
        <w:t>，</w:t>
      </w:r>
      <w:r w:rsidRPr="004C59BB">
        <w:rPr>
          <w:color w:val="0000FF"/>
        </w:rPr>
        <w:t>第二</w:t>
      </w:r>
      <w:r w:rsidRPr="004C59BB">
        <w:rPr>
          <w:color w:val="0000FF"/>
          <w:lang w:val="ru-RU"/>
        </w:rPr>
        <w:t>卷，第217页，据俄文译本）。</w:t>
      </w:r>
    </w:p>
  </w:footnote>
  <w:footnote w:id="1392">
    <w:p w14:paraId="23882E1A" w14:textId="0644A0BA"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阿法纳西大主教，</w:t>
      </w:r>
      <w:r w:rsidRPr="004C59BB">
        <w:rPr>
          <w:color w:val="0000FF"/>
        </w:rPr>
        <w:t>《马太</w:t>
      </w:r>
      <w:r w:rsidRPr="004C59BB">
        <w:rPr>
          <w:color w:val="0000FF"/>
          <w:lang w:val="ru-RU"/>
        </w:rPr>
        <w:t>福音注释</w:t>
      </w:r>
      <w:r w:rsidRPr="004C59BB">
        <w:rPr>
          <w:color w:val="0000FF"/>
        </w:rPr>
        <w:t>》第十二章</w:t>
      </w:r>
      <w:r w:rsidRPr="0097554A">
        <w:rPr>
          <w:color w:val="0000FF"/>
          <w:lang w:val="ru-RU"/>
        </w:rPr>
        <w:t>，31-32</w:t>
      </w:r>
      <w:r w:rsidRPr="004C59BB">
        <w:rPr>
          <w:color w:val="0000FF"/>
        </w:rPr>
        <w:t>节</w:t>
      </w:r>
      <w:r w:rsidRPr="0097554A">
        <w:rPr>
          <w:color w:val="0000FF"/>
          <w:lang w:val="ru-RU"/>
        </w:rPr>
        <w:t>（</w:t>
      </w:r>
      <w:r w:rsidRPr="004C59BB">
        <w:rPr>
          <w:color w:val="0000FF"/>
        </w:rPr>
        <w:t>加兰德版</w:t>
      </w:r>
      <w:r w:rsidRPr="0097554A">
        <w:rPr>
          <w:color w:val="0000FF"/>
          <w:lang w:val="ru-RU"/>
        </w:rPr>
        <w:t>，</w:t>
      </w:r>
      <w:r w:rsidRPr="004C59BB">
        <w:rPr>
          <w:color w:val="0000FF"/>
        </w:rPr>
        <w:t>第五卷</w:t>
      </w:r>
      <w:r w:rsidRPr="0097554A">
        <w:rPr>
          <w:color w:val="0000FF"/>
          <w:lang w:val="ru-RU"/>
        </w:rPr>
        <w:t>，</w:t>
      </w:r>
      <w:r w:rsidRPr="004C59BB">
        <w:rPr>
          <w:color w:val="0000FF"/>
        </w:rPr>
        <w:t>第</w:t>
      </w:r>
      <w:r w:rsidRPr="0097554A">
        <w:rPr>
          <w:color w:val="0000FF"/>
          <w:lang w:val="ru-RU"/>
        </w:rPr>
        <w:t>185</w:t>
      </w:r>
      <w:r w:rsidRPr="004C59BB">
        <w:rPr>
          <w:color w:val="0000FF"/>
        </w:rPr>
        <w:t>页</w:t>
      </w:r>
      <w:r w:rsidRPr="0097554A">
        <w:rPr>
          <w:color w:val="0000FF"/>
          <w:lang w:val="ru-RU"/>
        </w:rPr>
        <w:t>）</w:t>
      </w:r>
      <w:r w:rsidRPr="004C59BB">
        <w:rPr>
          <w:color w:val="0000FF"/>
        </w:rPr>
        <w:t>。</w:t>
      </w:r>
    </w:p>
  </w:footnote>
  <w:footnote w:id="1393">
    <w:p w14:paraId="622DE304" w14:textId="7D6D5E56"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奥古斯丁</w:t>
      </w:r>
      <w:r w:rsidRPr="0097554A">
        <w:rPr>
          <w:color w:val="0000FF"/>
          <w:lang w:val="ru-RU"/>
        </w:rPr>
        <w:t>，</w:t>
      </w:r>
      <w:r w:rsidRPr="004C59BB">
        <w:rPr>
          <w:color w:val="0000FF"/>
        </w:rPr>
        <w:t>《致博尼法斯书》第CLXXXV封</w:t>
      </w:r>
      <w:r w:rsidRPr="004C59BB">
        <w:rPr>
          <w:color w:val="0000FF"/>
          <w:lang w:val="ru-RU"/>
        </w:rPr>
        <w:t>，第49段。</w:t>
      </w:r>
    </w:p>
  </w:footnote>
  <w:footnote w:id="1394">
    <w:p w14:paraId="43879750" w14:textId="2873F4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第五次大公会议第5条。</w:t>
      </w:r>
    </w:p>
  </w:footnote>
  <w:footnote w:id="1395">
    <w:p w14:paraId="6BD1BD87" w14:textId="1390AD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《马太福音讲道集》</w:t>
      </w:r>
      <w:r w:rsidRPr="004C59BB">
        <w:rPr>
          <w:color w:val="0000FF"/>
        </w:rPr>
        <w:t>第XLI</w:t>
      </w:r>
      <w:r w:rsidRPr="004C59BB">
        <w:rPr>
          <w:color w:val="0000FF"/>
          <w:lang w:val="ru-RU"/>
        </w:rPr>
        <w:t>篇，</w:t>
      </w:r>
      <w:r w:rsidRPr="004C59BB">
        <w:rPr>
          <w:color w:val="0000FF"/>
        </w:rPr>
        <w:t>第II</w:t>
      </w:r>
      <w:r w:rsidRPr="004C59BB">
        <w:rPr>
          <w:color w:val="0000FF"/>
          <w:lang w:val="ru-RU"/>
        </w:rPr>
        <w:t>卷，第216页，据俄文译本。</w:t>
      </w:r>
    </w:p>
  </w:footnote>
  <w:footnote w:id="1396">
    <w:p w14:paraId="1AE74F43" w14:textId="36BFA8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索佐门，《教会史》第1卷，第10章；</w:t>
      </w:r>
      <w:r w:rsidRPr="004C59BB">
        <w:rPr>
          <w:color w:val="0000FF"/>
        </w:rPr>
        <w:t>第IV</w:t>
      </w:r>
      <w:r w:rsidRPr="004C59BB">
        <w:rPr>
          <w:color w:val="0000FF"/>
          <w:lang w:val="ru-RU"/>
        </w:rPr>
        <w:t>卷，第28章；</w:t>
      </w:r>
      <w:r w:rsidRPr="004C59BB">
        <w:rPr>
          <w:color w:val="0000FF"/>
        </w:rPr>
        <w:t>第VII卷</w:t>
      </w:r>
      <w:r w:rsidRPr="004C59BB">
        <w:rPr>
          <w:color w:val="0000FF"/>
          <w:lang w:val="ru-RU"/>
        </w:rPr>
        <w:t>，第25章；埃皮法尼乌斯，《</w:t>
      </w:r>
      <w:r w:rsidRPr="004C59BB">
        <w:rPr>
          <w:color w:val="0000FF"/>
        </w:rPr>
        <w:t>异端论</w:t>
      </w:r>
      <w:r w:rsidRPr="004C59BB">
        <w:rPr>
          <w:color w:val="0000FF"/>
          <w:lang w:val="ru-RU"/>
        </w:rPr>
        <w:t>》</w:t>
      </w:r>
      <w:r w:rsidRPr="004C59BB">
        <w:rPr>
          <w:color w:val="0000FF"/>
        </w:rPr>
        <w:t>第LIX卷</w:t>
      </w:r>
      <w:r w:rsidRPr="004C59BB">
        <w:rPr>
          <w:color w:val="0000FF"/>
          <w:lang w:val="ru-RU"/>
        </w:rPr>
        <w:t>，第1章。</w:t>
      </w:r>
    </w:p>
  </w:footnote>
  <w:footnote w:id="1397">
    <w:p w14:paraId="3925F141" w14:textId="344A9A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埃夫洛吉乌斯·亚历山大《</w:t>
      </w:r>
      <w:r w:rsidRPr="004C59BB">
        <w:rPr>
          <w:color w:val="0000FF"/>
        </w:rPr>
        <w:t>反诺瓦特论</w:t>
      </w:r>
      <w:r w:rsidRPr="004C59BB">
        <w:rPr>
          <w:color w:val="0000FF"/>
          <w:lang w:val="ru-RU"/>
        </w:rPr>
        <w:t>》，</w:t>
      </w:r>
      <w:r w:rsidRPr="004C59BB">
        <w:rPr>
          <w:color w:val="0000FF"/>
        </w:rPr>
        <w:t>第四</w:t>
      </w:r>
      <w:r w:rsidRPr="004C59BB">
        <w:rPr>
          <w:color w:val="0000FF"/>
          <w:lang w:val="ru-RU"/>
        </w:rPr>
        <w:t>卷</w:t>
      </w:r>
      <w:r w:rsidRPr="0097554A">
        <w:rPr>
          <w:color w:val="0000FF"/>
          <w:lang w:val="ru-RU"/>
        </w:rPr>
        <w:t>（</w:t>
      </w:r>
      <w:r w:rsidRPr="004C59BB">
        <w:rPr>
          <w:color w:val="0000FF"/>
        </w:rPr>
        <w:t>见福提乌斯《图书馆目录》CCLXXX号手稿</w:t>
      </w:r>
      <w:r w:rsidRPr="004C59BB">
        <w:rPr>
          <w:color w:val="0000FF"/>
          <w:lang w:val="ru-RU"/>
        </w:rPr>
        <w:t>，第886页）。</w:t>
      </w:r>
    </w:p>
  </w:footnote>
  <w:footnote w:id="1398">
    <w:p w14:paraId="15FA2A91" w14:textId="7B7930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参见规则书附录中的索引条目：“赎罪”。</w:t>
      </w:r>
    </w:p>
  </w:footnote>
  <w:footnote w:id="1399">
    <w:p w14:paraId="534E9A71" w14:textId="782A31A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伊里内斯《反异端》第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13</w:t>
      </w:r>
      <w:r w:rsidRPr="004C59BB">
        <w:rPr>
          <w:color w:val="0000FF"/>
        </w:rPr>
        <w:t>章</w:t>
      </w:r>
      <w:r w:rsidRPr="0097554A">
        <w:rPr>
          <w:color w:val="0000FF"/>
          <w:lang w:val="ru-RU"/>
        </w:rPr>
        <w:t>，</w:t>
      </w:r>
      <w:r w:rsidRPr="004C59BB">
        <w:rPr>
          <w:color w:val="0000FF"/>
        </w:rPr>
        <w:t>注</w:t>
      </w:r>
      <w:r w:rsidRPr="0097554A">
        <w:rPr>
          <w:color w:val="0000FF"/>
          <w:lang w:val="ru-RU"/>
        </w:rPr>
        <w:t>5；</w:t>
      </w:r>
      <w:r w:rsidRPr="004C59BB">
        <w:rPr>
          <w:color w:val="0000FF"/>
        </w:rPr>
        <w:t>第</w:t>
      </w:r>
      <w:r w:rsidRPr="0097554A">
        <w:rPr>
          <w:color w:val="0000FF"/>
          <w:lang w:val="ru-RU"/>
        </w:rPr>
        <w:t>3</w:t>
      </w:r>
      <w:r w:rsidRPr="004C59BB">
        <w:rPr>
          <w:color w:val="0000FF"/>
        </w:rPr>
        <w:t>卷</w:t>
      </w:r>
      <w:r w:rsidRPr="0097554A">
        <w:rPr>
          <w:color w:val="0000FF"/>
          <w:lang w:val="ru-RU"/>
        </w:rPr>
        <w:t>，</w:t>
      </w:r>
      <w:r w:rsidRPr="004C59BB">
        <w:rPr>
          <w:color w:val="0000FF"/>
        </w:rPr>
        <w:t>第</w:t>
      </w:r>
      <w:r w:rsidRPr="0097554A">
        <w:rPr>
          <w:color w:val="0000FF"/>
          <w:lang w:val="ru-RU"/>
        </w:rPr>
        <w:t>4</w:t>
      </w:r>
      <w:r w:rsidRPr="004C59BB">
        <w:rPr>
          <w:color w:val="0000FF"/>
        </w:rPr>
        <w:t>章</w:t>
      </w:r>
      <w:r w:rsidRPr="0097554A">
        <w:rPr>
          <w:color w:val="0000FF"/>
          <w:lang w:val="ru-RU"/>
        </w:rPr>
        <w:t>；</w:t>
      </w:r>
      <w:r w:rsidRPr="004C59BB">
        <w:rPr>
          <w:color w:val="0000FF"/>
        </w:rPr>
        <w:t>特土良《论忏悔》第</w:t>
      </w:r>
      <w:r w:rsidRPr="0097554A">
        <w:rPr>
          <w:color w:val="0000FF"/>
          <w:lang w:val="ru-RU"/>
        </w:rPr>
        <w:t>6</w:t>
      </w:r>
      <w:r w:rsidRPr="004C59BB">
        <w:rPr>
          <w:color w:val="0000FF"/>
        </w:rPr>
        <w:t>、</w:t>
      </w:r>
      <w:r w:rsidRPr="0097554A">
        <w:rPr>
          <w:color w:val="0000FF"/>
          <w:lang w:val="ru-RU"/>
        </w:rPr>
        <w:t>7</w:t>
      </w:r>
      <w:r w:rsidRPr="004C59BB">
        <w:rPr>
          <w:color w:val="0000FF"/>
        </w:rPr>
        <w:t>、</w:t>
      </w:r>
      <w:r w:rsidRPr="0097554A">
        <w:rPr>
          <w:color w:val="0000FF"/>
          <w:lang w:val="ru-RU"/>
        </w:rPr>
        <w:t>10</w:t>
      </w:r>
      <w:r w:rsidRPr="004C59BB">
        <w:rPr>
          <w:color w:val="0000FF"/>
        </w:rPr>
        <w:t>、</w:t>
      </w:r>
      <w:r w:rsidRPr="0097554A">
        <w:rPr>
          <w:color w:val="0000FF"/>
          <w:lang w:val="ru-RU"/>
        </w:rPr>
        <w:t>11</w:t>
      </w:r>
      <w:r w:rsidRPr="004C59BB">
        <w:rPr>
          <w:color w:val="0000FF"/>
        </w:rPr>
        <w:t>章</w:t>
      </w:r>
      <w:r w:rsidRPr="0097554A">
        <w:rPr>
          <w:color w:val="0000FF"/>
          <w:lang w:val="ru-RU"/>
        </w:rPr>
        <w:t>；</w:t>
      </w:r>
      <w:r w:rsidRPr="004C59BB">
        <w:rPr>
          <w:color w:val="0000FF"/>
        </w:rPr>
        <w:t>基普里安《书信》第VII卷、第LII卷。</w:t>
      </w:r>
    </w:p>
  </w:footnote>
  <w:footnote w:id="1400">
    <w:p w14:paraId="2445D8A0" w14:textId="1D5D3B7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《使徒宪章》II</w:t>
      </w:r>
      <w:r w:rsidRPr="0097554A">
        <w:rPr>
          <w:color w:val="0000FF"/>
          <w:lang w:val="ru-RU"/>
        </w:rPr>
        <w:t>，16</w:t>
      </w:r>
      <w:r w:rsidRPr="004C59BB">
        <w:rPr>
          <w:color w:val="0000FF"/>
        </w:rPr>
        <w:t>、</w:t>
      </w:r>
      <w:r w:rsidRPr="0097554A">
        <w:rPr>
          <w:color w:val="0000FF"/>
          <w:lang w:val="ru-RU"/>
        </w:rPr>
        <w:t>18</w:t>
      </w:r>
      <w:r w:rsidRPr="004C59BB">
        <w:rPr>
          <w:color w:val="0000FF"/>
        </w:rPr>
        <w:t>、</w:t>
      </w:r>
      <w:r w:rsidRPr="0097554A">
        <w:rPr>
          <w:color w:val="0000FF"/>
          <w:lang w:val="ru-RU"/>
        </w:rPr>
        <w:t>41</w:t>
      </w:r>
      <w:r w:rsidRPr="004C59BB">
        <w:rPr>
          <w:color w:val="0000FF"/>
        </w:rPr>
        <w:t>。</w:t>
      </w:r>
    </w:p>
  </w:footnote>
  <w:footnote w:id="1401">
    <w:p w14:paraId="46C0D707" w14:textId="08666480"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参见第一届大</w:t>
      </w:r>
      <w:r w:rsidRPr="004C59BB">
        <w:rPr>
          <w:color w:val="0000FF"/>
          <w:lang w:val="ru-RU"/>
        </w:rPr>
        <w:t>公会议法规第11、12条及后续条款。</w:t>
      </w:r>
    </w:p>
  </w:footnote>
  <w:footnote w:id="1402">
    <w:p w14:paraId="466BCA79" w14:textId="77ED7C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参见规则书索引中的词条“赎罪”。</w:t>
      </w:r>
    </w:p>
  </w:footnote>
  <w:footnote w:id="1403">
    <w:p w14:paraId="1DF6603E" w14:textId="2CC2E9F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特伦托大公会议</w:t>
      </w:r>
      <w:r w:rsidRPr="0097554A">
        <w:rPr>
          <w:color w:val="0000FF"/>
          <w:lang w:val="ru-RU"/>
        </w:rPr>
        <w:t>，</w:t>
      </w:r>
      <w:r w:rsidRPr="004C59BB">
        <w:rPr>
          <w:color w:val="0000FF"/>
        </w:rPr>
        <w:t>第十四次会议</w:t>
      </w:r>
      <w:r w:rsidRPr="0097554A">
        <w:rPr>
          <w:color w:val="0000FF"/>
          <w:lang w:val="ru-RU"/>
        </w:rPr>
        <w:t>，</w:t>
      </w:r>
      <w:r w:rsidRPr="004C59BB">
        <w:rPr>
          <w:color w:val="0000FF"/>
        </w:rPr>
        <w:t>第</w:t>
      </w:r>
      <w:r w:rsidRPr="0097554A">
        <w:rPr>
          <w:color w:val="0000FF"/>
          <w:lang w:val="ru-RU"/>
        </w:rPr>
        <w:t>8</w:t>
      </w:r>
      <w:r w:rsidRPr="004C59BB">
        <w:rPr>
          <w:color w:val="0000FF"/>
        </w:rPr>
        <w:t>章。</w:t>
      </w:r>
    </w:p>
  </w:footnote>
  <w:footnote w:id="1404">
    <w:p w14:paraId="792EE561" w14:textId="4E0F19A4"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君士坦丁堡宗主教耶利米代表东方正教会回复新教神学家时，曾写道：“关于你们完全拒绝的、由教规规定的惩罚（</w:t>
      </w:r>
      <w:r w:rsidRPr="004C59BB">
        <w:rPr>
          <w:color w:val="0000FF"/>
        </w:rPr>
        <w:t>κανονικάς</w:t>
      </w:r>
      <w:r w:rsidRPr="0097554A">
        <w:rPr>
          <w:color w:val="0000FF"/>
          <w:lang w:val="ru-RU"/>
        </w:rPr>
        <w:t xml:space="preserve"> </w:t>
      </w:r>
      <w:r w:rsidRPr="004C59BB">
        <w:rPr>
          <w:color w:val="0000FF"/>
        </w:rPr>
        <w:t>ίκανοποιίας</w:t>
      </w:r>
      <w:r w:rsidRPr="004C59BB">
        <w:rPr>
          <w:color w:val="0000FF"/>
          <w:lang w:val="ru-RU"/>
        </w:rPr>
        <w:t>），我们认为：如果这些惩罚是由教会侍奉者作为‘良药’施予的，例如， 针对骄傲者、贪婪者、放纵者与淫乱者、嫉妒者与仇恨者、懒惰者或受其他任何恶习所苦之人；那么这些惩罚便大有裨益，并能极大促进悔罪者在改过自新方面的努力。正因如此，圣父们才规定将这些惩罚施加于归信者和悔罪者身上。 但如果它们仅被用于施予者的私利，而非出于真正有益于灵魂的目的； 如果使用方式偏离了教父们最初规定的用途——即仅为治愈罪过而使用，且与他们自身最初的实践不符：在这种情况下，我们也予以拒绝；届时，我们同样认定其徒劳无益且不光彩，并断言，毫无疑问，必须将其视为如此” （</w:t>
      </w:r>
      <w:r w:rsidRPr="004C59BB">
        <w:rPr>
          <w:color w:val="0000FF"/>
        </w:rPr>
        <w:t>《符腾堡</w:t>
      </w:r>
      <w:r w:rsidRPr="004C59BB">
        <w:rPr>
          <w:color w:val="0000FF"/>
          <w:lang w:val="ru-RU"/>
        </w:rPr>
        <w:t>神学</w:t>
      </w:r>
      <w:r w:rsidRPr="004C59BB">
        <w:rPr>
          <w:color w:val="0000FF"/>
        </w:rPr>
        <w:t>文集及耶利米宗主教文集》</w:t>
      </w:r>
      <w:r w:rsidRPr="0097554A">
        <w:rPr>
          <w:color w:val="0000FF"/>
          <w:lang w:val="ru-RU"/>
        </w:rPr>
        <w:t>，</w:t>
      </w:r>
      <w:r w:rsidRPr="004C59BB">
        <w:rPr>
          <w:color w:val="0000FF"/>
        </w:rPr>
        <w:t>《宗主教答复集》第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12</w:t>
      </w:r>
      <w:r w:rsidRPr="004C59BB">
        <w:rPr>
          <w:color w:val="0000FF"/>
        </w:rPr>
        <w:t>章</w:t>
      </w:r>
      <w:r w:rsidRPr="0097554A">
        <w:rPr>
          <w:color w:val="0000FF"/>
          <w:lang w:val="ru-RU"/>
        </w:rPr>
        <w:t>，</w:t>
      </w:r>
      <w:r w:rsidRPr="004C59BB">
        <w:rPr>
          <w:color w:val="0000FF"/>
        </w:rPr>
        <w:t>第</w:t>
      </w:r>
      <w:r w:rsidRPr="0097554A">
        <w:rPr>
          <w:color w:val="0000FF"/>
          <w:lang w:val="ru-RU"/>
        </w:rPr>
        <w:t>89</w:t>
      </w:r>
      <w:r w:rsidRPr="004C59BB">
        <w:rPr>
          <w:color w:val="0000FF"/>
        </w:rPr>
        <w:t>页</w:t>
      </w:r>
      <w:r w:rsidRPr="0097554A">
        <w:rPr>
          <w:color w:val="0000FF"/>
          <w:lang w:val="ru-RU"/>
        </w:rPr>
        <w:t>，</w:t>
      </w:r>
      <w:r w:rsidRPr="004C59BB">
        <w:rPr>
          <w:color w:val="0000FF"/>
        </w:rPr>
        <w:t>符腾堡</w:t>
      </w:r>
      <w:r w:rsidRPr="0097554A">
        <w:rPr>
          <w:color w:val="0000FF"/>
          <w:lang w:val="ru-RU"/>
        </w:rPr>
        <w:t>，1584</w:t>
      </w:r>
      <w:r w:rsidRPr="004C59BB">
        <w:rPr>
          <w:color w:val="0000FF"/>
        </w:rPr>
        <w:t>年</w:t>
      </w:r>
      <w:r w:rsidRPr="0097554A">
        <w:rPr>
          <w:color w:val="0000FF"/>
          <w:lang w:val="ru-RU"/>
        </w:rPr>
        <w:t>，</w:t>
      </w:r>
      <w:r w:rsidRPr="004C59BB">
        <w:rPr>
          <w:color w:val="0000FF"/>
        </w:rPr>
        <w:t>载于《基督教读本》</w:t>
      </w:r>
      <w:r w:rsidRPr="0097554A">
        <w:rPr>
          <w:color w:val="0000FF"/>
          <w:lang w:val="ru-RU"/>
        </w:rPr>
        <w:t>1842</w:t>
      </w:r>
      <w:r w:rsidRPr="004C59BB">
        <w:rPr>
          <w:color w:val="0000FF"/>
        </w:rPr>
        <w:t>年第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243–244</w:t>
      </w:r>
      <w:r w:rsidRPr="004C59BB">
        <w:rPr>
          <w:color w:val="0000FF"/>
        </w:rPr>
        <w:t>页</w:t>
      </w:r>
      <w:r w:rsidRPr="0097554A">
        <w:rPr>
          <w:color w:val="0000FF"/>
          <w:lang w:val="ru-RU"/>
        </w:rPr>
        <w:t>）</w:t>
      </w:r>
      <w:r w:rsidRPr="004C59BB">
        <w:rPr>
          <w:color w:val="0000FF"/>
        </w:rPr>
        <w:t>。</w:t>
      </w:r>
    </w:p>
  </w:footnote>
  <w:footnote w:id="1405">
    <w:p w14:paraId="06327AA8" w14:textId="3F789C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w:t>
      </w:r>
      <w:r w:rsidRPr="004C59BB">
        <w:rPr>
          <w:color w:val="0000FF"/>
        </w:rPr>
        <w:t>见</w:t>
      </w:r>
      <w:r w:rsidRPr="004C59BB">
        <w:rPr>
          <w:color w:val="0000FF"/>
          <w:lang w:val="ru-RU"/>
        </w:rPr>
        <w:t>金口若望对此处的注释，见《论哥林多后书》</w:t>
      </w:r>
      <w:r w:rsidRPr="004C59BB">
        <w:rPr>
          <w:color w:val="0000FF"/>
        </w:rPr>
        <w:t>第四</w:t>
      </w:r>
      <w:r w:rsidRPr="004C59BB">
        <w:rPr>
          <w:color w:val="0000FF"/>
          <w:lang w:val="ru-RU"/>
        </w:rPr>
        <w:t>讲，第107–308页，莫斯科，1843年。 在另一处，他指出：“保罗吩咐将那犯罪的人交给撒但，待（那人）悔改并变得更好之后，便说：‘对这样的人，由众人作出的这禁令就够了。因此，你们要向他显出爱心（林后2:6, 8）…… ‘发生了什么事？’我问他，‘难道不是你把他交给了撒但吗？’‘是的，’他说，‘但这并非为了让他留在撒但手中，而是为了让他尽快脱离撒但的权势。’”（《论悔改的讲道》第1篇，第283段，载于《致安提阿民众的讲道》第II卷，俄文译本第283页）。</w:t>
      </w:r>
    </w:p>
  </w:footnote>
  <w:footnote w:id="1406">
    <w:p w14:paraId="37184B05" w14:textId="4632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“凡通过秘密盗窃侵占他人财物，随后在告解中向神父坦白罪行者，应通过与自身贪欲相反的修行来治愈此病，即向穷人施舍财产，将所拥有的一切挥霍一空，以此证明自己已从贪婪之疾中得到净化 」（格里高利·尼萨《教规》第6条，见《教规集》第342页）。</w:t>
      </w:r>
    </w:p>
  </w:footnote>
  <w:footnote w:id="1407">
    <w:p w14:paraId="29329270" w14:textId="5A8FB8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费奥多尔·普罗科皮耶维奇的注释——《</w:t>
      </w:r>
      <w:r w:rsidRPr="004C59BB">
        <w:rPr>
          <w:color w:val="0000FF"/>
        </w:rPr>
        <w:t>基督教正统神学杂志</w:t>
      </w:r>
      <w:r w:rsidRPr="004C59BB">
        <w:rPr>
          <w:color w:val="0000FF"/>
          <w:lang w:val="ru-RU"/>
        </w:rPr>
        <w:t>》</w:t>
      </w:r>
      <w:r w:rsidRPr="004C59BB">
        <w:rPr>
          <w:color w:val="0000FF"/>
        </w:rPr>
        <w:t>第三</w:t>
      </w:r>
      <w:r w:rsidRPr="004C59BB">
        <w:rPr>
          <w:color w:val="0000FF"/>
          <w:lang w:val="ru-RU"/>
        </w:rPr>
        <w:t>卷，第700–702页，</w:t>
      </w:r>
      <w:r w:rsidRPr="004C59BB">
        <w:rPr>
          <w:color w:val="0000FF"/>
        </w:rPr>
        <w:t>莱比锡</w:t>
      </w:r>
      <w:r w:rsidRPr="004C59BB">
        <w:rPr>
          <w:color w:val="0000FF"/>
          <w:lang w:val="ru-RU"/>
        </w:rPr>
        <w:t>，1793年。</w:t>
      </w:r>
    </w:p>
  </w:footnote>
  <w:footnote w:id="1408">
    <w:p w14:paraId="49B27765" w14:textId="171CE9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顺便提一下，拉丁教徒常援引此处来佐证其教义。参见例如佩罗内、费耶尔、利伯曼等人在论悔罪圣事篇章《论赎罪》（</w:t>
      </w:r>
      <w:r w:rsidRPr="004C59BB">
        <w:rPr>
          <w:color w:val="0000FF"/>
        </w:rPr>
        <w:t>de</w:t>
      </w:r>
      <w:r w:rsidRPr="0097554A">
        <w:rPr>
          <w:color w:val="0000FF"/>
          <w:lang w:val="ru-RU"/>
        </w:rPr>
        <w:t xml:space="preserve"> </w:t>
      </w:r>
      <w:r w:rsidRPr="004C59BB">
        <w:rPr>
          <w:color w:val="0000FF"/>
        </w:rPr>
        <w:t>satisfactione</w:t>
      </w:r>
      <w:r w:rsidRPr="004C59BB">
        <w:rPr>
          <w:color w:val="0000FF"/>
          <w:lang w:val="ru-RU"/>
        </w:rPr>
        <w:t>）中的论述。</w:t>
      </w:r>
    </w:p>
  </w:footnote>
  <w:footnote w:id="1409">
    <w:p w14:paraId="6D3ACC3E" w14:textId="68C2D8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罗马神学家们也援引了所有这些经文。参见同上。</w:t>
      </w:r>
    </w:p>
  </w:footnote>
  <w:footnote w:id="1410">
    <w:p w14:paraId="204C59EB" w14:textId="15AC20C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圣金口若望论述道：“究竟是什么拯救了那些尼尼微人？他们为治愈内心的创伤，严守斋戒，身着麻衣，撒上灰烬，以苦涩的泪水浸润；俯伏在地，并随之彻底改变了他们生活的方式。 那么，让我们看看上述这些“良药”中究竟哪一种治愈了他们……先知说：‘看哪，上帝看见他们从诡诈的道路上回转，便为那原要降在他们身上的灾祸后悔了。’（约拿书 3: 10） 他并没有说：“上帝看见了尼尼微人的斋戒、麻衣和灰烬。”我这么说，并非为了否定斋戒——绝非如此——而是为了说服你们去做比斋戒更美好的事，即远离一切邪恶”（《哥林多后书讲道集》</w:t>
      </w:r>
      <w:r w:rsidRPr="004C59BB">
        <w:rPr>
          <w:color w:val="0000FF"/>
        </w:rPr>
        <w:t>第四</w:t>
      </w:r>
      <w:r w:rsidRPr="004C59BB">
        <w:rPr>
          <w:color w:val="0000FF"/>
          <w:lang w:val="ru-RU"/>
        </w:rPr>
        <w:t>卷，第118、119页，俄文译本）。</w:t>
      </w:r>
    </w:p>
  </w:footnote>
  <w:footnote w:id="1411">
    <w:p w14:paraId="387DF17A" w14:textId="47C0C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参见上文注释1408。</w:t>
      </w:r>
    </w:p>
  </w:footnote>
  <w:footnote w:id="1412">
    <w:p w14:paraId="136009E6" w14:textId="0C4548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参见同上。</w:t>
      </w:r>
    </w:p>
  </w:footnote>
  <w:footnote w:id="1413">
    <w:p w14:paraId="5B3F5ADE" w14:textId="3F7FA6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在此还可以回顾一下三世纪罗马大公会议针对诺瓦蒂安派所制定的规则：“诺瓦塔及其同党——那些与他一同狂妄自大、决心赞同他那仇视弟兄且不人道的思想者——应被视为已被逐出教会； 相反，对于那些不幸堕落的弟兄，应通过忏悔的途径加以医治和救赎”（优西比乌《教会史》</w:t>
      </w:r>
      <w:r w:rsidRPr="004C59BB">
        <w:rPr>
          <w:color w:val="0000FF"/>
        </w:rPr>
        <w:t>第IV卷</w:t>
      </w:r>
      <w:r w:rsidRPr="004C59BB">
        <w:rPr>
          <w:color w:val="0000FF"/>
          <w:lang w:val="ru-RU"/>
        </w:rPr>
        <w:t>，第43章，第1册，第386页，俄文译本）。</w:t>
      </w:r>
    </w:p>
  </w:footnote>
  <w:footnote w:id="1414">
    <w:p w14:paraId="2270452E" w14:textId="0EBA98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《论忏悔》1，第7、8节，载于《致安提阿民众的讲道》</w:t>
      </w:r>
      <w:r w:rsidRPr="004C59BB">
        <w:rPr>
          <w:color w:val="0000FF"/>
        </w:rPr>
        <w:t>第II</w:t>
      </w:r>
      <w:r w:rsidRPr="004C59BB">
        <w:rPr>
          <w:color w:val="0000FF"/>
          <w:lang w:val="ru-RU"/>
        </w:rPr>
        <w:t>卷，第286–289页。</w:t>
      </w:r>
    </w:p>
  </w:footnote>
  <w:footnote w:id="1415">
    <w:p w14:paraId="4F053181" w14:textId="77E545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《论悔改》</w:t>
      </w:r>
      <w:r w:rsidRPr="004C59BB">
        <w:rPr>
          <w:color w:val="0000FF"/>
        </w:rPr>
        <w:t>第二</w:t>
      </w:r>
      <w:r w:rsidRPr="004C59BB">
        <w:rPr>
          <w:color w:val="0000FF"/>
          <w:lang w:val="ru-RU"/>
        </w:rPr>
        <w:t>卷，</w:t>
      </w:r>
      <w:r w:rsidRPr="004C59BB">
        <w:rPr>
          <w:color w:val="0000FF"/>
        </w:rPr>
        <w:t>第I</w:t>
      </w:r>
      <w:r w:rsidRPr="004C59BB">
        <w:rPr>
          <w:color w:val="0000FF"/>
          <w:lang w:val="ru-RU"/>
        </w:rPr>
        <w:t>节，同上，第291页；注释见第344页。</w:t>
      </w:r>
    </w:p>
  </w:footnote>
  <w:footnote w:id="1416">
    <w:p w14:paraId="46FC873F" w14:textId="26C5BE3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《哥林多前书讲道集》第XXVIII篇</w:t>
      </w:r>
      <w:r w:rsidRPr="0097554A">
        <w:rPr>
          <w:color w:val="0000FF"/>
          <w:lang w:val="ru-RU"/>
        </w:rPr>
        <w:t>，</w:t>
      </w:r>
      <w:r w:rsidRPr="004C59BB">
        <w:rPr>
          <w:color w:val="0000FF"/>
        </w:rPr>
        <w:t>第</w:t>
      </w:r>
      <w:r w:rsidRPr="0097554A">
        <w:rPr>
          <w:color w:val="0000FF"/>
          <w:lang w:val="ru-RU"/>
        </w:rPr>
        <w:t>2</w:t>
      </w:r>
      <w:r w:rsidRPr="004C59BB">
        <w:rPr>
          <w:color w:val="0000FF"/>
        </w:rPr>
        <w:t>节。</w:t>
      </w:r>
    </w:p>
  </w:footnote>
  <w:footnote w:id="1417">
    <w:p w14:paraId="1792DA8C" w14:textId="368436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《论圣职》</w:t>
      </w:r>
      <w:r w:rsidRPr="004C59BB">
        <w:rPr>
          <w:color w:val="0000FF"/>
        </w:rPr>
        <w:t>第二卷</w:t>
      </w:r>
      <w:r w:rsidRPr="004C59BB">
        <w:rPr>
          <w:color w:val="0000FF"/>
          <w:lang w:val="ru-RU"/>
        </w:rPr>
        <w:t>，第33–36页，俄文译本。</w:t>
      </w:r>
    </w:p>
  </w:footnote>
  <w:footnote w:id="1418">
    <w:p w14:paraId="3CFC5597" w14:textId="7CB3BD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《论悔改》</w:t>
      </w:r>
      <w:r w:rsidRPr="004C59BB">
        <w:rPr>
          <w:color w:val="0000FF"/>
        </w:rPr>
        <w:t>第三</w:t>
      </w:r>
      <w:r w:rsidRPr="004C59BB">
        <w:rPr>
          <w:color w:val="0000FF"/>
          <w:lang w:val="ru-RU"/>
        </w:rPr>
        <w:t>卷，第2、3节，第307–308页。</w:t>
      </w:r>
    </w:p>
  </w:footnote>
  <w:footnote w:id="1419">
    <w:p w14:paraId="21A838C2" w14:textId="3D2570B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《论悔改》</w:t>
      </w:r>
      <w:r w:rsidRPr="004C59BB">
        <w:rPr>
          <w:color w:val="0000FF"/>
        </w:rPr>
        <w:t>第三</w:t>
      </w:r>
      <w:r w:rsidRPr="004C59BB">
        <w:rPr>
          <w:color w:val="0000FF"/>
          <w:lang w:val="ru-RU"/>
        </w:rPr>
        <w:t>卷，第10段，第317页。</w:t>
      </w:r>
    </w:p>
  </w:footnote>
  <w:footnote w:id="1420">
    <w:p w14:paraId="540146E1" w14:textId="5EE696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《哥林多后书讲道集》</w:t>
      </w:r>
      <w:r w:rsidRPr="004C59BB">
        <w:rPr>
          <w:color w:val="0000FF"/>
        </w:rPr>
        <w:t>第四</w:t>
      </w:r>
      <w:r w:rsidRPr="004C59BB">
        <w:rPr>
          <w:color w:val="0000FF"/>
          <w:lang w:val="ru-RU"/>
        </w:rPr>
        <w:t>卷，第122–123页。圣大巴西尔也是如此论述的：“在疾病中，医生建议病人要关注自身，不要忽视任何有助于治愈的事物。 但同样地，作为我们灵魂之医的圣言，也正是通过这种微小的帮助，治愈了因罪而受苦的灵魂。因此，你要留意自己，以便根据过犯的程度，从医治中获得相应的帮助。你的罪孽深重而沉重吗？你需要长时间的忏悔、苦涩的泪水、刻苦的警醒、不间断的斋戒。 堕落之罪轻微且尚可承受？那么，悔改也应与之相称。只要你留心自省，便能知晓灵魂的健康与病痛”（《论“留心自省”一语的讲道》，载于《圣教父文集》</w:t>
      </w:r>
      <w:r w:rsidRPr="004C59BB">
        <w:rPr>
          <w:color w:val="0000FF"/>
        </w:rPr>
        <w:t>第八</w:t>
      </w:r>
      <w:r w:rsidRPr="004C59BB">
        <w:rPr>
          <w:color w:val="0000FF"/>
          <w:lang w:val="ru-RU"/>
        </w:rPr>
        <w:t>卷，36）。</w:t>
      </w:r>
    </w:p>
  </w:footnote>
  <w:footnote w:id="1421">
    <w:p w14:paraId="7A2D3926" w14:textId="1A3ED9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参见下文注释1423–1426。</w:t>
      </w:r>
    </w:p>
  </w:footnote>
  <w:footnote w:id="1422">
    <w:p w14:paraId="6E3D75B9" w14:textId="17E24510"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从这个意义上说，东正教会也承认苦修是取悦或满足上帝的手段： “君士坦丁堡宗主教耶利米写道：‘出于许多正当理由，我们在赦免罪孽时会辅以斋戒：首先，是为了让罪人通过今生自愿的苦难，免于来世非自愿的严厉惩罚； 因为没有什么能像自愿的苦难那样使主感到欣慰。因此，圣格里高利说：‘眼泪会换来仁爱。’其次，是为了在罪人心中根除那些滋生罪恶的可怕肉欲；因为我们知道，以毒攻毒。 第三，是为了让补赎如同枷锁或缰绳般束缚灵魂，不使其重蹈覆辙，再次陷入刚刚才得以净化掉的那些恶行之中。第四，是为了培养勤劳与忍耐的习惯；因为美德是勤劳的结晶。 第五，是为了让我们看清并确认：彻底悔改者是否已憎恶了罪？但对于那些即将离开尘世的人，我们免除他们这一切，赦免他们的罪过，仅以他们悔改的真诚和归向主的赤诚之心为满足。” （</w:t>
      </w:r>
      <w:r w:rsidRPr="004C59BB">
        <w:rPr>
          <w:color w:val="0000FF"/>
        </w:rPr>
        <w:t>《威腾堡</w:t>
      </w:r>
      <w:r w:rsidRPr="004C59BB">
        <w:rPr>
          <w:color w:val="0000FF"/>
          <w:lang w:val="ru-RU"/>
        </w:rPr>
        <w:t>神学</w:t>
      </w:r>
      <w:r w:rsidRPr="004C59BB">
        <w:rPr>
          <w:color w:val="0000FF"/>
        </w:rPr>
        <w:t>文集及耶利米宗主教</w:t>
      </w:r>
      <w:r w:rsidRPr="004C59BB">
        <w:rPr>
          <w:color w:val="0000FF"/>
          <w:lang w:val="ru-RU"/>
        </w:rPr>
        <w:t>文集</w:t>
      </w:r>
      <w:r w:rsidRPr="004C59BB">
        <w:rPr>
          <w:color w:val="0000FF"/>
        </w:rPr>
        <w:t>》</w:t>
      </w:r>
      <w:r w:rsidRPr="0097554A">
        <w:rPr>
          <w:color w:val="0000FF"/>
          <w:lang w:val="ru-RU"/>
        </w:rPr>
        <w:t>，</w:t>
      </w:r>
      <w:r w:rsidRPr="004C59BB">
        <w:rPr>
          <w:color w:val="0000FF"/>
        </w:rPr>
        <w:t>答问集</w:t>
      </w:r>
      <w:r w:rsidRPr="0097554A">
        <w:rPr>
          <w:color w:val="0000FF"/>
          <w:lang w:val="ru-RU"/>
        </w:rPr>
        <w:t>1，</w:t>
      </w:r>
      <w:r w:rsidRPr="004C59BB">
        <w:rPr>
          <w:color w:val="0000FF"/>
        </w:rPr>
        <w:t>第</w:t>
      </w:r>
      <w:r w:rsidRPr="0097554A">
        <w:rPr>
          <w:color w:val="0000FF"/>
          <w:lang w:val="ru-RU"/>
        </w:rPr>
        <w:t>12</w:t>
      </w:r>
      <w:r w:rsidRPr="004C59BB">
        <w:rPr>
          <w:color w:val="0000FF"/>
        </w:rPr>
        <w:t>章</w:t>
      </w:r>
      <w:r w:rsidRPr="0097554A">
        <w:rPr>
          <w:color w:val="0000FF"/>
          <w:lang w:val="ru-RU"/>
        </w:rPr>
        <w:t>，</w:t>
      </w:r>
      <w:r w:rsidRPr="004C59BB">
        <w:rPr>
          <w:color w:val="0000FF"/>
        </w:rPr>
        <w:t>载于《Xp</w:t>
      </w:r>
      <w:r w:rsidRPr="0097554A">
        <w:rPr>
          <w:color w:val="0000FF"/>
          <w:lang w:val="ru-RU"/>
        </w:rPr>
        <w:t xml:space="preserve">. </w:t>
      </w:r>
      <w:r w:rsidRPr="004C59BB">
        <w:rPr>
          <w:color w:val="0000FF"/>
        </w:rPr>
        <w:t>周四读本》</w:t>
      </w:r>
      <w:r w:rsidRPr="0097554A">
        <w:rPr>
          <w:color w:val="0000FF"/>
          <w:lang w:val="ru-RU"/>
        </w:rPr>
        <w:t>1842</w:t>
      </w:r>
      <w:r w:rsidRPr="004C59BB">
        <w:rPr>
          <w:color w:val="0000FF"/>
        </w:rPr>
        <w:t>年</w:t>
      </w:r>
      <w:r w:rsidRPr="0097554A">
        <w:rPr>
          <w:color w:val="0000FF"/>
          <w:lang w:val="ru-RU"/>
        </w:rPr>
        <w:t>，</w:t>
      </w:r>
      <w:r w:rsidRPr="004C59BB">
        <w:rPr>
          <w:color w:val="0000FF"/>
        </w:rPr>
        <w:t>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244</w:t>
      </w:r>
      <w:r w:rsidRPr="004C59BB">
        <w:rPr>
          <w:color w:val="0000FF"/>
        </w:rPr>
        <w:t>页</w:t>
      </w:r>
      <w:r w:rsidRPr="0097554A">
        <w:rPr>
          <w:color w:val="0000FF"/>
          <w:lang w:val="ru-RU"/>
        </w:rPr>
        <w:t>）</w:t>
      </w:r>
      <w:r w:rsidRPr="004C59BB">
        <w:rPr>
          <w:color w:val="0000FF"/>
        </w:rPr>
        <w:t>。</w:t>
      </w:r>
    </w:p>
  </w:footnote>
  <w:footnote w:id="1423">
    <w:p w14:paraId="3246E550" w14:textId="36B8C54D"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上帝因忏悔而宽恕</w:t>
      </w:r>
      <w:r w:rsidRPr="0097554A">
        <w:rPr>
          <w:color w:val="0000FF"/>
          <w:lang w:val="ru-RU"/>
        </w:rPr>
        <w:t>”（</w:t>
      </w:r>
      <w:r w:rsidRPr="004C59BB">
        <w:rPr>
          <w:color w:val="0000FF"/>
        </w:rPr>
        <w:t>《论忏悔》第九章</w:t>
      </w:r>
      <w:r w:rsidRPr="0097554A">
        <w:rPr>
          <w:color w:val="0000FF"/>
          <w:lang w:val="ru-RU"/>
        </w:rPr>
        <w:t>）</w:t>
      </w:r>
      <w:r w:rsidRPr="004C59BB">
        <w:rPr>
          <w:color w:val="0000FF"/>
        </w:rPr>
        <w:t>。紧接着又说：“因此，告解是让人俯伏在地、谦卑自抑的修习，以此引导人走向仁慈……”（同上，Patrolog. curs. compl. 第1卷，第1243页）。</w:t>
      </w:r>
    </w:p>
  </w:footnote>
  <w:footnote w:id="1424">
    <w:p w14:paraId="7576753A" w14:textId="0E8F7F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《论堕落者》第29、32、31章：那里尚有能作补赎的忏悔；但那些免除罪过忏悔的人，便阻断了补赎之路（见引文《教父全集》第IV卷，第489、491、492页）。</w:t>
      </w:r>
    </w:p>
  </w:footnote>
  <w:footnote w:id="1425">
    <w:p w14:paraId="1FBF0DBB" w14:textId="626A13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重大的创伤需要长效而持久的治疗，重大的罪行则需要重大的补赎……正因如此，更应深切痛悔，因为罪过本身更为严重（《论受祝圣处女的堕落》第VIII章，第37节，见前引《教父集》第十六卷，第378–379页）。</w:t>
      </w:r>
    </w:p>
  </w:footnote>
  <w:footnote w:id="1426">
    <w:p w14:paraId="6B1C772A" w14:textId="661787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因为仅仅改善品行、远离恶行还不够；除非还能通过忏悔之痛、谦卑的哀叹、痛悔之心的牺牲，并辅以施舍（马太福音第五章，7节），就已犯下的罪过向天主作出补赎。 （《讲道集》第CCCLI篇，第5章，第12节，载于《教父集》第XXXIX卷，第1549页）。</w:t>
      </w:r>
    </w:p>
  </w:footnote>
  <w:footnote w:id="1427">
    <w:p w14:paraId="6CA1F566" w14:textId="6F3FF6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佩罗内，《神学讲义》第VII卷，论大赦篇。</w:t>
      </w:r>
    </w:p>
  </w:footnote>
  <w:footnote w:id="1428">
    <w:p w14:paraId="1BD046E3" w14:textId="2AE8B38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据大公会议法规所载</w:t>
      </w:r>
      <w:r w:rsidRPr="0097554A">
        <w:rPr>
          <w:color w:val="0000FF"/>
        </w:rPr>
        <w:t>，</w:t>
      </w:r>
      <w:r w:rsidRPr="004C59BB">
        <w:rPr>
          <w:color w:val="0000FF"/>
          <w:lang w:val="ru-RU"/>
        </w:rPr>
        <w:t>悔罪者在临终前可获赦免</w:t>
      </w:r>
      <w:r w:rsidRPr="0097554A">
        <w:rPr>
          <w:color w:val="0000FF"/>
        </w:rPr>
        <w:t>，</w:t>
      </w:r>
      <w:r w:rsidRPr="004C59BB">
        <w:rPr>
          <w:color w:val="0000FF"/>
          <w:lang w:val="ru-RU"/>
        </w:rPr>
        <w:t>并被接纳回教会共融</w:t>
      </w:r>
      <w:r w:rsidRPr="0097554A">
        <w:rPr>
          <w:color w:val="0000FF"/>
        </w:rPr>
        <w:t>；</w:t>
      </w:r>
      <w:r w:rsidRPr="004C59BB">
        <w:rPr>
          <w:color w:val="0000FF"/>
          <w:lang w:val="ru-RU"/>
        </w:rPr>
        <w:t>那些被剥夺圣体圣事的人</w:t>
      </w:r>
      <w:r w:rsidRPr="0097554A">
        <w:rPr>
          <w:color w:val="0000FF"/>
        </w:rPr>
        <w:t>，</w:t>
      </w:r>
      <w:r w:rsidRPr="004C59BB">
        <w:rPr>
          <w:color w:val="0000FF"/>
          <w:lang w:val="ru-RU"/>
        </w:rPr>
        <w:t>即使忏悔期尚未结束</w:t>
      </w:r>
      <w:r w:rsidRPr="0097554A">
        <w:rPr>
          <w:color w:val="0000FF"/>
        </w:rPr>
        <w:t>，</w:t>
      </w:r>
      <w:r w:rsidRPr="004C59BB">
        <w:rPr>
          <w:color w:val="0000FF"/>
          <w:lang w:val="ru-RU"/>
        </w:rPr>
        <w:t>也能领受圣体</w:t>
      </w:r>
      <w:r w:rsidRPr="0097554A">
        <w:rPr>
          <w:color w:val="0000FF"/>
        </w:rPr>
        <w:t>（</w:t>
      </w:r>
      <w:r w:rsidRPr="004C59BB">
        <w:rPr>
          <w:color w:val="0000FF"/>
          <w:lang w:val="ru-RU"/>
        </w:rPr>
        <w:t>安基拉大公会议法规第</w:t>
      </w:r>
      <w:r w:rsidRPr="0097554A">
        <w:rPr>
          <w:color w:val="0000FF"/>
        </w:rPr>
        <w:t>6</w:t>
      </w:r>
      <w:r w:rsidRPr="004C59BB">
        <w:rPr>
          <w:color w:val="0000FF"/>
          <w:lang w:val="ru-RU"/>
        </w:rPr>
        <w:t>条第</w:t>
      </w:r>
      <w:r w:rsidRPr="0097554A">
        <w:rPr>
          <w:color w:val="0000FF"/>
        </w:rPr>
        <w:t>22</w:t>
      </w:r>
      <w:r w:rsidRPr="004C59BB">
        <w:rPr>
          <w:color w:val="0000FF"/>
          <w:lang w:val="ru-RU"/>
        </w:rPr>
        <w:t>款</w:t>
      </w:r>
      <w:r w:rsidRPr="0097554A">
        <w:rPr>
          <w:color w:val="0000FF"/>
        </w:rPr>
        <w:t>；</w:t>
      </w:r>
      <w:r w:rsidRPr="004C59BB">
        <w:rPr>
          <w:color w:val="0000FF"/>
          <w:lang w:val="ru-RU"/>
        </w:rPr>
        <w:t>新凯撒利亚大公会议法规第</w:t>
      </w:r>
      <w:r w:rsidRPr="0097554A">
        <w:rPr>
          <w:color w:val="0000FF"/>
        </w:rPr>
        <w:t>2</w:t>
      </w:r>
      <w:r w:rsidRPr="004C59BB">
        <w:rPr>
          <w:color w:val="0000FF"/>
          <w:lang w:val="ru-RU"/>
        </w:rPr>
        <w:t>条</w:t>
      </w:r>
      <w:r w:rsidRPr="0097554A">
        <w:rPr>
          <w:color w:val="0000FF"/>
        </w:rPr>
        <w:t xml:space="preserve">； </w:t>
      </w:r>
      <w:r w:rsidRPr="004C59BB">
        <w:rPr>
          <w:color w:val="0000FF"/>
          <w:lang w:val="ru-RU"/>
        </w:rPr>
        <w:t>尼西亚第一公会议第</w:t>
      </w:r>
      <w:r w:rsidRPr="0097554A">
        <w:rPr>
          <w:color w:val="0000FF"/>
        </w:rPr>
        <w:t>13</w:t>
      </w:r>
      <w:r w:rsidRPr="004C59BB">
        <w:rPr>
          <w:color w:val="0000FF"/>
          <w:lang w:val="ru-RU"/>
        </w:rPr>
        <w:t>条</w:t>
      </w:r>
      <w:r w:rsidRPr="0097554A">
        <w:rPr>
          <w:color w:val="0000FF"/>
        </w:rPr>
        <w:t>；</w:t>
      </w:r>
      <w:r w:rsidRPr="004C59BB">
        <w:rPr>
          <w:color w:val="0000FF"/>
          <w:lang w:val="ru-RU"/>
        </w:rPr>
        <w:t>迦太基公会议第</w:t>
      </w:r>
      <w:r w:rsidRPr="0097554A">
        <w:rPr>
          <w:color w:val="0000FF"/>
        </w:rPr>
        <w:t>7</w:t>
      </w:r>
      <w:r w:rsidRPr="004C59BB">
        <w:rPr>
          <w:color w:val="0000FF"/>
          <w:lang w:val="ru-RU"/>
        </w:rPr>
        <w:t>条</w:t>
      </w:r>
      <w:r w:rsidRPr="0097554A">
        <w:rPr>
          <w:color w:val="0000FF"/>
        </w:rPr>
        <w:t>；</w:t>
      </w:r>
      <w:r w:rsidRPr="004C59BB">
        <w:rPr>
          <w:color w:val="0000FF"/>
          <w:lang w:val="ru-RU"/>
        </w:rPr>
        <w:t>大巴西勒公会议第</w:t>
      </w:r>
      <w:r w:rsidRPr="0097554A">
        <w:rPr>
          <w:color w:val="0000FF"/>
        </w:rPr>
        <w:t>73</w:t>
      </w:r>
      <w:r w:rsidRPr="004C59BB">
        <w:rPr>
          <w:color w:val="0000FF"/>
          <w:lang w:val="ru-RU"/>
        </w:rPr>
        <w:t>条</w:t>
      </w:r>
      <w:r w:rsidRPr="0097554A">
        <w:rPr>
          <w:color w:val="0000FF"/>
        </w:rPr>
        <w:t>；</w:t>
      </w:r>
      <w:r w:rsidRPr="004C59BB">
        <w:rPr>
          <w:color w:val="0000FF"/>
          <w:lang w:val="ru-RU"/>
        </w:rPr>
        <w:t>尼西亚的格里高利公会议第</w:t>
      </w:r>
      <w:r w:rsidRPr="0097554A">
        <w:rPr>
          <w:color w:val="0000FF"/>
        </w:rPr>
        <w:t>2</w:t>
      </w:r>
      <w:r w:rsidRPr="004C59BB">
        <w:rPr>
          <w:color w:val="0000FF"/>
          <w:lang w:val="ru-RU"/>
        </w:rPr>
        <w:t>条</w:t>
      </w:r>
      <w:r w:rsidRPr="0097554A">
        <w:rPr>
          <w:color w:val="0000FF"/>
        </w:rPr>
        <w:t>）</w:t>
      </w:r>
      <w:r w:rsidRPr="004C59BB">
        <w:rPr>
          <w:color w:val="0000FF"/>
          <w:lang w:val="ru-RU"/>
        </w:rPr>
        <w:t>。</w:t>
      </w:r>
    </w:p>
  </w:footnote>
  <w:footnote w:id="1429">
    <w:p w14:paraId="66B90FAE" w14:textId="5A7ED82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正如赎罪券的支持者所总结的那样。</w:t>
      </w:r>
    </w:p>
  </w:footnote>
  <w:footnote w:id="1430">
    <w:p w14:paraId="465937BF" w14:textId="1893A9BA"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佩罗内</w:t>
      </w:r>
      <w:r w:rsidRPr="0097554A">
        <w:rPr>
          <w:color w:val="0000FF"/>
        </w:rPr>
        <w:t>，</w:t>
      </w:r>
      <w:r w:rsidRPr="004C59BB">
        <w:rPr>
          <w:color w:val="0000FF"/>
        </w:rPr>
        <w:t>同上</w:t>
      </w:r>
      <w:r w:rsidRPr="0097554A">
        <w:rPr>
          <w:color w:val="0000FF"/>
        </w:rPr>
        <w:t>，</w:t>
      </w:r>
      <w:r w:rsidRPr="004C59BB">
        <w:rPr>
          <w:color w:val="0000FF"/>
        </w:rPr>
        <w:t>《关于大赦的论述》，命题1。</w:t>
      </w:r>
    </w:p>
  </w:footnote>
  <w:footnote w:id="1431">
    <w:p w14:paraId="7B95D2A1" w14:textId="27B3D7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《天主教教理讲授》，第III卷，第307页。</w:t>
      </w:r>
    </w:p>
  </w:footnote>
  <w:footnote w:id="1432">
    <w:p w14:paraId="0EB99FB0" w14:textId="6D93F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佩罗内，《关于大赦的论述》，命题IV。</w:t>
      </w:r>
    </w:p>
  </w:footnote>
  <w:footnote w:id="1433">
    <w:p w14:paraId="7425DBC0" w14:textId="5C76F54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佩罗内，《关于大赦的论述》，命题1。</w:t>
      </w:r>
    </w:p>
  </w:footnote>
  <w:footnote w:id="1434">
    <w:p w14:paraId="7FCC607F" w14:textId="4AA6B2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他可以赐予大赦，也可以撤回自己的判决；对于忏悔者、行善者、祈求者，他可以仁慈地宽恕，并将殉道者为此所求、神父为此所行的一切都视为已蒙接纳（《论背教者》第XXXVI章，载于《教父全集》第四卷，第494页）。</w:t>
      </w:r>
    </w:p>
  </w:footnote>
  <w:footnote w:id="1435">
    <w:p w14:paraId="0C74B6CE" w14:textId="0FB26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若有人全心全意地祈求，若以真诚忏悔的哀叹与泪水痛哭，若通过公正且持续的善行来寻求对其过犯的宽恕，他便可怜悯此类人……（同上，第493页）。</w:t>
      </w:r>
    </w:p>
  </w:footnote>
  <w:footnote w:id="1436">
    <w:p w14:paraId="44C52B0B" w14:textId="03DD3C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《论背教》第XVII、XXIX、XXXV章，同上，第480、489、491页。</w:t>
      </w:r>
    </w:p>
  </w:footnote>
  <w:footnote w:id="1437">
    <w:p w14:paraId="61AD412C" w14:textId="0B11EF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……仆人不能赦免或以其赦免之恩宽恕那些对主犯下的更严重罪过……（同上，第XVII章）。</w:t>
      </w:r>
    </w:p>
  </w:footnote>
  <w:footnote w:id="1438">
    <w:p w14:paraId="0C90C18B" w14:textId="5420AC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殉道者若能依福音解决，则无权干涉；若无法依福音解决，则不得违背福音行事（同上，第XX章，第483页）。</w:t>
      </w:r>
    </w:p>
  </w:footnote>
  <w:footnote w:id="1439">
    <w:p w14:paraId="16C6748F" w14:textId="65D37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殉道者们要求做某事；但若此事是公正的、合法的，且不违背主，则应由上帝的司祭去执行……（同上，第十八章，第481页）。</w:t>
      </w:r>
    </w:p>
  </w:footnote>
  <w:footnote w:id="1440">
    <w:p w14:paraId="030BE2E0" w14:textId="2C78E2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我恳求你们……要认真而谨慎地权衡求告者的愿望，审查每个人的行为、事迹和功德，并考量其过错的种类与性质……（《致殉道者与信徒书》第十封，第3节，载于《教父集》所引卷，第255页）。</w:t>
      </w:r>
    </w:p>
  </w:footnote>
  <w:footnote w:id="1441">
    <w:p w14:paraId="20B1FB0B" w14:textId="56D4E96E"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……若你们发现他们的忏悔已接近赎罪……</w:t>
      </w:r>
      <w:r w:rsidRPr="0097554A">
        <w:rPr>
          <w:color w:val="0000FF"/>
        </w:rPr>
        <w:t>（</w:t>
      </w:r>
      <w:r w:rsidRPr="004C59BB">
        <w:rPr>
          <w:color w:val="0000FF"/>
        </w:rPr>
        <w:t>同上</w:t>
      </w:r>
      <w:r w:rsidRPr="0097554A">
        <w:rPr>
          <w:color w:val="0000FF"/>
        </w:rPr>
        <w:t>，</w:t>
      </w:r>
      <w:r w:rsidRPr="004C59BB">
        <w:rPr>
          <w:color w:val="0000FF"/>
          <w:lang w:val="ru-RU"/>
        </w:rPr>
        <w:t>第</w:t>
      </w:r>
      <w:r w:rsidRPr="0097554A">
        <w:rPr>
          <w:color w:val="0000FF"/>
        </w:rPr>
        <w:t>4</w:t>
      </w:r>
      <w:r w:rsidRPr="004C59BB">
        <w:rPr>
          <w:color w:val="0000FF"/>
          <w:lang w:val="ru-RU"/>
        </w:rPr>
        <w:t>条</w:t>
      </w:r>
      <w:r w:rsidRPr="0097554A">
        <w:rPr>
          <w:color w:val="0000FF"/>
        </w:rPr>
        <w:t>，</w:t>
      </w:r>
      <w:r w:rsidRPr="004C59BB">
        <w:rPr>
          <w:color w:val="0000FF"/>
          <w:lang w:val="ru-RU"/>
        </w:rPr>
        <w:t>第</w:t>
      </w:r>
      <w:r w:rsidRPr="0097554A">
        <w:rPr>
          <w:color w:val="0000FF"/>
        </w:rPr>
        <w:t>256</w:t>
      </w:r>
      <w:r w:rsidRPr="004C59BB">
        <w:rPr>
          <w:color w:val="0000FF"/>
          <w:lang w:val="ru-RU"/>
        </w:rPr>
        <w:t>页</w:t>
      </w:r>
      <w:r w:rsidRPr="0097554A">
        <w:rPr>
          <w:color w:val="0000FF"/>
        </w:rPr>
        <w:t>）</w:t>
      </w:r>
      <w:r w:rsidRPr="004C59BB">
        <w:rPr>
          <w:color w:val="0000FF"/>
          <w:lang w:val="ru-RU"/>
        </w:rPr>
        <w:t>。</w:t>
      </w:r>
    </w:p>
  </w:footnote>
  <w:footnote w:id="1442">
    <w:p w14:paraId="7AD41DBC" w14:textId="6DAF9FD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在所有情况下</w:t>
      </w:r>
      <w:r w:rsidRPr="0097554A">
        <w:rPr>
          <w:color w:val="0000FF"/>
        </w:rPr>
        <w:t>，</w:t>
      </w:r>
      <w:r w:rsidRPr="004C59BB">
        <w:rPr>
          <w:color w:val="0000FF"/>
          <w:lang w:val="ru-RU"/>
        </w:rPr>
        <w:t>都应将悔改的态度和方式纳入考量</w:t>
      </w:r>
      <w:r w:rsidRPr="0097554A">
        <w:rPr>
          <w:color w:val="0000FF"/>
        </w:rPr>
        <w:t>”（</w:t>
      </w:r>
      <w:r w:rsidRPr="004C59BB">
        <w:rPr>
          <w:color w:val="0000FF"/>
          <w:lang w:val="ru-RU"/>
        </w:rPr>
        <w:t>第</w:t>
      </w:r>
      <w:r w:rsidRPr="0097554A">
        <w:rPr>
          <w:color w:val="0000FF"/>
        </w:rPr>
        <w:t>12</w:t>
      </w:r>
      <w:r w:rsidRPr="004C59BB">
        <w:rPr>
          <w:color w:val="0000FF"/>
          <w:lang w:val="ru-RU"/>
        </w:rPr>
        <w:t>条</w:t>
      </w:r>
      <w:r w:rsidRPr="0097554A">
        <w:rPr>
          <w:color w:val="0000FF"/>
        </w:rPr>
        <w:t>）</w:t>
      </w:r>
      <w:r w:rsidRPr="004C59BB">
        <w:rPr>
          <w:color w:val="0000FF"/>
          <w:lang w:val="ru-RU"/>
        </w:rPr>
        <w:t>。</w:t>
      </w:r>
    </w:p>
  </w:footnote>
  <w:footnote w:id="1443">
    <w:p w14:paraId="064E3A04" w14:textId="56019E5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治愈的衡量标准不在于时间</w:t>
      </w:r>
      <w:r w:rsidRPr="0097554A">
        <w:rPr>
          <w:color w:val="0000FF"/>
        </w:rPr>
        <w:t>，</w:t>
      </w:r>
      <w:r w:rsidRPr="004C59BB">
        <w:rPr>
          <w:color w:val="0000FF"/>
          <w:lang w:val="ru-RU"/>
        </w:rPr>
        <w:t>而在于忏悔的方式</w:t>
      </w:r>
      <w:r w:rsidRPr="0097554A">
        <w:rPr>
          <w:color w:val="0000FF"/>
        </w:rPr>
        <w:t>”（</w:t>
      </w:r>
      <w:r w:rsidRPr="004C59BB">
        <w:rPr>
          <w:color w:val="0000FF"/>
          <w:lang w:val="ru-RU"/>
        </w:rPr>
        <w:t>致阿马特菲洛克斯的教规书信</w:t>
      </w:r>
      <w:r w:rsidRPr="0097554A">
        <w:rPr>
          <w:color w:val="0000FF"/>
        </w:rPr>
        <w:t>，</w:t>
      </w:r>
      <w:r w:rsidRPr="004C59BB">
        <w:rPr>
          <w:color w:val="0000FF"/>
          <w:lang w:val="ru-RU"/>
        </w:rPr>
        <w:t>第</w:t>
      </w:r>
      <w:r w:rsidRPr="0097554A">
        <w:rPr>
          <w:color w:val="0000FF"/>
        </w:rPr>
        <w:t>2</w:t>
      </w:r>
      <w:r w:rsidRPr="004C59BB">
        <w:rPr>
          <w:color w:val="0000FF"/>
          <w:lang w:val="ru-RU"/>
        </w:rPr>
        <w:t>条</w:t>
      </w:r>
      <w:r w:rsidRPr="0097554A">
        <w:rPr>
          <w:color w:val="0000FF"/>
        </w:rPr>
        <w:t>）</w:t>
      </w:r>
      <w:r w:rsidRPr="004C59BB">
        <w:rPr>
          <w:color w:val="0000FF"/>
          <w:lang w:val="ru-RU"/>
        </w:rPr>
        <w:t>。</w:t>
      </w:r>
      <w:r w:rsidRPr="0097554A">
        <w:rPr>
          <w:color w:val="0000FF"/>
        </w:rPr>
        <w:t xml:space="preserve"> “</w:t>
      </w:r>
      <w:r w:rsidRPr="004C59BB">
        <w:rPr>
          <w:color w:val="0000FF"/>
          <w:lang w:val="ru-RU"/>
        </w:rPr>
        <w:t>我们写下这一切</w:t>
      </w:r>
      <w:r w:rsidRPr="0097554A">
        <w:rPr>
          <w:color w:val="0000FF"/>
        </w:rPr>
        <w:t>，</w:t>
      </w:r>
      <w:r w:rsidRPr="004C59BB">
        <w:rPr>
          <w:color w:val="0000FF"/>
          <w:lang w:val="ru-RU"/>
        </w:rPr>
        <w:t>是为了检验忏悔的果实。因为我们并非仅凭时间长短来判断</w:t>
      </w:r>
      <w:r w:rsidRPr="0097554A">
        <w:rPr>
          <w:color w:val="0000FF"/>
        </w:rPr>
        <w:t>，</w:t>
      </w:r>
      <w:r w:rsidRPr="004C59BB">
        <w:rPr>
          <w:color w:val="0000FF"/>
          <w:lang w:val="ru-RU"/>
        </w:rPr>
        <w:t>而是关注忏悔的方式</w:t>
      </w:r>
      <w:r w:rsidRPr="0097554A">
        <w:rPr>
          <w:color w:val="0000FF"/>
        </w:rPr>
        <w:t>”（</w:t>
      </w:r>
      <w:r w:rsidRPr="004C59BB">
        <w:rPr>
          <w:color w:val="0000FF"/>
          <w:lang w:val="ru-RU"/>
        </w:rPr>
        <w:t>同上</w:t>
      </w:r>
      <w:r w:rsidRPr="0097554A">
        <w:rPr>
          <w:color w:val="0000FF"/>
        </w:rPr>
        <w:t>，</w:t>
      </w:r>
      <w:r w:rsidRPr="004C59BB">
        <w:rPr>
          <w:color w:val="0000FF"/>
          <w:lang w:val="ru-RU"/>
        </w:rPr>
        <w:t>第</w:t>
      </w:r>
      <w:r w:rsidRPr="0097554A">
        <w:rPr>
          <w:color w:val="0000FF"/>
        </w:rPr>
        <w:t>84</w:t>
      </w:r>
      <w:r w:rsidRPr="004C59BB">
        <w:rPr>
          <w:color w:val="0000FF"/>
          <w:lang w:val="ru-RU"/>
        </w:rPr>
        <w:t>条</w:t>
      </w:r>
      <w:r w:rsidRPr="0097554A">
        <w:rPr>
          <w:color w:val="0000FF"/>
        </w:rPr>
        <w:t>；</w:t>
      </w:r>
      <w:r w:rsidRPr="004C59BB">
        <w:rPr>
          <w:color w:val="0000FF"/>
          <w:lang w:val="ru-RU"/>
        </w:rPr>
        <w:t>注</w:t>
      </w:r>
      <w:r w:rsidRPr="0097554A">
        <w:rPr>
          <w:color w:val="0000FF"/>
        </w:rPr>
        <w:t>7）</w:t>
      </w:r>
      <w:r w:rsidRPr="004C59BB">
        <w:rPr>
          <w:color w:val="0000FF"/>
          <w:lang w:val="ru-RU"/>
        </w:rPr>
        <w:t>。</w:t>
      </w:r>
    </w:p>
  </w:footnote>
  <w:footnote w:id="1444">
    <w:p w14:paraId="3D78027E" w14:textId="74D7F08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对于那些更热忱地经历悔改</w:t>
      </w:r>
      <w:r w:rsidRPr="0097554A">
        <w:rPr>
          <w:color w:val="0000FF"/>
        </w:rPr>
        <w:t>，</w:t>
      </w:r>
      <w:r w:rsidRPr="004C59BB">
        <w:rPr>
          <w:color w:val="0000FF"/>
          <w:lang w:val="ru-RU"/>
        </w:rPr>
        <w:t>并以自身生活表明已转向善的人</w:t>
      </w:r>
      <w:r w:rsidRPr="0097554A">
        <w:rPr>
          <w:color w:val="0000FF"/>
        </w:rPr>
        <w:t>，</w:t>
      </w:r>
      <w:r w:rsidRPr="004C59BB">
        <w:rPr>
          <w:color w:val="0000FF"/>
          <w:lang w:val="ru-RU"/>
        </w:rPr>
        <w:t>允许负责教会事务管理的人缩短听证时间</w:t>
      </w:r>
      <w:r w:rsidRPr="0097554A">
        <w:rPr>
          <w:color w:val="0000FF"/>
        </w:rPr>
        <w:t>，</w:t>
      </w:r>
      <w:r w:rsidRPr="004C59BB">
        <w:rPr>
          <w:color w:val="0000FF"/>
          <w:lang w:val="ru-RU"/>
        </w:rPr>
        <w:t>并尽快引导他们归正</w:t>
      </w:r>
      <w:r w:rsidRPr="0097554A">
        <w:rPr>
          <w:color w:val="0000FF"/>
        </w:rPr>
        <w:t xml:space="preserve">： </w:t>
      </w:r>
      <w:r w:rsidRPr="004C59BB">
        <w:rPr>
          <w:color w:val="0000FF"/>
          <w:lang w:val="ru-RU"/>
        </w:rPr>
        <w:t>同样</w:t>
      </w:r>
      <w:r w:rsidRPr="0097554A">
        <w:rPr>
          <w:color w:val="0000FF"/>
        </w:rPr>
        <w:t>，</w:t>
      </w:r>
      <w:r w:rsidRPr="004C59BB">
        <w:rPr>
          <w:color w:val="0000FF"/>
          <w:lang w:val="ru-RU"/>
        </w:rPr>
        <w:t>也可缩短此过程的时间</w:t>
      </w:r>
      <w:r w:rsidRPr="0097554A">
        <w:rPr>
          <w:color w:val="0000FF"/>
        </w:rPr>
        <w:t>，</w:t>
      </w:r>
      <w:r w:rsidRPr="004C59BB">
        <w:rPr>
          <w:color w:val="0000FF"/>
          <w:lang w:val="ru-RU"/>
        </w:rPr>
        <w:t>并尽早允许其领受圣餐</w:t>
      </w:r>
      <w:r w:rsidRPr="0097554A">
        <w:rPr>
          <w:color w:val="0000FF"/>
        </w:rPr>
        <w:t>，</w:t>
      </w:r>
      <w:r w:rsidRPr="004C59BB">
        <w:rPr>
          <w:color w:val="0000FF"/>
          <w:lang w:val="ru-RU"/>
        </w:rPr>
        <w:t>这取决于他通过自身考察所了解的受治疗者的状况</w:t>
      </w:r>
      <w:r w:rsidRPr="0097554A">
        <w:rPr>
          <w:color w:val="0000FF"/>
        </w:rPr>
        <w:t>”（</w:t>
      </w:r>
      <w:r w:rsidRPr="004C59BB">
        <w:rPr>
          <w:color w:val="0000FF"/>
          <w:lang w:val="ru-RU"/>
        </w:rPr>
        <w:t>致利托伊乌斯的教规</w:t>
      </w:r>
      <w:r w:rsidRPr="0097554A">
        <w:rPr>
          <w:color w:val="0000FF"/>
        </w:rPr>
        <w:t>，</w:t>
      </w:r>
      <w:r w:rsidRPr="004C59BB">
        <w:rPr>
          <w:color w:val="0000FF"/>
          <w:lang w:val="ru-RU"/>
        </w:rPr>
        <w:t>第</w:t>
      </w:r>
      <w:r w:rsidRPr="0097554A">
        <w:rPr>
          <w:color w:val="0000FF"/>
        </w:rPr>
        <w:t>4</w:t>
      </w:r>
      <w:r w:rsidRPr="004C59BB">
        <w:rPr>
          <w:color w:val="0000FF"/>
          <w:lang w:val="ru-RU"/>
        </w:rPr>
        <w:t>条</w:t>
      </w:r>
      <w:r w:rsidRPr="0097554A">
        <w:rPr>
          <w:color w:val="0000FF"/>
        </w:rPr>
        <w:t>）</w:t>
      </w:r>
      <w:r w:rsidRPr="004C59BB">
        <w:rPr>
          <w:color w:val="0000FF"/>
          <w:lang w:val="ru-RU"/>
        </w:rPr>
        <w:t>。</w:t>
      </w:r>
    </w:p>
  </w:footnote>
  <w:footnote w:id="1445">
    <w:p w14:paraId="3E5E3A0D" w14:textId="24026B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教宗英诺森。《致德森特书》，第七章。</w:t>
      </w:r>
    </w:p>
  </w:footnote>
  <w:footnote w:id="1446">
    <w:p w14:paraId="41B10EE4" w14:textId="5A83124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安基拉大公会议</w:t>
      </w:r>
      <w:r w:rsidRPr="0097554A">
        <w:rPr>
          <w:color w:val="0000FF"/>
        </w:rPr>
        <w:t>，</w:t>
      </w:r>
      <w:r w:rsidRPr="004C59BB">
        <w:rPr>
          <w:color w:val="0000FF"/>
          <w:lang w:val="ru-RU"/>
        </w:rPr>
        <w:t>第</w:t>
      </w:r>
      <w:r w:rsidRPr="0097554A">
        <w:rPr>
          <w:color w:val="0000FF"/>
        </w:rPr>
        <w:t>5</w:t>
      </w:r>
      <w:r w:rsidRPr="004C59BB">
        <w:rPr>
          <w:color w:val="0000FF"/>
          <w:lang w:val="ru-RU"/>
        </w:rPr>
        <w:t>条</w:t>
      </w:r>
      <w:r w:rsidRPr="0097554A">
        <w:rPr>
          <w:color w:val="0000FF"/>
        </w:rPr>
        <w:t>；</w:t>
      </w:r>
      <w:r w:rsidRPr="004C59BB">
        <w:rPr>
          <w:color w:val="0000FF"/>
          <w:lang w:val="ru-RU"/>
        </w:rPr>
        <w:t>尼西亚大公会议第</w:t>
      </w:r>
      <w:r w:rsidRPr="0097554A">
        <w:rPr>
          <w:color w:val="0000FF"/>
        </w:rPr>
        <w:t>1</w:t>
      </w:r>
      <w:r w:rsidRPr="004C59BB">
        <w:rPr>
          <w:color w:val="0000FF"/>
          <w:lang w:val="ru-RU"/>
        </w:rPr>
        <w:t>次</w:t>
      </w:r>
      <w:r w:rsidRPr="0097554A">
        <w:rPr>
          <w:color w:val="0000FF"/>
        </w:rPr>
        <w:t>，</w:t>
      </w:r>
      <w:r w:rsidRPr="004C59BB">
        <w:rPr>
          <w:color w:val="0000FF"/>
          <w:lang w:val="ru-RU"/>
        </w:rPr>
        <w:t>第</w:t>
      </w:r>
      <w:r w:rsidRPr="0097554A">
        <w:rPr>
          <w:color w:val="0000FF"/>
        </w:rPr>
        <w:t>12</w:t>
      </w:r>
      <w:r w:rsidRPr="004C59BB">
        <w:rPr>
          <w:color w:val="0000FF"/>
          <w:lang w:val="ru-RU"/>
        </w:rPr>
        <w:t>条等。</w:t>
      </w:r>
    </w:p>
  </w:footnote>
  <w:footnote w:id="1447">
    <w:p w14:paraId="2A3DDCB9" w14:textId="07360FD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尼西亚第一次大公会议</w:t>
      </w:r>
      <w:r w:rsidRPr="0097554A">
        <w:rPr>
          <w:color w:val="0000FF"/>
        </w:rPr>
        <w:t>，</w:t>
      </w:r>
      <w:r w:rsidRPr="004C59BB">
        <w:rPr>
          <w:color w:val="0000FF"/>
          <w:lang w:val="ru-RU"/>
        </w:rPr>
        <w:t>第</w:t>
      </w:r>
      <w:r w:rsidRPr="0097554A">
        <w:rPr>
          <w:color w:val="0000FF"/>
        </w:rPr>
        <w:t>12</w:t>
      </w:r>
      <w:r w:rsidRPr="004C59BB">
        <w:rPr>
          <w:color w:val="0000FF"/>
          <w:lang w:val="ru-RU"/>
        </w:rPr>
        <w:t>条</w:t>
      </w:r>
      <w:r w:rsidRPr="0097554A">
        <w:rPr>
          <w:color w:val="0000FF"/>
        </w:rPr>
        <w:t>；</w:t>
      </w:r>
      <w:r w:rsidRPr="004C59BB">
        <w:rPr>
          <w:color w:val="0000FF"/>
          <w:lang w:val="ru-RU"/>
        </w:rPr>
        <w:t>尼西亚的格里高利</w:t>
      </w:r>
      <w:r w:rsidRPr="0097554A">
        <w:rPr>
          <w:color w:val="0000FF"/>
        </w:rPr>
        <w:t>，</w:t>
      </w:r>
      <w:r w:rsidRPr="004C59BB">
        <w:rPr>
          <w:color w:val="0000FF"/>
          <w:lang w:val="ru-RU"/>
        </w:rPr>
        <w:t>第</w:t>
      </w:r>
      <w:r w:rsidRPr="0097554A">
        <w:rPr>
          <w:color w:val="0000FF"/>
        </w:rPr>
        <w:t>2.5</w:t>
      </w:r>
      <w:r w:rsidRPr="004C59BB">
        <w:rPr>
          <w:color w:val="0000FF"/>
          <w:lang w:val="ru-RU"/>
        </w:rPr>
        <w:t>条</w:t>
      </w:r>
      <w:r w:rsidRPr="0097554A">
        <w:rPr>
          <w:color w:val="0000FF"/>
        </w:rPr>
        <w:t>；</w:t>
      </w:r>
      <w:r w:rsidRPr="004C59BB">
        <w:rPr>
          <w:color w:val="0000FF"/>
          <w:lang w:val="ru-RU"/>
        </w:rPr>
        <w:t>卡尔法大公会议</w:t>
      </w:r>
      <w:r w:rsidRPr="0097554A">
        <w:rPr>
          <w:color w:val="0000FF"/>
        </w:rPr>
        <w:t>，</w:t>
      </w:r>
      <w:r w:rsidRPr="004C59BB">
        <w:rPr>
          <w:color w:val="0000FF"/>
          <w:lang w:val="ru-RU"/>
        </w:rPr>
        <w:t>第</w:t>
      </w:r>
      <w:r w:rsidRPr="004C59BB">
        <w:rPr>
          <w:color w:val="0000FF"/>
        </w:rPr>
        <w:t>IV卷</w:t>
      </w:r>
      <w:r w:rsidRPr="0097554A">
        <w:rPr>
          <w:color w:val="0000FF"/>
        </w:rPr>
        <w:t>，</w:t>
      </w:r>
      <w:r w:rsidRPr="004C59BB">
        <w:rPr>
          <w:color w:val="0000FF"/>
        </w:rPr>
        <w:t>第LXXVI</w:t>
      </w:r>
      <w:r w:rsidRPr="004C59BB">
        <w:rPr>
          <w:color w:val="0000FF"/>
          <w:lang w:val="ru-RU"/>
        </w:rPr>
        <w:t>、</w:t>
      </w:r>
      <w:r w:rsidRPr="004C59BB">
        <w:rPr>
          <w:color w:val="0000FF"/>
        </w:rPr>
        <w:t>LXXVIII条</w:t>
      </w:r>
      <w:r w:rsidRPr="004C59BB">
        <w:rPr>
          <w:color w:val="0000FF"/>
          <w:lang w:val="ru-RU"/>
        </w:rPr>
        <w:t>。</w:t>
      </w:r>
    </w:p>
  </w:footnote>
  <w:footnote w:id="1448">
    <w:p w14:paraId="4E787E48" w14:textId="4934FB4C"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正如历史所证实的那样</w:t>
      </w:r>
      <w:r w:rsidRPr="0097554A">
        <w:rPr>
          <w:color w:val="0000FF"/>
        </w:rPr>
        <w:t>，</w:t>
      </w:r>
      <w:r w:rsidRPr="004C59BB">
        <w:rPr>
          <w:color w:val="0000FF"/>
          <w:lang w:val="ru-RU"/>
        </w:rPr>
        <w:t>甚至罗马教会史学家们也承认这一点</w:t>
      </w:r>
      <w:r w:rsidRPr="0097554A">
        <w:rPr>
          <w:color w:val="0000FF"/>
        </w:rPr>
        <w:t>：</w:t>
      </w:r>
      <w:r w:rsidRPr="004C59BB">
        <w:rPr>
          <w:color w:val="0000FF"/>
          <w:lang w:val="ru-RU"/>
        </w:rPr>
        <w:t>参见</w:t>
      </w:r>
      <w:r w:rsidRPr="0097554A">
        <w:rPr>
          <w:color w:val="0000FF"/>
        </w:rPr>
        <w:t>，</w:t>
      </w:r>
      <w:r w:rsidRPr="004C59BB">
        <w:rPr>
          <w:color w:val="0000FF"/>
          <w:lang w:val="ru-RU"/>
        </w:rPr>
        <w:t>例如</w:t>
      </w:r>
      <w:r w:rsidRPr="0097554A">
        <w:rPr>
          <w:color w:val="0000FF"/>
        </w:rPr>
        <w:t>，</w:t>
      </w:r>
      <w:r w:rsidRPr="004C59BB">
        <w:rPr>
          <w:color w:val="0000FF"/>
        </w:rPr>
        <w:t>弗勒里，《关于教会史的四篇讲演》，第2和16节。</w:t>
      </w:r>
    </w:p>
  </w:footnote>
  <w:footnote w:id="1449">
    <w:p w14:paraId="01727EBC" w14:textId="6CB53C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弗勒里，《教会史》第VI卷，第104册，第48章，1840年版。</w:t>
      </w:r>
    </w:p>
  </w:footnote>
  <w:footnote w:id="1450">
    <w:p w14:paraId="6EFD32DE" w14:textId="405AE5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埃莱翁，《耶雷米答问集》第1卷，致奥古斯丁《忏悔录》第VIII章，载于《符腾堡神学文集》第81页，1584年版。</w:t>
      </w:r>
    </w:p>
  </w:footnote>
  <w:footnote w:id="1451">
    <w:p w14:paraId="29261A55" w14:textId="423174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阿吉翁·埃莱翁，戈尔《祈祷集》，第408页；耶雷米亚，同上，第79页。</w:t>
      </w:r>
    </w:p>
  </w:footnote>
  <w:footnote w:id="1452">
    <w:p w14:paraId="785FAC6C" w14:textId="73AC19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Εύχέλαιον，见戈尔（Goar）《祈祷书》（Eucholog.）第417页。</w:t>
      </w:r>
    </w:p>
  </w:footnote>
  <w:footnote w:id="1453">
    <w:p w14:paraId="468A1F88" w14:textId="144695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Extrema unctio。</w:t>
      </w:r>
      <w:r w:rsidRPr="004C59BB">
        <w:rPr>
          <w:color w:val="0000FF"/>
          <w:lang w:val="ru-RU"/>
        </w:rPr>
        <w:t>这一名称在</w:t>
      </w:r>
      <w:r w:rsidRPr="0097554A">
        <w:rPr>
          <w:color w:val="0000FF"/>
        </w:rPr>
        <w:t>12</w:t>
      </w:r>
      <w:r w:rsidRPr="004C59BB">
        <w:rPr>
          <w:color w:val="0000FF"/>
          <w:lang w:val="ru-RU"/>
        </w:rPr>
        <w:t>世纪之后才广为人知</w:t>
      </w:r>
      <w:r w:rsidRPr="0097554A">
        <w:rPr>
          <w:color w:val="0000FF"/>
        </w:rPr>
        <w:t>（</w:t>
      </w:r>
      <w:r w:rsidRPr="004C59BB">
        <w:rPr>
          <w:color w:val="0000FF"/>
        </w:rPr>
        <w:t>马比永</w:t>
      </w:r>
      <w:r w:rsidRPr="0097554A">
        <w:rPr>
          <w:color w:val="0000FF"/>
        </w:rPr>
        <w:t>，</w:t>
      </w:r>
      <w:r w:rsidRPr="004C59BB">
        <w:rPr>
          <w:color w:val="0000FF"/>
        </w:rPr>
        <w:t>《第一</w:t>
      </w:r>
      <w:r w:rsidRPr="004C59BB">
        <w:rPr>
          <w:color w:val="0000FF"/>
          <w:lang w:val="ru-RU"/>
        </w:rPr>
        <w:t>卷序言》</w:t>
      </w:r>
      <w:r w:rsidRPr="004C59BB">
        <w:rPr>
          <w:color w:val="0000FF"/>
        </w:rPr>
        <w:t>，第98条）。</w:t>
      </w:r>
    </w:p>
  </w:footnote>
  <w:footnote w:id="1454">
    <w:p w14:paraId="73FB946E" w14:textId="5706E7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临终圣事，Conс., Exon. 1287 an.</w:t>
      </w:r>
    </w:p>
  </w:footnote>
  <w:footnote w:id="1455">
    <w:p w14:paraId="601C0FAE" w14:textId="3096C7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罗森穆勒，见雅各布，第V卷，第15章。</w:t>
      </w:r>
    </w:p>
  </w:footnote>
  <w:footnote w:id="1456">
    <w:p w14:paraId="33E3FF4B" w14:textId="388BD70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奥利金用这些词取代了使徒的话</w:t>
      </w:r>
      <w:r w:rsidRPr="0097554A">
        <w:rPr>
          <w:color w:val="0000FF"/>
        </w:rPr>
        <w:t>：“</w:t>
      </w:r>
      <w:r w:rsidRPr="004C59BB">
        <w:rPr>
          <w:color w:val="0000FF"/>
          <w:lang w:val="ru-RU"/>
        </w:rPr>
        <w:t>并为他祈祷</w:t>
      </w:r>
      <w:r w:rsidRPr="0097554A">
        <w:rPr>
          <w:color w:val="0000FF"/>
        </w:rPr>
        <w:t>”，</w:t>
      </w:r>
      <w:r w:rsidRPr="004C59BB">
        <w:rPr>
          <w:color w:val="0000FF"/>
          <w:lang w:val="ru-RU"/>
        </w:rPr>
        <w:t>显然是指至今仍在圣油礼中遵守的仪式之一</w:t>
      </w:r>
      <w:r w:rsidRPr="0097554A">
        <w:rPr>
          <w:color w:val="0000FF"/>
        </w:rPr>
        <w:t>，</w:t>
      </w:r>
      <w:r w:rsidRPr="004C59BB">
        <w:rPr>
          <w:color w:val="0000FF"/>
          <w:lang w:val="ru-RU"/>
        </w:rPr>
        <w:t>即神父将双手按在病人身上</w:t>
      </w:r>
      <w:r w:rsidRPr="0097554A">
        <w:rPr>
          <w:color w:val="0000FF"/>
        </w:rPr>
        <w:t>（</w:t>
      </w:r>
      <w:r w:rsidRPr="004C59BB">
        <w:rPr>
          <w:color w:val="0000FF"/>
          <w:lang w:val="ru-RU"/>
        </w:rPr>
        <w:t>参见《圣油礼仪》</w:t>
      </w:r>
      <w:r w:rsidRPr="0097554A">
        <w:rPr>
          <w:color w:val="0000FF"/>
        </w:rPr>
        <w:t>）</w:t>
      </w:r>
      <w:r w:rsidRPr="004C59BB">
        <w:rPr>
          <w:color w:val="0000FF"/>
          <w:lang w:val="ru-RU"/>
        </w:rPr>
        <w:t>。</w:t>
      </w:r>
    </w:p>
  </w:footnote>
  <w:footnote w:id="1457">
    <w:p w14:paraId="0D87236C" w14:textId="426C8F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“其中也实现了使徒雅各所说的那句话……”（《利未记讲道集》第二卷，第4节）。</w:t>
      </w:r>
    </w:p>
  </w:footnote>
  <w:footnote w:id="1458">
    <w:p w14:paraId="3602378B" w14:textId="02BB48B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参见金口若望</w:t>
      </w:r>
      <w:r w:rsidRPr="004C59BB">
        <w:rPr>
          <w:color w:val="0000FF"/>
        </w:rPr>
        <w:t>《</w:t>
      </w:r>
      <w:r w:rsidRPr="004C59BB">
        <w:rPr>
          <w:color w:val="0000FF"/>
          <w:lang w:val="ru-RU"/>
        </w:rPr>
        <w:t>论圣职</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6</w:t>
      </w:r>
      <w:r w:rsidRPr="004C59BB">
        <w:rPr>
          <w:color w:val="0000FF"/>
          <w:lang w:val="ru-RU"/>
        </w:rPr>
        <w:t>节</w:t>
      </w:r>
      <w:r w:rsidRPr="0097554A">
        <w:rPr>
          <w:color w:val="0000FF"/>
        </w:rPr>
        <w:t>，</w:t>
      </w:r>
      <w:r w:rsidRPr="004C59BB">
        <w:rPr>
          <w:color w:val="0000FF"/>
          <w:lang w:val="ru-RU"/>
        </w:rPr>
        <w:t>第</w:t>
      </w:r>
      <w:r w:rsidRPr="0097554A">
        <w:rPr>
          <w:color w:val="0000FF"/>
        </w:rPr>
        <w:t>59–63</w:t>
      </w:r>
      <w:r w:rsidRPr="004C59BB">
        <w:rPr>
          <w:color w:val="0000FF"/>
          <w:lang w:val="ru-RU"/>
        </w:rPr>
        <w:t>页</w:t>
      </w:r>
      <w:r w:rsidRPr="0097554A">
        <w:rPr>
          <w:color w:val="0000FF"/>
        </w:rPr>
        <w:t>，</w:t>
      </w:r>
      <w:r w:rsidRPr="004C59BB">
        <w:rPr>
          <w:color w:val="0000FF"/>
          <w:lang w:val="ru-RU"/>
        </w:rPr>
        <w:t>俄文译本。</w:t>
      </w:r>
    </w:p>
  </w:footnote>
  <w:footnote w:id="1459">
    <w:p w14:paraId="162B31D9" w14:textId="2A5778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《论在圣灵与真理中的敬拜》第六卷，全集第1卷，第211页（巴黎，1638年）。</w:t>
      </w:r>
    </w:p>
  </w:footnote>
  <w:footnote w:id="1460">
    <w:p w14:paraId="045D840E" w14:textId="32C24F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……而象征这些事物的橄榄油确实存在。《马可福音注释》第六卷，第13章，载于第1卷，第103页，马太版。</w:t>
      </w:r>
    </w:p>
  </w:footnote>
  <w:footnote w:id="1461">
    <w:p w14:paraId="5290F7F8" w14:textId="5B3FA98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《讲道集》第CCLXV篇，第3节，载于《奥古斯丁文集》第V卷附录，参见《讲道集》第CCLXXIX篇，第5节。</w:t>
      </w:r>
    </w:p>
  </w:footnote>
  <w:footnote w:id="1462">
    <w:p w14:paraId="1CA5B3EB" w14:textId="63E91D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这不能授予忏悔者，因为圣事是一种类别；既然其他圣事都被拒绝了，怎么可能认为可以授予其中一种呢？（致德森特的书信，第七章，第12节）。</w:t>
      </w:r>
    </w:p>
  </w:footnote>
  <w:footnote w:id="1463">
    <w:p w14:paraId="2B8E80B7" w14:textId="145BE6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《圣事论》，载于《著作集》第III卷，第235–237页，Maur. 编。</w:t>
      </w:r>
    </w:p>
  </w:footnote>
  <w:footnote w:id="1464">
    <w:p w14:paraId="771B7680" w14:textId="235B55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雷诺多（Renaudot）。《信仰永恒论》（Perpet. de la foi），第V卷，第5卷，第1章及后续章节；阿塞曼（Asseman）。《东方文献》（Bibl. Orient.），第III卷，关于叙利亚的聂斯托利（Nest. Syr.）的论文，第276页；马滕（Marten.），《古代教会礼仪》（da antiqu. Eccl. ritib.），第1卷，第II部分，第7章。</w:t>
      </w:r>
    </w:p>
  </w:footnote>
  <w:footnote w:id="1465">
    <w:p w14:paraId="73BEB190" w14:textId="1C483E3F"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参见词典中“άσδενέω”、</w:t>
      </w:r>
      <w:r w:rsidRPr="0097554A">
        <w:rPr>
          <w:color w:val="0000FF"/>
        </w:rPr>
        <w:t>“</w:t>
      </w:r>
      <w:r w:rsidRPr="004C59BB">
        <w:rPr>
          <w:color w:val="0000FF"/>
          <w:lang w:val="ru-RU"/>
        </w:rPr>
        <w:t>κάμνω</w:t>
      </w:r>
      <w:r w:rsidRPr="0097554A">
        <w:rPr>
          <w:color w:val="0000FF"/>
        </w:rPr>
        <w:t>”</w:t>
      </w:r>
      <w:r w:rsidRPr="004C59BB">
        <w:rPr>
          <w:color w:val="0000FF"/>
          <w:lang w:val="ru-RU"/>
        </w:rPr>
        <w:t>条目</w:t>
      </w:r>
      <w:r w:rsidRPr="0097554A">
        <w:rPr>
          <w:color w:val="0000FF"/>
        </w:rPr>
        <w:t>——</w:t>
      </w:r>
      <w:r w:rsidRPr="004C59BB">
        <w:rPr>
          <w:color w:val="0000FF"/>
          <w:lang w:val="ru-RU"/>
        </w:rPr>
        <w:t>伊瓦什科夫斯基编</w:t>
      </w:r>
      <w:r w:rsidRPr="004C59BB">
        <w:rPr>
          <w:color w:val="0000FF"/>
        </w:rPr>
        <w:t>《希腊语-俄语词典》</w:t>
      </w:r>
      <w:r w:rsidRPr="004C59BB">
        <w:rPr>
          <w:color w:val="0000FF"/>
          <w:lang w:val="ru-RU"/>
        </w:rPr>
        <w:t>、亚历山大编《希腊语</w:t>
      </w:r>
      <w:r w:rsidRPr="0097554A">
        <w:rPr>
          <w:color w:val="0000FF"/>
        </w:rPr>
        <w:t>-</w:t>
      </w:r>
      <w:r w:rsidRPr="004C59BB">
        <w:rPr>
          <w:color w:val="0000FF"/>
          <w:lang w:val="ru-RU"/>
        </w:rPr>
        <w:t>法语词典》等。</w:t>
      </w:r>
    </w:p>
  </w:footnote>
  <w:footnote w:id="1466">
    <w:p w14:paraId="70D5E320" w14:textId="5C69A2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夏尔东（Chardon），《圣油礼史》，载于《神学全集》第XX卷，米涅（Migne）编。参见瓦尔特（Walter），《教会法手册》第319节，注释——e。</w:t>
      </w:r>
    </w:p>
  </w:footnote>
  <w:footnote w:id="1467">
    <w:p w14:paraId="4DBFB716" w14:textId="5761C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……因为主教们因其他事务缠身，无法前往探望所有病患（《致德森提乌斯书》第VIII章，第II节）。</w:t>
      </w:r>
    </w:p>
  </w:footnote>
  <w:footnote w:id="1468">
    <w:p w14:paraId="6DE533FD" w14:textId="33448807"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西梅昂</w:t>
      </w:r>
      <w:r w:rsidRPr="0097554A">
        <w:rPr>
          <w:color w:val="0000FF"/>
        </w:rPr>
        <w:t>·</w:t>
      </w:r>
      <w:r w:rsidRPr="004C59BB">
        <w:rPr>
          <w:color w:val="0000FF"/>
          <w:lang w:val="ru-RU"/>
        </w:rPr>
        <w:t>索卢尼</w:t>
      </w:r>
      <w:r w:rsidRPr="0097554A">
        <w:rPr>
          <w:color w:val="0000FF"/>
        </w:rPr>
        <w:t>，</w:t>
      </w:r>
      <w:r w:rsidRPr="004C59BB">
        <w:rPr>
          <w:color w:val="0000FF"/>
          <w:lang w:val="ru-RU"/>
        </w:rPr>
        <w:t>第</w:t>
      </w:r>
      <w:r w:rsidRPr="0097554A">
        <w:rPr>
          <w:color w:val="0000FF"/>
        </w:rPr>
        <w:t>40</w:t>
      </w:r>
      <w:r w:rsidRPr="004C59BB">
        <w:rPr>
          <w:color w:val="0000FF"/>
          <w:lang w:val="ru-RU"/>
        </w:rPr>
        <w:t>章</w:t>
      </w:r>
      <w:r w:rsidRPr="0097554A">
        <w:rPr>
          <w:color w:val="0000FF"/>
        </w:rPr>
        <w:t>，</w:t>
      </w:r>
      <w:r w:rsidRPr="004C59BB">
        <w:rPr>
          <w:color w:val="0000FF"/>
          <w:lang w:val="ru-RU"/>
        </w:rPr>
        <w:t>载于《新石板》</w:t>
      </w:r>
      <w:r w:rsidRPr="004C59BB">
        <w:rPr>
          <w:color w:val="0000FF"/>
        </w:rPr>
        <w:t>第IV</w:t>
      </w:r>
      <w:r w:rsidRPr="004C59BB">
        <w:rPr>
          <w:color w:val="0000FF"/>
          <w:lang w:val="ru-RU"/>
        </w:rPr>
        <w:t>卷</w:t>
      </w:r>
      <w:r w:rsidRPr="0097554A">
        <w:rPr>
          <w:color w:val="0000FF"/>
        </w:rPr>
        <w:t>，</w:t>
      </w:r>
      <w:r w:rsidRPr="004C59BB">
        <w:rPr>
          <w:color w:val="0000FF"/>
          <w:lang w:val="ru-RU"/>
        </w:rPr>
        <w:t>第</w:t>
      </w:r>
      <w:r w:rsidRPr="0097554A">
        <w:rPr>
          <w:color w:val="0000FF"/>
        </w:rPr>
        <w:t>14</w:t>
      </w:r>
      <w:r w:rsidRPr="004C59BB">
        <w:rPr>
          <w:color w:val="0000FF"/>
          <w:lang w:val="ru-RU"/>
        </w:rPr>
        <w:t>章。</w:t>
      </w:r>
    </w:p>
  </w:footnote>
  <w:footnote w:id="1469">
    <w:p w14:paraId="7D4C29CC" w14:textId="0A8911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同上。参见马滕斯《论古代教会礼仪》第1卷，第7章，第3、4条。</w:t>
      </w:r>
    </w:p>
  </w:footnote>
  <w:footnote w:id="1470">
    <w:p w14:paraId="1EA5DD9D" w14:textId="05458C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特伦托大公会议，第十四次会议，第一章。</w:t>
      </w:r>
    </w:p>
  </w:footnote>
  <w:footnote w:id="1471">
    <w:p w14:paraId="61C8E723" w14:textId="760D7450"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参见</w:t>
      </w:r>
      <w:r w:rsidRPr="004C59BB">
        <w:rPr>
          <w:color w:val="0000FF"/>
          <w:lang w:val="ru-RU"/>
        </w:rPr>
        <w:t>伊瓦什科夫斯基、亚历山大等人编纂的</w:t>
      </w:r>
      <w:r w:rsidRPr="004C59BB">
        <w:rPr>
          <w:color w:val="0000FF"/>
        </w:rPr>
        <w:t>希腊语词典中“έγείρω”条目</w:t>
      </w:r>
      <w:r w:rsidRPr="004C59BB">
        <w:rPr>
          <w:color w:val="0000FF"/>
          <w:lang w:val="ru-RU"/>
        </w:rPr>
        <w:t>。</w:t>
      </w:r>
    </w:p>
  </w:footnote>
  <w:footnote w:id="1472">
    <w:p w14:paraId="5F7D9D7A" w14:textId="1D2585F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虽然要开始施行此圣事</w:t>
      </w:r>
      <w:r w:rsidRPr="0097554A">
        <w:rPr>
          <w:color w:val="0000FF"/>
        </w:rPr>
        <w:t>（</w:t>
      </w:r>
      <w:r w:rsidRPr="004C59BB">
        <w:rPr>
          <w:color w:val="0000FF"/>
          <w:lang w:val="ru-RU"/>
        </w:rPr>
        <w:t>傅油礼</w:t>
      </w:r>
      <w:r w:rsidRPr="0097554A">
        <w:rPr>
          <w:color w:val="0000FF"/>
        </w:rPr>
        <w:t>），</w:t>
      </w:r>
      <w:r w:rsidRPr="004C59BB">
        <w:rPr>
          <w:color w:val="0000FF"/>
          <w:lang w:val="ru-RU"/>
        </w:rPr>
        <w:t>但请遵守古老的教会惯例</w:t>
      </w:r>
      <w:r w:rsidRPr="0097554A">
        <w:rPr>
          <w:color w:val="0000FF"/>
        </w:rPr>
        <w:t>：</w:t>
      </w:r>
      <w:r w:rsidRPr="004C59BB">
        <w:rPr>
          <w:color w:val="0000FF"/>
          <w:lang w:val="ru-RU"/>
        </w:rPr>
        <w:t>神父应确保病人在领受此圣事之前</w:t>
      </w:r>
      <w:r w:rsidRPr="0097554A">
        <w:rPr>
          <w:color w:val="0000FF"/>
        </w:rPr>
        <w:t>，</w:t>
      </w:r>
      <w:r w:rsidRPr="004C59BB">
        <w:rPr>
          <w:color w:val="0000FF"/>
          <w:lang w:val="ru-RU"/>
        </w:rPr>
        <w:t>通过忏悔圣事洁净自己</w:t>
      </w:r>
      <w:r w:rsidRPr="0097554A">
        <w:rPr>
          <w:color w:val="0000FF"/>
        </w:rPr>
        <w:t>，</w:t>
      </w:r>
      <w:r w:rsidRPr="004C59BB">
        <w:rPr>
          <w:color w:val="0000FF"/>
          <w:lang w:val="ru-RU"/>
        </w:rPr>
        <w:t>即通过忏悔自己的罪过</w:t>
      </w:r>
      <w:r w:rsidRPr="0097554A">
        <w:rPr>
          <w:color w:val="0000FF"/>
        </w:rPr>
        <w:t>，</w:t>
      </w:r>
      <w:r w:rsidRPr="004C59BB">
        <w:rPr>
          <w:color w:val="0000FF"/>
          <w:lang w:val="ru-RU"/>
        </w:rPr>
        <w:t>然后才为他施行傅油礼</w:t>
      </w:r>
      <w:r w:rsidRPr="0097554A">
        <w:rPr>
          <w:color w:val="0000FF"/>
        </w:rPr>
        <w:t>” （</w:t>
      </w:r>
      <w:r w:rsidRPr="004C59BB">
        <w:rPr>
          <w:color w:val="0000FF"/>
          <w:lang w:val="ru-RU"/>
        </w:rPr>
        <w:t>摘自彼得</w:t>
      </w:r>
      <w:r w:rsidRPr="0097554A">
        <w:rPr>
          <w:color w:val="0000FF"/>
        </w:rPr>
        <w:t>·</w:t>
      </w:r>
      <w:r w:rsidRPr="004C59BB">
        <w:rPr>
          <w:color w:val="0000FF"/>
          <w:lang w:val="ru-RU"/>
        </w:rPr>
        <w:t>莫吉拉《礼仪书》中</w:t>
      </w:r>
      <w:r w:rsidRPr="0097554A">
        <w:rPr>
          <w:color w:val="0000FF"/>
        </w:rPr>
        <w:t>“</w:t>
      </w:r>
      <w:r w:rsidRPr="004C59BB">
        <w:rPr>
          <w:color w:val="0000FF"/>
          <w:lang w:val="ru-RU"/>
        </w:rPr>
        <w:t>圣油礼</w:t>
      </w:r>
      <w:r w:rsidRPr="0097554A">
        <w:rPr>
          <w:color w:val="0000FF"/>
        </w:rPr>
        <w:t>”</w:t>
      </w:r>
      <w:r w:rsidRPr="004C59BB">
        <w:rPr>
          <w:color w:val="0000FF"/>
          <w:lang w:val="ru-RU"/>
        </w:rPr>
        <w:t>的序言</w:t>
      </w:r>
      <w:r w:rsidRPr="0097554A">
        <w:rPr>
          <w:color w:val="0000FF"/>
        </w:rPr>
        <w:t>）</w:t>
      </w:r>
      <w:r w:rsidRPr="004C59BB">
        <w:rPr>
          <w:color w:val="0000FF"/>
          <w:lang w:val="ru-RU"/>
        </w:rPr>
        <w:t>。</w:t>
      </w:r>
    </w:p>
  </w:footnote>
  <w:footnote w:id="1473">
    <w:p w14:paraId="6DDCA17C" w14:textId="7B5A38E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第七篇祷文</w:t>
      </w:r>
      <w:r w:rsidRPr="0097554A">
        <w:rPr>
          <w:color w:val="0000FF"/>
        </w:rPr>
        <w:t>，</w:t>
      </w:r>
      <w:r w:rsidRPr="004C59BB">
        <w:rPr>
          <w:color w:val="0000FF"/>
          <w:lang w:val="ru-RU"/>
        </w:rPr>
        <w:t>于傅油礼时诵读。</w:t>
      </w:r>
    </w:p>
  </w:footnote>
  <w:footnote w:id="1474">
    <w:p w14:paraId="181F039E" w14:textId="574E5F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特伦托大公会议，第十四次会议，第2章。</w:t>
      </w:r>
    </w:p>
  </w:footnote>
  <w:footnote w:id="1475">
    <w:p w14:paraId="34B04E60" w14:textId="5A3C7742"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第一次大公会议的第</w:t>
      </w:r>
      <w:r w:rsidRPr="0097554A">
        <w:rPr>
          <w:color w:val="0000FF"/>
        </w:rPr>
        <w:t>13</w:t>
      </w:r>
      <w:r w:rsidRPr="004C59BB">
        <w:rPr>
          <w:color w:val="0000FF"/>
          <w:lang w:val="ru-RU"/>
        </w:rPr>
        <w:t>条规则规定</w:t>
      </w:r>
      <w:r w:rsidRPr="0097554A">
        <w:rPr>
          <w:color w:val="0000FF"/>
        </w:rPr>
        <w:t>：“</w:t>
      </w:r>
      <w:r w:rsidRPr="004C59BB">
        <w:rPr>
          <w:color w:val="0000FF"/>
          <w:lang w:val="ru-RU"/>
        </w:rPr>
        <w:t>对于临终者</w:t>
      </w:r>
      <w:r w:rsidRPr="0097554A">
        <w:rPr>
          <w:color w:val="0000FF"/>
        </w:rPr>
        <w:t>，</w:t>
      </w:r>
      <w:r w:rsidRPr="004C59BB">
        <w:rPr>
          <w:color w:val="0000FF"/>
          <w:lang w:val="ru-RU"/>
        </w:rPr>
        <w:t>应当继续遵守古老的律法和规则</w:t>
      </w:r>
      <w:r w:rsidRPr="0097554A">
        <w:rPr>
          <w:color w:val="0000FF"/>
        </w:rPr>
        <w:t>，</w:t>
      </w:r>
      <w:r w:rsidRPr="004C59BB">
        <w:rPr>
          <w:color w:val="0000FF"/>
          <w:lang w:val="ru-RU"/>
        </w:rPr>
        <w:t>以免临终者被剥夺最后且最必要的临终关怀</w:t>
      </w:r>
      <w:r w:rsidRPr="0097554A">
        <w:rPr>
          <w:color w:val="0000FF"/>
        </w:rPr>
        <w:t>”，</w:t>
      </w:r>
      <w:r w:rsidRPr="004C59BB">
        <w:rPr>
          <w:color w:val="0000FF"/>
          <w:lang w:val="ru-RU"/>
        </w:rPr>
        <w:t>随后指明了这种临终关怀的具体内容</w:t>
      </w:r>
      <w:r w:rsidRPr="0097554A">
        <w:rPr>
          <w:color w:val="0000FF"/>
        </w:rPr>
        <w:t>： “</w:t>
      </w:r>
      <w:r w:rsidRPr="004C59BB">
        <w:rPr>
          <w:color w:val="0000FF"/>
          <w:lang w:val="ru-RU"/>
        </w:rPr>
        <w:t>凡临终者</w:t>
      </w:r>
      <w:r w:rsidRPr="0097554A">
        <w:rPr>
          <w:color w:val="0000FF"/>
        </w:rPr>
        <w:t>，</w:t>
      </w:r>
      <w:r w:rsidRPr="004C59BB">
        <w:rPr>
          <w:color w:val="0000FF"/>
          <w:lang w:val="ru-RU"/>
        </w:rPr>
        <w:t>无论何人</w:t>
      </w:r>
      <w:r w:rsidRPr="0097554A">
        <w:rPr>
          <w:color w:val="0000FF"/>
        </w:rPr>
        <w:t>，</w:t>
      </w:r>
      <w:r w:rsidRPr="004C59BB">
        <w:rPr>
          <w:color w:val="0000FF"/>
          <w:lang w:val="ru-RU"/>
        </w:rPr>
        <w:t>若请求领受圣体</w:t>
      </w:r>
      <w:r w:rsidRPr="0097554A">
        <w:rPr>
          <w:color w:val="0000FF"/>
        </w:rPr>
        <w:t>，</w:t>
      </w:r>
      <w:r w:rsidRPr="004C59BB">
        <w:rPr>
          <w:color w:val="0000FF"/>
          <w:lang w:val="ru-RU"/>
        </w:rPr>
        <w:t>经主教审察后</w:t>
      </w:r>
      <w:r w:rsidRPr="0097554A">
        <w:rPr>
          <w:color w:val="0000FF"/>
        </w:rPr>
        <w:t>，</w:t>
      </w:r>
      <w:r w:rsidRPr="004C59BB">
        <w:rPr>
          <w:color w:val="0000FF"/>
          <w:lang w:val="ru-RU"/>
        </w:rPr>
        <w:t>应授予圣礼。”</w:t>
      </w:r>
    </w:p>
  </w:footnote>
  <w:footnote w:id="1476">
    <w:p w14:paraId="626232B2" w14:textId="77A431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若有人未完成规则规定的忏悔期限便离世：那么，教父们的仁爱之情要求，应允许其领受圣事，且不应在未获临终祝福的情况下，被放行踏上其最终且遥远的旅程”（格里高利·尼萨的《致利托伊乌斯书》中的教规，第7条）。</w:t>
      </w:r>
    </w:p>
  </w:footnote>
  <w:footnote w:id="1477">
    <w:p w14:paraId="1B186BF7" w14:textId="1CE96BC8"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君士坦丁堡宗主教耶利米对东正教会的所有七大圣事进行了明确的分类，将其分为三类：</w:t>
      </w:r>
      <w:r w:rsidRPr="004C59BB">
        <w:rPr>
          <w:color w:val="0000FF"/>
        </w:rPr>
        <w:t>παντί</w:t>
      </w:r>
      <w:r w:rsidRPr="0097554A">
        <w:rPr>
          <w:color w:val="0000FF"/>
          <w:lang w:val="ru-RU"/>
        </w:rPr>
        <w:t xml:space="preserve"> </w:t>
      </w:r>
      <w:r w:rsidRPr="004C59BB">
        <w:rPr>
          <w:color w:val="0000FF"/>
        </w:rPr>
        <w:t>μεν</w:t>
      </w:r>
      <w:r w:rsidRPr="0097554A">
        <w:rPr>
          <w:color w:val="0000FF"/>
          <w:lang w:val="ru-RU"/>
        </w:rPr>
        <w:t xml:space="preserve"> </w:t>
      </w:r>
      <w:r w:rsidRPr="004C59BB">
        <w:rPr>
          <w:color w:val="0000FF"/>
        </w:rPr>
        <w:t>χρήσιμα</w:t>
      </w:r>
      <w:r w:rsidRPr="0097554A">
        <w:rPr>
          <w:color w:val="0000FF"/>
          <w:lang w:val="ru-RU"/>
        </w:rPr>
        <w:t xml:space="preserve"> </w:t>
      </w:r>
      <w:r w:rsidRPr="004C59BB">
        <w:rPr>
          <w:color w:val="0000FF"/>
          <w:lang w:val="ru-RU"/>
        </w:rPr>
        <w:t>–</w:t>
      </w:r>
      <w:r w:rsidRPr="0097554A">
        <w:rPr>
          <w:color w:val="0000FF"/>
          <w:lang w:val="ru-RU"/>
        </w:rPr>
        <w:t xml:space="preserve"> </w:t>
      </w:r>
      <w:r w:rsidRPr="004C59BB">
        <w:rPr>
          <w:color w:val="0000FF"/>
        </w:rPr>
        <w:t>洗礼</w:t>
      </w:r>
      <w:r w:rsidRPr="004C59BB">
        <w:rPr>
          <w:color w:val="0000FF"/>
          <w:lang w:val="ru-RU"/>
        </w:rPr>
        <w:t>、</w:t>
      </w:r>
      <w:r w:rsidRPr="004C59BB">
        <w:rPr>
          <w:color w:val="0000FF"/>
        </w:rPr>
        <w:t>圣油礼</w:t>
      </w:r>
      <w:r w:rsidRPr="004C59BB">
        <w:rPr>
          <w:color w:val="0000FF"/>
          <w:lang w:val="ru-RU"/>
        </w:rPr>
        <w:t>、</w:t>
      </w:r>
      <w:r w:rsidRPr="004C59BB">
        <w:rPr>
          <w:color w:val="0000FF"/>
        </w:rPr>
        <w:t>圣餐</w:t>
      </w:r>
      <w:r w:rsidRPr="004C59BB">
        <w:rPr>
          <w:color w:val="0000FF"/>
          <w:lang w:val="ru-RU"/>
        </w:rPr>
        <w:t>；</w:t>
      </w:r>
      <w:r w:rsidRPr="004C59BB">
        <w:rPr>
          <w:color w:val="0000FF"/>
        </w:rPr>
        <w:t>τοίς</w:t>
      </w:r>
      <w:r w:rsidRPr="0097554A">
        <w:rPr>
          <w:color w:val="0000FF"/>
          <w:lang w:val="ru-RU"/>
        </w:rPr>
        <w:t xml:space="preserve"> </w:t>
      </w:r>
      <w:r w:rsidRPr="004C59BB">
        <w:rPr>
          <w:color w:val="0000FF"/>
        </w:rPr>
        <w:t>δέ</w:t>
      </w:r>
      <w:r w:rsidRPr="0097554A">
        <w:rPr>
          <w:color w:val="0000FF"/>
          <w:lang w:val="ru-RU"/>
        </w:rPr>
        <w:t xml:space="preserve"> </w:t>
      </w:r>
      <w:r w:rsidRPr="004C59BB">
        <w:rPr>
          <w:color w:val="0000FF"/>
        </w:rPr>
        <w:t>άφιερουμένοις</w:t>
      </w:r>
      <w:r w:rsidRPr="0097554A">
        <w:rPr>
          <w:color w:val="0000FF"/>
          <w:lang w:val="ru-RU"/>
        </w:rPr>
        <w:t xml:space="preserve"> </w:t>
      </w:r>
      <w:r w:rsidRPr="004C59BB">
        <w:rPr>
          <w:color w:val="0000FF"/>
        </w:rPr>
        <w:t>Θεω</w:t>
      </w:r>
      <w:r w:rsidRPr="0097554A">
        <w:rPr>
          <w:color w:val="0000FF"/>
          <w:lang w:val="ru-RU"/>
        </w:rPr>
        <w:t xml:space="preserve"> </w:t>
      </w:r>
      <w:r w:rsidRPr="004C59BB">
        <w:rPr>
          <w:color w:val="0000FF"/>
          <w:lang w:val="ru-RU"/>
        </w:rPr>
        <w:t>–</w:t>
      </w:r>
      <w:r w:rsidRPr="0097554A">
        <w:rPr>
          <w:color w:val="0000FF"/>
          <w:lang w:val="ru-RU"/>
        </w:rPr>
        <w:t xml:space="preserve"> </w:t>
      </w:r>
      <w:r w:rsidRPr="004C59BB">
        <w:rPr>
          <w:color w:val="0000FF"/>
        </w:rPr>
        <w:t>按立礼</w:t>
      </w:r>
      <w:r w:rsidRPr="004C59BB">
        <w:rPr>
          <w:color w:val="0000FF"/>
          <w:lang w:val="ru-RU"/>
        </w:rPr>
        <w:t xml:space="preserve">； </w:t>
      </w:r>
      <w:r w:rsidRPr="004C59BB">
        <w:rPr>
          <w:color w:val="0000FF"/>
        </w:rPr>
        <w:t>正如婚姻之于平信徒</w:t>
      </w:r>
      <w:r w:rsidRPr="0097554A">
        <w:rPr>
          <w:color w:val="0000FF"/>
          <w:lang w:val="ru-RU"/>
        </w:rPr>
        <w:t>，</w:t>
      </w:r>
      <w:r w:rsidRPr="004C59BB">
        <w:rPr>
          <w:color w:val="0000FF"/>
        </w:rPr>
        <w:t>以及对于受洗后犯罪者</w:t>
      </w:r>
      <w:r w:rsidRPr="004C59BB">
        <w:rPr>
          <w:color w:val="0000FF"/>
          <w:lang w:val="ru-RU"/>
        </w:rPr>
        <w:t>——</w:t>
      </w:r>
      <w:r w:rsidRPr="004C59BB">
        <w:rPr>
          <w:color w:val="0000FF"/>
        </w:rPr>
        <w:t>忏悔与圣油的涂抹</w:t>
      </w:r>
      <w:r w:rsidRPr="004C59BB">
        <w:rPr>
          <w:color w:val="0000FF"/>
          <w:lang w:val="ru-RU"/>
        </w:rPr>
        <w:t>（</w:t>
      </w:r>
      <w:r w:rsidRPr="004C59BB">
        <w:rPr>
          <w:color w:val="0000FF"/>
        </w:rPr>
        <w:t>《对奥古斯丁〈信经〉第七章的答复》</w:t>
      </w:r>
      <w:r w:rsidRPr="0097554A">
        <w:rPr>
          <w:color w:val="0000FF"/>
          <w:lang w:val="ru-RU"/>
        </w:rPr>
        <w:t>，</w:t>
      </w:r>
      <w:r w:rsidRPr="004C59BB">
        <w:rPr>
          <w:color w:val="0000FF"/>
        </w:rPr>
        <w:t>载于《符腾堡神学文集》第</w:t>
      </w:r>
      <w:r w:rsidRPr="0097554A">
        <w:rPr>
          <w:color w:val="0000FF"/>
          <w:lang w:val="ru-RU"/>
        </w:rPr>
        <w:t>77</w:t>
      </w:r>
      <w:r w:rsidRPr="004C59BB">
        <w:rPr>
          <w:color w:val="0000FF"/>
        </w:rPr>
        <w:t>页</w:t>
      </w:r>
      <w:r w:rsidRPr="0097554A">
        <w:rPr>
          <w:color w:val="0000FF"/>
          <w:lang w:val="ru-RU"/>
        </w:rPr>
        <w:t>）</w:t>
      </w:r>
      <w:r w:rsidRPr="004C59BB">
        <w:rPr>
          <w:color w:val="0000FF"/>
        </w:rPr>
        <w:t>。</w:t>
      </w:r>
    </w:p>
  </w:footnote>
  <w:footnote w:id="1478">
    <w:p w14:paraId="04857519" w14:textId="6C223138"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伊里内斯《</w:t>
      </w:r>
      <w:r w:rsidRPr="004C59BB">
        <w:rPr>
          <w:color w:val="0000FF"/>
        </w:rPr>
        <w:t>反异端</w:t>
      </w:r>
      <w:r w:rsidRPr="004C59BB">
        <w:rPr>
          <w:color w:val="0000FF"/>
          <w:lang w:val="ru-RU"/>
        </w:rPr>
        <w:t>》</w:t>
      </w:r>
      <w:r w:rsidRPr="004C59BB">
        <w:rPr>
          <w:color w:val="0000FF"/>
        </w:rPr>
        <w:t>第一</w:t>
      </w:r>
      <w:r w:rsidRPr="004C59BB">
        <w:rPr>
          <w:color w:val="0000FF"/>
          <w:lang w:val="ru-RU"/>
        </w:rPr>
        <w:t>卷，第28章，</w:t>
      </w:r>
      <w:r w:rsidRPr="004C59BB">
        <w:rPr>
          <w:color w:val="0000FF"/>
        </w:rPr>
        <w:t>注</w:t>
      </w:r>
      <w:r w:rsidRPr="004C59BB">
        <w:rPr>
          <w:color w:val="0000FF"/>
          <w:lang w:val="ru-RU"/>
        </w:rPr>
        <w:t>1；克利门特·亚历山大</w:t>
      </w:r>
      <w:r w:rsidRPr="004C59BB">
        <w:rPr>
          <w:color w:val="0000FF"/>
        </w:rPr>
        <w:t>《杂论》第三卷</w:t>
      </w:r>
      <w:r w:rsidRPr="0097554A">
        <w:rPr>
          <w:color w:val="0000FF"/>
          <w:lang w:val="ru-RU"/>
        </w:rPr>
        <w:t>，</w:t>
      </w:r>
      <w:r w:rsidRPr="004C59BB">
        <w:rPr>
          <w:color w:val="0000FF"/>
        </w:rPr>
        <w:t>第</w:t>
      </w:r>
      <w:r w:rsidRPr="0097554A">
        <w:rPr>
          <w:color w:val="0000FF"/>
          <w:lang w:val="ru-RU"/>
        </w:rPr>
        <w:t>6</w:t>
      </w:r>
      <w:r w:rsidRPr="004C59BB">
        <w:rPr>
          <w:color w:val="0000FF"/>
        </w:rPr>
        <w:t>章</w:t>
      </w:r>
      <w:r w:rsidRPr="0097554A">
        <w:rPr>
          <w:color w:val="0000FF"/>
          <w:lang w:val="ru-RU"/>
        </w:rPr>
        <w:t>；</w:t>
      </w:r>
      <w:r w:rsidRPr="004C59BB">
        <w:rPr>
          <w:color w:val="0000FF"/>
        </w:rPr>
        <w:t>梅福迪乌斯《贞女集会》第二卷</w:t>
      </w:r>
      <w:r w:rsidRPr="0097554A">
        <w:rPr>
          <w:color w:val="0000FF"/>
          <w:lang w:val="ru-RU"/>
        </w:rPr>
        <w:t>，</w:t>
      </w:r>
      <w:r w:rsidRPr="004C59BB">
        <w:rPr>
          <w:color w:val="0000FF"/>
        </w:rPr>
        <w:t>第</w:t>
      </w:r>
      <w:r w:rsidRPr="0097554A">
        <w:rPr>
          <w:color w:val="0000FF"/>
          <w:lang w:val="ru-RU"/>
        </w:rPr>
        <w:t>2</w:t>
      </w:r>
      <w:r w:rsidRPr="004C59BB">
        <w:rPr>
          <w:color w:val="0000FF"/>
        </w:rPr>
        <w:t>章</w:t>
      </w:r>
      <w:r w:rsidRPr="0097554A">
        <w:rPr>
          <w:color w:val="0000FF"/>
          <w:lang w:val="ru-RU"/>
        </w:rPr>
        <w:t>，</w:t>
      </w:r>
      <w:r w:rsidRPr="004C59BB">
        <w:rPr>
          <w:color w:val="0000FF"/>
        </w:rPr>
        <w:t>注</w:t>
      </w:r>
      <w:r w:rsidRPr="0097554A">
        <w:rPr>
          <w:color w:val="0000FF"/>
          <w:lang w:val="ru-RU"/>
        </w:rPr>
        <w:t>2；</w:t>
      </w:r>
      <w:r w:rsidRPr="004C59BB">
        <w:rPr>
          <w:color w:val="0000FF"/>
        </w:rPr>
        <w:t>特土良《反马吉安》第一卷</w:t>
      </w:r>
      <w:r w:rsidRPr="0097554A">
        <w:rPr>
          <w:color w:val="0000FF"/>
          <w:lang w:val="ru-RU"/>
        </w:rPr>
        <w:t>，</w:t>
      </w:r>
      <w:r w:rsidRPr="004C59BB">
        <w:rPr>
          <w:color w:val="0000FF"/>
        </w:rPr>
        <w:t>第</w:t>
      </w:r>
      <w:r w:rsidRPr="0097554A">
        <w:rPr>
          <w:color w:val="0000FF"/>
          <w:lang w:val="ru-RU"/>
        </w:rPr>
        <w:t>29</w:t>
      </w:r>
      <w:r w:rsidRPr="004C59BB">
        <w:rPr>
          <w:color w:val="0000FF"/>
        </w:rPr>
        <w:t>章</w:t>
      </w:r>
      <w:r w:rsidRPr="0097554A">
        <w:rPr>
          <w:color w:val="0000FF"/>
          <w:lang w:val="ru-RU"/>
        </w:rPr>
        <w:t xml:space="preserve">； </w:t>
      </w:r>
      <w:r w:rsidRPr="004C59BB">
        <w:rPr>
          <w:color w:val="0000FF"/>
        </w:rPr>
        <w:t>金口若望</w:t>
      </w:r>
      <w:r w:rsidRPr="0097554A">
        <w:rPr>
          <w:color w:val="0000FF"/>
          <w:lang w:val="ru-RU"/>
        </w:rPr>
        <w:t>，</w:t>
      </w:r>
      <w:r w:rsidRPr="004C59BB">
        <w:rPr>
          <w:color w:val="0000FF"/>
        </w:rPr>
        <w:t>《创世记讲道集》第</w:t>
      </w:r>
      <w:r w:rsidRPr="0097554A">
        <w:rPr>
          <w:color w:val="0000FF"/>
          <w:lang w:val="ru-RU"/>
        </w:rPr>
        <w:t xml:space="preserve"> </w:t>
      </w:r>
      <w:r w:rsidRPr="004C59BB">
        <w:rPr>
          <w:color w:val="0000FF"/>
        </w:rPr>
        <w:t>XXI</w:t>
      </w:r>
      <w:r w:rsidRPr="0097554A">
        <w:rPr>
          <w:color w:val="0000FF"/>
          <w:lang w:val="ru-RU"/>
        </w:rPr>
        <w:t xml:space="preserve"> </w:t>
      </w:r>
      <w:r w:rsidRPr="004C59BB">
        <w:rPr>
          <w:color w:val="0000FF"/>
        </w:rPr>
        <w:t>篇</w:t>
      </w:r>
      <w:r w:rsidRPr="0097554A">
        <w:rPr>
          <w:color w:val="0000FF"/>
          <w:lang w:val="ru-RU"/>
        </w:rPr>
        <w:t>，</w:t>
      </w:r>
      <w:r w:rsidRPr="004C59BB">
        <w:rPr>
          <w:color w:val="0000FF"/>
        </w:rPr>
        <w:t>注</w:t>
      </w:r>
      <w:r w:rsidRPr="0097554A">
        <w:rPr>
          <w:color w:val="0000FF"/>
          <w:lang w:val="ru-RU"/>
        </w:rPr>
        <w:t xml:space="preserve"> 4；</w:t>
      </w:r>
      <w:r w:rsidRPr="004C59BB">
        <w:rPr>
          <w:color w:val="0000FF"/>
        </w:rPr>
        <w:t>奥古斯丁</w:t>
      </w:r>
      <w:r w:rsidRPr="0097554A">
        <w:rPr>
          <w:color w:val="0000FF"/>
          <w:lang w:val="ru-RU"/>
        </w:rPr>
        <w:t>，</w:t>
      </w:r>
      <w:r w:rsidRPr="004C59BB">
        <w:rPr>
          <w:color w:val="0000FF"/>
        </w:rPr>
        <w:t>《反第二摩尼派》第</w:t>
      </w:r>
      <w:r w:rsidRPr="0097554A">
        <w:rPr>
          <w:color w:val="0000FF"/>
          <w:lang w:val="ru-RU"/>
        </w:rPr>
        <w:t xml:space="preserve"> </w:t>
      </w:r>
      <w:r w:rsidRPr="004C59BB">
        <w:rPr>
          <w:color w:val="0000FF"/>
        </w:rPr>
        <w:t>XXII</w:t>
      </w:r>
      <w:r w:rsidRPr="0097554A">
        <w:rPr>
          <w:color w:val="0000FF"/>
          <w:lang w:val="ru-RU"/>
        </w:rPr>
        <w:t xml:space="preserve"> </w:t>
      </w:r>
      <w:r w:rsidRPr="004C59BB">
        <w:rPr>
          <w:color w:val="0000FF"/>
        </w:rPr>
        <w:t>章。</w:t>
      </w:r>
    </w:p>
  </w:footnote>
  <w:footnote w:id="1479">
    <w:p w14:paraId="609C7BBB" w14:textId="110B1B5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埃皮法尼乌斯</w:t>
      </w:r>
      <w:r w:rsidRPr="0097554A">
        <w:rPr>
          <w:color w:val="0000FF"/>
          <w:lang w:val="ru-RU"/>
        </w:rPr>
        <w:t>，</w:t>
      </w:r>
      <w:r w:rsidRPr="004C59BB">
        <w:rPr>
          <w:color w:val="0000FF"/>
        </w:rPr>
        <w:t>《论异端》第XXIII章。</w:t>
      </w:r>
    </w:p>
  </w:footnote>
  <w:footnote w:id="1480">
    <w:p w14:paraId="723B604E" w14:textId="7FF026AE"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伊皮诺斯《反异端》第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24</w:t>
      </w:r>
      <w:r w:rsidRPr="004C59BB">
        <w:rPr>
          <w:color w:val="0000FF"/>
        </w:rPr>
        <w:t>章</w:t>
      </w:r>
      <w:r w:rsidRPr="0097554A">
        <w:rPr>
          <w:color w:val="0000FF"/>
          <w:lang w:val="ru-RU"/>
        </w:rPr>
        <w:t>；</w:t>
      </w:r>
      <w:r w:rsidRPr="004C59BB">
        <w:rPr>
          <w:color w:val="0000FF"/>
        </w:rPr>
        <w:t>亚历山大的克利门特《杂论</w:t>
      </w:r>
      <w:r w:rsidRPr="004C59BB">
        <w:rPr>
          <w:color w:val="0000FF"/>
          <w:lang w:val="ru-RU"/>
        </w:rPr>
        <w:t>》</w:t>
      </w:r>
      <w:r w:rsidRPr="004C59BB">
        <w:rPr>
          <w:color w:val="0000FF"/>
        </w:rPr>
        <w:t>第III</w:t>
      </w:r>
      <w:r w:rsidRPr="004C59BB">
        <w:rPr>
          <w:color w:val="0000FF"/>
          <w:lang w:val="ru-RU"/>
        </w:rPr>
        <w:t>卷，第1、2章；耶路撒冷的西里尔《讲道集》</w:t>
      </w:r>
      <w:r w:rsidRPr="004C59BB">
        <w:rPr>
          <w:color w:val="0000FF"/>
        </w:rPr>
        <w:t>第VI</w:t>
      </w:r>
      <w:r w:rsidRPr="004C59BB">
        <w:rPr>
          <w:color w:val="0000FF"/>
          <w:lang w:val="ru-RU"/>
        </w:rPr>
        <w:t>卷，第17节；埃皮法尼乌斯《</w:t>
      </w:r>
      <w:r w:rsidRPr="004C59BB">
        <w:rPr>
          <w:color w:val="0000FF"/>
        </w:rPr>
        <w:t>异端论</w:t>
      </w:r>
      <w:r w:rsidRPr="004C59BB">
        <w:rPr>
          <w:color w:val="0000FF"/>
          <w:lang w:val="ru-RU"/>
        </w:rPr>
        <w:t>》</w:t>
      </w:r>
      <w:r w:rsidRPr="004C59BB">
        <w:rPr>
          <w:color w:val="0000FF"/>
        </w:rPr>
        <w:t>第XXIV</w:t>
      </w:r>
      <w:r w:rsidRPr="004C59BB">
        <w:rPr>
          <w:color w:val="0000FF"/>
          <w:lang w:val="ru-RU"/>
        </w:rPr>
        <w:t>、</w:t>
      </w:r>
      <w:r w:rsidRPr="004C59BB">
        <w:rPr>
          <w:color w:val="0000FF"/>
        </w:rPr>
        <w:t>XXVII</w:t>
      </w:r>
      <w:r w:rsidRPr="004C59BB">
        <w:rPr>
          <w:color w:val="0000FF"/>
          <w:lang w:val="ru-RU"/>
        </w:rPr>
        <w:t>卷。</w:t>
      </w:r>
    </w:p>
  </w:footnote>
  <w:footnote w:id="1481">
    <w:p w14:paraId="37B47A2C" w14:textId="75121CAE"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伊里内斯，《</w:t>
      </w:r>
      <w:r w:rsidRPr="004C59BB">
        <w:rPr>
          <w:color w:val="0000FF"/>
        </w:rPr>
        <w:t>反异端论</w:t>
      </w:r>
      <w:r w:rsidRPr="004C59BB">
        <w:rPr>
          <w:color w:val="0000FF"/>
          <w:lang w:val="ru-RU"/>
        </w:rPr>
        <w:t>》</w:t>
      </w:r>
      <w:r w:rsidRPr="004C59BB">
        <w:rPr>
          <w:color w:val="0000FF"/>
        </w:rPr>
        <w:t>第一</w:t>
      </w:r>
      <w:r w:rsidRPr="004C59BB">
        <w:rPr>
          <w:color w:val="0000FF"/>
          <w:lang w:val="ru-RU"/>
        </w:rPr>
        <w:t>卷，23章，注1；特土良，《</w:t>
      </w:r>
      <w:r w:rsidRPr="004C59BB">
        <w:rPr>
          <w:color w:val="0000FF"/>
        </w:rPr>
        <w:t>反马吉安论》第一卷</w:t>
      </w:r>
      <w:r w:rsidRPr="0097554A">
        <w:rPr>
          <w:color w:val="0000FF"/>
          <w:lang w:val="ru-RU"/>
        </w:rPr>
        <w:t>，29</w:t>
      </w:r>
      <w:r w:rsidRPr="004C59BB">
        <w:rPr>
          <w:color w:val="0000FF"/>
        </w:rPr>
        <w:t>、</w:t>
      </w:r>
      <w:r w:rsidRPr="0097554A">
        <w:rPr>
          <w:color w:val="0000FF"/>
          <w:lang w:val="ru-RU"/>
        </w:rPr>
        <w:t>30</w:t>
      </w:r>
      <w:r w:rsidRPr="004C59BB">
        <w:rPr>
          <w:color w:val="0000FF"/>
        </w:rPr>
        <w:t>章</w:t>
      </w:r>
      <w:r w:rsidRPr="0097554A">
        <w:rPr>
          <w:color w:val="0000FF"/>
          <w:lang w:val="ru-RU"/>
        </w:rPr>
        <w:t>；</w:t>
      </w:r>
      <w:r w:rsidRPr="004C59BB">
        <w:rPr>
          <w:color w:val="0000FF"/>
        </w:rPr>
        <w:t>第四卷</w:t>
      </w:r>
      <w:r w:rsidRPr="0097554A">
        <w:rPr>
          <w:color w:val="0000FF"/>
          <w:lang w:val="ru-RU"/>
        </w:rPr>
        <w:t>，11</w:t>
      </w:r>
      <w:r w:rsidRPr="004C59BB">
        <w:rPr>
          <w:color w:val="0000FF"/>
        </w:rPr>
        <w:t>、</w:t>
      </w:r>
      <w:r w:rsidRPr="0097554A">
        <w:rPr>
          <w:color w:val="0000FF"/>
          <w:lang w:val="ru-RU"/>
        </w:rPr>
        <w:t>29</w:t>
      </w:r>
      <w:r w:rsidRPr="004C59BB">
        <w:rPr>
          <w:color w:val="0000FF"/>
        </w:rPr>
        <w:t>章</w:t>
      </w:r>
      <w:r w:rsidRPr="0097554A">
        <w:rPr>
          <w:color w:val="0000FF"/>
          <w:lang w:val="ru-RU"/>
        </w:rPr>
        <w:t>；</w:t>
      </w:r>
      <w:r w:rsidRPr="004C59BB">
        <w:rPr>
          <w:color w:val="0000FF"/>
        </w:rPr>
        <w:t>第五卷</w:t>
      </w:r>
      <w:r w:rsidRPr="0097554A">
        <w:rPr>
          <w:color w:val="0000FF"/>
          <w:lang w:val="ru-RU"/>
        </w:rPr>
        <w:t>，7</w:t>
      </w:r>
      <w:r w:rsidRPr="004C59BB">
        <w:rPr>
          <w:color w:val="0000FF"/>
        </w:rPr>
        <w:t>章。</w:t>
      </w:r>
    </w:p>
  </w:footnote>
  <w:footnote w:id="1482">
    <w:p w14:paraId="15365ECC" w14:textId="02D19F9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伊里内斯</w:t>
      </w:r>
      <w:r w:rsidRPr="0097554A">
        <w:rPr>
          <w:color w:val="0000FF"/>
          <w:lang w:val="ru-RU"/>
        </w:rPr>
        <w:t>，</w:t>
      </w:r>
      <w:r w:rsidRPr="004C59BB">
        <w:rPr>
          <w:color w:val="0000FF"/>
        </w:rPr>
        <w:t>《反异端》第一卷</w:t>
      </w:r>
      <w:r w:rsidRPr="0097554A">
        <w:rPr>
          <w:color w:val="0000FF"/>
          <w:lang w:val="ru-RU"/>
        </w:rPr>
        <w:t>，</w:t>
      </w:r>
      <w:r w:rsidRPr="004C59BB">
        <w:rPr>
          <w:color w:val="0000FF"/>
        </w:rPr>
        <w:t>第</w:t>
      </w:r>
      <w:r w:rsidRPr="0097554A">
        <w:rPr>
          <w:color w:val="0000FF"/>
          <w:lang w:val="ru-RU"/>
        </w:rPr>
        <w:t>28</w:t>
      </w:r>
      <w:r w:rsidRPr="004C59BB">
        <w:rPr>
          <w:color w:val="0000FF"/>
        </w:rPr>
        <w:t>章</w:t>
      </w:r>
      <w:r w:rsidRPr="0097554A">
        <w:rPr>
          <w:color w:val="0000FF"/>
          <w:lang w:val="ru-RU"/>
        </w:rPr>
        <w:t>，</w:t>
      </w:r>
      <w:r w:rsidRPr="004C59BB">
        <w:rPr>
          <w:color w:val="0000FF"/>
        </w:rPr>
        <w:t>注</w:t>
      </w:r>
      <w:r w:rsidRPr="0097554A">
        <w:rPr>
          <w:color w:val="0000FF"/>
          <w:lang w:val="ru-RU"/>
        </w:rPr>
        <w:t>1；</w:t>
      </w:r>
      <w:r w:rsidRPr="004C59BB">
        <w:rPr>
          <w:color w:val="0000FF"/>
        </w:rPr>
        <w:t>优西比乌</w:t>
      </w:r>
      <w:r w:rsidRPr="0097554A">
        <w:rPr>
          <w:color w:val="0000FF"/>
          <w:lang w:val="ru-RU"/>
        </w:rPr>
        <w:t>，</w:t>
      </w:r>
      <w:r w:rsidRPr="004C59BB">
        <w:rPr>
          <w:color w:val="0000FF"/>
          <w:lang w:val="ru-RU"/>
        </w:rPr>
        <w:t>《教会史》</w:t>
      </w:r>
      <w:r w:rsidRPr="004C59BB">
        <w:rPr>
          <w:color w:val="0000FF"/>
        </w:rPr>
        <w:t>第四</w:t>
      </w:r>
      <w:r w:rsidRPr="004C59BB">
        <w:rPr>
          <w:color w:val="0000FF"/>
          <w:lang w:val="ru-RU"/>
        </w:rPr>
        <w:t>卷，第29章；埃皮法尼乌斯，《</w:t>
      </w:r>
      <w:r w:rsidRPr="004C59BB">
        <w:rPr>
          <w:color w:val="0000FF"/>
        </w:rPr>
        <w:t>异端论</w:t>
      </w:r>
      <w:r w:rsidRPr="004C59BB">
        <w:rPr>
          <w:color w:val="0000FF"/>
          <w:lang w:val="ru-RU"/>
        </w:rPr>
        <w:t>》</w:t>
      </w:r>
      <w:r w:rsidRPr="004C59BB">
        <w:rPr>
          <w:color w:val="0000FF"/>
        </w:rPr>
        <w:t>第四十六卷、第六十一卷</w:t>
      </w:r>
      <w:r w:rsidRPr="0097554A">
        <w:rPr>
          <w:color w:val="0000FF"/>
          <w:lang w:val="ru-RU"/>
        </w:rPr>
        <w:t>，</w:t>
      </w:r>
      <w:r w:rsidRPr="004C59BB">
        <w:rPr>
          <w:color w:val="0000FF"/>
        </w:rPr>
        <w:t>注</w:t>
      </w:r>
      <w:r w:rsidRPr="0097554A">
        <w:rPr>
          <w:color w:val="0000FF"/>
          <w:lang w:val="ru-RU"/>
        </w:rPr>
        <w:t>1</w:t>
      </w:r>
      <w:r w:rsidRPr="004C59BB">
        <w:rPr>
          <w:color w:val="0000FF"/>
        </w:rPr>
        <w:t>。</w:t>
      </w:r>
    </w:p>
  </w:footnote>
  <w:footnote w:id="1483">
    <w:p w14:paraId="54F72ABF" w14:textId="6EF52091"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图马斯</w:t>
      </w:r>
      <w:r w:rsidRPr="0097554A">
        <w:rPr>
          <w:color w:val="0000FF"/>
          <w:lang w:val="ru-RU"/>
        </w:rPr>
        <w:t>·</w:t>
      </w:r>
      <w:r w:rsidRPr="004C59BB">
        <w:rPr>
          <w:color w:val="0000FF"/>
        </w:rPr>
        <w:t>博斯特《反摩尼教》第二卷</w:t>
      </w:r>
      <w:r w:rsidRPr="0097554A">
        <w:rPr>
          <w:color w:val="0000FF"/>
          <w:lang w:val="ru-RU"/>
        </w:rPr>
        <w:t>，</w:t>
      </w:r>
      <w:r w:rsidRPr="004C59BB">
        <w:rPr>
          <w:color w:val="0000FF"/>
        </w:rPr>
        <w:t>第</w:t>
      </w:r>
      <w:r w:rsidRPr="0097554A">
        <w:rPr>
          <w:color w:val="0000FF"/>
          <w:lang w:val="ru-RU"/>
        </w:rPr>
        <w:t>16</w:t>
      </w:r>
      <w:r w:rsidRPr="004C59BB">
        <w:rPr>
          <w:color w:val="0000FF"/>
        </w:rPr>
        <w:t>、</w:t>
      </w:r>
      <w:r w:rsidRPr="0097554A">
        <w:rPr>
          <w:color w:val="0000FF"/>
          <w:lang w:val="ru-RU"/>
        </w:rPr>
        <w:t>33</w:t>
      </w:r>
      <w:r w:rsidRPr="004C59BB">
        <w:rPr>
          <w:color w:val="0000FF"/>
        </w:rPr>
        <w:t>章</w:t>
      </w:r>
      <w:r w:rsidRPr="0097554A">
        <w:rPr>
          <w:color w:val="0000FF"/>
          <w:lang w:val="ru-RU"/>
        </w:rPr>
        <w:t>；</w:t>
      </w:r>
      <w:r w:rsidRPr="004C59BB">
        <w:rPr>
          <w:color w:val="0000FF"/>
        </w:rPr>
        <w:t>奥古斯丁《摩尼教道德论》第二</w:t>
      </w:r>
      <w:r w:rsidRPr="004C59BB">
        <w:rPr>
          <w:color w:val="0000FF"/>
          <w:lang w:val="ru-RU"/>
        </w:rPr>
        <w:t>卷，第10章，注19。</w:t>
      </w:r>
    </w:p>
  </w:footnote>
  <w:footnote w:id="1484">
    <w:p w14:paraId="2939C8D8" w14:textId="20EF37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苏格拉底，《教会史》</w:t>
      </w:r>
      <w:r w:rsidRPr="004C59BB">
        <w:rPr>
          <w:color w:val="0000FF"/>
        </w:rPr>
        <w:t>第二卷</w:t>
      </w:r>
      <w:r w:rsidRPr="004C59BB">
        <w:rPr>
          <w:color w:val="0000FF"/>
          <w:lang w:val="ru-RU"/>
        </w:rPr>
        <w:t>，第43章；奥古斯丁，《</w:t>
      </w:r>
      <w:r w:rsidRPr="004C59BB">
        <w:rPr>
          <w:color w:val="0000FF"/>
        </w:rPr>
        <w:t>异端驳论</w:t>
      </w:r>
      <w:r w:rsidRPr="004C59BB">
        <w:rPr>
          <w:color w:val="0000FF"/>
          <w:lang w:val="ru-RU"/>
        </w:rPr>
        <w:t>》</w:t>
      </w:r>
      <w:r w:rsidRPr="004C59BB">
        <w:rPr>
          <w:color w:val="0000FF"/>
        </w:rPr>
        <w:t>第LXX卷</w:t>
      </w:r>
      <w:r w:rsidRPr="004C59BB">
        <w:rPr>
          <w:color w:val="0000FF"/>
          <w:lang w:val="ru-RU"/>
        </w:rPr>
        <w:t>。</w:t>
      </w:r>
    </w:p>
  </w:footnote>
  <w:footnote w:id="1485">
    <w:p w14:paraId="53AF5723" w14:textId="0401C281"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克利门特·亚历山大，</w:t>
      </w:r>
      <w:r w:rsidRPr="004C59BB">
        <w:rPr>
          <w:color w:val="0000FF"/>
        </w:rPr>
        <w:t>《杂论</w:t>
      </w:r>
      <w:r w:rsidRPr="004C59BB">
        <w:rPr>
          <w:color w:val="0000FF"/>
          <w:lang w:val="ru-RU"/>
        </w:rPr>
        <w:t>》</w:t>
      </w:r>
      <w:r w:rsidRPr="004C59BB">
        <w:rPr>
          <w:color w:val="0000FF"/>
        </w:rPr>
        <w:t>第三</w:t>
      </w:r>
      <w:r w:rsidRPr="004C59BB">
        <w:rPr>
          <w:color w:val="0000FF"/>
          <w:lang w:val="ru-RU"/>
        </w:rPr>
        <w:t>卷，第23页；米努修斯·费利克斯，《</w:t>
      </w:r>
      <w:r w:rsidRPr="004C59BB">
        <w:rPr>
          <w:color w:val="0000FF"/>
        </w:rPr>
        <w:t>奥克塔维亚</w:t>
      </w:r>
      <w:r w:rsidRPr="004C59BB">
        <w:rPr>
          <w:color w:val="0000FF"/>
          <w:lang w:val="ru-RU"/>
        </w:rPr>
        <w:t>》</w:t>
      </w:r>
      <w:r w:rsidRPr="004C59BB">
        <w:rPr>
          <w:color w:val="0000FF"/>
        </w:rPr>
        <w:t>第三十一卷</w:t>
      </w:r>
      <w:r w:rsidRPr="004C59BB">
        <w:rPr>
          <w:color w:val="0000FF"/>
          <w:lang w:val="ru-RU"/>
        </w:rPr>
        <w:t>；奥古斯丁。 《讲道集》LXI，注22。据此，圣格里高利·神学家说：“当婚姻真正是婚姻和夫妻结合，并怀有留后代的愿望时，婚姻便是美好的，因为它增加了取悦上帝之人的数量”（《讲道集》第37篇，载于《</w:t>
      </w:r>
      <w:r w:rsidRPr="004C59BB">
        <w:rPr>
          <w:color w:val="0000FF"/>
        </w:rPr>
        <w:t>圣教父著作集》III</w:t>
      </w:r>
      <w:r w:rsidRPr="0097554A">
        <w:rPr>
          <w:color w:val="0000FF"/>
          <w:lang w:val="ru-RU"/>
        </w:rPr>
        <w:t>，221）</w:t>
      </w:r>
      <w:r w:rsidRPr="004C59BB">
        <w:rPr>
          <w:color w:val="0000FF"/>
        </w:rPr>
        <w:t>。</w:t>
      </w:r>
    </w:p>
  </w:footnote>
  <w:footnote w:id="1486">
    <w:p w14:paraId="308CACB5" w14:textId="08D6CB4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金口若望</w:t>
      </w:r>
      <w:r w:rsidRPr="0097554A">
        <w:rPr>
          <w:color w:val="0000FF"/>
          <w:lang w:val="ru-RU"/>
        </w:rPr>
        <w:t>，</w:t>
      </w:r>
      <w:r w:rsidRPr="004C59BB">
        <w:rPr>
          <w:color w:val="0000FF"/>
        </w:rPr>
        <w:t>《创世记讲道集》第</w:t>
      </w:r>
      <w:r w:rsidRPr="0097554A">
        <w:rPr>
          <w:color w:val="0000FF"/>
          <w:lang w:val="ru-RU"/>
        </w:rPr>
        <w:t xml:space="preserve"> </w:t>
      </w:r>
      <w:r w:rsidRPr="004C59BB">
        <w:rPr>
          <w:color w:val="0000FF"/>
        </w:rPr>
        <w:t>XXI</w:t>
      </w:r>
      <w:r w:rsidRPr="0097554A">
        <w:rPr>
          <w:color w:val="0000FF"/>
          <w:lang w:val="ru-RU"/>
        </w:rPr>
        <w:t xml:space="preserve"> </w:t>
      </w:r>
      <w:r w:rsidRPr="004C59BB">
        <w:rPr>
          <w:color w:val="0000FF"/>
        </w:rPr>
        <w:t>篇</w:t>
      </w:r>
      <w:r w:rsidRPr="0097554A">
        <w:rPr>
          <w:color w:val="0000FF"/>
          <w:lang w:val="ru-RU"/>
        </w:rPr>
        <w:t>，</w:t>
      </w:r>
      <w:r w:rsidRPr="004C59BB">
        <w:rPr>
          <w:color w:val="0000FF"/>
        </w:rPr>
        <w:t>第</w:t>
      </w:r>
      <w:r w:rsidRPr="0097554A">
        <w:rPr>
          <w:color w:val="0000FF"/>
          <w:lang w:val="ru-RU"/>
        </w:rPr>
        <w:t xml:space="preserve"> 4 </w:t>
      </w:r>
      <w:r w:rsidRPr="004C59BB">
        <w:rPr>
          <w:color w:val="0000FF"/>
        </w:rPr>
        <w:t>节</w:t>
      </w:r>
      <w:r w:rsidRPr="0097554A">
        <w:rPr>
          <w:color w:val="0000FF"/>
          <w:lang w:val="ru-RU"/>
        </w:rPr>
        <w:t>；</w:t>
      </w:r>
      <w:r w:rsidRPr="004C59BB">
        <w:rPr>
          <w:color w:val="0000FF"/>
        </w:rPr>
        <w:t>第</w:t>
      </w:r>
      <w:r w:rsidRPr="0097554A">
        <w:rPr>
          <w:color w:val="0000FF"/>
          <w:lang w:val="ru-RU"/>
        </w:rPr>
        <w:t xml:space="preserve"> </w:t>
      </w:r>
      <w:r w:rsidRPr="004C59BB">
        <w:rPr>
          <w:color w:val="0000FF"/>
        </w:rPr>
        <w:t>LIX</w:t>
      </w:r>
      <w:r w:rsidRPr="0097554A">
        <w:rPr>
          <w:color w:val="0000FF"/>
          <w:lang w:val="ru-RU"/>
        </w:rPr>
        <w:t xml:space="preserve"> </w:t>
      </w:r>
      <w:r w:rsidRPr="004C59BB">
        <w:rPr>
          <w:color w:val="0000FF"/>
        </w:rPr>
        <w:t>篇</w:t>
      </w:r>
      <w:r w:rsidRPr="0097554A">
        <w:rPr>
          <w:color w:val="0000FF"/>
          <w:lang w:val="ru-RU"/>
        </w:rPr>
        <w:t>，</w:t>
      </w:r>
      <w:r w:rsidRPr="004C59BB">
        <w:rPr>
          <w:color w:val="0000FF"/>
        </w:rPr>
        <w:t>第</w:t>
      </w:r>
      <w:r w:rsidRPr="0097554A">
        <w:rPr>
          <w:color w:val="0000FF"/>
          <w:lang w:val="ru-RU"/>
        </w:rPr>
        <w:t xml:space="preserve"> 3 </w:t>
      </w:r>
      <w:r w:rsidRPr="004C59BB">
        <w:rPr>
          <w:color w:val="0000FF"/>
        </w:rPr>
        <w:t>节。</w:t>
      </w:r>
    </w:p>
  </w:footnote>
  <w:footnote w:id="1487">
    <w:p w14:paraId="6AA49449" w14:textId="2AE49C2D"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克利姆·亚历山大，《</w:t>
      </w:r>
      <w:r w:rsidRPr="0097554A">
        <w:rPr>
          <w:color w:val="0000FF"/>
          <w:lang w:val="ru-RU"/>
        </w:rPr>
        <w:t xml:space="preserve"> </w:t>
      </w:r>
      <w:r w:rsidRPr="004C59BB">
        <w:rPr>
          <w:color w:val="0000FF"/>
        </w:rPr>
        <w:t>Strom</w:t>
      </w:r>
      <w:r w:rsidRPr="004C59BB">
        <w:rPr>
          <w:color w:val="0000FF"/>
          <w:lang w:val="ru-RU"/>
        </w:rPr>
        <w:t>. 》</w:t>
      </w:r>
      <w:r w:rsidRPr="004C59BB">
        <w:rPr>
          <w:color w:val="0000FF"/>
        </w:rPr>
        <w:t>第三</w:t>
      </w:r>
      <w:r w:rsidRPr="004C59BB">
        <w:rPr>
          <w:color w:val="0000FF"/>
          <w:lang w:val="ru-RU"/>
        </w:rPr>
        <w:t>卷，第12章；金口若望</w:t>
      </w:r>
      <w:r w:rsidRPr="0097554A">
        <w:rPr>
          <w:color w:val="0000FF"/>
          <w:lang w:val="ru-RU"/>
        </w:rPr>
        <w:t>，</w:t>
      </w:r>
      <w:r w:rsidRPr="004C59BB">
        <w:rPr>
          <w:color w:val="0000FF"/>
        </w:rPr>
        <w:t>第四十三卷</w:t>
      </w:r>
      <w:r w:rsidRPr="0097554A">
        <w:rPr>
          <w:color w:val="0000FF"/>
          <w:lang w:val="ru-RU"/>
        </w:rPr>
        <w:t>，</w:t>
      </w:r>
      <w:r w:rsidRPr="004C59BB">
        <w:rPr>
          <w:color w:val="0000FF"/>
        </w:rPr>
        <w:t>第</w:t>
      </w:r>
      <w:r w:rsidRPr="0097554A">
        <w:rPr>
          <w:color w:val="0000FF"/>
          <w:lang w:val="ru-RU"/>
        </w:rPr>
        <w:t>9</w:t>
      </w:r>
      <w:r w:rsidRPr="004C59BB">
        <w:rPr>
          <w:color w:val="0000FF"/>
        </w:rPr>
        <w:t>节</w:t>
      </w:r>
      <w:r w:rsidRPr="0097554A">
        <w:rPr>
          <w:color w:val="0000FF"/>
          <w:lang w:val="ru-RU"/>
        </w:rPr>
        <w:t>；</w:t>
      </w:r>
      <w:r w:rsidRPr="004C59BB">
        <w:rPr>
          <w:color w:val="0000FF"/>
        </w:rPr>
        <w:t>《论贞洁》第十九章、第二十五章</w:t>
      </w:r>
      <w:r w:rsidRPr="0097554A">
        <w:rPr>
          <w:color w:val="0000FF"/>
          <w:lang w:val="ru-RU"/>
        </w:rPr>
        <w:t>；</w:t>
      </w:r>
      <w:r w:rsidRPr="004C59BB">
        <w:rPr>
          <w:color w:val="0000FF"/>
        </w:rPr>
        <w:t>奥古斯丁</w:t>
      </w:r>
      <w:r w:rsidRPr="0097554A">
        <w:rPr>
          <w:color w:val="0000FF"/>
          <w:lang w:val="ru-RU"/>
        </w:rPr>
        <w:t>，</w:t>
      </w:r>
      <w:r w:rsidRPr="004C59BB">
        <w:rPr>
          <w:color w:val="0000FF"/>
        </w:rPr>
        <w:t>《创世记字面注释》第九卷</w:t>
      </w:r>
      <w:r w:rsidRPr="0097554A">
        <w:rPr>
          <w:color w:val="0000FF"/>
          <w:lang w:val="ru-RU"/>
        </w:rPr>
        <w:t>，</w:t>
      </w:r>
      <w:r w:rsidRPr="004C59BB">
        <w:rPr>
          <w:color w:val="0000FF"/>
        </w:rPr>
        <w:t>第</w:t>
      </w:r>
      <w:r w:rsidRPr="0097554A">
        <w:rPr>
          <w:color w:val="0000FF"/>
          <w:lang w:val="ru-RU"/>
        </w:rPr>
        <w:t>7</w:t>
      </w:r>
      <w:r w:rsidRPr="004C59BB">
        <w:rPr>
          <w:color w:val="0000FF"/>
        </w:rPr>
        <w:t>章</w:t>
      </w:r>
      <w:r w:rsidRPr="0097554A">
        <w:rPr>
          <w:color w:val="0000FF"/>
          <w:lang w:val="ru-RU"/>
        </w:rPr>
        <w:t>，</w:t>
      </w:r>
      <w:r w:rsidRPr="004C59BB">
        <w:rPr>
          <w:color w:val="0000FF"/>
        </w:rPr>
        <w:t>第</w:t>
      </w:r>
      <w:r w:rsidRPr="0097554A">
        <w:rPr>
          <w:color w:val="0000FF"/>
          <w:lang w:val="ru-RU"/>
        </w:rPr>
        <w:t>12</w:t>
      </w:r>
      <w:r w:rsidRPr="004C59BB">
        <w:rPr>
          <w:color w:val="0000FF"/>
        </w:rPr>
        <w:t>节</w:t>
      </w:r>
      <w:r w:rsidRPr="0097554A">
        <w:rPr>
          <w:color w:val="0000FF"/>
          <w:lang w:val="ru-RU"/>
        </w:rPr>
        <w:t>；</w:t>
      </w:r>
      <w:r w:rsidRPr="004C59BB">
        <w:rPr>
          <w:color w:val="0000FF"/>
        </w:rPr>
        <w:t>《论婚姻与情欲》第一卷</w:t>
      </w:r>
      <w:r w:rsidRPr="0097554A">
        <w:rPr>
          <w:color w:val="0000FF"/>
          <w:lang w:val="ru-RU"/>
        </w:rPr>
        <w:t>，</w:t>
      </w:r>
      <w:r w:rsidRPr="004C59BB">
        <w:rPr>
          <w:color w:val="0000FF"/>
        </w:rPr>
        <w:t>第</w:t>
      </w:r>
      <w:r w:rsidRPr="0097554A">
        <w:rPr>
          <w:color w:val="0000FF"/>
          <w:lang w:val="ru-RU"/>
        </w:rPr>
        <w:t>14</w:t>
      </w:r>
      <w:r w:rsidRPr="004C59BB">
        <w:rPr>
          <w:color w:val="0000FF"/>
        </w:rPr>
        <w:t>章。</w:t>
      </w:r>
    </w:p>
  </w:footnote>
  <w:footnote w:id="1488">
    <w:p w14:paraId="44542A00" w14:textId="1E80C224"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婚礼仪式</w:t>
      </w:r>
      <w:r w:rsidRPr="0097554A">
        <w:rPr>
          <w:color w:val="0000FF"/>
          <w:lang w:val="ru-RU"/>
        </w:rPr>
        <w:t>，</w:t>
      </w:r>
      <w:r w:rsidRPr="004C59BB">
        <w:rPr>
          <w:color w:val="0000FF"/>
        </w:rPr>
        <w:t>巴尔萨姆《亚历山大神学问答》第十一条</w:t>
      </w:r>
      <w:r w:rsidRPr="0097554A">
        <w:rPr>
          <w:color w:val="0000FF"/>
          <w:lang w:val="ru-RU"/>
        </w:rPr>
        <w:t>；</w:t>
      </w:r>
      <w:r w:rsidRPr="004C59BB">
        <w:rPr>
          <w:color w:val="0000FF"/>
        </w:rPr>
        <w:t>神圣仪式</w:t>
      </w:r>
      <w:r w:rsidRPr="0097554A">
        <w:rPr>
          <w:color w:val="0000FF"/>
          <w:lang w:val="ru-RU"/>
        </w:rPr>
        <w:t>，</w:t>
      </w:r>
      <w:r w:rsidRPr="004C59BB">
        <w:rPr>
          <w:color w:val="0000FF"/>
        </w:rPr>
        <w:t>巴尔萨姆《福提乌斯法典注释》第十三卷</w:t>
      </w:r>
      <w:r w:rsidRPr="0097554A">
        <w:rPr>
          <w:color w:val="0000FF"/>
          <w:lang w:val="ru-RU"/>
        </w:rPr>
        <w:t>，</w:t>
      </w:r>
      <w:r w:rsidRPr="004C59BB">
        <w:rPr>
          <w:color w:val="0000FF"/>
        </w:rPr>
        <w:t>第二章</w:t>
      </w:r>
      <w:r w:rsidRPr="0097554A">
        <w:rPr>
          <w:color w:val="0000FF"/>
          <w:lang w:val="ru-RU"/>
        </w:rPr>
        <w:t>；</w:t>
      </w:r>
      <w:r w:rsidRPr="004C59BB">
        <w:rPr>
          <w:color w:val="0000FF"/>
        </w:rPr>
        <w:t>婚姻、婚礼、婚礼奥秘</w:t>
      </w:r>
      <w:r w:rsidRPr="0097554A">
        <w:rPr>
          <w:color w:val="0000FF"/>
          <w:lang w:val="ru-RU"/>
        </w:rPr>
        <w:t>——</w:t>
      </w:r>
      <w:r w:rsidRPr="004C59BB">
        <w:rPr>
          <w:color w:val="0000FF"/>
        </w:rPr>
        <w:t>利奥纳</w:t>
      </w:r>
      <w:r w:rsidRPr="0097554A">
        <w:rPr>
          <w:color w:val="0000FF"/>
          <w:lang w:val="ru-RU"/>
        </w:rPr>
        <w:t>·</w:t>
      </w:r>
      <w:r w:rsidRPr="004C59BB">
        <w:rPr>
          <w:color w:val="0000FF"/>
        </w:rPr>
        <w:t>纳纳《致纳博讷</w:t>
      </w:r>
      <w:r w:rsidRPr="004C59BB">
        <w:rPr>
          <w:color w:val="0000FF"/>
          <w:lang w:val="ru-RU"/>
        </w:rPr>
        <w:t>的</w:t>
      </w:r>
      <w:r w:rsidRPr="004C59BB">
        <w:rPr>
          <w:color w:val="0000FF"/>
        </w:rPr>
        <w:t>鲁斯蒂库斯书信</w:t>
      </w:r>
      <w:r w:rsidRPr="004C59BB">
        <w:rPr>
          <w:color w:val="0000FF"/>
          <w:lang w:val="ru-RU"/>
        </w:rPr>
        <w:t>》</w:t>
      </w:r>
      <w:r w:rsidRPr="004C59BB">
        <w:rPr>
          <w:color w:val="0000FF"/>
        </w:rPr>
        <w:t>第CLXVII</w:t>
      </w:r>
      <w:r w:rsidRPr="004C59BB">
        <w:rPr>
          <w:color w:val="0000FF"/>
          <w:lang w:val="ru-RU"/>
        </w:rPr>
        <w:t>封，</w:t>
      </w:r>
      <w:r w:rsidRPr="004C59BB">
        <w:rPr>
          <w:color w:val="0000FF"/>
        </w:rPr>
        <w:t>巴尔萨姆版</w:t>
      </w:r>
      <w:r w:rsidRPr="004C59BB">
        <w:rPr>
          <w:color w:val="0000FF"/>
          <w:lang w:val="ru-RU"/>
        </w:rPr>
        <w:t>。</w:t>
      </w:r>
    </w:p>
  </w:footnote>
  <w:footnote w:id="1489">
    <w:p w14:paraId="42C132BD" w14:textId="4E9A85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看来，一些教会教师在表达这一思想时指出，基督当时以他的临在赐福、圣化并赐恩于婚姻（埃皮法尼乌斯《婚礼讲道集》</w:t>
      </w:r>
      <w:r w:rsidRPr="004C59BB">
        <w:rPr>
          <w:color w:val="0000FF"/>
        </w:rPr>
        <w:t>LI</w:t>
      </w:r>
      <w:r w:rsidRPr="0097554A">
        <w:rPr>
          <w:color w:val="0000FF"/>
          <w:lang w:val="ru-RU"/>
        </w:rPr>
        <w:t>，</w:t>
      </w:r>
      <w:r w:rsidRPr="004C59BB">
        <w:rPr>
          <w:color w:val="0000FF"/>
        </w:rPr>
        <w:t>第</w:t>
      </w:r>
      <w:r w:rsidRPr="0097554A">
        <w:rPr>
          <w:color w:val="0000FF"/>
          <w:lang w:val="ru-RU"/>
        </w:rPr>
        <w:t>30</w:t>
      </w:r>
      <w:r w:rsidRPr="004C59BB">
        <w:rPr>
          <w:color w:val="0000FF"/>
        </w:rPr>
        <w:t>页</w:t>
      </w:r>
      <w:r w:rsidRPr="0097554A">
        <w:rPr>
          <w:color w:val="0000FF"/>
          <w:lang w:val="ru-RU"/>
        </w:rPr>
        <w:t xml:space="preserve">； </w:t>
      </w:r>
      <w:r w:rsidRPr="004C59BB">
        <w:rPr>
          <w:color w:val="0000FF"/>
        </w:rPr>
        <w:t>LXVII</w:t>
      </w:r>
      <w:r w:rsidRPr="0097554A">
        <w:rPr>
          <w:color w:val="0000FF"/>
          <w:lang w:val="ru-RU"/>
        </w:rPr>
        <w:t>，</w:t>
      </w:r>
      <w:r w:rsidRPr="004C59BB">
        <w:rPr>
          <w:color w:val="0000FF"/>
        </w:rPr>
        <w:t>第</w:t>
      </w:r>
      <w:r w:rsidRPr="0097554A">
        <w:rPr>
          <w:color w:val="0000FF"/>
          <w:lang w:val="ru-RU"/>
        </w:rPr>
        <w:t>6</w:t>
      </w:r>
      <w:r w:rsidRPr="004C59BB">
        <w:rPr>
          <w:color w:val="0000FF"/>
        </w:rPr>
        <w:t>章</w:t>
      </w:r>
      <w:r w:rsidRPr="0097554A">
        <w:rPr>
          <w:color w:val="0000FF"/>
          <w:lang w:val="ru-RU"/>
        </w:rPr>
        <w:t>；</w:t>
      </w:r>
      <w:r w:rsidRPr="004C59BB">
        <w:rPr>
          <w:color w:val="0000FF"/>
        </w:rPr>
        <w:t>亚历山大的基里尔</w:t>
      </w:r>
      <w:r w:rsidRPr="0097554A">
        <w:rPr>
          <w:color w:val="0000FF"/>
          <w:lang w:val="ru-RU"/>
        </w:rPr>
        <w:t>，</w:t>
      </w:r>
      <w:r w:rsidRPr="004C59BB">
        <w:rPr>
          <w:color w:val="0000FF"/>
        </w:rPr>
        <w:t>《约翰福音注释》第二卷第</w:t>
      </w:r>
      <w:r w:rsidRPr="0097554A">
        <w:rPr>
          <w:color w:val="0000FF"/>
          <w:lang w:val="ru-RU"/>
        </w:rPr>
        <w:t>2</w:t>
      </w:r>
      <w:r w:rsidRPr="004C59BB">
        <w:rPr>
          <w:color w:val="0000FF"/>
        </w:rPr>
        <w:t>章第</w:t>
      </w:r>
      <w:r w:rsidRPr="0097554A">
        <w:rPr>
          <w:color w:val="0000FF"/>
          <w:lang w:val="ru-RU"/>
        </w:rPr>
        <w:t>1</w:t>
      </w:r>
      <w:r w:rsidRPr="004C59BB">
        <w:rPr>
          <w:color w:val="0000FF"/>
        </w:rPr>
        <w:t>节</w:t>
      </w:r>
      <w:r w:rsidRPr="0097554A">
        <w:rPr>
          <w:color w:val="0000FF"/>
          <w:lang w:val="ru-RU"/>
        </w:rPr>
        <w:t>，</w:t>
      </w:r>
      <w:r w:rsidRPr="004C59BB">
        <w:rPr>
          <w:color w:val="0000FF"/>
        </w:rPr>
        <w:t>全集第IV卷</w:t>
      </w:r>
      <w:r w:rsidRPr="0097554A">
        <w:rPr>
          <w:color w:val="0000FF"/>
          <w:lang w:val="ru-RU"/>
        </w:rPr>
        <w:t>，</w:t>
      </w:r>
      <w:r w:rsidRPr="004C59BB">
        <w:rPr>
          <w:color w:val="0000FF"/>
        </w:rPr>
        <w:t>第</w:t>
      </w:r>
      <w:r w:rsidRPr="0097554A">
        <w:rPr>
          <w:color w:val="0000FF"/>
          <w:lang w:val="ru-RU"/>
        </w:rPr>
        <w:t>135</w:t>
      </w:r>
      <w:r w:rsidRPr="004C59BB">
        <w:rPr>
          <w:color w:val="0000FF"/>
        </w:rPr>
        <w:t>页</w:t>
      </w:r>
      <w:r w:rsidRPr="0097554A">
        <w:rPr>
          <w:color w:val="0000FF"/>
          <w:lang w:val="ru-RU"/>
        </w:rPr>
        <w:t>，</w:t>
      </w:r>
      <w:r w:rsidRPr="004C59BB">
        <w:rPr>
          <w:color w:val="0000FF"/>
        </w:rPr>
        <w:t>巴黎</w:t>
      </w:r>
      <w:r w:rsidRPr="0097554A">
        <w:rPr>
          <w:color w:val="0000FF"/>
          <w:lang w:val="ru-RU"/>
        </w:rPr>
        <w:t>1638</w:t>
      </w:r>
      <w:r w:rsidRPr="004C59BB">
        <w:rPr>
          <w:color w:val="0000FF"/>
        </w:rPr>
        <w:t>年</w:t>
      </w:r>
      <w:r w:rsidRPr="0097554A">
        <w:rPr>
          <w:color w:val="0000FF"/>
          <w:lang w:val="ru-RU"/>
        </w:rPr>
        <w:t>；</w:t>
      </w:r>
      <w:r w:rsidRPr="004C59BB">
        <w:rPr>
          <w:color w:val="0000FF"/>
        </w:rPr>
        <w:t>奥古斯丁</w:t>
      </w:r>
      <w:r w:rsidRPr="0097554A">
        <w:rPr>
          <w:color w:val="0000FF"/>
          <w:lang w:val="ru-RU"/>
        </w:rPr>
        <w:t>，</w:t>
      </w:r>
      <w:r w:rsidRPr="004C59BB">
        <w:rPr>
          <w:color w:val="0000FF"/>
        </w:rPr>
        <w:t>《约翰福音讲道集</w:t>
      </w:r>
      <w:r w:rsidRPr="004C59BB">
        <w:rPr>
          <w:color w:val="0000FF"/>
          <w:lang w:val="ru-RU"/>
        </w:rPr>
        <w:t>》第</w:t>
      </w:r>
      <w:r w:rsidRPr="004C59BB">
        <w:rPr>
          <w:color w:val="0000FF"/>
        </w:rPr>
        <w:t>九</w:t>
      </w:r>
      <w:r w:rsidRPr="004C59BB">
        <w:rPr>
          <w:color w:val="0000FF"/>
          <w:lang w:val="ru-RU"/>
        </w:rPr>
        <w:t>篇第2节）。</w:t>
      </w:r>
    </w:p>
  </w:footnote>
  <w:footnote w:id="1490">
    <w:p w14:paraId="55D051DC" w14:textId="636BF4CD"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难道圣安布罗斯在《致</w:t>
      </w:r>
      <w:r w:rsidRPr="004C59BB">
        <w:rPr>
          <w:color w:val="0000FF"/>
          <w:lang w:val="ru-RU"/>
        </w:rPr>
        <w:t>叙利亚人书</w:t>
      </w:r>
      <w:r w:rsidRPr="004C59BB">
        <w:rPr>
          <w:color w:val="0000FF"/>
        </w:rPr>
        <w:t>》第XLII封中所言</w:t>
      </w:r>
      <w:r w:rsidRPr="0097554A">
        <w:rPr>
          <w:color w:val="0000FF"/>
          <w:lang w:val="ru-RU"/>
        </w:rPr>
        <w:t>：“</w:t>
      </w:r>
      <w:r w:rsidRPr="004C59BB">
        <w:rPr>
          <w:color w:val="0000FF"/>
        </w:rPr>
        <w:t>我们不可否认</w:t>
      </w:r>
      <w:r w:rsidRPr="0097554A">
        <w:rPr>
          <w:color w:val="0000FF"/>
          <w:lang w:val="ru-RU"/>
        </w:rPr>
        <w:t>，</w:t>
      </w:r>
      <w:r w:rsidRPr="004C59BB">
        <w:rPr>
          <w:color w:val="0000FF"/>
        </w:rPr>
        <w:t>婚姻已由基督圣化</w:t>
      </w:r>
      <w:r w:rsidRPr="0097554A">
        <w:rPr>
          <w:color w:val="0000FF"/>
          <w:lang w:val="ru-RU"/>
        </w:rPr>
        <w:t>，</w:t>
      </w:r>
      <w:r w:rsidRPr="004C59BB">
        <w:rPr>
          <w:color w:val="0000FF"/>
        </w:rPr>
        <w:t>正如神圣之声所言</w:t>
      </w:r>
      <w:r w:rsidRPr="0097554A">
        <w:rPr>
          <w:color w:val="0000FF"/>
          <w:lang w:val="ru-RU"/>
        </w:rPr>
        <w:t>：‘</w:t>
      </w:r>
      <w:r w:rsidRPr="004C59BB">
        <w:rPr>
          <w:color w:val="0000FF"/>
        </w:rPr>
        <w:t>二人将合而为一</w:t>
      </w:r>
      <w:r w:rsidRPr="0097554A">
        <w:rPr>
          <w:color w:val="0000FF"/>
          <w:lang w:val="ru-RU"/>
        </w:rPr>
        <w:t>’……”（</w:t>
      </w:r>
      <w:r w:rsidRPr="004C59BB">
        <w:rPr>
          <w:color w:val="0000FF"/>
        </w:rPr>
        <w:t>Epist</w:t>
      </w:r>
      <w:r w:rsidRPr="0097554A">
        <w:rPr>
          <w:color w:val="0000FF"/>
          <w:lang w:val="ru-RU"/>
        </w:rPr>
        <w:t xml:space="preserve">. </w:t>
      </w:r>
      <w:r w:rsidRPr="004C59BB">
        <w:rPr>
          <w:color w:val="0000FF"/>
        </w:rPr>
        <w:t>ad</w:t>
      </w:r>
      <w:r w:rsidRPr="0097554A">
        <w:rPr>
          <w:color w:val="0000FF"/>
          <w:lang w:val="ru-RU"/>
        </w:rPr>
        <w:t xml:space="preserve"> </w:t>
      </w:r>
      <w:r w:rsidRPr="004C59BB">
        <w:rPr>
          <w:color w:val="0000FF"/>
        </w:rPr>
        <w:t>Sirie</w:t>
      </w:r>
      <w:r w:rsidRPr="0097554A">
        <w:rPr>
          <w:color w:val="0000FF"/>
          <w:lang w:val="ru-RU"/>
        </w:rPr>
        <w:t xml:space="preserve">. </w:t>
      </w:r>
      <w:r w:rsidRPr="004C59BB">
        <w:rPr>
          <w:color w:val="0000FF"/>
        </w:rPr>
        <w:t>XLII</w:t>
      </w:r>
      <w:r w:rsidRPr="0097554A">
        <w:rPr>
          <w:color w:val="0000FF"/>
          <w:lang w:val="ru-RU"/>
        </w:rPr>
        <w:t>）</w:t>
      </w:r>
      <w:r w:rsidRPr="004C59BB">
        <w:rPr>
          <w:color w:val="0000FF"/>
          <w:lang w:val="ru-RU"/>
        </w:rPr>
        <w:t>所暗示的正是这一点吗</w:t>
      </w:r>
      <w:r w:rsidRPr="0097554A">
        <w:rPr>
          <w:color w:val="0000FF"/>
          <w:lang w:val="ru-RU"/>
        </w:rPr>
        <w:t>？</w:t>
      </w:r>
    </w:p>
  </w:footnote>
  <w:footnote w:id="1491">
    <w:p w14:paraId="38529774" w14:textId="63C18C2B"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结婚的男女必须在主教的许可下缔结婚姻</w:t>
      </w:r>
      <w:r w:rsidRPr="0097554A">
        <w:rPr>
          <w:color w:val="0000FF"/>
          <w:lang w:val="ru-RU"/>
        </w:rPr>
        <w:t>，</w:t>
      </w:r>
      <w:r w:rsidRPr="004C59BB">
        <w:rPr>
          <w:color w:val="0000FF"/>
          <w:lang w:val="el-GR"/>
        </w:rPr>
        <w:t>以便婚姻是按照上帝的旨意</w:t>
      </w:r>
      <w:r w:rsidRPr="0097554A">
        <w:rPr>
          <w:color w:val="0000FF"/>
          <w:lang w:val="ru-RU"/>
        </w:rPr>
        <w:t>，</w:t>
      </w:r>
      <w:r w:rsidRPr="004C59BB">
        <w:rPr>
          <w:color w:val="0000FF"/>
          <w:lang w:val="el-GR"/>
        </w:rPr>
        <w:t>而非出于私欲</w:t>
      </w:r>
      <w:r w:rsidRPr="004C59BB">
        <w:rPr>
          <w:color w:val="0000FF"/>
          <w:lang w:val="ru-RU"/>
        </w:rPr>
        <w:t>”</w:t>
      </w:r>
      <w:r w:rsidRPr="0097554A">
        <w:rPr>
          <w:color w:val="0000FF"/>
          <w:lang w:val="ru-RU"/>
        </w:rPr>
        <w:t>（</w:t>
      </w:r>
      <w:r w:rsidRPr="004C59BB">
        <w:rPr>
          <w:color w:val="0000FF"/>
          <w:lang w:val="el-GR"/>
        </w:rPr>
        <w:t>《致</w:t>
      </w:r>
      <w:r w:rsidRPr="004C59BB">
        <w:rPr>
          <w:color w:val="0000FF"/>
        </w:rPr>
        <w:t>波利卡普书</w:t>
      </w:r>
      <w:r w:rsidRPr="004C59BB">
        <w:rPr>
          <w:color w:val="0000FF"/>
          <w:lang w:val="ru-RU"/>
        </w:rPr>
        <w:t>》第6节）。</w:t>
      </w:r>
    </w:p>
  </w:footnote>
  <w:footnote w:id="1492">
    <w:p w14:paraId="6092663A" w14:textId="2DB25B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《六日讲道集》</w:t>
      </w:r>
      <w:r w:rsidRPr="004C59BB">
        <w:rPr>
          <w:color w:val="0000FF"/>
        </w:rPr>
        <w:t>第七</w:t>
      </w:r>
      <w:r w:rsidRPr="004C59BB">
        <w:rPr>
          <w:color w:val="0000FF"/>
          <w:lang w:val="ru-RU"/>
        </w:rPr>
        <w:t>篇，载于《圣教父文集》</w:t>
      </w:r>
      <w:r w:rsidRPr="004C59BB">
        <w:rPr>
          <w:color w:val="0000FF"/>
        </w:rPr>
        <w:t>第五</w:t>
      </w:r>
      <w:r w:rsidRPr="004C59BB">
        <w:rPr>
          <w:color w:val="0000FF"/>
          <w:lang w:val="ru-RU"/>
        </w:rPr>
        <w:t>卷，第132页。</w:t>
      </w:r>
    </w:p>
  </w:footnote>
  <w:footnote w:id="1493">
    <w:p w14:paraId="6B403DF3" w14:textId="3A6E35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《论圣洗礼词》，同上，</w:t>
      </w:r>
      <w:r w:rsidRPr="004C59BB">
        <w:rPr>
          <w:color w:val="0000FF"/>
        </w:rPr>
        <w:t>第三卷</w:t>
      </w:r>
      <w:r w:rsidRPr="004C59BB">
        <w:rPr>
          <w:color w:val="0000FF"/>
          <w:lang w:val="ru-RU"/>
        </w:rPr>
        <w:t>，第288页。</w:t>
      </w:r>
    </w:p>
  </w:footnote>
  <w:footnote w:id="1494">
    <w:p w14:paraId="11E22301" w14:textId="46F4D33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《致维吉尔书》第十九章</w:t>
      </w:r>
      <w:r w:rsidRPr="0097554A">
        <w:rPr>
          <w:color w:val="0000FF"/>
          <w:lang w:val="ru-RU"/>
        </w:rPr>
        <w:t>，</w:t>
      </w:r>
      <w:r w:rsidRPr="004C59BB">
        <w:rPr>
          <w:color w:val="0000FF"/>
        </w:rPr>
        <w:t>或第二十三章</w:t>
      </w:r>
      <w:r w:rsidRPr="0097554A">
        <w:rPr>
          <w:color w:val="0000FF"/>
          <w:lang w:val="ru-RU"/>
        </w:rPr>
        <w:t>，</w:t>
      </w:r>
      <w:r w:rsidRPr="004C59BB">
        <w:rPr>
          <w:color w:val="0000FF"/>
        </w:rPr>
        <w:t>第</w:t>
      </w:r>
      <w:r w:rsidRPr="0097554A">
        <w:rPr>
          <w:color w:val="0000FF"/>
          <w:lang w:val="ru-RU"/>
        </w:rPr>
        <w:t>7</w:t>
      </w:r>
      <w:r w:rsidRPr="004C59BB">
        <w:rPr>
          <w:color w:val="0000FF"/>
        </w:rPr>
        <w:t>节。</w:t>
      </w:r>
    </w:p>
  </w:footnote>
  <w:footnote w:id="1495">
    <w:p w14:paraId="33D5F3BE" w14:textId="31C80C9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第十三章。</w:t>
      </w:r>
    </w:p>
  </w:footnote>
  <w:footnote w:id="1496">
    <w:p w14:paraId="2AB1B574" w14:textId="3AE5D58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我们何以足以阐明婚姻之幸福</w:t>
      </w:r>
      <w:r w:rsidRPr="0097554A">
        <w:rPr>
          <w:color w:val="0000FF"/>
          <w:lang w:val="ru-RU"/>
        </w:rPr>
        <w:t>？</w:t>
      </w:r>
      <w:r w:rsidRPr="004C59BB">
        <w:rPr>
          <w:color w:val="0000FF"/>
        </w:rPr>
        <w:t>这幸福由教会促成</w:t>
      </w:r>
      <w:r w:rsidRPr="0097554A">
        <w:rPr>
          <w:color w:val="0000FF"/>
          <w:lang w:val="ru-RU"/>
        </w:rPr>
        <w:t>，</w:t>
      </w:r>
      <w:r w:rsidRPr="004C59BB">
        <w:rPr>
          <w:color w:val="0000FF"/>
        </w:rPr>
        <w:t>由奉献礼确立</w:t>
      </w:r>
      <w:r w:rsidRPr="0097554A">
        <w:rPr>
          <w:color w:val="0000FF"/>
          <w:lang w:val="ru-RU"/>
        </w:rPr>
        <w:t>，</w:t>
      </w:r>
      <w:r w:rsidRPr="004C59BB">
        <w:rPr>
          <w:color w:val="0000FF"/>
        </w:rPr>
        <w:t>并由祝福印证</w:t>
      </w:r>
      <w:r w:rsidRPr="0097554A">
        <w:rPr>
          <w:color w:val="0000FF"/>
          <w:lang w:val="ru-RU"/>
        </w:rPr>
        <w:t>”（</w:t>
      </w:r>
      <w:r w:rsidRPr="004C59BB">
        <w:rPr>
          <w:color w:val="0000FF"/>
        </w:rPr>
        <w:t>《致妻子书》第二卷</w:t>
      </w:r>
      <w:r w:rsidRPr="0097554A">
        <w:rPr>
          <w:color w:val="0000FF"/>
          <w:lang w:val="ru-RU"/>
        </w:rPr>
        <w:t>，</w:t>
      </w:r>
      <w:r w:rsidRPr="004C59BB">
        <w:rPr>
          <w:color w:val="0000FF"/>
        </w:rPr>
        <w:t>第九章</w:t>
      </w:r>
      <w:r w:rsidRPr="0097554A">
        <w:rPr>
          <w:color w:val="0000FF"/>
          <w:lang w:val="ru-RU"/>
        </w:rPr>
        <w:t>）？</w:t>
      </w:r>
    </w:p>
  </w:footnote>
  <w:footnote w:id="1497">
    <w:p w14:paraId="2AFFE1B3" w14:textId="0BB10EB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《教育论》第三卷</w:t>
      </w:r>
      <w:r w:rsidRPr="0097554A">
        <w:rPr>
          <w:color w:val="0000FF"/>
          <w:lang w:val="ru-RU"/>
        </w:rPr>
        <w:t>，</w:t>
      </w:r>
      <w:r w:rsidRPr="004C59BB">
        <w:rPr>
          <w:color w:val="0000FF"/>
        </w:rPr>
        <w:t>第二章</w:t>
      </w:r>
      <w:r w:rsidRPr="0097554A">
        <w:rPr>
          <w:color w:val="0000FF"/>
          <w:lang w:val="ru-RU"/>
        </w:rPr>
        <w:t>；</w:t>
      </w:r>
      <w:r w:rsidRPr="004C59BB">
        <w:rPr>
          <w:color w:val="0000FF"/>
        </w:rPr>
        <w:t>《杂论》第三卷</w:t>
      </w:r>
      <w:r w:rsidRPr="0097554A">
        <w:rPr>
          <w:color w:val="0000FF"/>
          <w:lang w:val="ru-RU"/>
        </w:rPr>
        <w:t>，21，</w:t>
      </w:r>
      <w:r w:rsidRPr="004C59BB">
        <w:rPr>
          <w:color w:val="0000FF"/>
        </w:rPr>
        <w:t>第</w:t>
      </w:r>
      <w:r w:rsidRPr="0097554A">
        <w:rPr>
          <w:color w:val="0000FF"/>
          <w:lang w:val="ru-RU"/>
        </w:rPr>
        <w:t>12</w:t>
      </w:r>
      <w:r w:rsidRPr="004C59BB">
        <w:rPr>
          <w:color w:val="0000FF"/>
        </w:rPr>
        <w:t>节。</w:t>
      </w:r>
    </w:p>
  </w:footnote>
  <w:footnote w:id="1498">
    <w:p w14:paraId="3B974E86" w14:textId="69708CB1"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致塔拉科的希梅里乌斯的书信</w:t>
      </w:r>
      <w:r w:rsidRPr="0097554A">
        <w:rPr>
          <w:color w:val="0000FF"/>
          <w:lang w:val="ru-RU"/>
        </w:rPr>
        <w:t>，</w:t>
      </w:r>
      <w:r w:rsidRPr="004C59BB">
        <w:rPr>
          <w:color w:val="0000FF"/>
        </w:rPr>
        <w:t>第</w:t>
      </w:r>
      <w:r w:rsidRPr="0097554A">
        <w:rPr>
          <w:color w:val="0000FF"/>
          <w:lang w:val="ru-RU"/>
        </w:rPr>
        <w:t>4</w:t>
      </w:r>
      <w:r w:rsidRPr="004C59BB">
        <w:rPr>
          <w:color w:val="0000FF"/>
        </w:rPr>
        <w:t>章。</w:t>
      </w:r>
    </w:p>
  </w:footnote>
  <w:footnote w:id="1499">
    <w:p w14:paraId="7D4A2DAF" w14:textId="209997A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《致罗托马格的维克特里乌斯书》第</w:t>
      </w:r>
      <w:r w:rsidRPr="0097554A">
        <w:rPr>
          <w:color w:val="0000FF"/>
          <w:lang w:val="ru-RU"/>
        </w:rPr>
        <w:t>6</w:t>
      </w:r>
      <w:r w:rsidRPr="004C59BB">
        <w:rPr>
          <w:color w:val="0000FF"/>
        </w:rPr>
        <w:t>章。</w:t>
      </w:r>
    </w:p>
  </w:footnote>
  <w:footnote w:id="1500">
    <w:p w14:paraId="274FA850" w14:textId="365F13C6" w:rsidR="00254F25" w:rsidRPr="0097554A"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《论异端》</w:t>
      </w:r>
      <w:r w:rsidRPr="0097554A">
        <w:rPr>
          <w:color w:val="0000FF"/>
          <w:lang w:val="ru-RU"/>
        </w:rPr>
        <w:t>，</w:t>
      </w:r>
      <w:r w:rsidRPr="004C59BB">
        <w:rPr>
          <w:color w:val="0000FF"/>
        </w:rPr>
        <w:t>第</w:t>
      </w:r>
      <w:r w:rsidRPr="0097554A">
        <w:rPr>
          <w:color w:val="0000FF"/>
          <w:lang w:val="ru-RU"/>
        </w:rPr>
        <w:t>40</w:t>
      </w:r>
      <w:r w:rsidRPr="004C59BB">
        <w:rPr>
          <w:color w:val="0000FF"/>
        </w:rPr>
        <w:t>章。</w:t>
      </w:r>
      <w:r w:rsidRPr="0097554A">
        <w:rPr>
          <w:color w:val="0000FF"/>
          <w:lang w:val="ru-RU"/>
        </w:rPr>
        <w:t xml:space="preserve"> </w:t>
      </w:r>
      <w:r w:rsidRPr="004C59BB">
        <w:rPr>
          <w:color w:val="0000FF"/>
        </w:rPr>
        <w:t>在另一处</w:t>
      </w:r>
      <w:r w:rsidRPr="0097554A">
        <w:rPr>
          <w:color w:val="0000FF"/>
          <w:lang w:val="ru-RU"/>
        </w:rPr>
        <w:t>：</w:t>
      </w:r>
      <w:r w:rsidRPr="004C59BB">
        <w:rPr>
          <w:color w:val="0000FF"/>
        </w:rPr>
        <w:t>若在使徒那里</w:t>
      </w:r>
      <w:r w:rsidRPr="0097554A">
        <w:rPr>
          <w:color w:val="0000FF"/>
          <w:lang w:val="ru-RU"/>
        </w:rPr>
        <w:t>，</w:t>
      </w:r>
      <w:r w:rsidRPr="004C59BB">
        <w:rPr>
          <w:color w:val="0000FF"/>
        </w:rPr>
        <w:t>造物主的圣礼是伟大的</w:t>
      </w:r>
      <w:r w:rsidRPr="0097554A">
        <w:rPr>
          <w:color w:val="0000FF"/>
          <w:lang w:val="ru-RU"/>
        </w:rPr>
        <w:t>，</w:t>
      </w:r>
      <w:r w:rsidRPr="004C59BB">
        <w:rPr>
          <w:color w:val="0000FF"/>
        </w:rPr>
        <w:t>而在异端那里却是微不足道的</w:t>
      </w:r>
      <w:r w:rsidRPr="0097554A">
        <w:rPr>
          <w:color w:val="0000FF"/>
          <w:lang w:val="ru-RU"/>
        </w:rPr>
        <w:t>，</w:t>
      </w:r>
      <w:r w:rsidRPr="004C59BB">
        <w:rPr>
          <w:color w:val="0000FF"/>
        </w:rPr>
        <w:t>仅此一点就已足够。但他却说：“我却说，是在基督和教会之中。”这是一种解释，而非对圣礼的分离。他指出了由那位曾预先施行圣礼者所预表的圣礼，那无疑就是圣礼（《反马吉安</w:t>
      </w:r>
      <w:r w:rsidRPr="004C59BB">
        <w:rPr>
          <w:color w:val="0000FF"/>
          <w:lang w:val="el-GR"/>
        </w:rPr>
        <w:t>》</w:t>
      </w:r>
      <w:r w:rsidRPr="004C59BB">
        <w:rPr>
          <w:color w:val="0000FF"/>
        </w:rPr>
        <w:t>第五卷</w:t>
      </w:r>
      <w:r w:rsidRPr="0097554A">
        <w:rPr>
          <w:color w:val="0000FF"/>
        </w:rPr>
        <w:t>，18）</w:t>
      </w:r>
      <w:r w:rsidRPr="004C59BB">
        <w:rPr>
          <w:color w:val="0000FF"/>
          <w:lang w:val="el-GR"/>
        </w:rPr>
        <w:t>。</w:t>
      </w:r>
    </w:p>
  </w:footnote>
  <w:footnote w:id="1501">
    <w:p w14:paraId="704C90EF" w14:textId="0924E114"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你为何将婚姻的庄严奥秘公之于众</w:t>
      </w:r>
      <w:r w:rsidRPr="0097554A">
        <w:rPr>
          <w:color w:val="0000FF"/>
        </w:rPr>
        <w:t>？……</w:t>
      </w:r>
      <w:r w:rsidRPr="004C59BB">
        <w:rPr>
          <w:color w:val="0000FF"/>
          <w:lang w:val="el-GR"/>
        </w:rPr>
        <w:t>在神的引导下结合</w:t>
      </w:r>
      <w:r w:rsidRPr="0097554A">
        <w:rPr>
          <w:color w:val="0000FF"/>
        </w:rPr>
        <w:t>……</w:t>
      </w:r>
      <w:r w:rsidRPr="004C59BB">
        <w:rPr>
          <w:color w:val="0000FF"/>
        </w:rPr>
        <w:t>（《创世记讲道集》第XLVIII篇，第6节）。</w:t>
      </w:r>
    </w:p>
  </w:footnote>
  <w:footnote w:id="1502">
    <w:p w14:paraId="2C27FBC3" w14:textId="20E6F3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《论亚伯拉罕》第一卷，第七章……应偿还恩典；正因他得罪了上帝，便失去了参与天国圣事的资格。</w:t>
      </w:r>
    </w:p>
  </w:footnote>
  <w:footnote w:id="1503">
    <w:p w14:paraId="59A6A173" w14:textId="3814F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这种婚姻之情，通过神圣的圣事，将两个人结合为一体（《神学大全》第一卷，第二部分，论希望、信德与爱德，第4节）。</w:t>
      </w:r>
    </w:p>
  </w:footnote>
  <w:footnote w:id="1504">
    <w:p w14:paraId="79163B95" w14:textId="42B722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《论婚姻之善》第18章，第21节；参见第24章，第32节。</w:t>
      </w:r>
    </w:p>
  </w:footnote>
  <w:footnote w:id="1505">
    <w:p w14:paraId="1B6793E5" w14:textId="205E76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《创世记注释》第九卷，第7章；参见《论原罪》第三十四章，第39节；第三十七章，第42节。</w:t>
      </w:r>
    </w:p>
  </w:footnote>
  <w:footnote w:id="1506">
    <w:p w14:paraId="0D7457AA" w14:textId="7ECDE61A"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雷诺多（Renaudot），《论永恒……》第V卷，第6册，第1章；阿塞曼（Asseman），《东方文献集》第III卷，第一部分</w:t>
      </w:r>
      <w:r w:rsidRPr="0097554A">
        <w:rPr>
          <w:color w:val="0000FF"/>
        </w:rPr>
        <w:t>，</w:t>
      </w:r>
      <w:r w:rsidRPr="004C59BB">
        <w:rPr>
          <w:color w:val="0000FF"/>
          <w:lang w:val="ru-RU"/>
        </w:rPr>
        <w:t>第</w:t>
      </w:r>
      <w:r w:rsidRPr="0097554A">
        <w:rPr>
          <w:color w:val="0000FF"/>
        </w:rPr>
        <w:t>356</w:t>
      </w:r>
      <w:r w:rsidRPr="004C59BB">
        <w:rPr>
          <w:color w:val="0000FF"/>
          <w:lang w:val="ru-RU"/>
        </w:rPr>
        <w:t>页</w:t>
      </w:r>
      <w:r w:rsidRPr="0097554A">
        <w:rPr>
          <w:color w:val="0000FF"/>
        </w:rPr>
        <w:t>；</w:t>
      </w:r>
      <w:r w:rsidRPr="004C59BB">
        <w:rPr>
          <w:color w:val="0000FF"/>
        </w:rPr>
        <w:t>第III</w:t>
      </w:r>
      <w:r w:rsidRPr="004C59BB">
        <w:rPr>
          <w:color w:val="0000FF"/>
          <w:lang w:val="ru-RU"/>
        </w:rPr>
        <w:t>卷</w:t>
      </w:r>
      <w:r w:rsidRPr="0097554A">
        <w:rPr>
          <w:color w:val="0000FF"/>
        </w:rPr>
        <w:t>，</w:t>
      </w:r>
      <w:r w:rsidRPr="004C59BB">
        <w:rPr>
          <w:color w:val="0000FF"/>
        </w:rPr>
        <w:t>第二</w:t>
      </w:r>
      <w:r w:rsidRPr="004C59BB">
        <w:rPr>
          <w:color w:val="0000FF"/>
          <w:lang w:val="ru-RU"/>
        </w:rPr>
        <w:t>部分</w:t>
      </w:r>
      <w:r w:rsidRPr="0097554A">
        <w:rPr>
          <w:color w:val="0000FF"/>
        </w:rPr>
        <w:t>，</w:t>
      </w:r>
      <w:r w:rsidRPr="004C59BB">
        <w:rPr>
          <w:color w:val="0000FF"/>
        </w:rPr>
        <w:t>第319页及后续</w:t>
      </w:r>
      <w:r w:rsidRPr="004C59BB">
        <w:rPr>
          <w:color w:val="0000FF"/>
          <w:lang w:val="ru-RU"/>
        </w:rPr>
        <w:t>。</w:t>
      </w:r>
    </w:p>
  </w:footnote>
  <w:footnote w:id="1507">
    <w:p w14:paraId="0CB9EFE1" w14:textId="7AAB770B"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这篇祷文的含义是</w:t>
      </w:r>
      <w:r w:rsidRPr="0097554A">
        <w:rPr>
          <w:color w:val="0000FF"/>
        </w:rPr>
        <w:t>：“</w:t>
      </w:r>
      <w:r w:rsidRPr="004C59BB">
        <w:rPr>
          <w:color w:val="0000FF"/>
          <w:lang w:val="ru-RU"/>
        </w:rPr>
        <w:t>主</w:t>
      </w:r>
      <w:r w:rsidRPr="0097554A">
        <w:rPr>
          <w:color w:val="0000FF"/>
        </w:rPr>
        <w:t>，</w:t>
      </w:r>
      <w:r w:rsidRPr="004C59BB">
        <w:rPr>
          <w:color w:val="0000FF"/>
          <w:lang w:val="ru-RU"/>
        </w:rPr>
        <w:t>我们的上帝</w:t>
      </w:r>
      <w:r w:rsidRPr="0097554A">
        <w:rPr>
          <w:color w:val="0000FF"/>
        </w:rPr>
        <w:t>！</w:t>
      </w:r>
      <w:r w:rsidRPr="004C59BB">
        <w:rPr>
          <w:color w:val="0000FF"/>
          <w:lang w:val="ru-RU"/>
        </w:rPr>
        <w:t>如今</w:t>
      </w:r>
      <w:r w:rsidRPr="0097554A">
        <w:rPr>
          <w:color w:val="0000FF"/>
        </w:rPr>
        <w:t>，</w:t>
      </w:r>
      <w:r w:rsidRPr="004C59BB">
        <w:rPr>
          <w:color w:val="0000FF"/>
          <w:lang w:val="ru-RU"/>
        </w:rPr>
        <w:t>这些结为连理的人</w:t>
      </w:r>
      <w:r w:rsidRPr="0097554A">
        <w:rPr>
          <w:color w:val="0000FF"/>
        </w:rPr>
        <w:t>，</w:t>
      </w:r>
      <w:r w:rsidRPr="004C59BB">
        <w:rPr>
          <w:color w:val="0000FF"/>
          <w:lang w:val="ru-RU"/>
        </w:rPr>
        <w:t>因着祢的名</w:t>
      </w:r>
      <w:r w:rsidRPr="0097554A">
        <w:rPr>
          <w:color w:val="0000FF"/>
        </w:rPr>
        <w:t>，</w:t>
      </w:r>
      <w:r w:rsidRPr="004C59BB">
        <w:rPr>
          <w:color w:val="0000FF"/>
          <w:lang w:val="ru-RU"/>
        </w:rPr>
        <w:t>已戴上冠冕</w:t>
      </w:r>
      <w:r w:rsidRPr="0097554A">
        <w:rPr>
          <w:color w:val="0000FF"/>
        </w:rPr>
        <w:t xml:space="preserve">； </w:t>
      </w:r>
      <w:r w:rsidRPr="004C59BB">
        <w:rPr>
          <w:color w:val="0000FF"/>
          <w:lang w:val="ru-RU"/>
        </w:rPr>
        <w:t>求祢也凭着祢祝福的大能</w:t>
      </w:r>
      <w:r w:rsidRPr="0097554A">
        <w:rPr>
          <w:color w:val="0000FF"/>
        </w:rPr>
        <w:t>，</w:t>
      </w:r>
      <w:r w:rsidRPr="004C59BB">
        <w:rPr>
          <w:color w:val="0000FF"/>
          <w:lang w:val="ru-RU"/>
        </w:rPr>
        <w:t>以荣耀与尊贵加冕并装点他们的婚姻结合</w:t>
      </w:r>
      <w:r w:rsidRPr="0097554A">
        <w:rPr>
          <w:color w:val="0000FF"/>
        </w:rPr>
        <w:t>，</w:t>
      </w:r>
      <w:r w:rsidRPr="004C59BB">
        <w:rPr>
          <w:color w:val="0000FF"/>
          <w:lang w:val="ru-RU"/>
        </w:rPr>
        <w:t>愿这段结合在他们余生中始终保持纯洁、荣耀且不可动摇</w:t>
      </w:r>
      <w:r w:rsidRPr="0097554A">
        <w:rPr>
          <w:color w:val="0000FF"/>
        </w:rPr>
        <w:t>，</w:t>
      </w:r>
      <w:r w:rsidRPr="004C59BB">
        <w:rPr>
          <w:color w:val="0000FF"/>
          <w:lang w:val="ru-RU"/>
        </w:rPr>
        <w:t>并愿他们以相互的忠诚和纯洁的品德</w:t>
      </w:r>
      <w:r w:rsidRPr="0097554A">
        <w:rPr>
          <w:color w:val="0000FF"/>
        </w:rPr>
        <w:t>，</w:t>
      </w:r>
      <w:r w:rsidRPr="004C59BB">
        <w:rPr>
          <w:color w:val="0000FF"/>
          <w:lang w:val="ru-RU"/>
        </w:rPr>
        <w:t>如明亮的冠冕般闪耀。”</w:t>
      </w:r>
    </w:p>
  </w:footnote>
  <w:footnote w:id="1508">
    <w:p w14:paraId="270B1146" w14:textId="5FAB183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因为每个人都领受了同样的事物。因此</w:t>
      </w:r>
      <w:r w:rsidRPr="0097554A">
        <w:rPr>
          <w:color w:val="0000FF"/>
          <w:lang w:val="ru-RU"/>
        </w:rPr>
        <w:t>，</w:t>
      </w:r>
      <w:r w:rsidRPr="004C59BB">
        <w:rPr>
          <w:color w:val="0000FF"/>
          <w:lang w:val="el-GR"/>
        </w:rPr>
        <w:t>这按基督所立的婚姻</w:t>
      </w:r>
      <w:r w:rsidRPr="0097554A">
        <w:rPr>
          <w:color w:val="0000FF"/>
          <w:lang w:val="ru-RU"/>
        </w:rPr>
        <w:t>，</w:t>
      </w:r>
      <w:r w:rsidRPr="004C59BB">
        <w:rPr>
          <w:color w:val="0000FF"/>
          <w:lang w:val="el-GR"/>
        </w:rPr>
        <w:t>是属灵的婚姻</w:t>
      </w:r>
      <w:r w:rsidRPr="0097554A">
        <w:rPr>
          <w:color w:val="0000FF"/>
          <w:lang w:val="ru-RU"/>
        </w:rPr>
        <w:t>，</w:t>
      </w:r>
      <w:r w:rsidRPr="004C59BB">
        <w:rPr>
          <w:color w:val="0000FF"/>
          <w:lang w:val="el-GR"/>
        </w:rPr>
        <w:t>也是属灵的重生</w:t>
      </w:r>
      <w:r w:rsidRPr="0097554A">
        <w:rPr>
          <w:color w:val="0000FF"/>
          <w:lang w:val="ru-RU"/>
        </w:rPr>
        <w:t>……，</w:t>
      </w:r>
      <w:r w:rsidRPr="004C59BB">
        <w:rPr>
          <w:color w:val="0000FF"/>
          <w:lang w:val="el-GR"/>
        </w:rPr>
        <w:t>完全是属灵的</w:t>
      </w:r>
      <w:r w:rsidRPr="0097554A">
        <w:rPr>
          <w:color w:val="0000FF"/>
          <w:lang w:val="ru-RU"/>
        </w:rPr>
        <w:t>……”，</w:t>
      </w:r>
      <w:r w:rsidRPr="004C59BB">
        <w:rPr>
          <w:color w:val="0000FF"/>
        </w:rPr>
        <w:t>见</w:t>
      </w:r>
      <w:r w:rsidRPr="004C59BB">
        <w:rPr>
          <w:color w:val="0000FF"/>
          <w:lang w:val="el-GR"/>
        </w:rPr>
        <w:t>《</w:t>
      </w:r>
      <w:r w:rsidRPr="004C59BB">
        <w:rPr>
          <w:color w:val="0000FF"/>
        </w:rPr>
        <w:t>以弗所书讲道</w:t>
      </w:r>
      <w:r w:rsidRPr="004C59BB">
        <w:rPr>
          <w:color w:val="0000FF"/>
          <w:lang w:val="el-GR"/>
        </w:rPr>
        <w:t>集》</w:t>
      </w:r>
      <w:r w:rsidRPr="004C59BB">
        <w:rPr>
          <w:color w:val="0000FF"/>
        </w:rPr>
        <w:t>第XX篇</w:t>
      </w:r>
      <w:r w:rsidRPr="0097554A">
        <w:rPr>
          <w:color w:val="0000FF"/>
          <w:lang w:val="ru-RU"/>
        </w:rPr>
        <w:t>，</w:t>
      </w:r>
      <w:r w:rsidRPr="004C59BB">
        <w:rPr>
          <w:color w:val="0000FF"/>
        </w:rPr>
        <w:t>第</w:t>
      </w:r>
      <w:r w:rsidRPr="0097554A">
        <w:rPr>
          <w:color w:val="0000FF"/>
          <w:lang w:val="ru-RU"/>
        </w:rPr>
        <w:t>5</w:t>
      </w:r>
      <w:r w:rsidRPr="004C59BB">
        <w:rPr>
          <w:color w:val="0000FF"/>
        </w:rPr>
        <w:t>节。</w:t>
      </w:r>
    </w:p>
  </w:footnote>
  <w:footnote w:id="1509">
    <w:p w14:paraId="740038FF" w14:textId="1B58063F"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参见上文注释</w:t>
      </w:r>
      <w:r w:rsidRPr="0097554A">
        <w:rPr>
          <w:color w:val="0000FF"/>
          <w:lang w:val="ru-RU"/>
        </w:rPr>
        <w:t>1491</w:t>
      </w:r>
      <w:r w:rsidRPr="004C59BB">
        <w:rPr>
          <w:color w:val="0000FF"/>
        </w:rPr>
        <w:t>、</w:t>
      </w:r>
      <w:r w:rsidRPr="0097554A">
        <w:rPr>
          <w:color w:val="0000FF"/>
          <w:lang w:val="ru-RU"/>
        </w:rPr>
        <w:t>1496</w:t>
      </w:r>
      <w:r w:rsidRPr="004C59BB">
        <w:rPr>
          <w:color w:val="0000FF"/>
        </w:rPr>
        <w:t>、</w:t>
      </w:r>
      <w:r w:rsidRPr="0097554A">
        <w:rPr>
          <w:color w:val="0000FF"/>
          <w:lang w:val="ru-RU"/>
        </w:rPr>
        <w:t>1500</w:t>
      </w:r>
      <w:r w:rsidRPr="004C59BB">
        <w:rPr>
          <w:color w:val="0000FF"/>
        </w:rPr>
        <w:t>。</w:t>
      </w:r>
      <w:r w:rsidRPr="0097554A">
        <w:rPr>
          <w:color w:val="0000FF"/>
          <w:lang w:val="ru-RU"/>
        </w:rPr>
        <w:t xml:space="preserve"> </w:t>
      </w:r>
      <w:r w:rsidRPr="004C59BB">
        <w:rPr>
          <w:color w:val="0000FF"/>
        </w:rPr>
        <w:t>此外</w:t>
      </w:r>
      <w:r w:rsidRPr="0097554A">
        <w:rPr>
          <w:color w:val="0000FF"/>
          <w:lang w:val="ru-RU"/>
        </w:rPr>
        <w:t>：‘</w:t>
      </w:r>
      <w:r w:rsidRPr="004C59BB">
        <w:rPr>
          <w:color w:val="0000FF"/>
        </w:rPr>
        <w:t>要按律法和使徒的教导在神面前成婚</w:t>
      </w:r>
      <w:r w:rsidRPr="0097554A">
        <w:rPr>
          <w:color w:val="0000FF"/>
          <w:lang w:val="ru-RU"/>
        </w:rPr>
        <w:t>；</w:t>
      </w:r>
      <w:r w:rsidRPr="004C59BB">
        <w:rPr>
          <w:color w:val="0000FF"/>
        </w:rPr>
        <w:t>但既然你</w:t>
      </w:r>
      <w:r w:rsidRPr="0097554A">
        <w:rPr>
          <w:color w:val="0000FF"/>
          <w:lang w:val="ru-RU"/>
        </w:rPr>
        <w:t>——</w:t>
      </w:r>
      <w:r w:rsidRPr="004C59BB">
        <w:rPr>
          <w:color w:val="0000FF"/>
        </w:rPr>
        <w:t>以你的身份</w:t>
      </w:r>
      <w:r w:rsidRPr="0097554A">
        <w:rPr>
          <w:color w:val="0000FF"/>
          <w:lang w:val="ru-RU"/>
        </w:rPr>
        <w:t>——</w:t>
      </w:r>
      <w:r w:rsidRPr="004C59BB">
        <w:rPr>
          <w:color w:val="0000FF"/>
        </w:rPr>
        <w:t>竟向那些你所求娶之人</w:t>
      </w:r>
      <w:r w:rsidRPr="0097554A">
        <w:rPr>
          <w:color w:val="0000FF"/>
          <w:lang w:val="ru-RU"/>
        </w:rPr>
        <w:t>（</w:t>
      </w:r>
      <w:r w:rsidRPr="004C59BB">
        <w:rPr>
          <w:color w:val="0000FF"/>
        </w:rPr>
        <w:t>他们本不可拥有婚姻</w:t>
      </w:r>
      <w:r w:rsidRPr="0097554A">
        <w:rPr>
          <w:color w:val="0000FF"/>
          <w:lang w:val="ru-RU"/>
        </w:rPr>
        <w:t>）</w:t>
      </w:r>
      <w:r w:rsidRPr="004C59BB">
        <w:rPr>
          <w:color w:val="0000FF"/>
        </w:rPr>
        <w:t>提出这样的婚姻请求</w:t>
      </w:r>
      <w:r w:rsidRPr="0097554A">
        <w:rPr>
          <w:color w:val="0000FF"/>
          <w:lang w:val="ru-RU"/>
        </w:rPr>
        <w:t>，</w:t>
      </w:r>
      <w:r w:rsidRPr="004C59BB">
        <w:rPr>
          <w:color w:val="0000FF"/>
        </w:rPr>
        <w:t>这婚姻是由一夫一妻制的主教、长老和执事</w:t>
      </w:r>
      <w:r w:rsidRPr="0097554A">
        <w:rPr>
          <w:color w:val="0000FF"/>
          <w:lang w:val="ru-RU"/>
        </w:rPr>
        <w:t>……</w:t>
      </w:r>
      <w:r w:rsidRPr="004C59BB">
        <w:rPr>
          <w:color w:val="0000FF"/>
        </w:rPr>
        <w:t>所主持的</w:t>
      </w:r>
      <w:r w:rsidRPr="004C59BB">
        <w:rPr>
          <w:color w:val="0000FF"/>
          <w:lang w:val="ru-RU"/>
        </w:rPr>
        <w:t>’（特土良，</w:t>
      </w:r>
      <w:r w:rsidRPr="004C59BB">
        <w:rPr>
          <w:color w:val="0000FF"/>
        </w:rPr>
        <w:t>《论一夫一妻制</w:t>
      </w:r>
      <w:r w:rsidRPr="004C59BB">
        <w:rPr>
          <w:color w:val="0000FF"/>
          <w:lang w:val="ru-RU"/>
        </w:rPr>
        <w:t>》</w:t>
      </w:r>
      <w:r w:rsidRPr="004C59BB">
        <w:rPr>
          <w:color w:val="0000FF"/>
        </w:rPr>
        <w:t>第十一章</w:t>
      </w:r>
      <w:r w:rsidRPr="004C59BB">
        <w:rPr>
          <w:color w:val="0000FF"/>
          <w:lang w:val="ru-RU"/>
        </w:rPr>
        <w:t>）。</w:t>
      </w:r>
    </w:p>
  </w:footnote>
  <w:footnote w:id="1510">
    <w:p w14:paraId="59E67C04" w14:textId="55CA3756"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巴西尔，《六日讲道集》</w:t>
      </w:r>
      <w:r w:rsidRPr="004C59BB">
        <w:rPr>
          <w:color w:val="0000FF"/>
        </w:rPr>
        <w:t>第七</w:t>
      </w:r>
      <w:r w:rsidRPr="004C59BB">
        <w:rPr>
          <w:color w:val="0000FF"/>
          <w:lang w:val="ru-RU"/>
        </w:rPr>
        <w:t>卷，第5章；格里高利·神学家，《致普罗科普书信》</w:t>
      </w:r>
      <w:r w:rsidRPr="004C59BB">
        <w:rPr>
          <w:color w:val="0000FF"/>
        </w:rPr>
        <w:t>第五十七封</w:t>
      </w:r>
      <w:r w:rsidRPr="0097554A">
        <w:rPr>
          <w:color w:val="0000FF"/>
          <w:lang w:val="ru-RU"/>
        </w:rPr>
        <w:t>；</w:t>
      </w:r>
      <w:r w:rsidRPr="004C59BB">
        <w:rPr>
          <w:color w:val="0000FF"/>
        </w:rPr>
        <w:t>金口若望</w:t>
      </w:r>
      <w:r w:rsidRPr="0097554A">
        <w:rPr>
          <w:color w:val="0000FF"/>
          <w:lang w:val="ru-RU"/>
        </w:rPr>
        <w:t>，</w:t>
      </w:r>
      <w:r w:rsidRPr="004C59BB">
        <w:rPr>
          <w:color w:val="0000FF"/>
        </w:rPr>
        <w:t>《关于淫乱的讲道》第</w:t>
      </w:r>
      <w:r w:rsidRPr="0097554A">
        <w:rPr>
          <w:color w:val="0000FF"/>
          <w:lang w:val="ru-RU"/>
        </w:rPr>
        <w:t>2</w:t>
      </w:r>
      <w:r w:rsidRPr="004C59BB">
        <w:rPr>
          <w:color w:val="0000FF"/>
        </w:rPr>
        <w:t>段。</w:t>
      </w:r>
    </w:p>
  </w:footnote>
  <w:footnote w:id="1511">
    <w:p w14:paraId="1FD6B96A" w14:textId="7ECFE3B6"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既然婚姻本身应当通过神职的幔子与祝福而得到圣化</w:t>
      </w:r>
      <w:r w:rsidRPr="0097554A">
        <w:rPr>
          <w:color w:val="0000FF"/>
          <w:lang w:val="ru-RU"/>
        </w:rPr>
        <w:t>……”</w:t>
      </w:r>
      <w:r w:rsidRPr="004C59BB">
        <w:rPr>
          <w:color w:val="0000FF"/>
        </w:rPr>
        <w:t>《致维吉尔书》第十九封</w:t>
      </w:r>
      <w:r w:rsidRPr="0097554A">
        <w:rPr>
          <w:color w:val="0000FF"/>
          <w:lang w:val="ru-RU"/>
        </w:rPr>
        <w:t>，</w:t>
      </w:r>
      <w:r w:rsidRPr="004C59BB">
        <w:rPr>
          <w:color w:val="0000FF"/>
        </w:rPr>
        <w:t>第</w:t>
      </w:r>
      <w:r w:rsidRPr="0097554A">
        <w:rPr>
          <w:color w:val="0000FF"/>
          <w:lang w:val="ru-RU"/>
        </w:rPr>
        <w:t>7</w:t>
      </w:r>
      <w:r w:rsidRPr="004C59BB">
        <w:rPr>
          <w:color w:val="0000FF"/>
        </w:rPr>
        <w:t>节。</w:t>
      </w:r>
    </w:p>
  </w:footnote>
  <w:footnote w:id="1512">
    <w:p w14:paraId="40AE1882" w14:textId="0AB6E0D4"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西里尔致希梅尔</w:t>
      </w:r>
      <w:r w:rsidRPr="0097554A">
        <w:rPr>
          <w:color w:val="0000FF"/>
          <w:lang w:val="ru-RU"/>
        </w:rPr>
        <w:t>·</w:t>
      </w:r>
      <w:r w:rsidRPr="004C59BB">
        <w:rPr>
          <w:color w:val="0000FF"/>
        </w:rPr>
        <w:t>塔拉科的书信第</w:t>
      </w:r>
      <w:r w:rsidRPr="0097554A">
        <w:rPr>
          <w:color w:val="0000FF"/>
          <w:lang w:val="ru-RU"/>
        </w:rPr>
        <w:t>1</w:t>
      </w:r>
      <w:r w:rsidRPr="004C59BB">
        <w:rPr>
          <w:color w:val="0000FF"/>
        </w:rPr>
        <w:t>封</w:t>
      </w:r>
      <w:r w:rsidRPr="0097554A">
        <w:rPr>
          <w:color w:val="0000FF"/>
          <w:lang w:val="ru-RU"/>
        </w:rPr>
        <w:t>，</w:t>
      </w:r>
      <w:r w:rsidRPr="004C59BB">
        <w:rPr>
          <w:color w:val="0000FF"/>
        </w:rPr>
        <w:t>第</w:t>
      </w:r>
      <w:r w:rsidRPr="0097554A">
        <w:rPr>
          <w:color w:val="0000FF"/>
          <w:lang w:val="ru-RU"/>
        </w:rPr>
        <w:t>5</w:t>
      </w:r>
      <w:r w:rsidRPr="004C59BB">
        <w:rPr>
          <w:color w:val="0000FF"/>
        </w:rPr>
        <w:t>、</w:t>
      </w:r>
      <w:r w:rsidRPr="0097554A">
        <w:rPr>
          <w:color w:val="0000FF"/>
          <w:lang w:val="ru-RU"/>
        </w:rPr>
        <w:t>13</w:t>
      </w:r>
      <w:r w:rsidRPr="004C59BB">
        <w:rPr>
          <w:color w:val="0000FF"/>
        </w:rPr>
        <w:t>段</w:t>
      </w:r>
      <w:r w:rsidRPr="0097554A">
        <w:rPr>
          <w:color w:val="0000FF"/>
          <w:lang w:val="ru-RU"/>
        </w:rPr>
        <w:t>；</w:t>
      </w:r>
      <w:r w:rsidRPr="004C59BB">
        <w:rPr>
          <w:color w:val="0000FF"/>
        </w:rPr>
        <w:t>英诺肯提致维特里格</w:t>
      </w:r>
      <w:r w:rsidRPr="0097554A">
        <w:rPr>
          <w:color w:val="0000FF"/>
          <w:lang w:val="ru-RU"/>
        </w:rPr>
        <w:t>·</w:t>
      </w:r>
      <w:r w:rsidRPr="004C59BB">
        <w:rPr>
          <w:color w:val="0000FF"/>
        </w:rPr>
        <w:t>罗托马格</w:t>
      </w:r>
      <w:r w:rsidRPr="004C59BB">
        <w:rPr>
          <w:color w:val="0000FF"/>
          <w:lang w:val="ru-RU"/>
        </w:rPr>
        <w:t>的</w:t>
      </w:r>
      <w:r w:rsidRPr="004C59BB">
        <w:rPr>
          <w:color w:val="0000FF"/>
        </w:rPr>
        <w:t>书信第VI</w:t>
      </w:r>
      <w:r w:rsidRPr="004C59BB">
        <w:rPr>
          <w:color w:val="0000FF"/>
          <w:lang w:val="ru-RU"/>
        </w:rPr>
        <w:t>章，第10段；</w:t>
      </w:r>
      <w:r w:rsidRPr="004C59BB">
        <w:rPr>
          <w:color w:val="0000FF"/>
        </w:rPr>
        <w:t>第X</w:t>
      </w:r>
      <w:r w:rsidRPr="004C59BB">
        <w:rPr>
          <w:color w:val="0000FF"/>
          <w:lang w:val="ru-RU"/>
        </w:rPr>
        <w:t>章，第13段。</w:t>
      </w:r>
    </w:p>
  </w:footnote>
  <w:footnote w:id="1513">
    <w:p w14:paraId="3712AE9B" w14:textId="517F3E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参见上文注释1495。</w:t>
      </w:r>
    </w:p>
  </w:footnote>
  <w:footnote w:id="1514">
    <w:p w14:paraId="585A6E9C" w14:textId="6802EB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《教规答问》，对问题</w:t>
      </w:r>
      <w:r w:rsidRPr="004C59BB">
        <w:rPr>
          <w:color w:val="0000FF"/>
        </w:rPr>
        <w:t>II</w:t>
      </w:r>
      <w:r w:rsidRPr="004C59BB">
        <w:rPr>
          <w:color w:val="0000FF"/>
          <w:lang w:val="ru-RU"/>
        </w:rPr>
        <w:t>的答复，载于《规则集》第352页。</w:t>
      </w:r>
    </w:p>
  </w:footnote>
  <w:footnote w:id="1515">
    <w:p w14:paraId="386B6D79" w14:textId="3531A9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费奥多尔·斯图德，第1卷，</w:t>
      </w:r>
      <w:r w:rsidRPr="004C59BB">
        <w:rPr>
          <w:color w:val="0000FF"/>
        </w:rPr>
        <w:t>书信</w:t>
      </w:r>
      <w:r w:rsidRPr="004C59BB">
        <w:rPr>
          <w:color w:val="0000FF"/>
          <w:lang w:val="ru-RU"/>
        </w:rPr>
        <w:t>第1封；尼基弗，</w:t>
      </w:r>
      <w:r w:rsidRPr="004C59BB">
        <w:rPr>
          <w:color w:val="0000FF"/>
        </w:rPr>
        <w:t>第XXXIV</w:t>
      </w:r>
      <w:r w:rsidRPr="004C59BB">
        <w:rPr>
          <w:color w:val="0000FF"/>
          <w:lang w:val="ru-RU"/>
        </w:rPr>
        <w:t>章；福提乌斯，</w:t>
      </w:r>
      <w:r w:rsidRPr="004C59BB">
        <w:rPr>
          <w:color w:val="0000FF"/>
        </w:rPr>
        <w:t>《诺莫卡诺》</w:t>
      </w:r>
      <w:r w:rsidRPr="004C59BB">
        <w:rPr>
          <w:color w:val="0000FF"/>
          <w:lang w:val="ru-RU"/>
        </w:rPr>
        <w:t>，</w:t>
      </w:r>
      <w:r w:rsidRPr="004C59BB">
        <w:rPr>
          <w:color w:val="0000FF"/>
        </w:rPr>
        <w:t>第XIII</w:t>
      </w:r>
      <w:r w:rsidRPr="004C59BB">
        <w:rPr>
          <w:color w:val="0000FF"/>
          <w:lang w:val="ru-RU"/>
        </w:rPr>
        <w:t>卷，</w:t>
      </w:r>
      <w:r w:rsidRPr="004C59BB">
        <w:rPr>
          <w:color w:val="0000FF"/>
        </w:rPr>
        <w:t>第II</w:t>
      </w:r>
      <w:r w:rsidRPr="004C59BB">
        <w:rPr>
          <w:color w:val="0000FF"/>
          <w:lang w:val="ru-RU"/>
        </w:rPr>
        <w:t>章，</w:t>
      </w:r>
      <w:r w:rsidRPr="004C59BB">
        <w:rPr>
          <w:color w:val="0000FF"/>
        </w:rPr>
        <w:t>对《尤斯泰利安法典</w:t>
      </w:r>
      <w:r w:rsidRPr="004C59BB">
        <w:rPr>
          <w:color w:val="0000FF"/>
          <w:lang w:val="ru-RU"/>
        </w:rPr>
        <w:t>》的</w:t>
      </w:r>
      <w:r w:rsidRPr="004C59BB">
        <w:rPr>
          <w:color w:val="0000FF"/>
        </w:rPr>
        <w:t>注释</w:t>
      </w:r>
      <w:r w:rsidRPr="004C59BB">
        <w:rPr>
          <w:color w:val="0000FF"/>
          <w:lang w:val="ru-RU"/>
        </w:rPr>
        <w:t>，第1091</w:t>
      </w:r>
      <w:r w:rsidRPr="004C59BB">
        <w:rPr>
          <w:color w:val="0000FF"/>
        </w:rPr>
        <w:t>页</w:t>
      </w:r>
      <w:r w:rsidRPr="004C59BB">
        <w:rPr>
          <w:color w:val="0000FF"/>
          <w:lang w:val="ru-RU"/>
        </w:rPr>
        <w:t>。</w:t>
      </w:r>
    </w:p>
  </w:footnote>
  <w:footnote w:id="1516">
    <w:p w14:paraId="1348CB90" w14:textId="2031825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参见《礼仪书》中关于婚礼的最后部分。</w:t>
      </w:r>
    </w:p>
  </w:footnote>
  <w:footnote w:id="1517">
    <w:p w14:paraId="0FF981E5" w14:textId="6BE7289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埃尔马</w:t>
      </w:r>
      <w:r w:rsidRPr="0097554A">
        <w:rPr>
          <w:color w:val="0000FF"/>
          <w:lang w:val="ru-RU"/>
        </w:rPr>
        <w:t>，</w:t>
      </w:r>
      <w:r w:rsidRPr="004C59BB">
        <w:rPr>
          <w:color w:val="0000FF"/>
        </w:rPr>
        <w:t>《牧人》</w:t>
      </w:r>
      <w:r w:rsidRPr="0097554A">
        <w:rPr>
          <w:color w:val="0000FF"/>
          <w:lang w:val="ru-RU"/>
        </w:rPr>
        <w:t>，</w:t>
      </w:r>
      <w:r w:rsidRPr="004C59BB">
        <w:rPr>
          <w:color w:val="0000FF"/>
        </w:rPr>
        <w:t>卷二</w:t>
      </w:r>
      <w:r w:rsidRPr="0097554A">
        <w:rPr>
          <w:color w:val="0000FF"/>
          <w:lang w:val="ru-RU"/>
        </w:rPr>
        <w:t>，</w:t>
      </w:r>
      <w:r w:rsidRPr="004C59BB">
        <w:rPr>
          <w:color w:val="0000FF"/>
        </w:rPr>
        <w:t>第四章</w:t>
      </w:r>
      <w:r w:rsidRPr="0097554A">
        <w:rPr>
          <w:color w:val="0000FF"/>
          <w:lang w:val="ru-RU"/>
        </w:rPr>
        <w:t>，</w:t>
      </w:r>
      <w:r w:rsidRPr="004C59BB">
        <w:rPr>
          <w:color w:val="0000FF"/>
        </w:rPr>
        <w:t>第</w:t>
      </w:r>
      <w:r w:rsidRPr="0097554A">
        <w:rPr>
          <w:color w:val="0000FF"/>
          <w:lang w:val="ru-RU"/>
        </w:rPr>
        <w:t>4</w:t>
      </w:r>
      <w:r w:rsidRPr="004C59BB">
        <w:rPr>
          <w:color w:val="0000FF"/>
        </w:rPr>
        <w:t>条</w:t>
      </w:r>
      <w:r w:rsidRPr="0097554A">
        <w:rPr>
          <w:color w:val="0000FF"/>
          <w:lang w:val="ru-RU"/>
        </w:rPr>
        <w:t>；</w:t>
      </w:r>
      <w:r w:rsidRPr="004C59BB">
        <w:rPr>
          <w:color w:val="0000FF"/>
        </w:rPr>
        <w:t>梅福迪乌斯</w:t>
      </w:r>
      <w:r w:rsidRPr="0097554A">
        <w:rPr>
          <w:color w:val="0000FF"/>
          <w:lang w:val="ru-RU"/>
        </w:rPr>
        <w:t>，</w:t>
      </w:r>
      <w:r w:rsidRPr="004C59BB">
        <w:rPr>
          <w:color w:val="0000FF"/>
        </w:rPr>
        <w:t>《论十次婚礼》</w:t>
      </w:r>
      <w:r w:rsidRPr="0097554A">
        <w:rPr>
          <w:color w:val="0000FF"/>
          <w:lang w:val="ru-RU"/>
        </w:rPr>
        <w:t>，</w:t>
      </w:r>
      <w:r w:rsidRPr="004C59BB">
        <w:rPr>
          <w:color w:val="0000FF"/>
        </w:rPr>
        <w:t>《处女祷文》第三篇</w:t>
      </w:r>
      <w:r w:rsidRPr="0097554A">
        <w:rPr>
          <w:color w:val="0000FF"/>
          <w:lang w:val="ru-RU"/>
        </w:rPr>
        <w:t>，</w:t>
      </w:r>
      <w:r w:rsidRPr="004C59BB">
        <w:rPr>
          <w:color w:val="0000FF"/>
        </w:rPr>
        <w:t>第</w:t>
      </w:r>
      <w:r w:rsidRPr="0097554A">
        <w:rPr>
          <w:color w:val="0000FF"/>
          <w:lang w:val="ru-RU"/>
        </w:rPr>
        <w:t>12</w:t>
      </w:r>
      <w:r w:rsidRPr="004C59BB">
        <w:rPr>
          <w:color w:val="0000FF"/>
        </w:rPr>
        <w:t>条</w:t>
      </w:r>
      <w:r w:rsidRPr="0097554A">
        <w:rPr>
          <w:color w:val="0000FF"/>
          <w:lang w:val="ru-RU"/>
        </w:rPr>
        <w:t>；</w:t>
      </w:r>
      <w:r w:rsidRPr="004C59BB">
        <w:rPr>
          <w:color w:val="0000FF"/>
        </w:rPr>
        <w:t>金口若望</w:t>
      </w:r>
      <w:r w:rsidRPr="0097554A">
        <w:rPr>
          <w:color w:val="0000FF"/>
          <w:lang w:val="ru-RU"/>
        </w:rPr>
        <w:t>，</w:t>
      </w:r>
      <w:r w:rsidRPr="004C59BB">
        <w:rPr>
          <w:color w:val="0000FF"/>
        </w:rPr>
        <w:t>《论婚姻不可重婚》</w:t>
      </w:r>
      <w:r w:rsidRPr="0097554A">
        <w:rPr>
          <w:color w:val="0000FF"/>
          <w:lang w:val="ru-RU"/>
        </w:rPr>
        <w:t>，</w:t>
      </w:r>
      <w:r w:rsidRPr="004C59BB">
        <w:rPr>
          <w:color w:val="0000FF"/>
        </w:rPr>
        <w:t>第</w:t>
      </w:r>
      <w:r w:rsidRPr="0097554A">
        <w:rPr>
          <w:color w:val="0000FF"/>
          <w:lang w:val="ru-RU"/>
        </w:rPr>
        <w:t>1</w:t>
      </w:r>
      <w:r w:rsidRPr="004C59BB">
        <w:rPr>
          <w:color w:val="0000FF"/>
        </w:rPr>
        <w:t>、</w:t>
      </w:r>
      <w:r w:rsidRPr="0097554A">
        <w:rPr>
          <w:color w:val="0000FF"/>
          <w:lang w:val="ru-RU"/>
        </w:rPr>
        <w:t>2</w:t>
      </w:r>
      <w:r w:rsidRPr="004C59BB">
        <w:rPr>
          <w:color w:val="0000FF"/>
        </w:rPr>
        <w:t>条</w:t>
      </w:r>
      <w:r w:rsidRPr="0097554A">
        <w:rPr>
          <w:color w:val="0000FF"/>
          <w:lang w:val="ru-RU"/>
        </w:rPr>
        <w:t>；</w:t>
      </w:r>
      <w:r w:rsidRPr="004C59BB">
        <w:rPr>
          <w:color w:val="0000FF"/>
        </w:rPr>
        <w:t>《提多书讲道集》第二篇</w:t>
      </w:r>
      <w:r w:rsidRPr="0097554A">
        <w:rPr>
          <w:color w:val="0000FF"/>
          <w:lang w:val="ru-RU"/>
        </w:rPr>
        <w:t>，</w:t>
      </w:r>
      <w:r w:rsidRPr="004C59BB">
        <w:rPr>
          <w:color w:val="0000FF"/>
        </w:rPr>
        <w:t>第</w:t>
      </w:r>
      <w:r w:rsidRPr="0097554A">
        <w:rPr>
          <w:color w:val="0000FF"/>
          <w:lang w:val="ru-RU"/>
        </w:rPr>
        <w:t>1</w:t>
      </w:r>
      <w:r w:rsidRPr="004C59BB">
        <w:rPr>
          <w:color w:val="0000FF"/>
        </w:rPr>
        <w:t>条</w:t>
      </w:r>
      <w:r w:rsidRPr="0097554A">
        <w:rPr>
          <w:color w:val="0000FF"/>
          <w:lang w:val="ru-RU"/>
        </w:rPr>
        <w:t>；</w:t>
      </w:r>
      <w:r w:rsidRPr="004C59BB">
        <w:rPr>
          <w:color w:val="0000FF"/>
        </w:rPr>
        <w:t>埃皮法尼乌斯</w:t>
      </w:r>
      <w:r w:rsidRPr="0097554A">
        <w:rPr>
          <w:color w:val="0000FF"/>
          <w:lang w:val="ru-RU"/>
        </w:rPr>
        <w:t>，</w:t>
      </w:r>
      <w:r w:rsidRPr="004C59BB">
        <w:rPr>
          <w:color w:val="0000FF"/>
        </w:rPr>
        <w:t>《异端论》第四十八篇</w:t>
      </w:r>
      <w:r w:rsidRPr="0097554A">
        <w:rPr>
          <w:color w:val="0000FF"/>
          <w:lang w:val="ru-RU"/>
        </w:rPr>
        <w:t>，</w:t>
      </w:r>
      <w:r w:rsidRPr="004C59BB">
        <w:rPr>
          <w:color w:val="0000FF"/>
        </w:rPr>
        <w:t>第</w:t>
      </w:r>
      <w:r w:rsidRPr="0097554A">
        <w:rPr>
          <w:color w:val="0000FF"/>
          <w:lang w:val="ru-RU"/>
        </w:rPr>
        <w:t>9</w:t>
      </w:r>
      <w:r w:rsidRPr="004C59BB">
        <w:rPr>
          <w:color w:val="0000FF"/>
        </w:rPr>
        <w:t>条。</w:t>
      </w:r>
    </w:p>
  </w:footnote>
  <w:footnote w:id="1518">
    <w:p w14:paraId="74C84BFC" w14:textId="18C6065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基里尔</w:t>
      </w:r>
      <w:r w:rsidRPr="0097554A">
        <w:rPr>
          <w:color w:val="0000FF"/>
          <w:lang w:val="ru-RU"/>
        </w:rPr>
        <w:t>·</w:t>
      </w:r>
      <w:r w:rsidRPr="004C59BB">
        <w:rPr>
          <w:color w:val="0000FF"/>
        </w:rPr>
        <w:t>耶路撒冷</w:t>
      </w:r>
      <w:r w:rsidRPr="0097554A">
        <w:rPr>
          <w:color w:val="0000FF"/>
          <w:lang w:val="ru-RU"/>
        </w:rPr>
        <w:t>，</w:t>
      </w:r>
      <w:r w:rsidRPr="004C59BB">
        <w:rPr>
          <w:color w:val="0000FF"/>
        </w:rPr>
        <w:t>《教义讲道集》第四</w:t>
      </w:r>
      <w:r w:rsidRPr="004C59BB">
        <w:rPr>
          <w:color w:val="0000FF"/>
          <w:lang w:val="ru-RU"/>
        </w:rPr>
        <w:t>卷，第26节；大巴西尔，《书信集》</w:t>
      </w:r>
      <w:r w:rsidRPr="004C59BB">
        <w:rPr>
          <w:color w:val="0000FF"/>
        </w:rPr>
        <w:t>第CLXI封</w:t>
      </w:r>
      <w:r w:rsidRPr="0097554A">
        <w:rPr>
          <w:color w:val="0000FF"/>
          <w:lang w:val="ru-RU"/>
        </w:rPr>
        <w:t>，</w:t>
      </w:r>
      <w:r w:rsidRPr="004C59BB">
        <w:rPr>
          <w:color w:val="0000FF"/>
        </w:rPr>
        <w:t>第</w:t>
      </w:r>
      <w:r w:rsidRPr="0097554A">
        <w:rPr>
          <w:color w:val="0000FF"/>
          <w:lang w:val="ru-RU"/>
        </w:rPr>
        <w:t>4</w:t>
      </w:r>
      <w:r w:rsidRPr="004C59BB">
        <w:rPr>
          <w:color w:val="0000FF"/>
        </w:rPr>
        <w:t>节</w:t>
      </w:r>
      <w:r w:rsidRPr="0097554A">
        <w:rPr>
          <w:color w:val="0000FF"/>
          <w:lang w:val="ru-RU"/>
        </w:rPr>
        <w:t>；</w:t>
      </w:r>
      <w:r w:rsidRPr="004C59BB">
        <w:rPr>
          <w:color w:val="0000FF"/>
        </w:rPr>
        <w:t>埃皮法尼乌斯</w:t>
      </w:r>
      <w:r w:rsidRPr="0097554A">
        <w:rPr>
          <w:color w:val="0000FF"/>
          <w:lang w:val="ru-RU"/>
        </w:rPr>
        <w:t>，</w:t>
      </w:r>
      <w:r w:rsidRPr="004C59BB">
        <w:rPr>
          <w:color w:val="0000FF"/>
        </w:rPr>
        <w:t>《异端论》第LIX卷</w:t>
      </w:r>
      <w:r w:rsidRPr="0097554A">
        <w:rPr>
          <w:color w:val="0000FF"/>
          <w:lang w:val="ru-RU"/>
        </w:rPr>
        <w:t>，</w:t>
      </w:r>
      <w:r w:rsidRPr="004C59BB">
        <w:rPr>
          <w:color w:val="0000FF"/>
        </w:rPr>
        <w:t>第</w:t>
      </w:r>
      <w:r w:rsidRPr="0097554A">
        <w:rPr>
          <w:color w:val="0000FF"/>
          <w:lang w:val="ru-RU"/>
        </w:rPr>
        <w:t>4</w:t>
      </w:r>
      <w:r w:rsidRPr="004C59BB">
        <w:rPr>
          <w:color w:val="0000FF"/>
        </w:rPr>
        <w:t>、</w:t>
      </w:r>
      <w:r w:rsidRPr="0097554A">
        <w:rPr>
          <w:color w:val="0000FF"/>
          <w:lang w:val="ru-RU"/>
        </w:rPr>
        <w:t>6</w:t>
      </w:r>
      <w:r w:rsidRPr="004C59BB">
        <w:rPr>
          <w:color w:val="0000FF"/>
        </w:rPr>
        <w:t>条。</w:t>
      </w:r>
    </w:p>
  </w:footnote>
  <w:footnote w:id="1519">
    <w:p w14:paraId="1ADBE171" w14:textId="19B930A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阿提纳戈尔斯</w:t>
      </w:r>
      <w:r w:rsidRPr="0097554A">
        <w:rPr>
          <w:color w:val="0000FF"/>
          <w:lang w:val="ru-RU"/>
        </w:rPr>
        <w:t>，</w:t>
      </w:r>
      <w:r w:rsidRPr="004C59BB">
        <w:rPr>
          <w:color w:val="0000FF"/>
        </w:rPr>
        <w:t>《使节》</w:t>
      </w:r>
      <w:r w:rsidRPr="0097554A">
        <w:rPr>
          <w:color w:val="0000FF"/>
          <w:lang w:val="ru-RU"/>
        </w:rPr>
        <w:t>，</w:t>
      </w:r>
      <w:r w:rsidRPr="004C59BB">
        <w:rPr>
          <w:color w:val="0000FF"/>
        </w:rPr>
        <w:t>第XXXIII章</w:t>
      </w:r>
      <w:r w:rsidRPr="0097554A">
        <w:rPr>
          <w:color w:val="0000FF"/>
          <w:lang w:val="ru-RU"/>
        </w:rPr>
        <w:t>；</w:t>
      </w:r>
      <w:r w:rsidRPr="004C59BB">
        <w:rPr>
          <w:color w:val="0000FF"/>
        </w:rPr>
        <w:t>克卢姆</w:t>
      </w:r>
      <w:r w:rsidRPr="0097554A">
        <w:rPr>
          <w:color w:val="0000FF"/>
          <w:lang w:val="ru-RU"/>
        </w:rPr>
        <w:t>（</w:t>
      </w:r>
      <w:r w:rsidRPr="004C59BB">
        <w:rPr>
          <w:color w:val="0000FF"/>
        </w:rPr>
        <w:t>亚历山大</w:t>
      </w:r>
      <w:r w:rsidRPr="0097554A">
        <w:rPr>
          <w:color w:val="0000FF"/>
          <w:lang w:val="ru-RU"/>
        </w:rPr>
        <w:t>），</w:t>
      </w:r>
      <w:r w:rsidRPr="004C59BB">
        <w:rPr>
          <w:color w:val="0000FF"/>
        </w:rPr>
        <w:t>《杂论》第三卷</w:t>
      </w:r>
      <w:r w:rsidRPr="0097554A">
        <w:rPr>
          <w:color w:val="0000FF"/>
          <w:lang w:val="ru-RU"/>
        </w:rPr>
        <w:t>，</w:t>
      </w:r>
      <w:r w:rsidRPr="004C59BB">
        <w:rPr>
          <w:color w:val="0000FF"/>
        </w:rPr>
        <w:t>第</w:t>
      </w:r>
      <w:r w:rsidRPr="0097554A">
        <w:rPr>
          <w:color w:val="0000FF"/>
          <w:lang w:val="ru-RU"/>
        </w:rPr>
        <w:t>2</w:t>
      </w:r>
      <w:r w:rsidRPr="004C59BB">
        <w:rPr>
          <w:color w:val="0000FF"/>
        </w:rPr>
        <w:t>章</w:t>
      </w:r>
      <w:r w:rsidRPr="0097554A">
        <w:rPr>
          <w:color w:val="0000FF"/>
          <w:lang w:val="ru-RU"/>
        </w:rPr>
        <w:t>；</w:t>
      </w:r>
      <w:r w:rsidRPr="004C59BB">
        <w:rPr>
          <w:color w:val="0000FF"/>
        </w:rPr>
        <w:t>格里高利</w:t>
      </w:r>
      <w:r w:rsidRPr="0097554A">
        <w:rPr>
          <w:color w:val="0000FF"/>
          <w:lang w:val="ru-RU"/>
        </w:rPr>
        <w:t>（</w:t>
      </w:r>
      <w:r w:rsidRPr="004C59BB">
        <w:rPr>
          <w:color w:val="0000FF"/>
        </w:rPr>
        <w:t>尼萨</w:t>
      </w:r>
      <w:r w:rsidRPr="0097554A">
        <w:rPr>
          <w:color w:val="0000FF"/>
          <w:lang w:val="ru-RU"/>
        </w:rPr>
        <w:t>），</w:t>
      </w:r>
      <w:r w:rsidRPr="004C59BB">
        <w:rPr>
          <w:color w:val="0000FF"/>
        </w:rPr>
        <w:t>《圣马克林传》第二卷</w:t>
      </w:r>
      <w:r w:rsidRPr="0097554A">
        <w:rPr>
          <w:color w:val="0000FF"/>
          <w:lang w:val="ru-RU"/>
        </w:rPr>
        <w:t>，</w:t>
      </w:r>
      <w:r w:rsidRPr="004C59BB">
        <w:rPr>
          <w:color w:val="0000FF"/>
        </w:rPr>
        <w:t>第</w:t>
      </w:r>
      <w:r w:rsidRPr="0097554A">
        <w:rPr>
          <w:color w:val="0000FF"/>
          <w:lang w:val="ru-RU"/>
        </w:rPr>
        <w:t>180</w:t>
      </w:r>
      <w:r w:rsidRPr="004C59BB">
        <w:rPr>
          <w:color w:val="0000FF"/>
        </w:rPr>
        <w:t>页</w:t>
      </w:r>
      <w:r w:rsidRPr="0097554A">
        <w:rPr>
          <w:color w:val="0000FF"/>
          <w:lang w:val="ru-RU"/>
        </w:rPr>
        <w:t>，</w:t>
      </w:r>
      <w:r w:rsidRPr="004C59BB">
        <w:rPr>
          <w:color w:val="0000FF"/>
        </w:rPr>
        <w:t>莫雷尔校注版</w:t>
      </w:r>
      <w:r w:rsidRPr="0097554A">
        <w:rPr>
          <w:color w:val="0000FF"/>
          <w:lang w:val="ru-RU"/>
        </w:rPr>
        <w:t>；</w:t>
      </w:r>
      <w:r w:rsidRPr="004C59BB">
        <w:rPr>
          <w:color w:val="0000FF"/>
        </w:rPr>
        <w:t>安布罗斯</w:t>
      </w:r>
      <w:r w:rsidRPr="0097554A">
        <w:rPr>
          <w:color w:val="0000FF"/>
          <w:lang w:val="ru-RU"/>
        </w:rPr>
        <w:t>，</w:t>
      </w:r>
      <w:r w:rsidRPr="004C59BB">
        <w:rPr>
          <w:color w:val="0000FF"/>
        </w:rPr>
        <w:t>《论寡妇》第九章</w:t>
      </w:r>
      <w:r w:rsidRPr="0097554A">
        <w:rPr>
          <w:color w:val="0000FF"/>
          <w:lang w:val="ru-RU"/>
        </w:rPr>
        <w:t>；</w:t>
      </w:r>
      <w:r w:rsidRPr="004C59BB">
        <w:rPr>
          <w:color w:val="0000FF"/>
        </w:rPr>
        <w:t>金口若望</w:t>
      </w:r>
      <w:r w:rsidRPr="0097554A">
        <w:rPr>
          <w:color w:val="0000FF"/>
          <w:lang w:val="ru-RU"/>
        </w:rPr>
        <w:t>，</w:t>
      </w:r>
      <w:r w:rsidRPr="004C59BB">
        <w:rPr>
          <w:color w:val="0000FF"/>
        </w:rPr>
        <w:t>《论不得再婚》第</w:t>
      </w:r>
      <w:r w:rsidRPr="0097554A">
        <w:rPr>
          <w:color w:val="0000FF"/>
          <w:lang w:val="ru-RU"/>
        </w:rPr>
        <w:t>2</w:t>
      </w:r>
      <w:r w:rsidRPr="004C59BB">
        <w:rPr>
          <w:color w:val="0000FF"/>
        </w:rPr>
        <w:t>条。</w:t>
      </w:r>
    </w:p>
  </w:footnote>
  <w:footnote w:id="1520">
    <w:p w14:paraId="231D97FC" w14:textId="04438B69"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《拉奥迪卡亚教规》第1条；《瓦西里大帝教规》</w:t>
      </w:r>
      <w:r w:rsidRPr="004C59BB">
        <w:rPr>
          <w:color w:val="0000FF"/>
        </w:rPr>
        <w:t>第</w:t>
      </w:r>
      <w:r w:rsidRPr="0097554A">
        <w:rPr>
          <w:color w:val="0000FF"/>
          <w:lang w:val="ru-RU"/>
        </w:rPr>
        <w:t>4</w:t>
      </w:r>
      <w:r w:rsidRPr="004C59BB">
        <w:rPr>
          <w:color w:val="0000FF"/>
        </w:rPr>
        <w:t>、</w:t>
      </w:r>
      <w:r w:rsidRPr="0097554A">
        <w:rPr>
          <w:color w:val="0000FF"/>
          <w:lang w:val="ru-RU"/>
        </w:rPr>
        <w:t>87</w:t>
      </w:r>
      <w:r w:rsidRPr="004C59BB">
        <w:rPr>
          <w:color w:val="0000FF"/>
        </w:rPr>
        <w:t>条。</w:t>
      </w:r>
    </w:p>
  </w:footnote>
  <w:footnote w:id="1521">
    <w:p w14:paraId="7D7300F2" w14:textId="0B1C4DD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金口若望</w:t>
      </w:r>
      <w:r w:rsidRPr="0097554A">
        <w:rPr>
          <w:color w:val="0000FF"/>
          <w:lang w:val="ru-RU"/>
        </w:rPr>
        <w:t>，</w:t>
      </w:r>
      <w:r w:rsidRPr="004C59BB">
        <w:rPr>
          <w:color w:val="0000FF"/>
        </w:rPr>
        <w:t>《论不可再婚》</w:t>
      </w:r>
      <w:r w:rsidRPr="0097554A">
        <w:rPr>
          <w:color w:val="0000FF"/>
          <w:lang w:val="ru-RU"/>
        </w:rPr>
        <w:t>，</w:t>
      </w:r>
      <w:r w:rsidRPr="004C59BB">
        <w:rPr>
          <w:color w:val="0000FF"/>
        </w:rPr>
        <w:t>第</w:t>
      </w:r>
      <w:r w:rsidRPr="0097554A">
        <w:rPr>
          <w:color w:val="0000FF"/>
          <w:lang w:val="ru-RU"/>
        </w:rPr>
        <w:t>2</w:t>
      </w:r>
      <w:r w:rsidRPr="004C59BB">
        <w:rPr>
          <w:color w:val="0000FF"/>
        </w:rPr>
        <w:t>章</w:t>
      </w:r>
      <w:r w:rsidRPr="0097554A">
        <w:rPr>
          <w:color w:val="0000FF"/>
          <w:lang w:val="ru-RU"/>
        </w:rPr>
        <w:t>；</w:t>
      </w:r>
      <w:r w:rsidRPr="004C59BB">
        <w:rPr>
          <w:color w:val="0000FF"/>
        </w:rPr>
        <w:t>安布罗斯</w:t>
      </w:r>
      <w:r w:rsidRPr="0097554A">
        <w:rPr>
          <w:color w:val="0000FF"/>
          <w:lang w:val="ru-RU"/>
        </w:rPr>
        <w:t>，</w:t>
      </w:r>
      <w:r w:rsidRPr="004C59BB">
        <w:rPr>
          <w:color w:val="0000FF"/>
        </w:rPr>
        <w:t>《哥林多前书注》</w:t>
      </w:r>
      <w:r w:rsidRPr="0097554A">
        <w:rPr>
          <w:color w:val="0000FF"/>
          <w:lang w:val="ru-RU"/>
        </w:rPr>
        <w:t>，</w:t>
      </w:r>
      <w:r w:rsidRPr="004C59BB">
        <w:rPr>
          <w:color w:val="0000FF"/>
        </w:rPr>
        <w:t>第七章</w:t>
      </w:r>
      <w:r w:rsidRPr="0097554A">
        <w:rPr>
          <w:color w:val="0000FF"/>
          <w:lang w:val="ru-RU"/>
        </w:rPr>
        <w:t>，40</w:t>
      </w:r>
      <w:r w:rsidRPr="004C59BB">
        <w:rPr>
          <w:color w:val="0000FF"/>
        </w:rPr>
        <w:t>节</w:t>
      </w:r>
      <w:r w:rsidRPr="0097554A">
        <w:rPr>
          <w:color w:val="0000FF"/>
          <w:lang w:val="ru-RU"/>
        </w:rPr>
        <w:t>；</w:t>
      </w:r>
      <w:r w:rsidRPr="004C59BB">
        <w:rPr>
          <w:color w:val="0000FF"/>
        </w:rPr>
        <w:t>西奥多</w:t>
      </w:r>
      <w:r w:rsidRPr="0097554A">
        <w:rPr>
          <w:color w:val="0000FF"/>
          <w:lang w:val="ru-RU"/>
        </w:rPr>
        <w:t>·</w:t>
      </w:r>
      <w:r w:rsidRPr="004C59BB">
        <w:rPr>
          <w:color w:val="0000FF"/>
        </w:rPr>
        <w:t>克米德</w:t>
      </w:r>
      <w:r w:rsidRPr="0097554A">
        <w:rPr>
          <w:color w:val="0000FF"/>
          <w:lang w:val="ru-RU"/>
        </w:rPr>
        <w:t>，</w:t>
      </w:r>
      <w:r w:rsidRPr="004C59BB">
        <w:rPr>
          <w:color w:val="0000FF"/>
        </w:rPr>
        <w:t>《书信集》第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50</w:t>
      </w:r>
      <w:r w:rsidRPr="004C59BB">
        <w:rPr>
          <w:color w:val="0000FF"/>
        </w:rPr>
        <w:t>封书信</w:t>
      </w:r>
      <w:r w:rsidRPr="0097554A">
        <w:rPr>
          <w:color w:val="0000FF"/>
          <w:lang w:val="ru-RU"/>
        </w:rPr>
        <w:t>；</w:t>
      </w:r>
      <w:r w:rsidRPr="004C59BB">
        <w:rPr>
          <w:color w:val="0000FF"/>
        </w:rPr>
        <w:t>尼基福鲁斯</w:t>
      </w:r>
      <w:r w:rsidRPr="0097554A">
        <w:rPr>
          <w:color w:val="0000FF"/>
          <w:lang w:val="ru-RU"/>
        </w:rPr>
        <w:t>，</w:t>
      </w:r>
      <w:r w:rsidRPr="004C59BB">
        <w:rPr>
          <w:color w:val="0000FF"/>
        </w:rPr>
        <w:t>《教规》第X条。</w:t>
      </w:r>
    </w:p>
  </w:footnote>
  <w:footnote w:id="1522">
    <w:p w14:paraId="5D962EFB" w14:textId="5DD3A15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特土良</w:t>
      </w:r>
      <w:r w:rsidRPr="0097554A">
        <w:rPr>
          <w:color w:val="0000FF"/>
          <w:lang w:val="ru-RU"/>
        </w:rPr>
        <w:t>，</w:t>
      </w:r>
      <w:r w:rsidRPr="004C59BB">
        <w:rPr>
          <w:color w:val="0000FF"/>
        </w:rPr>
        <w:t>《劝诫贞洁》第七章</w:t>
      </w:r>
      <w:r w:rsidRPr="0097554A">
        <w:rPr>
          <w:color w:val="0000FF"/>
          <w:lang w:val="ru-RU"/>
        </w:rPr>
        <w:t>；</w:t>
      </w:r>
      <w:r w:rsidRPr="004C59BB">
        <w:rPr>
          <w:color w:val="0000FF"/>
        </w:rPr>
        <w:t>奥利金</w:t>
      </w:r>
      <w:r w:rsidRPr="0097554A">
        <w:rPr>
          <w:color w:val="0000FF"/>
          <w:lang w:val="ru-RU"/>
        </w:rPr>
        <w:t>，</w:t>
      </w:r>
      <w:r w:rsidRPr="004C59BB">
        <w:rPr>
          <w:color w:val="0000FF"/>
        </w:rPr>
        <w:t>《路加福音讲道集》第十七篇</w:t>
      </w:r>
      <w:r w:rsidRPr="0097554A">
        <w:rPr>
          <w:color w:val="0000FF"/>
          <w:lang w:val="ru-RU"/>
        </w:rPr>
        <w:t>；</w:t>
      </w:r>
      <w:r w:rsidRPr="004C59BB">
        <w:rPr>
          <w:color w:val="0000FF"/>
        </w:rPr>
        <w:t>西里西乌斯</w:t>
      </w:r>
      <w:r w:rsidRPr="0097554A">
        <w:rPr>
          <w:color w:val="0000FF"/>
          <w:lang w:val="ru-RU"/>
        </w:rPr>
        <w:t>，</w:t>
      </w:r>
      <w:r w:rsidRPr="004C59BB">
        <w:rPr>
          <w:color w:val="0000FF"/>
        </w:rPr>
        <w:t>《致塔拉科的希梅尔书》第八至十二章</w:t>
      </w:r>
      <w:r w:rsidRPr="0097554A">
        <w:rPr>
          <w:color w:val="0000FF"/>
          <w:lang w:val="ru-RU"/>
        </w:rPr>
        <w:t>；</w:t>
      </w:r>
      <w:r w:rsidRPr="004C59BB">
        <w:rPr>
          <w:color w:val="0000FF"/>
        </w:rPr>
        <w:t>金口约翰</w:t>
      </w:r>
      <w:r w:rsidRPr="0097554A">
        <w:rPr>
          <w:color w:val="0000FF"/>
          <w:lang w:val="ru-RU"/>
        </w:rPr>
        <w:t>，</w:t>
      </w:r>
      <w:r w:rsidRPr="004C59BB">
        <w:rPr>
          <w:color w:val="0000FF"/>
        </w:rPr>
        <w:t>《提多书讲道集》Π篇</w:t>
      </w:r>
      <w:r w:rsidRPr="0097554A">
        <w:rPr>
          <w:color w:val="0000FF"/>
          <w:lang w:val="ru-RU"/>
        </w:rPr>
        <w:t>；</w:t>
      </w:r>
      <w:r w:rsidRPr="004C59BB">
        <w:rPr>
          <w:color w:val="0000FF"/>
        </w:rPr>
        <w:t>埃皮法尼乌斯</w:t>
      </w:r>
      <w:r w:rsidRPr="0097554A">
        <w:rPr>
          <w:color w:val="0000FF"/>
          <w:lang w:val="ru-RU"/>
        </w:rPr>
        <w:t>，</w:t>
      </w:r>
      <w:r w:rsidRPr="004C59BB">
        <w:rPr>
          <w:color w:val="0000FF"/>
        </w:rPr>
        <w:t>《天主教信仰阐释》第</w:t>
      </w:r>
      <w:r w:rsidRPr="0097554A">
        <w:rPr>
          <w:color w:val="0000FF"/>
          <w:lang w:val="ru-RU"/>
        </w:rPr>
        <w:t>21</w:t>
      </w:r>
      <w:r w:rsidRPr="004C59BB">
        <w:rPr>
          <w:color w:val="0000FF"/>
        </w:rPr>
        <w:t>条</w:t>
      </w:r>
      <w:r w:rsidRPr="0097554A">
        <w:rPr>
          <w:color w:val="0000FF"/>
          <w:lang w:val="ru-RU"/>
        </w:rPr>
        <w:t>；</w:t>
      </w:r>
      <w:r w:rsidRPr="004C59BB">
        <w:rPr>
          <w:color w:val="0000FF"/>
        </w:rPr>
        <w:t>《异端论》LIX</w:t>
      </w:r>
      <w:r w:rsidRPr="0097554A">
        <w:rPr>
          <w:color w:val="0000FF"/>
          <w:lang w:val="ru-RU"/>
        </w:rPr>
        <w:t>，</w:t>
      </w:r>
      <w:r w:rsidRPr="004C59BB">
        <w:rPr>
          <w:color w:val="0000FF"/>
        </w:rPr>
        <w:t>第</w:t>
      </w:r>
      <w:r w:rsidRPr="0097554A">
        <w:rPr>
          <w:color w:val="0000FF"/>
          <w:lang w:val="ru-RU"/>
        </w:rPr>
        <w:t>4</w:t>
      </w:r>
      <w:r w:rsidRPr="004C59BB">
        <w:rPr>
          <w:color w:val="0000FF"/>
        </w:rPr>
        <w:t>条</w:t>
      </w:r>
      <w:r w:rsidRPr="0097554A">
        <w:rPr>
          <w:color w:val="0000FF"/>
          <w:lang w:val="ru-RU"/>
        </w:rPr>
        <w:t>；</w:t>
      </w:r>
      <w:r w:rsidRPr="004C59BB">
        <w:rPr>
          <w:color w:val="0000FF"/>
        </w:rPr>
        <w:t>杰罗姆。</w:t>
      </w:r>
      <w:r w:rsidRPr="0097554A">
        <w:rPr>
          <w:color w:val="0000FF"/>
          <w:lang w:val="ru-RU"/>
        </w:rPr>
        <w:t xml:space="preserve"> </w:t>
      </w:r>
      <w:r w:rsidRPr="004C59BB">
        <w:rPr>
          <w:color w:val="0000FF"/>
        </w:rPr>
        <w:t>《致奥克亚努斯书》第LXXXII章。</w:t>
      </w:r>
    </w:p>
  </w:footnote>
  <w:footnote w:id="1523">
    <w:p w14:paraId="4CFB3695" w14:textId="2DA5A1D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大巴西勒</w:t>
      </w:r>
      <w:r w:rsidRPr="0097554A">
        <w:rPr>
          <w:color w:val="0000FF"/>
          <w:lang w:val="ru-RU"/>
        </w:rPr>
        <w:t>，</w:t>
      </w:r>
      <w:r w:rsidRPr="004C59BB">
        <w:rPr>
          <w:color w:val="0000FF"/>
        </w:rPr>
        <w:t>《正教论》第</w:t>
      </w:r>
      <w:r w:rsidRPr="0097554A">
        <w:rPr>
          <w:color w:val="0000FF"/>
          <w:lang w:val="ru-RU"/>
        </w:rPr>
        <w:t>4</w:t>
      </w:r>
      <w:r w:rsidRPr="004C59BB">
        <w:rPr>
          <w:color w:val="0000FF"/>
        </w:rPr>
        <w:t>、</w:t>
      </w:r>
      <w:r w:rsidRPr="0097554A">
        <w:rPr>
          <w:color w:val="0000FF"/>
          <w:lang w:val="ru-RU"/>
        </w:rPr>
        <w:t>50</w:t>
      </w:r>
      <w:r w:rsidRPr="004C59BB">
        <w:rPr>
          <w:color w:val="0000FF"/>
        </w:rPr>
        <w:t>、</w:t>
      </w:r>
      <w:r w:rsidRPr="0097554A">
        <w:rPr>
          <w:color w:val="0000FF"/>
          <w:lang w:val="ru-RU"/>
        </w:rPr>
        <w:t>80</w:t>
      </w:r>
      <w:r w:rsidRPr="004C59BB">
        <w:rPr>
          <w:color w:val="0000FF"/>
        </w:rPr>
        <w:t>章。</w:t>
      </w:r>
    </w:p>
  </w:footnote>
  <w:footnote w:id="1524">
    <w:p w14:paraId="01769CC9" w14:textId="20FC79DF"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贾斯汀</w:t>
      </w:r>
      <w:r w:rsidRPr="0097554A">
        <w:rPr>
          <w:color w:val="0000FF"/>
          <w:lang w:val="ru-RU"/>
        </w:rPr>
        <w:t>，</w:t>
      </w:r>
      <w:r w:rsidRPr="004C59BB">
        <w:rPr>
          <w:color w:val="0000FF"/>
        </w:rPr>
        <w:t>《护教辞》</w:t>
      </w:r>
      <w:r w:rsidRPr="0097554A">
        <w:rPr>
          <w:color w:val="0000FF"/>
          <w:lang w:val="ru-RU"/>
        </w:rPr>
        <w:t>1，</w:t>
      </w:r>
      <w:r w:rsidRPr="004C59BB">
        <w:rPr>
          <w:color w:val="0000FF"/>
        </w:rPr>
        <w:t>第</w:t>
      </w:r>
      <w:r w:rsidRPr="0097554A">
        <w:rPr>
          <w:color w:val="0000FF"/>
          <w:lang w:val="ru-RU"/>
        </w:rPr>
        <w:t>6</w:t>
      </w:r>
      <w:r w:rsidRPr="004C59BB">
        <w:rPr>
          <w:color w:val="0000FF"/>
        </w:rPr>
        <w:t>节</w:t>
      </w:r>
      <w:r w:rsidRPr="0097554A">
        <w:rPr>
          <w:color w:val="0000FF"/>
          <w:lang w:val="ru-RU"/>
        </w:rPr>
        <w:t>；</w:t>
      </w:r>
      <w:r w:rsidRPr="004C59BB">
        <w:rPr>
          <w:color w:val="0000FF"/>
        </w:rPr>
        <w:t>克利门特</w:t>
      </w:r>
      <w:r w:rsidRPr="0097554A">
        <w:rPr>
          <w:color w:val="0000FF"/>
          <w:lang w:val="ru-RU"/>
        </w:rPr>
        <w:t>·</w:t>
      </w:r>
      <w:r w:rsidRPr="004C59BB">
        <w:rPr>
          <w:color w:val="0000FF"/>
        </w:rPr>
        <w:t>亚历山大</w:t>
      </w:r>
      <w:r w:rsidRPr="0097554A">
        <w:rPr>
          <w:color w:val="0000FF"/>
          <w:lang w:val="ru-RU"/>
        </w:rPr>
        <w:t>，</w:t>
      </w:r>
      <w:r w:rsidRPr="004C59BB">
        <w:rPr>
          <w:color w:val="0000FF"/>
          <w:lang w:val="ru-RU"/>
        </w:rPr>
        <w:t>《杂论》II，23；</w:t>
      </w:r>
      <w:r w:rsidRPr="004C59BB">
        <w:rPr>
          <w:color w:val="0000FF"/>
        </w:rPr>
        <w:t>III</w:t>
      </w:r>
      <w:r w:rsidRPr="004C59BB">
        <w:rPr>
          <w:color w:val="0000FF"/>
          <w:lang w:val="ru-RU"/>
        </w:rPr>
        <w:t>，11；大瓦西里，《六日创造讲道集》</w:t>
      </w:r>
      <w:r w:rsidRPr="004C59BB">
        <w:rPr>
          <w:color w:val="0000FF"/>
        </w:rPr>
        <w:t>VII</w:t>
      </w:r>
      <w:r w:rsidRPr="0097554A">
        <w:rPr>
          <w:color w:val="0000FF"/>
          <w:lang w:val="ru-RU"/>
        </w:rPr>
        <w:t>，</w:t>
      </w:r>
      <w:r w:rsidRPr="004C59BB">
        <w:rPr>
          <w:color w:val="0000FF"/>
        </w:rPr>
        <w:t>第</w:t>
      </w:r>
      <w:r w:rsidRPr="0097554A">
        <w:rPr>
          <w:color w:val="0000FF"/>
          <w:lang w:val="ru-RU"/>
        </w:rPr>
        <w:t>5</w:t>
      </w:r>
      <w:r w:rsidRPr="004C59BB">
        <w:rPr>
          <w:color w:val="0000FF"/>
        </w:rPr>
        <w:t>段</w:t>
      </w:r>
      <w:r w:rsidRPr="0097554A">
        <w:rPr>
          <w:color w:val="0000FF"/>
          <w:lang w:val="ru-RU"/>
        </w:rPr>
        <w:t>；</w:t>
      </w:r>
      <w:r w:rsidRPr="004C59BB">
        <w:rPr>
          <w:color w:val="0000FF"/>
        </w:rPr>
        <w:t>金口约翰</w:t>
      </w:r>
      <w:r w:rsidRPr="0097554A">
        <w:rPr>
          <w:color w:val="0000FF"/>
          <w:lang w:val="ru-RU"/>
        </w:rPr>
        <w:t>，</w:t>
      </w:r>
      <w:r w:rsidRPr="004C59BB">
        <w:rPr>
          <w:color w:val="0000FF"/>
        </w:rPr>
        <w:t>《致叙利亚人书》</w:t>
      </w:r>
      <w:r w:rsidRPr="0097554A">
        <w:rPr>
          <w:color w:val="0000FF"/>
          <w:lang w:val="ru-RU"/>
        </w:rPr>
        <w:t xml:space="preserve"> </w:t>
      </w:r>
      <w:r w:rsidRPr="004C59BB">
        <w:rPr>
          <w:color w:val="0000FF"/>
        </w:rPr>
        <w:t>XXV</w:t>
      </w:r>
      <w:r w:rsidRPr="0097554A">
        <w:rPr>
          <w:color w:val="0000FF"/>
          <w:lang w:val="ru-RU"/>
        </w:rPr>
        <w:t>；</w:t>
      </w:r>
      <w:r w:rsidRPr="004C59BB">
        <w:rPr>
          <w:color w:val="0000FF"/>
        </w:rPr>
        <w:t>埃皮法尼乌斯</w:t>
      </w:r>
      <w:r w:rsidRPr="0097554A">
        <w:rPr>
          <w:color w:val="0000FF"/>
          <w:lang w:val="ru-RU"/>
        </w:rPr>
        <w:t>，</w:t>
      </w:r>
      <w:r w:rsidRPr="004C59BB">
        <w:rPr>
          <w:color w:val="0000FF"/>
        </w:rPr>
        <w:t>《天主教信仰阐释》第</w:t>
      </w:r>
      <w:r w:rsidRPr="0097554A">
        <w:rPr>
          <w:color w:val="0000FF"/>
          <w:lang w:val="ru-RU"/>
        </w:rPr>
        <w:t xml:space="preserve"> </w:t>
      </w:r>
      <w:r w:rsidRPr="004C59BB">
        <w:rPr>
          <w:color w:val="0000FF"/>
        </w:rPr>
        <w:t>XXI</w:t>
      </w:r>
      <w:r w:rsidRPr="0097554A">
        <w:rPr>
          <w:color w:val="0000FF"/>
          <w:lang w:val="ru-RU"/>
        </w:rPr>
        <w:t xml:space="preserve"> </w:t>
      </w:r>
      <w:r w:rsidRPr="004C59BB">
        <w:rPr>
          <w:color w:val="0000FF"/>
        </w:rPr>
        <w:t>条</w:t>
      </w:r>
      <w:r w:rsidRPr="0097554A">
        <w:rPr>
          <w:color w:val="0000FF"/>
          <w:lang w:val="ru-RU"/>
        </w:rPr>
        <w:t>；</w:t>
      </w:r>
      <w:r w:rsidRPr="004C59BB">
        <w:rPr>
          <w:color w:val="0000FF"/>
        </w:rPr>
        <w:t>《异端论》LIX</w:t>
      </w:r>
      <w:r w:rsidRPr="0097554A">
        <w:rPr>
          <w:color w:val="0000FF"/>
          <w:lang w:val="ru-RU"/>
        </w:rPr>
        <w:t>，</w:t>
      </w:r>
      <w:r w:rsidRPr="004C59BB">
        <w:rPr>
          <w:color w:val="0000FF"/>
        </w:rPr>
        <w:t>第</w:t>
      </w:r>
      <w:r w:rsidRPr="0097554A">
        <w:rPr>
          <w:color w:val="0000FF"/>
          <w:lang w:val="ru-RU"/>
        </w:rPr>
        <w:t xml:space="preserve"> 4</w:t>
      </w:r>
      <w:r w:rsidRPr="004C59BB">
        <w:rPr>
          <w:color w:val="0000FF"/>
        </w:rPr>
        <w:t>、</w:t>
      </w:r>
      <w:r w:rsidRPr="0097554A">
        <w:rPr>
          <w:color w:val="0000FF"/>
          <w:lang w:val="ru-RU"/>
        </w:rPr>
        <w:t xml:space="preserve">6 </w:t>
      </w:r>
      <w:r w:rsidRPr="004C59BB">
        <w:rPr>
          <w:color w:val="0000FF"/>
        </w:rPr>
        <w:t>条</w:t>
      </w:r>
      <w:r w:rsidRPr="0097554A">
        <w:rPr>
          <w:color w:val="0000FF"/>
          <w:lang w:val="ru-RU"/>
        </w:rPr>
        <w:t>；</w:t>
      </w:r>
      <w:r w:rsidRPr="004C59BB">
        <w:rPr>
          <w:color w:val="0000FF"/>
        </w:rPr>
        <w:t>亚历山大的库普</w:t>
      </w:r>
      <w:r w:rsidRPr="0097554A">
        <w:rPr>
          <w:color w:val="0000FF"/>
          <w:lang w:val="ru-RU"/>
        </w:rPr>
        <w:t>，</w:t>
      </w:r>
      <w:r w:rsidRPr="004C59BB">
        <w:rPr>
          <w:color w:val="0000FF"/>
        </w:rPr>
        <w:t>《玛拉基书注释》第</w:t>
      </w:r>
      <w:r w:rsidRPr="0097554A">
        <w:rPr>
          <w:color w:val="0000FF"/>
          <w:lang w:val="ru-RU"/>
        </w:rPr>
        <w:t xml:space="preserve"> 28 </w:t>
      </w:r>
      <w:r w:rsidRPr="004C59BB">
        <w:rPr>
          <w:color w:val="0000FF"/>
        </w:rPr>
        <w:t>条</w:t>
      </w:r>
      <w:r w:rsidRPr="0097554A">
        <w:rPr>
          <w:color w:val="0000FF"/>
          <w:lang w:val="ru-RU"/>
        </w:rPr>
        <w:t>；</w:t>
      </w:r>
      <w:r w:rsidRPr="004C59BB">
        <w:rPr>
          <w:color w:val="0000FF"/>
        </w:rPr>
        <w:t>狄奥多里特</w:t>
      </w:r>
      <w:r w:rsidRPr="0097554A">
        <w:rPr>
          <w:color w:val="0000FF"/>
          <w:lang w:val="ru-RU"/>
        </w:rPr>
        <w:t>，</w:t>
      </w:r>
      <w:r w:rsidRPr="004C59BB">
        <w:rPr>
          <w:color w:val="0000FF"/>
        </w:rPr>
        <w:t>《哥林多前书注释》VII</w:t>
      </w:r>
      <w:r w:rsidRPr="004C59BB">
        <w:rPr>
          <w:color w:val="0000FF"/>
          <w:lang w:val="ru-RU"/>
        </w:rPr>
        <w:t>，11；拉克坦提乌斯，《</w:t>
      </w:r>
      <w:r w:rsidRPr="004C59BB">
        <w:rPr>
          <w:color w:val="0000FF"/>
        </w:rPr>
        <w:t>神学原理</w:t>
      </w:r>
      <w:r w:rsidRPr="004C59BB">
        <w:rPr>
          <w:color w:val="0000FF"/>
          <w:lang w:val="ru-RU"/>
        </w:rPr>
        <w:t>》</w:t>
      </w:r>
      <w:r w:rsidRPr="004C59BB">
        <w:rPr>
          <w:color w:val="0000FF"/>
        </w:rPr>
        <w:t>VI</w:t>
      </w:r>
      <w:r w:rsidRPr="004C59BB">
        <w:rPr>
          <w:color w:val="0000FF"/>
          <w:lang w:val="ru-RU"/>
        </w:rPr>
        <w:t>，23 等。</w:t>
      </w:r>
    </w:p>
  </w:footnote>
  <w:footnote w:id="1525">
    <w:p w14:paraId="280EE950" w14:textId="53F285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新凯撒利亚教规第8条；迦太基教规第115条；大巴西勒教规第9、21、39、48条；</w:t>
      </w:r>
      <w:r w:rsidRPr="004C59BB">
        <w:rPr>
          <w:color w:val="0000FF"/>
        </w:rPr>
        <w:t>第六</w:t>
      </w:r>
      <w:r w:rsidRPr="004C59BB">
        <w:rPr>
          <w:color w:val="0000FF"/>
          <w:lang w:val="ru-RU"/>
        </w:rPr>
        <w:t>次大公会议教规第87条。</w:t>
      </w:r>
    </w:p>
  </w:footnote>
  <w:footnote w:id="1526">
    <w:p w14:paraId="139C2037" w14:textId="4D627FCE"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其他名称：</w:t>
      </w:r>
      <w:r w:rsidRPr="004C59BB">
        <w:rPr>
          <w:color w:val="0000FF"/>
        </w:rPr>
        <w:t>ιερά</w:t>
      </w:r>
      <w:r w:rsidRPr="0097554A">
        <w:rPr>
          <w:color w:val="0000FF"/>
          <w:lang w:val="ru-RU"/>
        </w:rPr>
        <w:t xml:space="preserve"> </w:t>
      </w:r>
      <w:r w:rsidRPr="004C59BB">
        <w:rPr>
          <w:color w:val="0000FF"/>
        </w:rPr>
        <w:t>τάξις</w:t>
      </w:r>
      <w:r w:rsidRPr="004C59BB">
        <w:rPr>
          <w:color w:val="0000FF"/>
          <w:lang w:val="ru-RU"/>
        </w:rPr>
        <w:t>（格里高利《神学词典》第21条）、</w:t>
      </w:r>
      <w:r w:rsidRPr="004C59BB">
        <w:rPr>
          <w:color w:val="0000FF"/>
        </w:rPr>
        <w:t>ιερά</w:t>
      </w:r>
      <w:r w:rsidRPr="0097554A">
        <w:rPr>
          <w:color w:val="0000FF"/>
          <w:lang w:val="ru-RU"/>
        </w:rPr>
        <w:t xml:space="preserve"> </w:t>
      </w:r>
      <w:r w:rsidRPr="004C59BB">
        <w:rPr>
          <w:color w:val="0000FF"/>
        </w:rPr>
        <w:t>στάσις</w:t>
      </w:r>
      <w:r w:rsidRPr="004C59BB">
        <w:rPr>
          <w:color w:val="0000FF"/>
          <w:lang w:val="ru-RU"/>
        </w:rPr>
        <w:t>（同上）、</w:t>
      </w:r>
      <w:r w:rsidRPr="004C59BB">
        <w:rPr>
          <w:color w:val="0000FF"/>
        </w:rPr>
        <w:t>κλήρος</w:t>
      </w:r>
      <w:r w:rsidRPr="004C59BB">
        <w:rPr>
          <w:color w:val="0000FF"/>
          <w:lang w:val="ru-RU"/>
        </w:rPr>
        <w:t xml:space="preserve"> （</w:t>
      </w:r>
      <w:r w:rsidRPr="004C59BB">
        <w:rPr>
          <w:color w:val="0000FF"/>
        </w:rPr>
        <w:t>见于苏伊塞尔《教会宝库》</w:t>
      </w:r>
      <w:r w:rsidRPr="0097554A">
        <w:rPr>
          <w:color w:val="0000FF"/>
          <w:lang w:val="ru-RU"/>
        </w:rPr>
        <w:t>），</w:t>
      </w:r>
      <w:r w:rsidRPr="004C59BB">
        <w:rPr>
          <w:color w:val="0000FF"/>
        </w:rPr>
        <w:t>ordo</w:t>
      </w:r>
      <w:r w:rsidRPr="0097554A">
        <w:rPr>
          <w:color w:val="0000FF"/>
          <w:lang w:val="ru-RU"/>
        </w:rPr>
        <w:t xml:space="preserve"> </w:t>
      </w:r>
      <w:r w:rsidRPr="004C59BB">
        <w:rPr>
          <w:color w:val="0000FF"/>
        </w:rPr>
        <w:t>sacerdotalia</w:t>
      </w:r>
      <w:r w:rsidRPr="0097554A">
        <w:rPr>
          <w:color w:val="0000FF"/>
          <w:lang w:val="ru-RU"/>
        </w:rPr>
        <w:t>（</w:t>
      </w:r>
      <w:r w:rsidRPr="004C59BB">
        <w:rPr>
          <w:color w:val="0000FF"/>
        </w:rPr>
        <w:t>特土良《劝诫贞洁》第</w:t>
      </w:r>
      <w:r w:rsidRPr="0097554A">
        <w:rPr>
          <w:color w:val="0000FF"/>
          <w:lang w:val="ru-RU"/>
        </w:rPr>
        <w:t>7</w:t>
      </w:r>
      <w:r w:rsidRPr="004C59BB">
        <w:rPr>
          <w:color w:val="0000FF"/>
        </w:rPr>
        <w:t>章</w:t>
      </w:r>
      <w:r w:rsidRPr="0097554A">
        <w:rPr>
          <w:color w:val="0000FF"/>
          <w:lang w:val="ru-RU"/>
        </w:rPr>
        <w:t>），</w:t>
      </w:r>
      <w:r w:rsidRPr="004C59BB">
        <w:rPr>
          <w:color w:val="0000FF"/>
        </w:rPr>
        <w:t>ordo</w:t>
      </w:r>
      <w:r w:rsidRPr="0097554A">
        <w:rPr>
          <w:color w:val="0000FF"/>
          <w:lang w:val="ru-RU"/>
        </w:rPr>
        <w:t xml:space="preserve"> </w:t>
      </w:r>
      <w:r w:rsidRPr="004C59BB">
        <w:rPr>
          <w:color w:val="0000FF"/>
        </w:rPr>
        <w:t>ecclesiasticus</w:t>
      </w:r>
      <w:r w:rsidRPr="0097554A">
        <w:rPr>
          <w:color w:val="0000FF"/>
          <w:lang w:val="ru-RU"/>
        </w:rPr>
        <w:t>（</w:t>
      </w:r>
      <w:r w:rsidRPr="004C59BB">
        <w:rPr>
          <w:color w:val="0000FF"/>
        </w:rPr>
        <w:t>杰罗姆《论第</w:t>
      </w:r>
      <w:r w:rsidRPr="0097554A">
        <w:rPr>
          <w:color w:val="0000FF"/>
          <w:lang w:val="ru-RU"/>
        </w:rPr>
        <w:t>44</w:t>
      </w:r>
      <w:r w:rsidRPr="004C59BB">
        <w:rPr>
          <w:color w:val="0000FF"/>
        </w:rPr>
        <w:t>封书信》</w:t>
      </w:r>
      <w:r w:rsidRPr="0097554A">
        <w:rPr>
          <w:color w:val="0000FF"/>
          <w:lang w:val="ru-RU"/>
        </w:rPr>
        <w:t>）</w:t>
      </w:r>
      <w:r w:rsidRPr="004C59BB">
        <w:rPr>
          <w:color w:val="0000FF"/>
        </w:rPr>
        <w:t>。</w:t>
      </w:r>
    </w:p>
  </w:footnote>
  <w:footnote w:id="1527">
    <w:p w14:paraId="4503D7AB" w14:textId="34DAB50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伊格纳提乌斯</w:t>
      </w:r>
      <w:r w:rsidRPr="0097554A">
        <w:rPr>
          <w:color w:val="0000FF"/>
          <w:lang w:val="ru-RU"/>
        </w:rPr>
        <w:t>·</w:t>
      </w:r>
      <w:r w:rsidRPr="004C59BB">
        <w:rPr>
          <w:color w:val="0000FF"/>
        </w:rPr>
        <w:t>博戈诺斯</w:t>
      </w:r>
      <w:r w:rsidRPr="0097554A">
        <w:rPr>
          <w:color w:val="0000FF"/>
          <w:lang w:val="ru-RU"/>
        </w:rPr>
        <w:t>，</w:t>
      </w:r>
      <w:r w:rsidRPr="004C59BB">
        <w:rPr>
          <w:color w:val="0000FF"/>
        </w:rPr>
        <w:t>《致费拉德的书信》第X章</w:t>
      </w:r>
      <w:r w:rsidRPr="0097554A">
        <w:rPr>
          <w:color w:val="0000FF"/>
          <w:lang w:val="ru-RU"/>
        </w:rPr>
        <w:t>；</w:t>
      </w:r>
      <w:r w:rsidRPr="004C59BB">
        <w:rPr>
          <w:color w:val="0000FF"/>
        </w:rPr>
        <w:t>《使徒宪章》第V</w:t>
      </w:r>
      <w:r w:rsidRPr="0097554A">
        <w:rPr>
          <w:color w:val="0000FF"/>
          <w:lang w:val="ru-RU"/>
        </w:rPr>
        <w:t>Ш</w:t>
      </w:r>
      <w:r w:rsidRPr="004C59BB">
        <w:rPr>
          <w:color w:val="0000FF"/>
        </w:rPr>
        <w:t>章</w:t>
      </w:r>
      <w:r w:rsidRPr="0097554A">
        <w:rPr>
          <w:color w:val="0000FF"/>
          <w:lang w:val="ru-RU"/>
        </w:rPr>
        <w:t>，16</w:t>
      </w:r>
      <w:r w:rsidRPr="004C59BB">
        <w:rPr>
          <w:color w:val="0000FF"/>
        </w:rPr>
        <w:t>、</w:t>
      </w:r>
      <w:r w:rsidRPr="0097554A">
        <w:rPr>
          <w:color w:val="0000FF"/>
          <w:lang w:val="ru-RU"/>
        </w:rPr>
        <w:t>17</w:t>
      </w:r>
      <w:r w:rsidRPr="004C59BB">
        <w:rPr>
          <w:color w:val="0000FF"/>
        </w:rPr>
        <w:t>节</w:t>
      </w:r>
      <w:r w:rsidRPr="0097554A">
        <w:rPr>
          <w:color w:val="0000FF"/>
          <w:lang w:val="ru-RU"/>
        </w:rPr>
        <w:t>；</w:t>
      </w:r>
      <w:r w:rsidRPr="004C59BB">
        <w:rPr>
          <w:color w:val="0000FF"/>
        </w:rPr>
        <w:t>金口若望</w:t>
      </w:r>
      <w:r w:rsidRPr="0097554A">
        <w:rPr>
          <w:color w:val="0000FF"/>
          <w:lang w:val="ru-RU"/>
        </w:rPr>
        <w:t>，</w:t>
      </w:r>
      <w:r w:rsidRPr="004C59BB">
        <w:rPr>
          <w:color w:val="0000FF"/>
        </w:rPr>
        <w:t>《论绝罚》第</w:t>
      </w:r>
      <w:r w:rsidRPr="0097554A">
        <w:rPr>
          <w:color w:val="0000FF"/>
          <w:lang w:val="ru-RU"/>
        </w:rPr>
        <w:t>4</w:t>
      </w:r>
      <w:r w:rsidRPr="004C59BB">
        <w:rPr>
          <w:color w:val="0000FF"/>
        </w:rPr>
        <w:t>章。</w:t>
      </w:r>
    </w:p>
  </w:footnote>
  <w:footnote w:id="1528">
    <w:p w14:paraId="59444692" w14:textId="05880BD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秘密祝圣</w:t>
      </w:r>
      <w:r w:rsidRPr="0097554A">
        <w:rPr>
          <w:color w:val="0000FF"/>
          <w:lang w:val="ru-RU"/>
        </w:rPr>
        <w:t>，</w:t>
      </w:r>
      <w:r w:rsidRPr="004C59BB">
        <w:rPr>
          <w:color w:val="0000FF"/>
        </w:rPr>
        <w:t>尼西亚大公会议《主教会议书信》</w:t>
      </w:r>
      <w:r w:rsidRPr="0097554A">
        <w:rPr>
          <w:color w:val="0000FF"/>
          <w:lang w:val="ru-RU"/>
        </w:rPr>
        <w:t>（</w:t>
      </w:r>
      <w:r w:rsidRPr="004C59BB">
        <w:rPr>
          <w:color w:val="0000FF"/>
        </w:rPr>
        <w:t>费奥多里特《教会史》</w:t>
      </w:r>
      <w:r w:rsidRPr="0097554A">
        <w:rPr>
          <w:color w:val="0000FF"/>
          <w:lang w:val="ru-RU"/>
        </w:rPr>
        <w:t>1, 9）</w:t>
      </w:r>
      <w:r w:rsidRPr="004C59BB">
        <w:rPr>
          <w:color w:val="0000FF"/>
        </w:rPr>
        <w:t>。</w:t>
      </w:r>
    </w:p>
  </w:footnote>
  <w:footnote w:id="1529">
    <w:p w14:paraId="38ADAE77" w14:textId="3B4B7DC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按立</w:t>
      </w:r>
      <w:r w:rsidRPr="0097554A">
        <w:rPr>
          <w:color w:val="0000FF"/>
          <w:lang w:val="ru-RU"/>
        </w:rPr>
        <w:t>（</w:t>
      </w:r>
      <w:r w:rsidRPr="004C59BB">
        <w:rPr>
          <w:color w:val="0000FF"/>
        </w:rPr>
        <w:t>Ordinatio</w:t>
      </w:r>
      <w:r w:rsidRPr="0097554A">
        <w:rPr>
          <w:color w:val="0000FF"/>
          <w:lang w:val="ru-RU"/>
        </w:rPr>
        <w:t>），</w:t>
      </w:r>
      <w:r w:rsidRPr="004C59BB">
        <w:rPr>
          <w:color w:val="0000FF"/>
        </w:rPr>
        <w:t>基普里安</w:t>
      </w:r>
      <w:r w:rsidRPr="0097554A">
        <w:rPr>
          <w:color w:val="0000FF"/>
          <w:lang w:val="ru-RU"/>
        </w:rPr>
        <w:t>，</w:t>
      </w:r>
      <w:r w:rsidRPr="004C59BB">
        <w:rPr>
          <w:color w:val="0000FF"/>
        </w:rPr>
        <w:t>《书信》第XXXIII、LXVIII篇。</w:t>
      </w:r>
    </w:p>
  </w:footnote>
  <w:footnote w:id="1530">
    <w:p w14:paraId="5A54BA04" w14:textId="0ED1DF6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长老祝圣</w:t>
      </w:r>
      <w:r w:rsidRPr="0097554A">
        <w:rPr>
          <w:color w:val="0000FF"/>
          <w:lang w:val="ru-RU"/>
        </w:rPr>
        <w:t>，</w:t>
      </w:r>
      <w:r w:rsidRPr="004C59BB">
        <w:rPr>
          <w:color w:val="0000FF"/>
        </w:rPr>
        <w:t>奥勒留五世大公会议</w:t>
      </w:r>
      <w:r w:rsidRPr="0097554A">
        <w:rPr>
          <w:color w:val="0000FF"/>
          <w:lang w:val="ru-RU"/>
        </w:rPr>
        <w:t>（540</w:t>
      </w:r>
      <w:r w:rsidRPr="004C59BB">
        <w:rPr>
          <w:color w:val="0000FF"/>
        </w:rPr>
        <w:t>年</w:t>
      </w:r>
      <w:r w:rsidRPr="0097554A">
        <w:rPr>
          <w:color w:val="0000FF"/>
          <w:lang w:val="ru-RU"/>
        </w:rPr>
        <w:t>），</w:t>
      </w:r>
      <w:r w:rsidRPr="004C59BB">
        <w:rPr>
          <w:color w:val="0000FF"/>
        </w:rPr>
        <w:t>第四章。</w:t>
      </w:r>
    </w:p>
  </w:footnote>
  <w:footnote w:id="1531">
    <w:p w14:paraId="6923BAC9" w14:textId="27D9744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《司祭圣事》</w:t>
      </w:r>
      <w:r w:rsidRPr="0097554A">
        <w:rPr>
          <w:color w:val="0000FF"/>
          <w:lang w:val="ru-RU"/>
        </w:rPr>
        <w:t>，</w:t>
      </w:r>
      <w:r w:rsidRPr="004C59BB">
        <w:rPr>
          <w:color w:val="0000FF"/>
        </w:rPr>
        <w:t>塔西安《论洗礼》第VI章。</w:t>
      </w:r>
    </w:p>
  </w:footnote>
  <w:footnote w:id="1532">
    <w:p w14:paraId="13FFE420" w14:textId="0D648786"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致安菲洛克的《第一教规书信》，</w:t>
      </w:r>
      <w:r w:rsidRPr="004C59BB">
        <w:rPr>
          <w:color w:val="0000FF"/>
        </w:rPr>
        <w:t>第</w:t>
      </w:r>
      <w:r w:rsidRPr="0097554A">
        <w:rPr>
          <w:color w:val="0000FF"/>
          <w:lang w:val="ru-RU"/>
        </w:rPr>
        <w:t>1</w:t>
      </w:r>
      <w:r w:rsidRPr="004C59BB">
        <w:rPr>
          <w:color w:val="0000FF"/>
          <w:lang w:val="ru-RU"/>
        </w:rPr>
        <w:t>条</w:t>
      </w:r>
      <w:r w:rsidRPr="0097554A">
        <w:rPr>
          <w:color w:val="0000FF"/>
          <w:lang w:val="ru-RU"/>
        </w:rPr>
        <w:t>，</w:t>
      </w:r>
      <w:r w:rsidRPr="004C59BB">
        <w:rPr>
          <w:color w:val="0000FF"/>
        </w:rPr>
        <w:t>见《教规集》第</w:t>
      </w:r>
      <w:r w:rsidRPr="0097554A">
        <w:rPr>
          <w:color w:val="0000FF"/>
          <w:lang w:val="ru-RU"/>
        </w:rPr>
        <w:t>287</w:t>
      </w:r>
      <w:r w:rsidRPr="004C59BB">
        <w:rPr>
          <w:color w:val="0000FF"/>
        </w:rPr>
        <w:t>页。</w:t>
      </w:r>
    </w:p>
  </w:footnote>
  <w:footnote w:id="1533">
    <w:p w14:paraId="6127578D" w14:textId="7058833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《使徒行传》讲道集</w:t>
      </w:r>
      <w:r w:rsidRPr="0097554A">
        <w:rPr>
          <w:color w:val="0000FF"/>
          <w:lang w:val="ru-RU"/>
        </w:rPr>
        <w:t>，</w:t>
      </w:r>
      <w:r w:rsidRPr="004C59BB">
        <w:rPr>
          <w:color w:val="0000FF"/>
        </w:rPr>
        <w:t>第十四篇</w:t>
      </w:r>
      <w:r w:rsidRPr="0097554A">
        <w:rPr>
          <w:color w:val="0000FF"/>
          <w:lang w:val="ru-RU"/>
        </w:rPr>
        <w:t>，</w:t>
      </w:r>
      <w:r w:rsidRPr="004C59BB">
        <w:rPr>
          <w:color w:val="0000FF"/>
        </w:rPr>
        <w:t>第</w:t>
      </w:r>
      <w:r w:rsidRPr="0097554A">
        <w:rPr>
          <w:color w:val="0000FF"/>
          <w:lang w:val="ru-RU"/>
        </w:rPr>
        <w:t>4</w:t>
      </w:r>
      <w:r w:rsidRPr="004C59BB">
        <w:rPr>
          <w:color w:val="0000FF"/>
        </w:rPr>
        <w:t>节</w:t>
      </w:r>
      <w:r w:rsidRPr="0097554A">
        <w:rPr>
          <w:color w:val="0000FF"/>
          <w:lang w:val="ru-RU"/>
        </w:rPr>
        <w:t>；</w:t>
      </w:r>
      <w:r w:rsidRPr="004C59BB">
        <w:rPr>
          <w:color w:val="0000FF"/>
        </w:rPr>
        <w:t>第十五篇</w:t>
      </w:r>
      <w:r w:rsidRPr="0097554A">
        <w:rPr>
          <w:color w:val="0000FF"/>
          <w:lang w:val="ru-RU"/>
        </w:rPr>
        <w:t>，</w:t>
      </w:r>
      <w:r w:rsidRPr="004C59BB">
        <w:rPr>
          <w:color w:val="0000FF"/>
        </w:rPr>
        <w:t>第</w:t>
      </w:r>
      <w:r w:rsidRPr="0097554A">
        <w:rPr>
          <w:color w:val="0000FF"/>
          <w:lang w:val="ru-RU"/>
        </w:rPr>
        <w:t>1</w:t>
      </w:r>
      <w:r w:rsidRPr="004C59BB">
        <w:rPr>
          <w:color w:val="0000FF"/>
        </w:rPr>
        <w:t>节。</w:t>
      </w:r>
    </w:p>
  </w:footnote>
  <w:footnote w:id="1534">
    <w:p w14:paraId="379EF9A0" w14:textId="71AE78CA" w:rsidR="00254F25" w:rsidRPr="0097554A"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致迪奥斯库斯的书信</w:t>
      </w:r>
      <w:r w:rsidRPr="0097554A">
        <w:rPr>
          <w:color w:val="0000FF"/>
          <w:lang w:val="ru-RU"/>
        </w:rPr>
        <w:t xml:space="preserve"> </w:t>
      </w:r>
      <w:r w:rsidRPr="004C59BB">
        <w:rPr>
          <w:color w:val="0000FF"/>
        </w:rPr>
        <w:t>LXXXI</w:t>
      </w:r>
      <w:r w:rsidRPr="0097554A">
        <w:rPr>
          <w:color w:val="0000FF"/>
          <w:lang w:val="ru-RU"/>
        </w:rPr>
        <w:t>，</w:t>
      </w:r>
      <w:r w:rsidRPr="004C59BB">
        <w:rPr>
          <w:color w:val="0000FF"/>
        </w:rPr>
        <w:t>第</w:t>
      </w:r>
      <w:r w:rsidRPr="0097554A">
        <w:rPr>
          <w:color w:val="0000FF"/>
          <w:lang w:val="ru-RU"/>
        </w:rPr>
        <w:t xml:space="preserve"> 1 </w:t>
      </w:r>
      <w:r w:rsidRPr="004C59BB">
        <w:rPr>
          <w:color w:val="0000FF"/>
        </w:rPr>
        <w:t>章。在另一处：谁敢隐瞒在如此重大的圣事（圣职）中发生的冒犯行为呢？</w:t>
      </w:r>
      <w:r w:rsidRPr="0097554A">
        <w:rPr>
          <w:color w:val="0000FF"/>
        </w:rPr>
        <w:t>（</w:t>
      </w:r>
      <w:r w:rsidRPr="004C59BB">
        <w:rPr>
          <w:color w:val="0000FF"/>
        </w:rPr>
        <w:t>致毛里塔尼亚凯撒省主教</w:t>
      </w:r>
      <w:r w:rsidRPr="004C59BB">
        <w:rPr>
          <w:color w:val="0000FF"/>
          <w:lang w:val="ru-RU"/>
        </w:rPr>
        <w:t>的</w:t>
      </w:r>
      <w:r w:rsidRPr="004C59BB">
        <w:rPr>
          <w:color w:val="0000FF"/>
        </w:rPr>
        <w:t>书信 XII</w:t>
      </w:r>
      <w:r w:rsidRPr="0097554A">
        <w:rPr>
          <w:color w:val="0000FF"/>
        </w:rPr>
        <w:t>，</w:t>
      </w:r>
      <w:r w:rsidRPr="004C59BB">
        <w:rPr>
          <w:color w:val="0000FF"/>
          <w:lang w:val="ru-RU"/>
        </w:rPr>
        <w:t>第</w:t>
      </w:r>
      <w:r w:rsidRPr="0097554A">
        <w:rPr>
          <w:color w:val="0000FF"/>
        </w:rPr>
        <w:t xml:space="preserve"> 3 </w:t>
      </w:r>
      <w:r w:rsidRPr="004C59BB">
        <w:rPr>
          <w:color w:val="0000FF"/>
          <w:lang w:val="ru-RU"/>
        </w:rPr>
        <w:t>章</w:t>
      </w:r>
      <w:r w:rsidRPr="0097554A">
        <w:rPr>
          <w:color w:val="0000FF"/>
        </w:rPr>
        <w:t>）</w:t>
      </w:r>
      <w:r w:rsidRPr="004C59BB">
        <w:rPr>
          <w:color w:val="0000FF"/>
          <w:lang w:val="ru-RU"/>
        </w:rPr>
        <w:t>。</w:t>
      </w:r>
    </w:p>
  </w:footnote>
  <w:footnote w:id="1535">
    <w:p w14:paraId="344CA6E3" w14:textId="7D6FFB68"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第</w:t>
      </w:r>
      <w:r w:rsidRPr="0097554A">
        <w:rPr>
          <w:color w:val="0000FF"/>
        </w:rPr>
        <w:t>2</w:t>
      </w:r>
      <w:r w:rsidRPr="004C59BB">
        <w:rPr>
          <w:color w:val="0000FF"/>
          <w:lang w:val="ru-RU"/>
        </w:rPr>
        <w:t>条。</w:t>
      </w:r>
      <w:r w:rsidRPr="004C59BB">
        <w:rPr>
          <w:color w:val="0000FF"/>
        </w:rPr>
        <w:t>第七</w:t>
      </w:r>
      <w:r w:rsidRPr="004C59BB">
        <w:rPr>
          <w:color w:val="0000FF"/>
          <w:lang w:val="ru-RU"/>
        </w:rPr>
        <w:t>次大公会议在第</w:t>
      </w:r>
      <w:r w:rsidRPr="0097554A">
        <w:rPr>
          <w:color w:val="0000FF"/>
        </w:rPr>
        <w:t>5</w:t>
      </w:r>
      <w:r w:rsidRPr="004C59BB">
        <w:rPr>
          <w:color w:val="0000FF"/>
          <w:lang w:val="ru-RU"/>
        </w:rPr>
        <w:t>条中也重申了这一点。</w:t>
      </w:r>
    </w:p>
  </w:footnote>
  <w:footnote w:id="1536">
    <w:p w14:paraId="647EE220" w14:textId="171761E3"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此外：让他们自己解释，为何受洗者的圣事不能被剥夺，而受祝圣者的圣事却可以被剥夺；因为如果两者都是圣事——这一点无人怀疑——那么为何前者不会被剥夺，而后者却会被剥夺？任何圣事都不应受到冒犯（《反驳书信》 帕尔梅尼德斯，第二卷，第13章，第28节）。</w:t>
      </w:r>
      <w:r w:rsidRPr="004C59BB">
        <w:rPr>
          <w:color w:val="0000FF"/>
          <w:lang w:val="ru-RU"/>
        </w:rPr>
        <w:t>参见大格里高利</w:t>
      </w:r>
      <w:r w:rsidRPr="004C59BB">
        <w:rPr>
          <w:color w:val="0000FF"/>
        </w:rPr>
        <w:t>《列王纪上注释》第四卷</w:t>
      </w:r>
      <w:r w:rsidRPr="0097554A">
        <w:rPr>
          <w:color w:val="0000FF"/>
        </w:rPr>
        <w:t>，</w:t>
      </w:r>
      <w:r w:rsidRPr="004C59BB">
        <w:rPr>
          <w:color w:val="0000FF"/>
          <w:lang w:val="ru-RU"/>
        </w:rPr>
        <w:t>第</w:t>
      </w:r>
      <w:r w:rsidRPr="0097554A">
        <w:rPr>
          <w:color w:val="0000FF"/>
        </w:rPr>
        <w:t>5</w:t>
      </w:r>
      <w:r w:rsidRPr="004C59BB">
        <w:rPr>
          <w:color w:val="0000FF"/>
          <w:lang w:val="ru-RU"/>
        </w:rPr>
        <w:t>章</w:t>
      </w:r>
      <w:r w:rsidRPr="0097554A">
        <w:rPr>
          <w:color w:val="0000FF"/>
        </w:rPr>
        <w:t>，</w:t>
      </w:r>
      <w:r w:rsidRPr="004C59BB">
        <w:rPr>
          <w:color w:val="0000FF"/>
          <w:lang w:val="ru-RU"/>
        </w:rPr>
        <w:t>其中同样将圣职称为圣事。</w:t>
      </w:r>
    </w:p>
  </w:footnote>
  <w:footnote w:id="1537">
    <w:p w14:paraId="6CD47B85" w14:textId="556AE7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阿塞曼，《普世教会礼仪法典》第VIII卷，第159页；《奥尔隆特图书馆》第III卷，第II部分，第331页及后续。莫林，《论圣职授任》，第18页及第314页。</w:t>
      </w:r>
    </w:p>
  </w:footnote>
  <w:footnote w:id="1538">
    <w:p w14:paraId="73EF3E2D" w14:textId="11F7680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若有人</w:t>
      </w:r>
      <w:r w:rsidRPr="0097554A">
        <w:rPr>
          <w:color w:val="0000FF"/>
        </w:rPr>
        <w:t>——</w:t>
      </w:r>
      <w:r w:rsidRPr="004C59BB">
        <w:rPr>
          <w:color w:val="0000FF"/>
          <w:lang w:val="ru-RU"/>
        </w:rPr>
        <w:t>无论是主教、长老还是执事</w:t>
      </w:r>
      <w:r w:rsidRPr="0097554A">
        <w:rPr>
          <w:color w:val="0000FF"/>
        </w:rPr>
        <w:t>——</w:t>
      </w:r>
      <w:r w:rsidRPr="004C59BB">
        <w:rPr>
          <w:color w:val="0000FF"/>
          <w:lang w:val="ru-RU"/>
        </w:rPr>
        <w:t>从他人那里接受第二次按立</w:t>
      </w:r>
      <w:r w:rsidRPr="0097554A">
        <w:rPr>
          <w:color w:val="0000FF"/>
        </w:rPr>
        <w:t>，</w:t>
      </w:r>
      <w:r w:rsidRPr="004C59BB">
        <w:rPr>
          <w:color w:val="0000FF"/>
          <w:lang w:val="ru-RU"/>
        </w:rPr>
        <w:t>则其本人及按立者均应被逐出圣职</w:t>
      </w:r>
      <w:r w:rsidRPr="0097554A">
        <w:rPr>
          <w:color w:val="0000FF"/>
        </w:rPr>
        <w:t>；</w:t>
      </w:r>
      <w:r w:rsidRPr="004C59BB">
        <w:rPr>
          <w:color w:val="0000FF"/>
          <w:lang w:val="ru-RU"/>
        </w:rPr>
        <w:t>除非确凿得知该按立系由异端分子所授。</w:t>
      </w:r>
      <w:r w:rsidRPr="0097554A">
        <w:rPr>
          <w:color w:val="0000FF"/>
        </w:rPr>
        <w:t xml:space="preserve"> </w:t>
      </w:r>
      <w:r w:rsidRPr="004C59BB">
        <w:rPr>
          <w:color w:val="0000FF"/>
          <w:lang w:val="ru-RU"/>
        </w:rPr>
        <w:t>因为由此类人施洗或按立者</w:t>
      </w:r>
      <w:r w:rsidRPr="0097554A">
        <w:rPr>
          <w:color w:val="0000FF"/>
        </w:rPr>
        <w:t>，</w:t>
      </w:r>
      <w:r w:rsidRPr="004C59BB">
        <w:rPr>
          <w:color w:val="0000FF"/>
          <w:lang w:val="ru-RU"/>
        </w:rPr>
        <w:t>既不能成为信徒</w:t>
      </w:r>
      <w:r w:rsidRPr="0097554A">
        <w:rPr>
          <w:color w:val="0000FF"/>
        </w:rPr>
        <w:t>，</w:t>
      </w:r>
      <w:r w:rsidRPr="004C59BB">
        <w:rPr>
          <w:color w:val="0000FF"/>
          <w:lang w:val="ru-RU"/>
        </w:rPr>
        <w:t>也不能成为教会的侍奉者</w:t>
      </w:r>
      <w:r w:rsidRPr="0097554A">
        <w:rPr>
          <w:color w:val="0000FF"/>
        </w:rPr>
        <w:t>”（</w:t>
      </w:r>
      <w:r w:rsidRPr="004C59BB">
        <w:rPr>
          <w:color w:val="0000FF"/>
          <w:lang w:val="el-GR"/>
        </w:rPr>
        <w:t>第</w:t>
      </w:r>
      <w:r w:rsidRPr="0097554A">
        <w:rPr>
          <w:color w:val="0000FF"/>
        </w:rPr>
        <w:t>68</w:t>
      </w:r>
      <w:r w:rsidRPr="004C59BB">
        <w:rPr>
          <w:color w:val="0000FF"/>
          <w:lang w:val="el-GR"/>
        </w:rPr>
        <w:t>条</w:t>
      </w:r>
      <w:r w:rsidRPr="0097554A">
        <w:rPr>
          <w:color w:val="0000FF"/>
        </w:rPr>
        <w:t>）</w:t>
      </w:r>
      <w:r w:rsidRPr="004C59BB">
        <w:rPr>
          <w:color w:val="0000FF"/>
          <w:lang w:val="el-GR"/>
        </w:rPr>
        <w:t>。</w:t>
      </w:r>
    </w:p>
  </w:footnote>
  <w:footnote w:id="1539">
    <w:p w14:paraId="0C21C167" w14:textId="5BE1211C" w:rsidR="00254F25" w:rsidRPr="004C59BB" w:rsidRDefault="00000000">
      <w:pPr>
        <w:pStyle w:val="FootnoteText"/>
        <w:rPr>
          <w:color w:val="0000FF"/>
          <w:lang w:val="el-GR"/>
        </w:rPr>
      </w:pPr>
      <w:r w:rsidRPr="004C59BB">
        <w:rPr>
          <w:rStyle w:val="FootnoteReference"/>
          <w:color w:val="0000FF"/>
        </w:rPr>
        <w:footnoteRef/>
      </w:r>
      <w:r w:rsidRPr="0097554A">
        <w:rPr>
          <w:color w:val="0000FF"/>
        </w:rPr>
        <w:t xml:space="preserve"> </w:t>
      </w:r>
      <w:r w:rsidRPr="004C59BB">
        <w:rPr>
          <w:color w:val="0000FF"/>
          <w:lang w:val="el-GR"/>
        </w:rPr>
        <w:t>主教在按立长老时</w:t>
      </w:r>
      <w:r w:rsidRPr="0097554A">
        <w:rPr>
          <w:color w:val="0000FF"/>
        </w:rPr>
        <w:t>，</w:t>
      </w:r>
      <w:r w:rsidRPr="004C59BB">
        <w:rPr>
          <w:color w:val="0000FF"/>
          <w:lang w:val="el-GR"/>
        </w:rPr>
        <w:t>应亲自将双手按在受按立者的头上。</w:t>
      </w:r>
      <w:r w:rsidRPr="004C59BB">
        <w:rPr>
          <w:color w:val="0000FF"/>
        </w:rPr>
        <w:t>第八</w:t>
      </w:r>
      <w:r w:rsidRPr="004C59BB">
        <w:rPr>
          <w:color w:val="0000FF"/>
          <w:lang w:val="el-GR"/>
        </w:rPr>
        <w:t>卷，第16章；</w:t>
      </w:r>
      <w:r w:rsidRPr="004C59BB">
        <w:rPr>
          <w:color w:val="0000FF"/>
        </w:rPr>
        <w:t>参</w:t>
      </w:r>
      <w:r w:rsidRPr="004C59BB">
        <w:rPr>
          <w:color w:val="0000FF"/>
          <w:lang w:val="el-GR"/>
        </w:rPr>
        <w:t>见第17</w:t>
      </w:r>
      <w:r w:rsidRPr="004C59BB">
        <w:rPr>
          <w:color w:val="0000FF"/>
        </w:rPr>
        <w:t>章</w:t>
      </w:r>
      <w:r w:rsidRPr="004C59BB">
        <w:rPr>
          <w:color w:val="0000FF"/>
          <w:lang w:val="el-GR"/>
        </w:rPr>
        <w:t>。</w:t>
      </w:r>
    </w:p>
  </w:footnote>
  <w:footnote w:id="1540">
    <w:p w14:paraId="6D40AF4E" w14:textId="393DCC14"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狄奥尼修斯</w:t>
      </w:r>
      <w:r w:rsidRPr="004C59BB">
        <w:rPr>
          <w:color w:val="0000FF"/>
          <w:lang w:val="el-GR"/>
        </w:rPr>
        <w:t>·</w:t>
      </w:r>
      <w:r w:rsidRPr="004C59BB">
        <w:rPr>
          <w:color w:val="0000FF"/>
        </w:rPr>
        <w:t>阿佩奥纳斯</w:t>
      </w:r>
      <w:r w:rsidRPr="004C59BB">
        <w:rPr>
          <w:color w:val="0000FF"/>
          <w:lang w:val="el-GR"/>
        </w:rPr>
        <w:t>，</w:t>
      </w:r>
      <w:r w:rsidRPr="004C59BB">
        <w:rPr>
          <w:color w:val="0000FF"/>
        </w:rPr>
        <w:t>《论教会</w:t>
      </w:r>
      <w:r w:rsidRPr="004C59BB">
        <w:rPr>
          <w:color w:val="0000FF"/>
          <w:lang w:val="el-GR"/>
        </w:rPr>
        <w:t>等级制度》</w:t>
      </w:r>
      <w:r w:rsidRPr="004C59BB">
        <w:rPr>
          <w:color w:val="0000FF"/>
        </w:rPr>
        <w:t>第V章</w:t>
      </w:r>
      <w:r w:rsidRPr="0097554A">
        <w:rPr>
          <w:color w:val="0000FF"/>
          <w:lang w:val="el-GR"/>
        </w:rPr>
        <w:t>，</w:t>
      </w:r>
      <w:r w:rsidRPr="004C59BB">
        <w:rPr>
          <w:color w:val="0000FF"/>
        </w:rPr>
        <w:t>第</w:t>
      </w:r>
      <w:r w:rsidRPr="0097554A">
        <w:rPr>
          <w:color w:val="0000FF"/>
          <w:lang w:val="el-GR"/>
        </w:rPr>
        <w:t>2</w:t>
      </w:r>
      <w:r w:rsidRPr="004C59BB">
        <w:rPr>
          <w:color w:val="0000FF"/>
        </w:rPr>
        <w:t>节</w:t>
      </w:r>
      <w:r w:rsidRPr="0097554A">
        <w:rPr>
          <w:color w:val="0000FF"/>
          <w:lang w:val="el-GR"/>
        </w:rPr>
        <w:t>；</w:t>
      </w:r>
      <w:r w:rsidRPr="004C59BB">
        <w:rPr>
          <w:color w:val="0000FF"/>
        </w:rPr>
        <w:t>埃弗拉姆</w:t>
      </w:r>
      <w:r w:rsidRPr="0097554A">
        <w:rPr>
          <w:color w:val="0000FF"/>
          <w:lang w:val="el-GR"/>
        </w:rPr>
        <w:t>·</w:t>
      </w:r>
      <w:r w:rsidRPr="004C59BB">
        <w:rPr>
          <w:color w:val="0000FF"/>
        </w:rPr>
        <w:t>西里尔</w:t>
      </w:r>
      <w:r w:rsidRPr="0097554A">
        <w:rPr>
          <w:color w:val="0000FF"/>
          <w:lang w:val="el-GR"/>
        </w:rPr>
        <w:t>，</w:t>
      </w:r>
      <w:r w:rsidRPr="004C59BB">
        <w:rPr>
          <w:color w:val="0000FF"/>
        </w:rPr>
        <w:t>《论司祭》第III卷</w:t>
      </w:r>
      <w:r w:rsidRPr="0097554A">
        <w:rPr>
          <w:color w:val="0000FF"/>
          <w:lang w:val="el-GR"/>
        </w:rPr>
        <w:t>，</w:t>
      </w:r>
      <w:r w:rsidRPr="004C59BB">
        <w:rPr>
          <w:color w:val="0000FF"/>
        </w:rPr>
        <w:t>第</w:t>
      </w:r>
      <w:r w:rsidRPr="0097554A">
        <w:rPr>
          <w:color w:val="0000FF"/>
          <w:lang w:val="el-GR"/>
        </w:rPr>
        <w:t>3</w:t>
      </w:r>
      <w:r w:rsidRPr="004C59BB">
        <w:rPr>
          <w:color w:val="0000FF"/>
        </w:rPr>
        <w:t>页</w:t>
      </w:r>
      <w:r w:rsidRPr="0097554A">
        <w:rPr>
          <w:color w:val="0000FF"/>
          <w:lang w:val="el-GR"/>
        </w:rPr>
        <w:t>（</w:t>
      </w:r>
      <w:r w:rsidRPr="004C59BB">
        <w:rPr>
          <w:color w:val="0000FF"/>
        </w:rPr>
        <w:t>希腊文版</w:t>
      </w:r>
      <w:r w:rsidRPr="0097554A">
        <w:rPr>
          <w:color w:val="0000FF"/>
          <w:lang w:val="el-GR"/>
        </w:rPr>
        <w:t>）；</w:t>
      </w:r>
      <w:r w:rsidRPr="004C59BB">
        <w:rPr>
          <w:color w:val="0000FF"/>
        </w:rPr>
        <w:t>安布罗斯</w:t>
      </w:r>
      <w:r w:rsidRPr="0097554A">
        <w:rPr>
          <w:color w:val="0000FF"/>
          <w:lang w:val="el-GR"/>
        </w:rPr>
        <w:t>，</w:t>
      </w:r>
      <w:r w:rsidRPr="004C59BB">
        <w:rPr>
          <w:color w:val="0000FF"/>
        </w:rPr>
        <w:t>《书信集》第II卷</w:t>
      </w:r>
      <w:r w:rsidRPr="0097554A">
        <w:rPr>
          <w:color w:val="0000FF"/>
          <w:lang w:val="el-GR"/>
        </w:rPr>
        <w:t>，</w:t>
      </w:r>
      <w:r w:rsidRPr="004C59BB">
        <w:rPr>
          <w:color w:val="0000FF"/>
        </w:rPr>
        <w:t>第</w:t>
      </w:r>
      <w:r w:rsidRPr="0097554A">
        <w:rPr>
          <w:color w:val="0000FF"/>
          <w:lang w:val="el-GR"/>
        </w:rPr>
        <w:t>6</w:t>
      </w:r>
      <w:r w:rsidRPr="004C59BB">
        <w:rPr>
          <w:color w:val="0000FF"/>
        </w:rPr>
        <w:t>节。</w:t>
      </w:r>
    </w:p>
  </w:footnote>
  <w:footnote w:id="1541">
    <w:p w14:paraId="103AE21C" w14:textId="3603B397"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希波吕托斯</w:t>
      </w:r>
      <w:r w:rsidRPr="0097554A">
        <w:rPr>
          <w:color w:val="0000FF"/>
          <w:lang w:val="el-GR"/>
        </w:rPr>
        <w:t>，</w:t>
      </w:r>
      <w:r w:rsidRPr="004C59BB">
        <w:rPr>
          <w:color w:val="0000FF"/>
        </w:rPr>
        <w:t>《论恩赐》第II章</w:t>
      </w:r>
      <w:r w:rsidRPr="0097554A">
        <w:rPr>
          <w:color w:val="0000FF"/>
          <w:lang w:val="el-GR"/>
        </w:rPr>
        <w:t>；</w:t>
      </w:r>
      <w:r w:rsidRPr="004C59BB">
        <w:rPr>
          <w:color w:val="0000FF"/>
        </w:rPr>
        <w:t>科内利乌斯</w:t>
      </w:r>
      <w:r w:rsidRPr="0097554A">
        <w:rPr>
          <w:color w:val="0000FF"/>
          <w:lang w:val="el-GR"/>
        </w:rPr>
        <w:t>·</w:t>
      </w:r>
      <w:r w:rsidRPr="004C59BB">
        <w:rPr>
          <w:color w:val="0000FF"/>
        </w:rPr>
        <w:t>纳努斯</w:t>
      </w:r>
      <w:r w:rsidRPr="0097554A">
        <w:rPr>
          <w:color w:val="0000FF"/>
          <w:lang w:val="el-GR"/>
        </w:rPr>
        <w:t>，</w:t>
      </w:r>
      <w:r w:rsidRPr="004C59BB">
        <w:rPr>
          <w:color w:val="0000FF"/>
        </w:rPr>
        <w:t>《致安提阿的法比乌斯的书信》</w:t>
      </w:r>
      <w:r w:rsidRPr="0097554A">
        <w:rPr>
          <w:color w:val="0000FF"/>
          <w:lang w:val="el-GR"/>
        </w:rPr>
        <w:t>（</w:t>
      </w:r>
      <w:r w:rsidRPr="004C59BB">
        <w:rPr>
          <w:color w:val="0000FF"/>
        </w:rPr>
        <w:t>见《教会史》第六卷</w:t>
      </w:r>
      <w:r w:rsidRPr="0097554A">
        <w:rPr>
          <w:color w:val="0000FF"/>
          <w:lang w:val="el-GR"/>
        </w:rPr>
        <w:t>，</w:t>
      </w:r>
      <w:r w:rsidRPr="004C59BB">
        <w:rPr>
          <w:color w:val="0000FF"/>
        </w:rPr>
        <w:t>第</w:t>
      </w:r>
      <w:r w:rsidRPr="0097554A">
        <w:rPr>
          <w:color w:val="0000FF"/>
          <w:lang w:val="el-GR"/>
        </w:rPr>
        <w:t>43</w:t>
      </w:r>
      <w:r w:rsidRPr="004C59BB">
        <w:rPr>
          <w:color w:val="0000FF"/>
        </w:rPr>
        <w:t>节</w:t>
      </w:r>
      <w:r w:rsidRPr="0097554A">
        <w:rPr>
          <w:color w:val="0000FF"/>
          <w:lang w:val="el-GR"/>
        </w:rPr>
        <w:t>）</w:t>
      </w:r>
      <w:r w:rsidRPr="004C59BB">
        <w:rPr>
          <w:color w:val="0000FF"/>
        </w:rPr>
        <w:t>。</w:t>
      </w:r>
    </w:p>
  </w:footnote>
  <w:footnote w:id="1542">
    <w:p w14:paraId="5259B95C" w14:textId="355151AE"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狄奥尼修斯</w:t>
      </w:r>
      <w:r w:rsidRPr="0097554A">
        <w:rPr>
          <w:color w:val="0000FF"/>
          <w:lang w:val="el-GR"/>
        </w:rPr>
        <w:t>，</w:t>
      </w:r>
      <w:r w:rsidRPr="004C59BB">
        <w:rPr>
          <w:color w:val="0000FF"/>
        </w:rPr>
        <w:t>《论教会圣职》</w:t>
      </w:r>
      <w:r w:rsidRPr="0097554A">
        <w:rPr>
          <w:color w:val="0000FF"/>
          <w:lang w:val="el-GR"/>
        </w:rPr>
        <w:t>，</w:t>
      </w:r>
      <w:r w:rsidRPr="004C59BB">
        <w:rPr>
          <w:color w:val="0000FF"/>
        </w:rPr>
        <w:t>第五章</w:t>
      </w:r>
      <w:r w:rsidRPr="0097554A">
        <w:rPr>
          <w:color w:val="0000FF"/>
          <w:lang w:val="el-GR"/>
        </w:rPr>
        <w:t>，</w:t>
      </w:r>
      <w:r w:rsidRPr="004C59BB">
        <w:rPr>
          <w:color w:val="0000FF"/>
        </w:rPr>
        <w:t>第II节</w:t>
      </w:r>
      <w:r w:rsidRPr="0097554A">
        <w:rPr>
          <w:color w:val="0000FF"/>
          <w:lang w:val="el-GR"/>
        </w:rPr>
        <w:t>，</w:t>
      </w:r>
      <w:r w:rsidRPr="004C59BB">
        <w:rPr>
          <w:color w:val="0000FF"/>
        </w:rPr>
        <w:t>第</w:t>
      </w:r>
      <w:r w:rsidRPr="0097554A">
        <w:rPr>
          <w:color w:val="0000FF"/>
          <w:lang w:val="el-GR"/>
        </w:rPr>
        <w:t>8</w:t>
      </w:r>
      <w:r w:rsidRPr="004C59BB">
        <w:rPr>
          <w:color w:val="0000FF"/>
        </w:rPr>
        <w:t>段</w:t>
      </w:r>
      <w:r w:rsidRPr="0097554A">
        <w:rPr>
          <w:color w:val="0000FF"/>
          <w:lang w:val="el-GR"/>
        </w:rPr>
        <w:t>；</w:t>
      </w:r>
      <w:r w:rsidRPr="004C59BB">
        <w:rPr>
          <w:color w:val="0000FF"/>
        </w:rPr>
        <w:t>希波吕托斯</w:t>
      </w:r>
      <w:r w:rsidRPr="0097554A">
        <w:rPr>
          <w:color w:val="0000FF"/>
          <w:lang w:val="el-GR"/>
        </w:rPr>
        <w:t>，</w:t>
      </w:r>
      <w:r w:rsidRPr="004C59BB">
        <w:rPr>
          <w:color w:val="0000FF"/>
        </w:rPr>
        <w:t>《论恩赐》</w:t>
      </w:r>
      <w:r w:rsidRPr="0097554A">
        <w:rPr>
          <w:color w:val="0000FF"/>
          <w:lang w:val="el-GR"/>
        </w:rPr>
        <w:t>，</w:t>
      </w:r>
      <w:r w:rsidRPr="004C59BB">
        <w:rPr>
          <w:color w:val="0000FF"/>
        </w:rPr>
        <w:t>第三章、第五章。</w:t>
      </w:r>
    </w:p>
  </w:footnote>
  <w:footnote w:id="1543">
    <w:p w14:paraId="662F4489" w14:textId="152E704B"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狄奥多里特</w:t>
      </w:r>
      <w:r w:rsidRPr="0097554A">
        <w:rPr>
          <w:color w:val="0000FF"/>
          <w:lang w:val="el-GR"/>
        </w:rPr>
        <w:t>，</w:t>
      </w:r>
      <w:r w:rsidRPr="004C59BB">
        <w:rPr>
          <w:color w:val="0000FF"/>
        </w:rPr>
        <w:t>《</w:t>
      </w:r>
      <w:r w:rsidRPr="004C59BB">
        <w:rPr>
          <w:color w:val="0000FF"/>
          <w:lang w:val="ru-RU"/>
        </w:rPr>
        <w:t>提摩太前书注释》</w:t>
      </w:r>
      <w:r w:rsidRPr="004C59BB">
        <w:rPr>
          <w:color w:val="0000FF"/>
        </w:rPr>
        <w:t>第五</w:t>
      </w:r>
      <w:r w:rsidRPr="004C59BB">
        <w:rPr>
          <w:color w:val="0000FF"/>
          <w:lang w:val="ru-RU"/>
        </w:rPr>
        <w:t>章第</w:t>
      </w:r>
      <w:r w:rsidRPr="0097554A">
        <w:rPr>
          <w:color w:val="0000FF"/>
          <w:lang w:val="el-GR"/>
        </w:rPr>
        <w:t>22</w:t>
      </w:r>
      <w:r w:rsidRPr="004C59BB">
        <w:rPr>
          <w:color w:val="0000FF"/>
          <w:lang w:val="ru-RU"/>
        </w:rPr>
        <w:t>节</w:t>
      </w:r>
      <w:r w:rsidRPr="0097554A">
        <w:rPr>
          <w:color w:val="0000FF"/>
          <w:lang w:val="el-GR"/>
        </w:rPr>
        <w:t>；</w:t>
      </w:r>
      <w:r w:rsidRPr="004C59BB">
        <w:rPr>
          <w:color w:val="0000FF"/>
          <w:lang w:val="ru-RU"/>
        </w:rPr>
        <w:t>塞莱斯廷</w:t>
      </w:r>
      <w:r w:rsidRPr="0097554A">
        <w:rPr>
          <w:color w:val="0000FF"/>
          <w:lang w:val="el-GR"/>
        </w:rPr>
        <w:t>，</w:t>
      </w:r>
      <w:r w:rsidRPr="004C59BB">
        <w:rPr>
          <w:color w:val="0000FF"/>
        </w:rPr>
        <w:t>《致以弗所大公会议书信》第二十二封</w:t>
      </w:r>
      <w:r w:rsidRPr="0097554A">
        <w:rPr>
          <w:color w:val="0000FF"/>
          <w:lang w:val="el-GR"/>
        </w:rPr>
        <w:t>，</w:t>
      </w:r>
      <w:r w:rsidRPr="004C59BB">
        <w:rPr>
          <w:color w:val="0000FF"/>
        </w:rPr>
        <w:t>第</w:t>
      </w:r>
      <w:r w:rsidRPr="0097554A">
        <w:rPr>
          <w:color w:val="0000FF"/>
          <w:lang w:val="el-GR"/>
        </w:rPr>
        <w:t>2</w:t>
      </w:r>
      <w:r w:rsidRPr="004C59BB">
        <w:rPr>
          <w:color w:val="0000FF"/>
        </w:rPr>
        <w:t>节</w:t>
      </w:r>
      <w:r w:rsidRPr="0097554A">
        <w:rPr>
          <w:color w:val="0000FF"/>
          <w:lang w:val="el-GR"/>
        </w:rPr>
        <w:t>：</w:t>
      </w:r>
      <w:r w:rsidRPr="004C59BB">
        <w:rPr>
          <w:color w:val="0000FF"/>
        </w:rPr>
        <w:t>我们参与其中</w:t>
      </w:r>
      <w:r w:rsidRPr="0097554A">
        <w:rPr>
          <w:color w:val="0000FF"/>
          <w:lang w:val="el-GR"/>
        </w:rPr>
        <w:t>……</w:t>
      </w:r>
      <w:r w:rsidRPr="004C59BB">
        <w:rPr>
          <w:color w:val="0000FF"/>
        </w:rPr>
        <w:t>当那些神秘的话语被诵读于其头顶之时。</w:t>
      </w:r>
    </w:p>
  </w:footnote>
  <w:footnote w:id="1544">
    <w:p w14:paraId="667CF306" w14:textId="7A1D843E"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参见《主教礼仪书》中的按立礼仪。</w:t>
      </w:r>
    </w:p>
  </w:footnote>
  <w:footnote w:id="1545">
    <w:p w14:paraId="037FB899" w14:textId="416843E1"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参见上文注</w:t>
      </w:r>
      <w:r w:rsidRPr="0097554A">
        <w:rPr>
          <w:color w:val="0000FF"/>
          <w:lang w:val="el-GR"/>
        </w:rPr>
        <w:t>1532</w:t>
      </w:r>
      <w:r w:rsidRPr="004C59BB">
        <w:rPr>
          <w:color w:val="0000FF"/>
          <w:lang w:val="ru-RU"/>
        </w:rPr>
        <w:t>及其所指的原文。</w:t>
      </w:r>
    </w:p>
  </w:footnote>
  <w:footnote w:id="1546">
    <w:p w14:paraId="6BC6F54E" w14:textId="390EEE50"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参见注释</w:t>
      </w:r>
      <w:r w:rsidRPr="0097554A">
        <w:rPr>
          <w:color w:val="0000FF"/>
          <w:lang w:val="el-GR"/>
        </w:rPr>
        <w:t>1533</w:t>
      </w:r>
      <w:r w:rsidRPr="004C59BB">
        <w:rPr>
          <w:color w:val="0000FF"/>
          <w:lang w:val="ru-RU"/>
        </w:rPr>
        <w:t>及相关文本。</w:t>
      </w:r>
    </w:p>
  </w:footnote>
  <w:footnote w:id="1547">
    <w:p w14:paraId="4D34AF65" w14:textId="1BBE3F21"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《提摩太后书讲道集》第一卷</w:t>
      </w:r>
      <w:r w:rsidRPr="0097554A">
        <w:rPr>
          <w:color w:val="0000FF"/>
          <w:lang w:val="el-GR"/>
        </w:rPr>
        <w:t>，</w:t>
      </w:r>
      <w:r w:rsidRPr="004C59BB">
        <w:rPr>
          <w:color w:val="0000FF"/>
        </w:rPr>
        <w:t>第</w:t>
      </w:r>
      <w:r w:rsidRPr="0097554A">
        <w:rPr>
          <w:color w:val="0000FF"/>
          <w:lang w:val="el-GR"/>
        </w:rPr>
        <w:t>2</w:t>
      </w:r>
      <w:r w:rsidRPr="004C59BB">
        <w:rPr>
          <w:color w:val="0000FF"/>
        </w:rPr>
        <w:t>节</w:t>
      </w:r>
      <w:r w:rsidRPr="0097554A">
        <w:rPr>
          <w:color w:val="0000FF"/>
          <w:lang w:val="el-GR"/>
        </w:rPr>
        <w:t>，</w:t>
      </w:r>
      <w:r w:rsidRPr="004C59BB">
        <w:rPr>
          <w:color w:val="0000FF"/>
        </w:rPr>
        <w:t>全集第十一卷</w:t>
      </w:r>
      <w:r w:rsidRPr="0097554A">
        <w:rPr>
          <w:color w:val="0000FF"/>
          <w:lang w:val="el-GR"/>
        </w:rPr>
        <w:t>，</w:t>
      </w:r>
      <w:r w:rsidRPr="004C59BB">
        <w:rPr>
          <w:color w:val="0000FF"/>
        </w:rPr>
        <w:t>第</w:t>
      </w:r>
      <w:r w:rsidRPr="0097554A">
        <w:rPr>
          <w:color w:val="0000FF"/>
          <w:lang w:val="el-GR"/>
        </w:rPr>
        <w:t>661</w:t>
      </w:r>
      <w:r w:rsidRPr="004C59BB">
        <w:rPr>
          <w:color w:val="0000FF"/>
        </w:rPr>
        <w:t>页</w:t>
      </w:r>
      <w:r w:rsidRPr="0097554A">
        <w:rPr>
          <w:color w:val="0000FF"/>
          <w:lang w:val="el-GR"/>
        </w:rPr>
        <w:t>，</w:t>
      </w:r>
      <w:r w:rsidRPr="004C59BB">
        <w:rPr>
          <w:color w:val="0000FF"/>
        </w:rPr>
        <w:t>毛里版。</w:t>
      </w:r>
    </w:p>
  </w:footnote>
  <w:footnote w:id="1548">
    <w:p w14:paraId="2C3BDB12" w14:textId="0BA78AD0"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《论</w:t>
      </w:r>
      <w:r w:rsidRPr="004C59BB">
        <w:rPr>
          <w:color w:val="0000FF"/>
          <w:lang w:val="ru-RU"/>
        </w:rPr>
        <w:t>圣职</w:t>
      </w:r>
      <w:r w:rsidRPr="004C59BB">
        <w:rPr>
          <w:color w:val="0000FF"/>
        </w:rPr>
        <w:t>》第三卷</w:t>
      </w:r>
      <w:r w:rsidRPr="0097554A">
        <w:rPr>
          <w:color w:val="0000FF"/>
          <w:lang w:val="el-GR"/>
        </w:rPr>
        <w:t>，</w:t>
      </w:r>
      <w:r w:rsidRPr="004C59BB">
        <w:rPr>
          <w:color w:val="0000FF"/>
          <w:lang w:val="ru-RU"/>
        </w:rPr>
        <w:t>第</w:t>
      </w:r>
      <w:r w:rsidRPr="0097554A">
        <w:rPr>
          <w:color w:val="0000FF"/>
          <w:lang w:val="el-GR"/>
        </w:rPr>
        <w:t>59</w:t>
      </w:r>
      <w:r w:rsidRPr="004C59BB">
        <w:rPr>
          <w:color w:val="0000FF"/>
          <w:lang w:val="ru-RU"/>
        </w:rPr>
        <w:t>页</w:t>
      </w:r>
      <w:r w:rsidRPr="0097554A">
        <w:rPr>
          <w:color w:val="0000FF"/>
          <w:lang w:val="el-GR"/>
        </w:rPr>
        <w:t>（</w:t>
      </w:r>
      <w:r w:rsidRPr="004C59BB">
        <w:rPr>
          <w:color w:val="0000FF"/>
          <w:lang w:val="ru-RU"/>
        </w:rPr>
        <w:t>俄文译本</w:t>
      </w:r>
      <w:r w:rsidRPr="0097554A">
        <w:rPr>
          <w:color w:val="0000FF"/>
          <w:lang w:val="el-GR"/>
        </w:rPr>
        <w:t>）</w:t>
      </w:r>
      <w:r w:rsidRPr="004C59BB">
        <w:rPr>
          <w:color w:val="0000FF"/>
          <w:lang w:val="ru-RU"/>
        </w:rPr>
        <w:t>。</w:t>
      </w:r>
    </w:p>
  </w:footnote>
  <w:footnote w:id="1549">
    <w:p w14:paraId="6B6E5EC3" w14:textId="3456FA97"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《论基督的洗礼》第III卷</w:t>
      </w:r>
      <w:r w:rsidRPr="0097554A">
        <w:rPr>
          <w:color w:val="0000FF"/>
          <w:lang w:val="el-GR"/>
        </w:rPr>
        <w:t>，</w:t>
      </w:r>
      <w:r w:rsidRPr="004C59BB">
        <w:rPr>
          <w:color w:val="0000FF"/>
        </w:rPr>
        <w:t>第</w:t>
      </w:r>
      <w:r w:rsidRPr="0097554A">
        <w:rPr>
          <w:color w:val="0000FF"/>
          <w:lang w:val="el-GR"/>
        </w:rPr>
        <w:t>370</w:t>
      </w:r>
      <w:r w:rsidRPr="004C59BB">
        <w:rPr>
          <w:color w:val="0000FF"/>
        </w:rPr>
        <w:t>页</w:t>
      </w:r>
      <w:r w:rsidRPr="0097554A">
        <w:rPr>
          <w:color w:val="0000FF"/>
          <w:lang w:val="el-GR"/>
        </w:rPr>
        <w:t>，</w:t>
      </w:r>
      <w:r w:rsidRPr="004C59BB">
        <w:rPr>
          <w:color w:val="0000FF"/>
        </w:rPr>
        <w:t>莫雷尔版。</w:t>
      </w:r>
    </w:p>
  </w:footnote>
  <w:footnote w:id="1550">
    <w:p w14:paraId="7A77745C" w14:textId="0E9F21A9"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《论神职尊严》</w:t>
      </w:r>
      <w:r w:rsidRPr="0097554A">
        <w:rPr>
          <w:color w:val="0000FF"/>
          <w:lang w:val="el-GR"/>
        </w:rPr>
        <w:t>，</w:t>
      </w:r>
      <w:r w:rsidRPr="004C59BB">
        <w:rPr>
          <w:color w:val="0000FF"/>
        </w:rPr>
        <w:t>第五章</w:t>
      </w:r>
      <w:r w:rsidRPr="0097554A">
        <w:rPr>
          <w:color w:val="0000FF"/>
          <w:lang w:val="el-GR"/>
        </w:rPr>
        <w:t>，</w:t>
      </w:r>
      <w:r w:rsidRPr="004C59BB">
        <w:rPr>
          <w:color w:val="0000FF"/>
        </w:rPr>
        <w:t>载于《教父全集》第十七</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577</w:t>
      </w:r>
      <w:r w:rsidRPr="004C59BB">
        <w:rPr>
          <w:color w:val="0000FF"/>
          <w:lang w:val="ru-RU"/>
        </w:rPr>
        <w:t>页。</w:t>
      </w:r>
    </w:p>
  </w:footnote>
  <w:footnote w:id="1551">
    <w:p w14:paraId="14635647" w14:textId="0B421068"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第一次</w:t>
      </w:r>
      <w:r w:rsidRPr="004C59BB">
        <w:rPr>
          <w:color w:val="0000FF"/>
          <w:lang w:val="ru-RU"/>
        </w:rPr>
        <w:t>大公</w:t>
      </w:r>
      <w:r w:rsidRPr="004C59BB">
        <w:rPr>
          <w:color w:val="0000FF"/>
        </w:rPr>
        <w:t>会议</w:t>
      </w:r>
      <w:r w:rsidRPr="0097554A">
        <w:rPr>
          <w:color w:val="0000FF"/>
          <w:lang w:val="el-GR"/>
        </w:rPr>
        <w:t>，</w:t>
      </w:r>
      <w:r w:rsidRPr="004C59BB">
        <w:rPr>
          <w:color w:val="0000FF"/>
        </w:rPr>
        <w:t>第</w:t>
      </w:r>
      <w:r w:rsidRPr="0097554A">
        <w:rPr>
          <w:color w:val="0000FF"/>
          <w:lang w:val="el-GR"/>
        </w:rPr>
        <w:t>8</w:t>
      </w:r>
      <w:r w:rsidRPr="004C59BB">
        <w:rPr>
          <w:color w:val="0000FF"/>
        </w:rPr>
        <w:t>条。</w:t>
      </w:r>
    </w:p>
  </w:footnote>
  <w:footnote w:id="1552">
    <w:p w14:paraId="7F243ADA" w14:textId="701F2868"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迦太基大公会议第三次</w:t>
      </w:r>
      <w:r w:rsidRPr="0097554A">
        <w:rPr>
          <w:color w:val="0000FF"/>
          <w:lang w:val="el-GR"/>
        </w:rPr>
        <w:t>，</w:t>
      </w:r>
      <w:r w:rsidRPr="004C59BB">
        <w:rPr>
          <w:color w:val="0000FF"/>
        </w:rPr>
        <w:t>第LXVIII条</w:t>
      </w:r>
      <w:r w:rsidRPr="0097554A">
        <w:rPr>
          <w:color w:val="0000FF"/>
          <w:lang w:val="el-GR"/>
        </w:rPr>
        <w:t>；</w:t>
      </w:r>
      <w:r w:rsidRPr="004C59BB">
        <w:rPr>
          <w:color w:val="0000FF"/>
        </w:rPr>
        <w:t>迦太基大公会议第四次</w:t>
      </w:r>
      <w:r w:rsidRPr="0097554A">
        <w:rPr>
          <w:color w:val="0000FF"/>
          <w:lang w:val="el-GR"/>
        </w:rPr>
        <w:t>，</w:t>
      </w:r>
      <w:r w:rsidRPr="004C59BB">
        <w:rPr>
          <w:color w:val="0000FF"/>
        </w:rPr>
        <w:t>第LII条、LXXI条</w:t>
      </w:r>
      <w:r w:rsidRPr="0097554A">
        <w:rPr>
          <w:color w:val="0000FF"/>
          <w:lang w:val="el-GR"/>
        </w:rPr>
        <w:t>；</w:t>
      </w:r>
      <w:r w:rsidRPr="004C59BB">
        <w:rPr>
          <w:color w:val="0000FF"/>
        </w:rPr>
        <w:t>奥古斯丁《致博尼法斯书信》第CLXXXV封</w:t>
      </w:r>
      <w:r w:rsidRPr="0097554A">
        <w:rPr>
          <w:color w:val="0000FF"/>
          <w:lang w:val="el-GR"/>
        </w:rPr>
        <w:t>，</w:t>
      </w:r>
      <w:r w:rsidRPr="004C59BB">
        <w:rPr>
          <w:color w:val="0000FF"/>
        </w:rPr>
        <w:t>第</w:t>
      </w:r>
      <w:r w:rsidRPr="0097554A">
        <w:rPr>
          <w:color w:val="0000FF"/>
          <w:lang w:val="el-GR"/>
        </w:rPr>
        <w:t>44</w:t>
      </w:r>
      <w:r w:rsidRPr="004C59BB">
        <w:rPr>
          <w:color w:val="0000FF"/>
        </w:rPr>
        <w:t>、</w:t>
      </w:r>
      <w:r w:rsidRPr="0097554A">
        <w:rPr>
          <w:color w:val="0000FF"/>
          <w:lang w:val="el-GR"/>
        </w:rPr>
        <w:t>46</w:t>
      </w:r>
      <w:r w:rsidRPr="004C59BB">
        <w:rPr>
          <w:color w:val="0000FF"/>
        </w:rPr>
        <w:t>段</w:t>
      </w:r>
      <w:r w:rsidRPr="0097554A">
        <w:rPr>
          <w:color w:val="0000FF"/>
          <w:lang w:val="el-GR"/>
        </w:rPr>
        <w:t>；</w:t>
      </w:r>
      <w:r w:rsidRPr="004C59BB">
        <w:rPr>
          <w:color w:val="0000FF"/>
        </w:rPr>
        <w:t>《致西奥多书信》第LXI封</w:t>
      </w:r>
      <w:r w:rsidRPr="0097554A">
        <w:rPr>
          <w:color w:val="0000FF"/>
          <w:lang w:val="el-GR"/>
        </w:rPr>
        <w:t>，</w:t>
      </w:r>
      <w:r w:rsidRPr="004C59BB">
        <w:rPr>
          <w:color w:val="0000FF"/>
        </w:rPr>
        <w:t>第</w:t>
      </w:r>
      <w:r w:rsidRPr="0097554A">
        <w:rPr>
          <w:color w:val="0000FF"/>
          <w:lang w:val="el-GR"/>
        </w:rPr>
        <w:t>2</w:t>
      </w:r>
      <w:r w:rsidRPr="004C59BB">
        <w:rPr>
          <w:color w:val="0000FF"/>
        </w:rPr>
        <w:t>段。</w:t>
      </w:r>
    </w:p>
  </w:footnote>
  <w:footnote w:id="1553">
    <w:p w14:paraId="162DFA52" w14:textId="68DFABF9"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奥纳曼</w:t>
      </w:r>
      <w:r w:rsidRPr="0097554A">
        <w:rPr>
          <w:color w:val="0000FF"/>
          <w:lang w:val="el-GR"/>
        </w:rPr>
        <w:t>，</w:t>
      </w:r>
      <w:r w:rsidRPr="004C59BB">
        <w:rPr>
          <w:color w:val="0000FF"/>
        </w:rPr>
        <w:t>第</w:t>
      </w:r>
      <w:r w:rsidRPr="0097554A">
        <w:rPr>
          <w:color w:val="0000FF"/>
          <w:lang w:val="el-GR"/>
        </w:rPr>
        <w:t>1</w:t>
      </w:r>
      <w:r w:rsidRPr="004C59BB">
        <w:rPr>
          <w:color w:val="0000FF"/>
        </w:rPr>
        <w:t>卷</w:t>
      </w:r>
      <w:r w:rsidRPr="0097554A">
        <w:rPr>
          <w:color w:val="0000FF"/>
          <w:lang w:val="el-GR"/>
        </w:rPr>
        <w:t>，</w:t>
      </w:r>
      <w:r w:rsidRPr="004C59BB">
        <w:rPr>
          <w:color w:val="0000FF"/>
        </w:rPr>
        <w:t>第</w:t>
      </w:r>
      <w:r w:rsidRPr="0097554A">
        <w:rPr>
          <w:color w:val="0000FF"/>
          <w:lang w:val="el-GR"/>
        </w:rPr>
        <w:t>44</w:t>
      </w:r>
      <w:r w:rsidRPr="004C59BB">
        <w:rPr>
          <w:color w:val="0000FF"/>
        </w:rPr>
        <w:t>页</w:t>
      </w:r>
      <w:r w:rsidRPr="0097554A">
        <w:rPr>
          <w:color w:val="0000FF"/>
          <w:lang w:val="el-GR"/>
        </w:rPr>
        <w:t>；</w:t>
      </w:r>
      <w:r w:rsidRPr="004C59BB">
        <w:rPr>
          <w:color w:val="0000FF"/>
        </w:rPr>
        <w:t>参见宾厄姆</w:t>
      </w:r>
      <w:r w:rsidRPr="0097554A">
        <w:rPr>
          <w:color w:val="0000FF"/>
          <w:lang w:val="el-GR"/>
        </w:rPr>
        <w:t>，</w:t>
      </w:r>
      <w:r w:rsidRPr="004C59BB">
        <w:rPr>
          <w:color w:val="0000FF"/>
        </w:rPr>
        <w:t>《教会起源》</w:t>
      </w:r>
      <w:r w:rsidRPr="0097554A">
        <w:rPr>
          <w:color w:val="0000FF"/>
          <w:lang w:val="el-GR"/>
        </w:rPr>
        <w:t>，</w:t>
      </w:r>
      <w:r w:rsidRPr="004C59BB">
        <w:rPr>
          <w:color w:val="0000FF"/>
        </w:rPr>
        <w:t>第</w:t>
      </w:r>
      <w:r w:rsidRPr="0097554A">
        <w:rPr>
          <w:color w:val="0000FF"/>
          <w:lang w:val="el-GR"/>
        </w:rPr>
        <w:t>1</w:t>
      </w:r>
      <w:r w:rsidRPr="004C59BB">
        <w:rPr>
          <w:color w:val="0000FF"/>
        </w:rPr>
        <w:t>卷</w:t>
      </w:r>
      <w:r w:rsidRPr="0097554A">
        <w:rPr>
          <w:color w:val="0000FF"/>
          <w:lang w:val="el-GR"/>
        </w:rPr>
        <w:t>，</w:t>
      </w:r>
      <w:r w:rsidRPr="004C59BB">
        <w:rPr>
          <w:color w:val="0000FF"/>
        </w:rPr>
        <w:t>第II部分</w:t>
      </w:r>
      <w:r w:rsidRPr="0097554A">
        <w:rPr>
          <w:color w:val="0000FF"/>
          <w:lang w:val="el-GR"/>
        </w:rPr>
        <w:t>，</w:t>
      </w:r>
      <w:r w:rsidRPr="004C59BB">
        <w:rPr>
          <w:color w:val="0000FF"/>
        </w:rPr>
        <w:t>第</w:t>
      </w:r>
      <w:r w:rsidRPr="0097554A">
        <w:rPr>
          <w:color w:val="0000FF"/>
          <w:lang w:val="el-GR"/>
        </w:rPr>
        <w:t>4</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7</w:t>
      </w:r>
      <w:r w:rsidRPr="004C59BB">
        <w:rPr>
          <w:color w:val="0000FF"/>
          <w:lang w:val="ru-RU"/>
        </w:rPr>
        <w:t>章。</w:t>
      </w:r>
    </w:p>
  </w:footnote>
  <w:footnote w:id="1554">
    <w:p w14:paraId="633CDA4A" w14:textId="2BCD4A5D"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致尼科波利斯主教西奥多特的书信</w:t>
      </w:r>
      <w:r w:rsidRPr="0097554A">
        <w:rPr>
          <w:color w:val="0000FF"/>
          <w:lang w:val="el-GR"/>
        </w:rPr>
        <w:t>，</w:t>
      </w:r>
      <w:r w:rsidRPr="004C59BB">
        <w:rPr>
          <w:color w:val="0000FF"/>
          <w:lang w:val="ru-RU"/>
        </w:rPr>
        <w:t>第XXX封</w:t>
      </w:r>
      <w:r w:rsidRPr="0097554A">
        <w:rPr>
          <w:color w:val="0000FF"/>
          <w:lang w:val="el-GR"/>
        </w:rPr>
        <w:t>，</w:t>
      </w:r>
      <w:r w:rsidRPr="004C59BB">
        <w:rPr>
          <w:color w:val="0000FF"/>
          <w:lang w:val="ru-RU"/>
        </w:rPr>
        <w:t>载于《圣教父文集》</w:t>
      </w:r>
      <w:r w:rsidRPr="004C59BB">
        <w:rPr>
          <w:color w:val="0000FF"/>
        </w:rPr>
        <w:t>第X</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285</w:t>
      </w:r>
      <w:r w:rsidRPr="004C59BB">
        <w:rPr>
          <w:color w:val="0000FF"/>
          <w:lang w:val="ru-RU"/>
        </w:rPr>
        <w:t>页。</w:t>
      </w:r>
    </w:p>
  </w:footnote>
  <w:footnote w:id="1555">
    <w:p w14:paraId="2BD8A0EA" w14:textId="2F6DD3EC" w:rsidR="00254F25" w:rsidRPr="004C59BB" w:rsidRDefault="00000000">
      <w:pPr>
        <w:pStyle w:val="FootnoteText"/>
        <w:rPr>
          <w:color w:val="0000FF"/>
        </w:rPr>
      </w:pPr>
      <w:r w:rsidRPr="004C59BB">
        <w:rPr>
          <w:rStyle w:val="FootnoteReference"/>
          <w:color w:val="0000FF"/>
        </w:rPr>
        <w:footnoteRef/>
      </w:r>
      <w:r w:rsidRPr="0097554A">
        <w:rPr>
          <w:color w:val="0000FF"/>
          <w:lang w:val="el-GR"/>
        </w:rPr>
        <w:t xml:space="preserve"> </w:t>
      </w:r>
      <w:r w:rsidRPr="004C59BB">
        <w:rPr>
          <w:color w:val="0000FF"/>
        </w:rPr>
        <w:t>福斯蒂尼和马雷利尼致皇帝的恳请书</w:t>
      </w:r>
      <w:r w:rsidRPr="0097554A">
        <w:rPr>
          <w:color w:val="0000FF"/>
          <w:lang w:val="el-GR"/>
        </w:rPr>
        <w:t>，</w:t>
      </w:r>
      <w:r w:rsidRPr="004C59BB">
        <w:rPr>
          <w:color w:val="0000FF"/>
        </w:rPr>
        <w:t>第XIII条</w:t>
      </w:r>
      <w:r w:rsidRPr="0097554A">
        <w:rPr>
          <w:color w:val="0000FF"/>
          <w:lang w:val="el-GR"/>
        </w:rPr>
        <w:t>，</w:t>
      </w:r>
      <w:r w:rsidRPr="004C59BB">
        <w:rPr>
          <w:color w:val="0000FF"/>
        </w:rPr>
        <w:t>载于《完整教父文集》第XIII卷</w:t>
      </w:r>
      <w:r w:rsidRPr="0097554A">
        <w:rPr>
          <w:color w:val="0000FF"/>
          <w:lang w:val="el-GR"/>
        </w:rPr>
        <w:t>，</w:t>
      </w:r>
      <w:r w:rsidRPr="004C59BB">
        <w:rPr>
          <w:color w:val="0000FF"/>
        </w:rPr>
        <w:t>第</w:t>
      </w:r>
      <w:r w:rsidRPr="0097554A">
        <w:rPr>
          <w:color w:val="0000FF"/>
          <w:lang w:val="el-GR"/>
        </w:rPr>
        <w:t>92</w:t>
      </w:r>
      <w:r w:rsidRPr="004C59BB">
        <w:rPr>
          <w:color w:val="0000FF"/>
        </w:rPr>
        <w:t>页。101.</w:t>
      </w:r>
    </w:p>
  </w:footnote>
  <w:footnote w:id="1556">
    <w:p w14:paraId="764467DA" w14:textId="44B224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福斯蒂尼与马雷利尼致皇帝的恳请书，第XIII号，载于《完整教父文集》第XIII卷，第92页。101。</w:t>
      </w:r>
    </w:p>
  </w:footnote>
  <w:footnote w:id="1557">
    <w:p w14:paraId="20A976D9" w14:textId="4249A626"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第一届大公会议《法规》第19条；教宗英诺森《致亚历山大十八世书</w:t>
      </w:r>
      <w:r w:rsidRPr="004C59BB">
        <w:rPr>
          <w:color w:val="0000FF"/>
          <w:lang w:val="ru-RU"/>
        </w:rPr>
        <w:t>》。</w:t>
      </w:r>
    </w:p>
  </w:footnote>
  <w:footnote w:id="1558">
    <w:p w14:paraId="05F85293" w14:textId="79C99DE6"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第二次大公会议法规第</w:t>
      </w:r>
      <w:r w:rsidRPr="0097554A">
        <w:rPr>
          <w:color w:val="0000FF"/>
        </w:rPr>
        <w:t>4</w:t>
      </w:r>
      <w:r w:rsidRPr="004C59BB">
        <w:rPr>
          <w:color w:val="0000FF"/>
          <w:lang w:val="ru-RU"/>
        </w:rPr>
        <w:t>条</w:t>
      </w:r>
      <w:r w:rsidRPr="0097554A">
        <w:rPr>
          <w:color w:val="0000FF"/>
        </w:rPr>
        <w:t>；</w:t>
      </w:r>
      <w:r w:rsidRPr="004C59BB">
        <w:rPr>
          <w:color w:val="0000FF"/>
        </w:rPr>
        <w:t>尼西亚</w:t>
      </w:r>
      <w:r w:rsidRPr="004C59BB">
        <w:rPr>
          <w:color w:val="0000FF"/>
          <w:lang w:val="ru-RU"/>
        </w:rPr>
        <w:t>会议</w:t>
      </w:r>
      <w:r w:rsidRPr="004C59BB">
        <w:rPr>
          <w:color w:val="0000FF"/>
        </w:rPr>
        <w:t>致亚历山大的书信（索克拉底《教会史》</w:t>
      </w:r>
      <w:r w:rsidRPr="004C59BB">
        <w:rPr>
          <w:color w:val="0000FF"/>
          <w:lang w:val="ru-RU"/>
        </w:rPr>
        <w:t>第</w:t>
      </w:r>
      <w:r w:rsidRPr="0097554A">
        <w:rPr>
          <w:color w:val="0000FF"/>
        </w:rPr>
        <w:t>1</w:t>
      </w:r>
      <w:r w:rsidRPr="004C59BB">
        <w:rPr>
          <w:color w:val="0000FF"/>
          <w:lang w:val="ru-RU"/>
        </w:rPr>
        <w:t>卷第</w:t>
      </w:r>
      <w:r w:rsidRPr="0097554A">
        <w:rPr>
          <w:color w:val="0000FF"/>
        </w:rPr>
        <w:t>9</w:t>
      </w:r>
      <w:r w:rsidRPr="004C59BB">
        <w:rPr>
          <w:color w:val="0000FF"/>
          <w:lang w:val="ru-RU"/>
        </w:rPr>
        <w:t>章</w:t>
      </w:r>
      <w:r w:rsidRPr="0097554A">
        <w:rPr>
          <w:color w:val="0000FF"/>
        </w:rPr>
        <w:t>）</w:t>
      </w:r>
      <w:r w:rsidRPr="004C59BB">
        <w:rPr>
          <w:color w:val="0000FF"/>
          <w:lang w:val="ru-RU"/>
        </w:rPr>
        <w:t>。</w:t>
      </w:r>
    </w:p>
  </w:footnote>
  <w:footnote w:id="1559">
    <w:p w14:paraId="6C99F937" w14:textId="31DAE0BC"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至于圣使徒写给提摩太的话</w:t>
      </w:r>
      <w:r w:rsidRPr="0097554A">
        <w:rPr>
          <w:color w:val="0000FF"/>
        </w:rPr>
        <w:t>：“</w:t>
      </w:r>
      <w:r w:rsidRPr="004C59BB">
        <w:rPr>
          <w:color w:val="0000FF"/>
          <w:lang w:val="ru-RU"/>
        </w:rPr>
        <w:t>不要轻忽你内里所存的恩赐</w:t>
      </w:r>
      <w:r w:rsidRPr="0097554A">
        <w:rPr>
          <w:color w:val="0000FF"/>
        </w:rPr>
        <w:t>，</w:t>
      </w:r>
      <w:r w:rsidRPr="004C59BB">
        <w:rPr>
          <w:color w:val="0000FF"/>
          <w:lang w:val="ru-RU"/>
        </w:rPr>
        <w:t>这恩赐是藉着按手之礼</w:t>
      </w:r>
      <w:r w:rsidRPr="0097554A">
        <w:rPr>
          <w:color w:val="0000FF"/>
        </w:rPr>
        <w:t>，</w:t>
      </w:r>
      <w:r w:rsidRPr="004C59BB">
        <w:rPr>
          <w:color w:val="0000FF"/>
          <w:lang w:val="ru-RU"/>
        </w:rPr>
        <w:t>连同先知职分一并赐给你的</w:t>
      </w:r>
      <w:r w:rsidRPr="0097554A">
        <w:rPr>
          <w:color w:val="0000FF"/>
        </w:rPr>
        <w:t>”（</w:t>
      </w:r>
      <w:r w:rsidRPr="004C59BB">
        <w:rPr>
          <w:color w:val="0000FF"/>
          <w:lang w:val="ru-RU"/>
        </w:rPr>
        <w:t>提摩太前书</w:t>
      </w:r>
      <w:r w:rsidRPr="0097554A">
        <w:rPr>
          <w:color w:val="0000FF"/>
        </w:rPr>
        <w:t xml:space="preserve">4:14）： </w:t>
      </w:r>
      <w:r w:rsidRPr="004C59BB">
        <w:rPr>
          <w:color w:val="0000FF"/>
          <w:lang w:val="ru-RU"/>
        </w:rPr>
        <w:t>这里所说的</w:t>
      </w:r>
      <w:r w:rsidRPr="0097554A">
        <w:rPr>
          <w:color w:val="0000FF"/>
        </w:rPr>
        <w:t>“</w:t>
      </w:r>
      <w:r w:rsidRPr="004C59BB">
        <w:rPr>
          <w:color w:val="0000FF"/>
          <w:lang w:val="ru-RU"/>
        </w:rPr>
        <w:t>圣职</w:t>
      </w:r>
      <w:r w:rsidRPr="0097554A">
        <w:rPr>
          <w:color w:val="0000FF"/>
        </w:rPr>
        <w:t>”（</w:t>
      </w:r>
      <w:r w:rsidRPr="004C59BB">
        <w:rPr>
          <w:color w:val="0000FF"/>
        </w:rPr>
        <w:t>πρεσβυτέριον</w:t>
      </w:r>
      <w:r w:rsidRPr="0097554A">
        <w:rPr>
          <w:color w:val="0000FF"/>
        </w:rPr>
        <w:t>）</w:t>
      </w:r>
      <w:r w:rsidRPr="004C59BB">
        <w:rPr>
          <w:color w:val="0000FF"/>
          <w:lang w:val="ru-RU"/>
        </w:rPr>
        <w:t>显然是指教会中长老</w:t>
      </w:r>
      <w:r w:rsidRPr="0097554A">
        <w:rPr>
          <w:color w:val="0000FF"/>
        </w:rPr>
        <w:t>（</w:t>
      </w:r>
      <w:r w:rsidRPr="004C59BB">
        <w:rPr>
          <w:color w:val="0000FF"/>
        </w:rPr>
        <w:t>πρεσβυτέρ</w:t>
      </w:r>
      <w:r w:rsidRPr="004C59BB">
        <w:rPr>
          <w:color w:val="0000FF"/>
          <w:lang w:val="ru-RU"/>
        </w:rPr>
        <w:t>ων</w:t>
      </w:r>
      <w:r w:rsidRPr="004C59BB">
        <w:rPr>
          <w:color w:val="0000FF"/>
        </w:rPr>
        <w:t>，</w:t>
      </w:r>
      <w:r w:rsidRPr="004C59BB">
        <w:rPr>
          <w:color w:val="0000FF"/>
          <w:lang w:val="ru-RU"/>
        </w:rPr>
        <w:t>源自πρεσβυς</w:t>
      </w:r>
      <w:r w:rsidRPr="0097554A">
        <w:rPr>
          <w:color w:val="0000FF"/>
        </w:rPr>
        <w:t>——</w:t>
      </w:r>
      <w:r w:rsidRPr="004C59BB">
        <w:rPr>
          <w:color w:val="0000FF"/>
          <w:lang w:val="ru-RU"/>
        </w:rPr>
        <w:t>年长者</w:t>
      </w:r>
      <w:r w:rsidRPr="0097554A">
        <w:rPr>
          <w:color w:val="0000FF"/>
        </w:rPr>
        <w:t>）</w:t>
      </w:r>
      <w:r w:rsidRPr="004C59BB">
        <w:rPr>
          <w:color w:val="0000FF"/>
          <w:lang w:val="ru-RU"/>
        </w:rPr>
        <w:t>组成的长老会</w:t>
      </w:r>
      <w:r w:rsidRPr="0097554A">
        <w:rPr>
          <w:color w:val="0000FF"/>
        </w:rPr>
        <w:t>，</w:t>
      </w:r>
      <w:r w:rsidRPr="004C59BB">
        <w:rPr>
          <w:color w:val="0000FF"/>
          <w:lang w:val="ru-RU"/>
        </w:rPr>
        <w:t>因为使徒保罗本人也身处其中</w:t>
      </w:r>
      <w:r w:rsidRPr="0097554A">
        <w:rPr>
          <w:color w:val="0000FF"/>
        </w:rPr>
        <w:t>（</w:t>
      </w:r>
      <w:r w:rsidRPr="004C59BB">
        <w:rPr>
          <w:color w:val="0000FF"/>
          <w:lang w:val="ru-RU"/>
        </w:rPr>
        <w:t>提摩太后书</w:t>
      </w:r>
      <w:r w:rsidRPr="0097554A">
        <w:rPr>
          <w:color w:val="0000FF"/>
        </w:rPr>
        <w:t> 1, 6），</w:t>
      </w:r>
      <w:r w:rsidRPr="004C59BB">
        <w:rPr>
          <w:color w:val="0000FF"/>
          <w:lang w:val="ru-RU"/>
        </w:rPr>
        <w:t>绝非指普通的司铎。</w:t>
      </w:r>
      <w:r w:rsidRPr="0097554A">
        <w:rPr>
          <w:color w:val="0000FF"/>
        </w:rPr>
        <w:t xml:space="preserve"> </w:t>
      </w:r>
      <w:r w:rsidRPr="004C59BB">
        <w:rPr>
          <w:color w:val="0000FF"/>
        </w:rPr>
        <w:t>圣金口若望</w:t>
      </w:r>
      <w:r w:rsidRPr="004C59BB">
        <w:rPr>
          <w:color w:val="0000FF"/>
          <w:lang w:val="ru-RU"/>
        </w:rPr>
        <w:t>针对此处指出</w:t>
      </w:r>
      <w:r w:rsidRPr="0097554A">
        <w:rPr>
          <w:color w:val="0000FF"/>
        </w:rPr>
        <w:t>：“</w:t>
      </w:r>
      <w:r w:rsidRPr="004C59BB">
        <w:rPr>
          <w:color w:val="0000FF"/>
          <w:lang w:val="el-GR"/>
        </w:rPr>
        <w:t>此处所说的并非</w:t>
      </w:r>
      <w:r w:rsidRPr="004C59BB">
        <w:rPr>
          <w:color w:val="0000FF"/>
        </w:rPr>
        <w:t>长老（πρεσβυτέρων</w:t>
      </w:r>
      <w:r w:rsidRPr="0097554A">
        <w:rPr>
          <w:color w:val="0000FF"/>
        </w:rPr>
        <w:t>），</w:t>
      </w:r>
      <w:r w:rsidRPr="004C59BB">
        <w:rPr>
          <w:color w:val="0000FF"/>
          <w:lang w:val="el-GR"/>
        </w:rPr>
        <w:t>而是主教</w:t>
      </w:r>
      <w:r w:rsidRPr="0097554A">
        <w:rPr>
          <w:color w:val="0000FF"/>
        </w:rPr>
        <w:t>（</w:t>
      </w:r>
      <w:r w:rsidRPr="004C59BB">
        <w:rPr>
          <w:color w:val="0000FF"/>
          <w:lang w:val="el-GR"/>
        </w:rPr>
        <w:t>επισκόπων</w:t>
      </w:r>
      <w:r w:rsidRPr="0097554A">
        <w:rPr>
          <w:color w:val="0000FF"/>
        </w:rPr>
        <w:t>），</w:t>
      </w:r>
      <w:r w:rsidRPr="004C59BB">
        <w:rPr>
          <w:color w:val="0000FF"/>
          <w:lang w:val="el-GR"/>
        </w:rPr>
        <w:t>因为长老们并不按立主教</w:t>
      </w:r>
      <w:r w:rsidRPr="0097554A">
        <w:rPr>
          <w:color w:val="0000FF"/>
        </w:rPr>
        <w:t>”（</w:t>
      </w:r>
      <w:r w:rsidRPr="004C59BB">
        <w:rPr>
          <w:color w:val="0000FF"/>
        </w:rPr>
        <w:t>《提摩太前书</w:t>
      </w:r>
      <w:r w:rsidRPr="004C59BB">
        <w:rPr>
          <w:color w:val="0000FF"/>
          <w:lang w:val="el-GR"/>
        </w:rPr>
        <w:t>讲道集》</w:t>
      </w:r>
      <w:r w:rsidRPr="004C59BB">
        <w:rPr>
          <w:color w:val="0000FF"/>
        </w:rPr>
        <w:t>第十三篇，第1节）。</w:t>
      </w:r>
    </w:p>
  </w:footnote>
  <w:footnote w:id="1560">
    <w:p w14:paraId="4BB06A8A" w14:textId="1A5687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《使徒宪章》第三卷，第20章。</w:t>
      </w:r>
    </w:p>
  </w:footnote>
  <w:footnote w:id="1561">
    <w:p w14:paraId="350EC1AF" w14:textId="04EB14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同上，第八卷，第46章。</w:t>
      </w:r>
    </w:p>
  </w:footnote>
  <w:footnote w:id="1562">
    <w:p w14:paraId="28FEB9CA" w14:textId="718CFF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同上，第28章。</w:t>
      </w:r>
    </w:p>
  </w:footnote>
  <w:footnote w:id="1563">
    <w:p w14:paraId="6FF1AAC2" w14:textId="4D9650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见《提摩太前书讲道集》第十一讲，第1段。</w:t>
      </w:r>
    </w:p>
  </w:footnote>
  <w:footnote w:id="1564">
    <w:p w14:paraId="4249E4C6" w14:textId="0083BF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《异端论》LXXV，第4章。</w:t>
      </w:r>
    </w:p>
  </w:footnote>
  <w:footnote w:id="1565">
    <w:p w14:paraId="3A845D96" w14:textId="64FD0F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致埃瓦格里乌斯的书信 LXXXV。安布罗斯《书信集》第二卷，第6节；第十三卷，第1节；狄奥多里特《民数记问答》第十八卷。</w:t>
      </w:r>
    </w:p>
  </w:footnote>
  <w:footnote w:id="1566">
    <w:p w14:paraId="28BB9433" w14:textId="7CA76CF7"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《反阿里乌派辩护书》第12章，全集第1卷，第1部分，第134页，毛里版</w:t>
      </w:r>
      <w:r w:rsidRPr="004C59BB">
        <w:rPr>
          <w:color w:val="0000FF"/>
          <w:lang w:val="ru-RU"/>
        </w:rPr>
        <w:t>。</w:t>
      </w:r>
    </w:p>
  </w:footnote>
  <w:footnote w:id="1567">
    <w:p w14:paraId="1691E56F" w14:textId="08E8A461"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除非先使家中所有人成为正统基督徒</w:t>
      </w:r>
      <w:r w:rsidRPr="0097554A">
        <w:rPr>
          <w:color w:val="0000FF"/>
        </w:rPr>
        <w:t>，</w:t>
      </w:r>
      <w:r w:rsidRPr="004C59BB">
        <w:rPr>
          <w:color w:val="0000FF"/>
          <w:lang w:val="ru-RU"/>
        </w:rPr>
        <w:t>否则不得按立主教、长老和执事。”</w:t>
      </w:r>
    </w:p>
  </w:footnote>
  <w:footnote w:id="1568">
    <w:p w14:paraId="3320FC78" w14:textId="77ED8BC2"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伊里内斯《反异端论》第一卷</w:t>
      </w:r>
      <w:r w:rsidRPr="0097554A">
        <w:rPr>
          <w:color w:val="0000FF"/>
          <w:lang w:val="ru-RU"/>
        </w:rPr>
        <w:t>，27</w:t>
      </w:r>
      <w:r w:rsidRPr="004C59BB">
        <w:rPr>
          <w:color w:val="0000FF"/>
        </w:rPr>
        <w:t>、</w:t>
      </w:r>
      <w:r w:rsidRPr="0097554A">
        <w:rPr>
          <w:color w:val="0000FF"/>
          <w:lang w:val="ru-RU"/>
        </w:rPr>
        <w:t>31</w:t>
      </w:r>
      <w:r w:rsidRPr="004C59BB">
        <w:rPr>
          <w:color w:val="0000FF"/>
        </w:rPr>
        <w:t>章</w:t>
      </w:r>
      <w:r w:rsidRPr="0097554A">
        <w:rPr>
          <w:color w:val="0000FF"/>
          <w:lang w:val="ru-RU"/>
        </w:rPr>
        <w:t>；</w:t>
      </w:r>
      <w:r w:rsidRPr="004C59BB">
        <w:rPr>
          <w:color w:val="0000FF"/>
        </w:rPr>
        <w:t>亚历山大的克利门特《教义集》第七卷</w:t>
      </w:r>
      <w:r w:rsidRPr="004C59BB">
        <w:rPr>
          <w:color w:val="0000FF"/>
          <w:lang w:val="ru-RU"/>
        </w:rPr>
        <w:t>，12章。注释1179–1484。</w:t>
      </w:r>
    </w:p>
  </w:footnote>
  <w:footnote w:id="1569">
    <w:p w14:paraId="55C46B5E" w14:textId="7A9CFE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古代教会所有伟大的圣徒皆是如此：大巴西略、神学家格里高利、金口约翰等人。 圣格里高利·神学家在提及圣巴西勒当选为凯撒利亚主教的经过时说道：“争论越激烈，就越显鲁莽。因为谁比众人更胜一筹，这早已不是秘密，正如太阳比群星更耀眼。 每个人都看得清清楚楚，尤其是那些最受尊敬、最公正无私的市民，所有侍奉圣坛的人，以及我们的拿撒勒人（修道士）——此类选举本应由他们，至少是由其中大多数人来承担，如此一来，教会便不会遭受任何伤害…… 因为，哪个明智之人会绕过你——这位神圣而神圣的领袖，这位被写在主手上的（以赛亚书49:16），未受婚姻束缚、不贪财、无形体且几乎无血肉之人——而去寻找他人呢？” （《讲道集》第18篇，赞颂父亲，载于《圣父著作集》</w:t>
      </w:r>
      <w:r w:rsidRPr="004C59BB">
        <w:rPr>
          <w:color w:val="0000FF"/>
        </w:rPr>
        <w:t>第二卷</w:t>
      </w:r>
      <w:r w:rsidRPr="004C59BB">
        <w:rPr>
          <w:color w:val="0000FF"/>
          <w:lang w:val="ru-RU"/>
        </w:rPr>
        <w:t>，137–138页）。</w:t>
      </w:r>
    </w:p>
  </w:footnote>
  <w:footnote w:id="1570">
    <w:p w14:paraId="5565072D" w14:textId="5C727EC2"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“我在色萨利担任神职人员时，还了解到另一项习俗。 若该神职人员继续与妻子同住——即在被任命为神职人员之前便已与之缔结婚姻——则会被逐出神职行列；而在东方，所有人，甚至主教们，都是出于自身意愿而与妻子保持距离，也就是说， 是出于自身意愿，而非受不可违背的法律强制；因为他们中许多人在担任主教期间，与合法妻子之间也有子女”（苏格拉底，《教会史》</w:t>
      </w:r>
      <w:r w:rsidRPr="004C59BB">
        <w:rPr>
          <w:color w:val="0000FF"/>
        </w:rPr>
        <w:t>第V</w:t>
      </w:r>
      <w:r w:rsidRPr="004C59BB">
        <w:rPr>
          <w:color w:val="0000FF"/>
          <w:lang w:val="ru-RU"/>
        </w:rPr>
        <w:t xml:space="preserve">卷，第22章，第431页，俄文译本，圣彼得堡，1851年）。 </w:t>
      </w:r>
      <w:r w:rsidRPr="004C59BB">
        <w:rPr>
          <w:color w:val="0000FF"/>
        </w:rPr>
        <w:t>参见《迦太基法规汇编》第</w:t>
      </w:r>
      <w:r w:rsidRPr="0097554A">
        <w:rPr>
          <w:color w:val="0000FF"/>
          <w:lang w:val="ru-RU"/>
        </w:rPr>
        <w:t>4</w:t>
      </w:r>
      <w:r w:rsidRPr="004C59BB">
        <w:rPr>
          <w:color w:val="0000FF"/>
        </w:rPr>
        <w:t>、</w:t>
      </w:r>
      <w:r w:rsidRPr="0097554A">
        <w:rPr>
          <w:color w:val="0000FF"/>
          <w:lang w:val="ru-RU"/>
        </w:rPr>
        <w:t>34</w:t>
      </w:r>
      <w:r w:rsidRPr="004C59BB">
        <w:rPr>
          <w:color w:val="0000FF"/>
        </w:rPr>
        <w:t>、</w:t>
      </w:r>
      <w:r w:rsidRPr="0097554A">
        <w:rPr>
          <w:color w:val="0000FF"/>
          <w:lang w:val="ru-RU"/>
        </w:rPr>
        <w:t>81</w:t>
      </w:r>
      <w:r w:rsidRPr="004C59BB">
        <w:rPr>
          <w:color w:val="0000FF"/>
        </w:rPr>
        <w:t>条。</w:t>
      </w:r>
    </w:p>
  </w:footnote>
  <w:footnote w:id="1571">
    <w:p w14:paraId="295361D1" w14:textId="40A073C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贾斯汀《新法令》第六卷</w:t>
      </w:r>
      <w:r w:rsidRPr="0097554A">
        <w:rPr>
          <w:color w:val="0000FF"/>
          <w:lang w:val="ru-RU"/>
        </w:rPr>
        <w:t>，</w:t>
      </w:r>
      <w:r w:rsidRPr="004C59BB">
        <w:rPr>
          <w:color w:val="0000FF"/>
        </w:rPr>
        <w:t>第一章</w:t>
      </w:r>
      <w:r w:rsidRPr="0097554A">
        <w:rPr>
          <w:color w:val="0000FF"/>
          <w:lang w:val="ru-RU"/>
        </w:rPr>
        <w:t>：</w:t>
      </w:r>
      <w:r w:rsidRPr="004C59BB">
        <w:rPr>
          <w:color w:val="0000FF"/>
        </w:rPr>
        <w:t>此前</w:t>
      </w:r>
      <w:r w:rsidRPr="0097554A">
        <w:rPr>
          <w:color w:val="0000FF"/>
          <w:lang w:val="ru-RU"/>
        </w:rPr>
        <w:t>，</w:t>
      </w:r>
      <w:r w:rsidRPr="004C59BB">
        <w:rPr>
          <w:color w:val="0000FF"/>
        </w:rPr>
        <w:t>无论是已宣誓过修道生活</w:t>
      </w:r>
      <w:r w:rsidRPr="0097554A">
        <w:rPr>
          <w:color w:val="0000FF"/>
          <w:lang w:val="ru-RU"/>
        </w:rPr>
        <w:t>，</w:t>
      </w:r>
      <w:r w:rsidRPr="004C59BB">
        <w:rPr>
          <w:color w:val="0000FF"/>
        </w:rPr>
        <w:t>还是已被任命为神职人员</w:t>
      </w:r>
      <w:r w:rsidRPr="0097554A">
        <w:rPr>
          <w:color w:val="0000FF"/>
          <w:lang w:val="ru-RU"/>
        </w:rPr>
        <w:t>，</w:t>
      </w:r>
      <w:r w:rsidRPr="004C59BB">
        <w:rPr>
          <w:color w:val="0000FF"/>
        </w:rPr>
        <w:t>若仍与妻子同居</w:t>
      </w:r>
      <w:r w:rsidRPr="0097554A">
        <w:rPr>
          <w:color w:val="0000FF"/>
          <w:lang w:val="ru-RU"/>
        </w:rPr>
        <w:t>，</w:t>
      </w:r>
      <w:r w:rsidRPr="004C59BB">
        <w:rPr>
          <w:color w:val="0000FF"/>
        </w:rPr>
        <w:t>且无子女</w:t>
      </w:r>
      <w:r w:rsidRPr="0097554A">
        <w:rPr>
          <w:color w:val="0000FF"/>
          <w:lang w:val="ru-RU"/>
        </w:rPr>
        <w:t>……</w:t>
      </w:r>
      <w:r w:rsidRPr="004C59BB">
        <w:rPr>
          <w:color w:val="0000FF"/>
        </w:rPr>
        <w:t>等等。</w:t>
      </w:r>
    </w:p>
  </w:footnote>
  <w:footnote w:id="1572">
    <w:p w14:paraId="5F669F47" w14:textId="708855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苏格拉底，《教会史》第1章、</w:t>
      </w:r>
      <w:r w:rsidRPr="004C59BB">
        <w:rPr>
          <w:color w:val="0000FF"/>
        </w:rPr>
        <w:t>第</w:t>
      </w:r>
      <w:r w:rsidRPr="0097554A">
        <w:rPr>
          <w:color w:val="0000FF"/>
          <w:lang w:val="ru-RU"/>
        </w:rPr>
        <w:t>2</w:t>
      </w:r>
      <w:r w:rsidRPr="004C59BB">
        <w:rPr>
          <w:color w:val="0000FF"/>
          <w:lang w:val="ru-RU"/>
        </w:rPr>
        <w:t>章，第65–66页，俄文译本。</w:t>
      </w:r>
    </w:p>
  </w:footnote>
  <w:footnote w:id="1573">
    <w:p w14:paraId="2D3C6A78" w14:textId="15D9DDF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伊利贝里特大公会议</w:t>
      </w:r>
      <w:r w:rsidRPr="0097554A">
        <w:rPr>
          <w:color w:val="0000FF"/>
          <w:lang w:val="ru-RU"/>
        </w:rPr>
        <w:t>，</w:t>
      </w:r>
      <w:r w:rsidRPr="004C59BB">
        <w:rPr>
          <w:color w:val="0000FF"/>
        </w:rPr>
        <w:t>第</w:t>
      </w:r>
      <w:r w:rsidRPr="0097554A">
        <w:rPr>
          <w:color w:val="0000FF"/>
          <w:lang w:val="ru-RU"/>
        </w:rPr>
        <w:t>33</w:t>
      </w:r>
      <w:r w:rsidRPr="004C59BB">
        <w:rPr>
          <w:color w:val="0000FF"/>
        </w:rPr>
        <w:t>、</w:t>
      </w:r>
      <w:r w:rsidRPr="0097554A">
        <w:rPr>
          <w:color w:val="0000FF"/>
          <w:lang w:val="ru-RU"/>
        </w:rPr>
        <w:t>65</w:t>
      </w:r>
      <w:r w:rsidRPr="004C59BB">
        <w:rPr>
          <w:color w:val="0000FF"/>
        </w:rPr>
        <w:t>条。</w:t>
      </w:r>
    </w:p>
  </w:footnote>
  <w:footnote w:id="1574">
    <w:p w14:paraId="3499BA95" w14:textId="31C25FC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教皇库普图斯</w:t>
      </w:r>
      <w:r w:rsidRPr="0097554A">
        <w:rPr>
          <w:color w:val="0000FF"/>
          <w:lang w:val="ru-RU"/>
        </w:rPr>
        <w:t>（385</w:t>
      </w:r>
      <w:r w:rsidRPr="004C59BB">
        <w:rPr>
          <w:color w:val="0000FF"/>
        </w:rPr>
        <w:t>年</w:t>
      </w:r>
      <w:r w:rsidRPr="0097554A">
        <w:rPr>
          <w:color w:val="0000FF"/>
          <w:lang w:val="ru-RU"/>
        </w:rPr>
        <w:t>）</w:t>
      </w:r>
      <w:r w:rsidRPr="004C59BB">
        <w:rPr>
          <w:color w:val="0000FF"/>
        </w:rPr>
        <w:t>教规第</w:t>
      </w:r>
      <w:r w:rsidRPr="0097554A">
        <w:rPr>
          <w:color w:val="0000FF"/>
          <w:lang w:val="ru-RU"/>
        </w:rPr>
        <w:t>3</w:t>
      </w:r>
      <w:r w:rsidRPr="004C59BB">
        <w:rPr>
          <w:color w:val="0000FF"/>
        </w:rPr>
        <w:t>条</w:t>
      </w:r>
      <w:r w:rsidRPr="0097554A">
        <w:rPr>
          <w:color w:val="0000FF"/>
          <w:lang w:val="ru-RU"/>
        </w:rPr>
        <w:t>；</w:t>
      </w:r>
      <w:r w:rsidRPr="004C59BB">
        <w:rPr>
          <w:color w:val="0000FF"/>
        </w:rPr>
        <w:t>教皇英诺森一世</w:t>
      </w:r>
      <w:r w:rsidRPr="0097554A">
        <w:rPr>
          <w:color w:val="0000FF"/>
          <w:lang w:val="ru-RU"/>
        </w:rPr>
        <w:t>（404</w:t>
      </w:r>
      <w:r w:rsidRPr="004C59BB">
        <w:rPr>
          <w:color w:val="0000FF"/>
        </w:rPr>
        <w:t>年</w:t>
      </w:r>
      <w:r w:rsidRPr="0097554A">
        <w:rPr>
          <w:color w:val="0000FF"/>
          <w:lang w:val="ru-RU"/>
        </w:rPr>
        <w:t>）</w:t>
      </w:r>
      <w:r w:rsidRPr="004C59BB">
        <w:rPr>
          <w:color w:val="0000FF"/>
        </w:rPr>
        <w:t>教规第</w:t>
      </w:r>
      <w:r w:rsidRPr="0097554A">
        <w:rPr>
          <w:color w:val="0000FF"/>
          <w:lang w:val="ru-RU"/>
        </w:rPr>
        <w:t>2</w:t>
      </w:r>
      <w:r w:rsidRPr="004C59BB">
        <w:rPr>
          <w:color w:val="0000FF"/>
        </w:rPr>
        <w:t>条。</w:t>
      </w:r>
    </w:p>
  </w:footnote>
  <w:footnote w:id="1575">
    <w:p w14:paraId="6A0351AC" w14:textId="69B716B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利奥</w:t>
      </w:r>
      <w:r w:rsidRPr="0097554A">
        <w:rPr>
          <w:color w:val="0000FF"/>
          <w:lang w:val="ru-RU"/>
        </w:rPr>
        <w:t>（443</w:t>
      </w:r>
      <w:r w:rsidRPr="004C59BB">
        <w:rPr>
          <w:color w:val="0000FF"/>
        </w:rPr>
        <w:t>年</w:t>
      </w:r>
      <w:r w:rsidRPr="0097554A">
        <w:rPr>
          <w:color w:val="0000FF"/>
          <w:lang w:val="ru-RU"/>
        </w:rPr>
        <w:t>），</w:t>
      </w:r>
      <w:r w:rsidRPr="004C59BB">
        <w:rPr>
          <w:color w:val="0000FF"/>
        </w:rPr>
        <w:t>教规第</w:t>
      </w:r>
      <w:r w:rsidRPr="0097554A">
        <w:rPr>
          <w:color w:val="0000FF"/>
          <w:lang w:val="ru-RU"/>
        </w:rPr>
        <w:t>3</w:t>
      </w:r>
      <w:r w:rsidRPr="004C59BB">
        <w:rPr>
          <w:color w:val="0000FF"/>
        </w:rPr>
        <w:t>条</w:t>
      </w:r>
      <w:r w:rsidRPr="0097554A">
        <w:rPr>
          <w:color w:val="0000FF"/>
          <w:lang w:val="ru-RU"/>
        </w:rPr>
        <w:t>；</w:t>
      </w:r>
      <w:r w:rsidRPr="004C59BB">
        <w:rPr>
          <w:color w:val="0000FF"/>
        </w:rPr>
        <w:t>奥雷利乌斯大公会议第</w:t>
      </w:r>
      <w:r w:rsidRPr="0097554A">
        <w:rPr>
          <w:color w:val="0000FF"/>
          <w:lang w:val="ru-RU"/>
        </w:rPr>
        <w:t>11</w:t>
      </w:r>
      <w:r w:rsidRPr="004C59BB">
        <w:rPr>
          <w:color w:val="0000FF"/>
        </w:rPr>
        <w:t>次</w:t>
      </w:r>
      <w:r w:rsidRPr="0097554A">
        <w:rPr>
          <w:color w:val="0000FF"/>
          <w:lang w:val="ru-RU"/>
        </w:rPr>
        <w:t>（452</w:t>
      </w:r>
      <w:r w:rsidRPr="004C59BB">
        <w:rPr>
          <w:color w:val="0000FF"/>
        </w:rPr>
        <w:t>年</w:t>
      </w:r>
      <w:r w:rsidRPr="0097554A">
        <w:rPr>
          <w:color w:val="0000FF"/>
          <w:lang w:val="ru-RU"/>
        </w:rPr>
        <w:t>），</w:t>
      </w:r>
      <w:r w:rsidRPr="004C59BB">
        <w:rPr>
          <w:color w:val="0000FF"/>
        </w:rPr>
        <w:t>教规第</w:t>
      </w:r>
      <w:r w:rsidRPr="0097554A">
        <w:rPr>
          <w:color w:val="0000FF"/>
          <w:lang w:val="ru-RU"/>
        </w:rPr>
        <w:t>7</w:t>
      </w:r>
      <w:r w:rsidRPr="004C59BB">
        <w:rPr>
          <w:color w:val="0000FF"/>
        </w:rPr>
        <w:t>条。</w:t>
      </w:r>
    </w:p>
  </w:footnote>
  <w:footnote w:id="1576">
    <w:p w14:paraId="31BB2086" w14:textId="7AF70F82"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托莱多大公会议</w:t>
      </w:r>
      <w:r w:rsidRPr="0097554A">
        <w:rPr>
          <w:color w:val="0000FF"/>
          <w:lang w:val="ru-RU"/>
        </w:rPr>
        <w:t>（531</w:t>
      </w:r>
      <w:r w:rsidRPr="004C59BB">
        <w:rPr>
          <w:color w:val="0000FF"/>
        </w:rPr>
        <w:t>年</w:t>
      </w:r>
      <w:r w:rsidRPr="0097554A">
        <w:rPr>
          <w:color w:val="0000FF"/>
          <w:lang w:val="ru-RU"/>
        </w:rPr>
        <w:t>）</w:t>
      </w:r>
      <w:r w:rsidRPr="004C59BB">
        <w:rPr>
          <w:color w:val="0000FF"/>
        </w:rPr>
        <w:t>第</w:t>
      </w:r>
      <w:r w:rsidRPr="0097554A">
        <w:rPr>
          <w:color w:val="0000FF"/>
          <w:lang w:val="ru-RU"/>
        </w:rPr>
        <w:t>1</w:t>
      </w:r>
      <w:r w:rsidRPr="004C59BB">
        <w:rPr>
          <w:color w:val="0000FF"/>
        </w:rPr>
        <w:t>条</w:t>
      </w:r>
      <w:r w:rsidRPr="0097554A">
        <w:rPr>
          <w:color w:val="0000FF"/>
          <w:lang w:val="ru-RU"/>
        </w:rPr>
        <w:t>；</w:t>
      </w:r>
      <w:r w:rsidRPr="004C59BB">
        <w:rPr>
          <w:color w:val="0000FF"/>
        </w:rPr>
        <w:t>图隆大公会议</w:t>
      </w:r>
      <w:r w:rsidRPr="0097554A">
        <w:rPr>
          <w:color w:val="0000FF"/>
          <w:lang w:val="ru-RU"/>
        </w:rPr>
        <w:t>（567</w:t>
      </w:r>
      <w:r w:rsidRPr="004C59BB">
        <w:rPr>
          <w:color w:val="0000FF"/>
        </w:rPr>
        <w:t>年</w:t>
      </w:r>
      <w:r w:rsidRPr="0097554A">
        <w:rPr>
          <w:color w:val="0000FF"/>
          <w:lang w:val="ru-RU"/>
        </w:rPr>
        <w:t>）</w:t>
      </w:r>
      <w:r w:rsidRPr="004C59BB">
        <w:rPr>
          <w:color w:val="0000FF"/>
        </w:rPr>
        <w:t>第</w:t>
      </w:r>
      <w:r w:rsidRPr="0097554A">
        <w:rPr>
          <w:color w:val="0000FF"/>
          <w:lang w:val="ru-RU"/>
        </w:rPr>
        <w:t>19</w:t>
      </w:r>
      <w:r w:rsidRPr="004C59BB">
        <w:rPr>
          <w:color w:val="0000FF"/>
        </w:rPr>
        <w:t>条</w:t>
      </w:r>
      <w:r w:rsidRPr="0097554A">
        <w:rPr>
          <w:color w:val="0000FF"/>
          <w:lang w:val="ru-RU"/>
        </w:rPr>
        <w:t>；</w:t>
      </w:r>
      <w:r w:rsidRPr="004C59BB">
        <w:rPr>
          <w:color w:val="0000FF"/>
        </w:rPr>
        <w:t>阿尔蒂斯大公会议</w:t>
      </w:r>
      <w:r w:rsidRPr="0097554A">
        <w:rPr>
          <w:color w:val="0000FF"/>
          <w:lang w:val="ru-RU"/>
        </w:rPr>
        <w:t>（570</w:t>
      </w:r>
      <w:r w:rsidRPr="004C59BB">
        <w:rPr>
          <w:color w:val="0000FF"/>
        </w:rPr>
        <w:t>年</w:t>
      </w:r>
      <w:r w:rsidRPr="0097554A">
        <w:rPr>
          <w:color w:val="0000FF"/>
          <w:lang w:val="ru-RU"/>
        </w:rPr>
        <w:t>）</w:t>
      </w:r>
      <w:r w:rsidRPr="004C59BB">
        <w:rPr>
          <w:color w:val="0000FF"/>
        </w:rPr>
        <w:t>第</w:t>
      </w:r>
      <w:r w:rsidRPr="0097554A">
        <w:rPr>
          <w:color w:val="0000FF"/>
          <w:lang w:val="ru-RU"/>
        </w:rPr>
        <w:t>20–22</w:t>
      </w:r>
      <w:r w:rsidRPr="004C59BB">
        <w:rPr>
          <w:color w:val="0000FF"/>
        </w:rPr>
        <w:t>条。参见沃尔特，《教会法教科书》，第212节，波恩，1842年。</w:t>
      </w:r>
    </w:p>
  </w:footnote>
  <w:footnote w:id="1577">
    <w:p w14:paraId="7B48BBD2" w14:textId="2257FF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罗塔普大公会议（743年）第1、2条；奥古斯都大公会议（952年）第1、11、16、17、19条。</w:t>
      </w:r>
    </w:p>
  </w:footnote>
  <w:footnote w:id="1578">
    <w:p w14:paraId="6D8EE3F8" w14:textId="0D5F60B8"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拉特朗大公会议第1次（1123年）第40条，及其他</w:t>
      </w:r>
      <w:r w:rsidRPr="004C59BB">
        <w:rPr>
          <w:color w:val="0000FF"/>
          <w:lang w:val="ru-RU"/>
        </w:rPr>
        <w:t>大公会议。</w:t>
      </w:r>
    </w:p>
  </w:footnote>
  <w:footnote w:id="1579">
    <w:p w14:paraId="0D01A29A" w14:textId="26046D1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《公开教义》</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2</w:t>
      </w:r>
      <w:r w:rsidRPr="004C59BB">
        <w:rPr>
          <w:color w:val="0000FF"/>
          <w:lang w:val="ru-RU"/>
        </w:rPr>
        <w:t>条</w:t>
      </w:r>
      <w:r w:rsidRPr="0097554A">
        <w:rPr>
          <w:color w:val="0000FF"/>
        </w:rPr>
        <w:t>，</w:t>
      </w:r>
      <w:r w:rsidRPr="004C59BB">
        <w:rPr>
          <w:color w:val="0000FF"/>
          <w:lang w:val="ru-RU"/>
        </w:rPr>
        <w:t>第</w:t>
      </w:r>
      <w:r w:rsidRPr="0097554A">
        <w:rPr>
          <w:color w:val="0000FF"/>
        </w:rPr>
        <w:t>44</w:t>
      </w:r>
      <w:r w:rsidRPr="004C59BB">
        <w:rPr>
          <w:color w:val="0000FF"/>
          <w:lang w:val="ru-RU"/>
        </w:rPr>
        <w:t>页</w:t>
      </w:r>
      <w:r w:rsidRPr="0097554A">
        <w:rPr>
          <w:color w:val="0000FF"/>
        </w:rPr>
        <w:t>，</w:t>
      </w:r>
      <w:r w:rsidRPr="004C59BB">
        <w:rPr>
          <w:color w:val="0000FF"/>
          <w:lang w:val="ru-RU"/>
        </w:rPr>
        <w:t>俄文译本。</w:t>
      </w:r>
    </w:p>
  </w:footnote>
  <w:footnote w:id="1580">
    <w:p w14:paraId="47C50B9C" w14:textId="40ADF89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《秘传教义》</w:t>
      </w:r>
      <w:r w:rsidRPr="004C59BB">
        <w:rPr>
          <w:color w:val="0000FF"/>
        </w:rPr>
        <w:t>第三</w:t>
      </w:r>
      <w:r w:rsidRPr="004C59BB">
        <w:rPr>
          <w:color w:val="0000FF"/>
          <w:lang w:val="ru-RU"/>
        </w:rPr>
        <w:t>卷</w:t>
      </w:r>
      <w:r w:rsidRPr="0097554A">
        <w:rPr>
          <w:color w:val="0000FF"/>
        </w:rPr>
        <w:t>，</w:t>
      </w:r>
      <w:r w:rsidRPr="004C59BB">
        <w:rPr>
          <w:color w:val="0000FF"/>
          <w:lang w:val="ru-RU"/>
        </w:rPr>
        <w:t>第</w:t>
      </w:r>
      <w:r w:rsidRPr="0097554A">
        <w:rPr>
          <w:color w:val="0000FF"/>
        </w:rPr>
        <w:t>3</w:t>
      </w:r>
      <w:r w:rsidRPr="004C59BB">
        <w:rPr>
          <w:color w:val="0000FF"/>
          <w:lang w:val="ru-RU"/>
        </w:rPr>
        <w:t>条</w:t>
      </w:r>
      <w:r w:rsidRPr="0097554A">
        <w:rPr>
          <w:color w:val="0000FF"/>
        </w:rPr>
        <w:t>，</w:t>
      </w:r>
      <w:r w:rsidRPr="004C59BB">
        <w:rPr>
          <w:color w:val="0000FF"/>
          <w:lang w:val="ru-RU"/>
        </w:rPr>
        <w:t>第</w:t>
      </w:r>
      <w:r w:rsidRPr="0097554A">
        <w:rPr>
          <w:color w:val="0000FF"/>
        </w:rPr>
        <w:t>451</w:t>
      </w:r>
      <w:r w:rsidRPr="004C59BB">
        <w:rPr>
          <w:color w:val="0000FF"/>
          <w:lang w:val="ru-RU"/>
        </w:rPr>
        <w:t>页。</w:t>
      </w:r>
    </w:p>
  </w:footnote>
  <w:footnote w:id="1581">
    <w:p w14:paraId="506FEC08" w14:textId="70127E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参见上文注释1339。</w:t>
      </w:r>
    </w:p>
  </w:footnote>
  <w:footnote w:id="1582">
    <w:p w14:paraId="119F44AE" w14:textId="7F200431"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《论基督受洗的讲道》，第II卷，第803页，莫雷尔版</w:t>
      </w:r>
      <w:r w:rsidRPr="004C59BB">
        <w:rPr>
          <w:color w:val="0000FF"/>
          <w:lang w:val="ru-RU"/>
        </w:rPr>
        <w:t>。</w:t>
      </w:r>
    </w:p>
  </w:footnote>
  <w:footnote w:id="1583">
    <w:p w14:paraId="1622E18C" w14:textId="356876A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《马太福音讲道集》</w:t>
      </w:r>
      <w:r w:rsidRPr="004C59BB">
        <w:rPr>
          <w:color w:val="0000FF"/>
        </w:rPr>
        <w:t>LXXII</w:t>
      </w:r>
      <w:r w:rsidRPr="0097554A">
        <w:rPr>
          <w:color w:val="0000FF"/>
        </w:rPr>
        <w:t>，</w:t>
      </w:r>
      <w:r w:rsidRPr="004C59BB">
        <w:rPr>
          <w:color w:val="0000FF"/>
          <w:lang w:val="ru-RU"/>
        </w:rPr>
        <w:t>第</w:t>
      </w:r>
      <w:r w:rsidRPr="0097554A">
        <w:rPr>
          <w:color w:val="0000FF"/>
        </w:rPr>
        <w:t>4</w:t>
      </w:r>
      <w:r w:rsidRPr="004C59BB">
        <w:rPr>
          <w:color w:val="0000FF"/>
          <w:lang w:val="ru-RU"/>
        </w:rPr>
        <w:t>条</w:t>
      </w:r>
      <w:r w:rsidRPr="0097554A">
        <w:rPr>
          <w:color w:val="0000FF"/>
        </w:rPr>
        <w:t>，</w:t>
      </w:r>
      <w:r w:rsidRPr="004C59BB">
        <w:rPr>
          <w:color w:val="0000FF"/>
          <w:lang w:val="ru-RU"/>
        </w:rPr>
        <w:t>载于</w:t>
      </w:r>
      <w:r w:rsidRPr="004C59BB">
        <w:rPr>
          <w:color w:val="0000FF"/>
        </w:rPr>
        <w:t>第III</w:t>
      </w:r>
      <w:r w:rsidRPr="004C59BB">
        <w:rPr>
          <w:color w:val="0000FF"/>
          <w:lang w:val="ru-RU"/>
        </w:rPr>
        <w:t>卷</w:t>
      </w:r>
      <w:r w:rsidRPr="0097554A">
        <w:rPr>
          <w:color w:val="0000FF"/>
        </w:rPr>
        <w:t>，</w:t>
      </w:r>
      <w:r w:rsidRPr="004C59BB">
        <w:rPr>
          <w:color w:val="0000FF"/>
          <w:lang w:val="ru-RU"/>
        </w:rPr>
        <w:t>第</w:t>
      </w:r>
      <w:r w:rsidRPr="0097554A">
        <w:rPr>
          <w:color w:val="0000FF"/>
        </w:rPr>
        <w:t>421</w:t>
      </w:r>
      <w:r w:rsidRPr="004C59BB">
        <w:rPr>
          <w:color w:val="0000FF"/>
          <w:lang w:val="ru-RU"/>
        </w:rPr>
        <w:t>页。</w:t>
      </w:r>
    </w:p>
  </w:footnote>
  <w:footnote w:id="1584">
    <w:p w14:paraId="15D30220" w14:textId="34C8FF5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致凯撒书信</w:t>
      </w:r>
      <w:r w:rsidRPr="004C59BB">
        <w:rPr>
          <w:color w:val="0000FF"/>
        </w:rPr>
        <w:t>第XIII封</w:t>
      </w:r>
      <w:r w:rsidRPr="0097554A">
        <w:rPr>
          <w:color w:val="0000FF"/>
        </w:rPr>
        <w:t>，</w:t>
      </w:r>
      <w:r w:rsidRPr="004C59BB">
        <w:rPr>
          <w:color w:val="0000FF"/>
          <w:lang w:val="ru-RU"/>
        </w:rPr>
        <w:t>载于《教父著作集》</w:t>
      </w:r>
      <w:r w:rsidRPr="004C59BB">
        <w:rPr>
          <w:color w:val="0000FF"/>
        </w:rPr>
        <w:t>第X</w:t>
      </w:r>
      <w:r w:rsidRPr="004C59BB">
        <w:rPr>
          <w:color w:val="0000FF"/>
          <w:lang w:val="ru-RU"/>
        </w:rPr>
        <w:t>卷</w:t>
      </w:r>
      <w:r w:rsidRPr="0097554A">
        <w:rPr>
          <w:color w:val="0000FF"/>
        </w:rPr>
        <w:t>，</w:t>
      </w:r>
      <w:r w:rsidRPr="004C59BB">
        <w:rPr>
          <w:color w:val="0000FF"/>
          <w:lang w:val="ru-RU"/>
        </w:rPr>
        <w:t>第</w:t>
      </w:r>
      <w:r w:rsidRPr="0097554A">
        <w:rPr>
          <w:color w:val="0000FF"/>
        </w:rPr>
        <w:t>219</w:t>
      </w:r>
      <w:r w:rsidRPr="004C59BB">
        <w:rPr>
          <w:color w:val="0000FF"/>
          <w:lang w:val="ru-RU"/>
        </w:rPr>
        <w:t>页。</w:t>
      </w:r>
    </w:p>
  </w:footnote>
  <w:footnote w:id="1585">
    <w:p w14:paraId="210F283C" w14:textId="6DC90FD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1550</w:t>
      </w:r>
      <w:r w:rsidRPr="004C59BB">
        <w:rPr>
          <w:color w:val="0000FF"/>
          <w:lang w:val="ru-RU"/>
        </w:rPr>
        <w:t>。</w:t>
      </w:r>
    </w:p>
  </w:footnote>
  <w:footnote w:id="1586">
    <w:p w14:paraId="49C8007A" w14:textId="4F114A7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新教徒对此尤为强调。</w:t>
      </w:r>
    </w:p>
  </w:footnote>
  <w:footnote w:id="1587">
    <w:p w14:paraId="35EC79E6" w14:textId="63B86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雷诺多（Renaudot），《信仰的传承》（Perpetuite de la foi），第V卷，第1册，第2、3、9章；加兰（Galan），《亚美尼亚与罗马教会会议集》（conc. eccles. Arm. cum Rom.），第III卷，第439页；《论科普特人、雅各派及各教派》（Dissert. de Coptis, Jacobitis, Sect.），第III卷，第186条（载于《博兰德文集·六月卷》（Bolland. Jun.），第V卷，第140页）。</w:t>
      </w:r>
    </w:p>
  </w:footnote>
  <w:footnote w:id="1588">
    <w:p w14:paraId="0322A71A" w14:textId="6709100F"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在此不得不提及特土良的话：quod apud multos unum invenitur, non est erratum, sed traditum（《论异端》第28章），以及后来圣 奥古斯丁的话：“教会所坚持的一切，即使并非由大公会议所制定，而是自古以来一直保留下来的，只要是凭着使徒的权威传承下来的，就应当被视为最正确的信仰”（《论洗礼，反对多纳图斯派</w:t>
      </w:r>
      <w:r w:rsidRPr="004C59BB">
        <w:rPr>
          <w:color w:val="0000FF"/>
          <w:lang w:val="ru-RU"/>
        </w:rPr>
        <w:t>》</w:t>
      </w:r>
      <w:r w:rsidRPr="004C59BB">
        <w:rPr>
          <w:color w:val="0000FF"/>
        </w:rPr>
        <w:t>第四卷</w:t>
      </w:r>
      <w:r w:rsidRPr="0097554A">
        <w:rPr>
          <w:color w:val="0000FF"/>
        </w:rPr>
        <w:t>，</w:t>
      </w:r>
      <w:r w:rsidRPr="004C59BB">
        <w:rPr>
          <w:color w:val="0000FF"/>
          <w:lang w:val="ru-RU"/>
        </w:rPr>
        <w:t>第</w:t>
      </w:r>
      <w:r w:rsidRPr="0097554A">
        <w:rPr>
          <w:color w:val="0000FF"/>
        </w:rPr>
        <w:t>24</w:t>
      </w:r>
      <w:r w:rsidRPr="004C59BB">
        <w:rPr>
          <w:color w:val="0000FF"/>
          <w:lang w:val="ru-RU"/>
        </w:rPr>
        <w:t>章</w:t>
      </w:r>
      <w:r w:rsidRPr="0097554A">
        <w:rPr>
          <w:color w:val="0000FF"/>
        </w:rPr>
        <w:t>，</w:t>
      </w:r>
      <w:r w:rsidRPr="004C59BB">
        <w:rPr>
          <w:color w:val="0000FF"/>
          <w:lang w:val="ru-RU"/>
        </w:rPr>
        <w:t>第</w:t>
      </w:r>
      <w:r w:rsidRPr="0097554A">
        <w:rPr>
          <w:color w:val="0000FF"/>
        </w:rPr>
        <w:t>31</w:t>
      </w:r>
      <w:r w:rsidRPr="004C59BB">
        <w:rPr>
          <w:color w:val="0000FF"/>
          <w:lang w:val="ru-RU"/>
        </w:rPr>
        <w:t>条</w:t>
      </w:r>
      <w:r w:rsidRPr="0097554A">
        <w:rPr>
          <w:color w:val="0000FF"/>
        </w:rPr>
        <w:t>）</w:t>
      </w:r>
      <w:r w:rsidRPr="004C59BB">
        <w:rPr>
          <w:color w:val="0000FF"/>
          <w:lang w:val="ru-RU"/>
        </w:rPr>
        <w:t>。</w:t>
      </w:r>
    </w:p>
  </w:footnote>
  <w:footnote w:id="1589">
    <w:p w14:paraId="5C33F288" w14:textId="34EE1BE7"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关于这些差异中的许多</w:t>
      </w:r>
      <w:r w:rsidRPr="0097554A">
        <w:rPr>
          <w:color w:val="0000FF"/>
        </w:rPr>
        <w:t>，</w:t>
      </w:r>
      <w:r w:rsidRPr="004C59BB">
        <w:rPr>
          <w:color w:val="0000FF"/>
          <w:lang w:val="ru-RU"/>
        </w:rPr>
        <w:t>我们已在上文指出。</w:t>
      </w:r>
    </w:p>
  </w:footnote>
  <w:footnote w:id="1590">
    <w:p w14:paraId="2D9716C6" w14:textId="69464E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《威腾堡神学……答复》，第1卷，耶利米宗主教致奥古斯丁《信经》第VII章，第77页，威腾堡，1584年。</w:t>
      </w:r>
    </w:p>
  </w:footnote>
  <w:footnote w:id="1591">
    <w:p w14:paraId="4901855F" w14:textId="09453F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《论七件圣事》第五章（见舍尔斯特拉特《东方教会反对路德派的文献》）。</w:t>
      </w:r>
    </w:p>
  </w:footnote>
  <w:footnote w:id="1592">
    <w:p w14:paraId="36DA69BF" w14:textId="6A57E1FD"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第七次会议</w:t>
      </w:r>
      <w:r w:rsidRPr="0097554A">
        <w:rPr>
          <w:color w:val="0000FF"/>
        </w:rPr>
        <w:t>，</w:t>
      </w:r>
      <w:r w:rsidRPr="004C59BB">
        <w:rPr>
          <w:color w:val="0000FF"/>
          <w:lang w:val="el-GR"/>
        </w:rPr>
        <w:t>第</w:t>
      </w:r>
      <w:r w:rsidRPr="0097554A">
        <w:rPr>
          <w:color w:val="0000FF"/>
        </w:rPr>
        <w:t>1</w:t>
      </w:r>
      <w:r w:rsidRPr="004C59BB">
        <w:rPr>
          <w:color w:val="0000FF"/>
        </w:rPr>
        <w:t>条教规</w:t>
      </w:r>
      <w:r w:rsidRPr="004C59BB">
        <w:rPr>
          <w:color w:val="0000FF"/>
          <w:lang w:val="el-GR"/>
        </w:rPr>
        <w:t>。</w:t>
      </w:r>
    </w:p>
  </w:footnote>
  <w:footnote w:id="1593">
    <w:p w14:paraId="0B770E7F" w14:textId="1FF2D27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西梅昂</w:t>
      </w:r>
      <w:r w:rsidRPr="0097554A">
        <w:rPr>
          <w:color w:val="0000FF"/>
        </w:rPr>
        <w:t>，</w:t>
      </w:r>
      <w:r w:rsidRPr="004C59BB">
        <w:rPr>
          <w:color w:val="0000FF"/>
          <w:lang w:val="el-GR"/>
        </w:rPr>
        <w:t>塞萨洛尼基大主教全集</w:t>
      </w:r>
      <w:r w:rsidRPr="0097554A">
        <w:rPr>
          <w:color w:val="0000FF"/>
        </w:rPr>
        <w:t>，</w:t>
      </w:r>
      <w:r w:rsidRPr="004C59BB">
        <w:rPr>
          <w:color w:val="0000FF"/>
        </w:rPr>
        <w:t>第二</w:t>
      </w:r>
      <w:r w:rsidRPr="004C59BB">
        <w:rPr>
          <w:color w:val="0000FF"/>
          <w:lang w:val="el-GR"/>
        </w:rPr>
        <w:t>卷</w:t>
      </w:r>
      <w:r w:rsidRPr="0097554A">
        <w:rPr>
          <w:color w:val="0000FF"/>
        </w:rPr>
        <w:t>，</w:t>
      </w:r>
      <w:r w:rsidRPr="004C59BB">
        <w:rPr>
          <w:color w:val="0000FF"/>
          <w:lang w:val="el-GR"/>
        </w:rPr>
        <w:t>论教会的圣礼</w:t>
      </w:r>
      <w:r w:rsidRPr="0097554A">
        <w:rPr>
          <w:color w:val="0000FF"/>
        </w:rPr>
        <w:t>，</w:t>
      </w:r>
      <w:r w:rsidRPr="004C59BB">
        <w:rPr>
          <w:color w:val="0000FF"/>
          <w:lang w:val="el-GR"/>
        </w:rPr>
        <w:t>威尼斯</w:t>
      </w:r>
      <w:r w:rsidRPr="0097554A">
        <w:rPr>
          <w:color w:val="0000FF"/>
        </w:rPr>
        <w:t xml:space="preserve"> 1820 </w:t>
      </w:r>
      <w:r w:rsidRPr="004C59BB">
        <w:rPr>
          <w:color w:val="0000FF"/>
          <w:lang w:val="el-GR"/>
        </w:rPr>
        <w:t>年</w:t>
      </w:r>
      <w:r w:rsidRPr="0097554A">
        <w:rPr>
          <w:color w:val="0000FF"/>
        </w:rPr>
        <w:t>，</w:t>
      </w:r>
      <w:r w:rsidRPr="004C59BB">
        <w:rPr>
          <w:color w:val="0000FF"/>
          <w:lang w:val="el-GR"/>
        </w:rPr>
        <w:t>第</w:t>
      </w:r>
      <w:r w:rsidRPr="0097554A">
        <w:rPr>
          <w:color w:val="0000FF"/>
        </w:rPr>
        <w:t xml:space="preserve"> 74 </w:t>
      </w:r>
      <w:r w:rsidRPr="004C59BB">
        <w:rPr>
          <w:color w:val="0000FF"/>
          <w:lang w:val="el-GR"/>
        </w:rPr>
        <w:t>页。</w:t>
      </w:r>
    </w:p>
  </w:footnote>
  <w:footnote w:id="1594">
    <w:p w14:paraId="7FCEBD86" w14:textId="5011C9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《佛罗伦萨大公会议针对亚美尼亚人的法令》。</w:t>
      </w:r>
    </w:p>
  </w:footnote>
  <w:footnote w:id="1595">
    <w:p w14:paraId="7CE2551D" w14:textId="6DF3C6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见阿拉特《东方与西方教会汇编》第三卷，第16章，第4条，第1256页。</w:t>
      </w:r>
    </w:p>
  </w:footnote>
  <w:footnote w:id="1596">
    <w:p w14:paraId="0E6810AD" w14:textId="13773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曼努埃尔·卡莱克，《普林》，天主教卷，第六章。</w:t>
      </w:r>
    </w:p>
  </w:footnote>
  <w:footnote w:id="1597">
    <w:p w14:paraId="76C1AB9F" w14:textId="00D50B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加兰。《亚美尼亚教会与罗马教会大公会议》，第III卷，第439页。</w:t>
      </w:r>
    </w:p>
  </w:footnote>
  <w:footnote w:id="1598">
    <w:p w14:paraId="487CB627" w14:textId="14C11C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见于阿拉特《论东方与西方教会会议》第三卷，第16章，第4条。</w:t>
      </w:r>
    </w:p>
  </w:footnote>
  <w:footnote w:id="1599">
    <w:p w14:paraId="5A54B3CF" w14:textId="47217F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托马斯·阿奎那，《神学大全》第三卷，第65问，第1条；博纳文图拉，《四卷简明教义集注》，第六卷，第三百章，第47节，第3章；亚历山大·德·海尔斯，《神学大全》第四卷，第8问，第2部分，第1条。</w:t>
      </w:r>
    </w:p>
  </w:footnote>
  <w:footnote w:id="1600">
    <w:p w14:paraId="5E9A7F76" w14:textId="6E2F34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参见《教会会议汇编》。</w:t>
      </w:r>
    </w:p>
  </w:footnote>
  <w:footnote w:id="1601">
    <w:p w14:paraId="450B00FB" w14:textId="0A4334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奥托尼斯《生平》，第二卷，第三章，载于巴斯纳格《修道院文集》第三卷，第二册，第62页。</w:t>
      </w:r>
    </w:p>
  </w:footnote>
  <w:footnote w:id="1602">
    <w:p w14:paraId="7F42F79B" w14:textId="3CCAAF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雨果·德·圣维克托，《格言大全》，论圣事卷一，第IX页，第2章。</w:t>
      </w:r>
    </w:p>
  </w:footnote>
  <w:footnote w:id="1603">
    <w:p w14:paraId="7756364B" w14:textId="0566A118"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彼得·隆巴德，《四卷格言集》，第四卷</w:t>
      </w:r>
      <w:r w:rsidRPr="0097554A">
        <w:rPr>
          <w:color w:val="0000FF"/>
        </w:rPr>
        <w:t>，</w:t>
      </w:r>
      <w:r w:rsidRPr="004C59BB">
        <w:rPr>
          <w:color w:val="0000FF"/>
          <w:lang w:val="ru-RU"/>
        </w:rPr>
        <w:t>第</w:t>
      </w:r>
      <w:r w:rsidRPr="0097554A">
        <w:rPr>
          <w:color w:val="0000FF"/>
        </w:rPr>
        <w:t>13</w:t>
      </w:r>
      <w:r w:rsidRPr="004C59BB">
        <w:rPr>
          <w:color w:val="0000FF"/>
          <w:lang w:val="ru-RU"/>
        </w:rPr>
        <w:t>章。</w:t>
      </w:r>
    </w:p>
  </w:footnote>
  <w:footnote w:id="1604">
    <w:p w14:paraId="6600E564" w14:textId="63936C8D"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正如根据这些礼仪仪式的信件本身所作的正确结论</w:t>
      </w:r>
      <w:r w:rsidRPr="0097554A">
        <w:rPr>
          <w:color w:val="0000FF"/>
        </w:rPr>
        <w:t>——</w:t>
      </w:r>
      <w:r w:rsidRPr="004C59BB">
        <w:rPr>
          <w:color w:val="0000FF"/>
        </w:rPr>
        <w:t>马特尼乌斯</w:t>
      </w:r>
      <w:r w:rsidRPr="004C59BB">
        <w:rPr>
          <w:color w:val="0000FF"/>
          <w:lang w:val="ru-RU"/>
        </w:rPr>
        <w:t>在其著作《</w:t>
      </w:r>
      <w:r w:rsidRPr="004C59BB">
        <w:rPr>
          <w:color w:val="0000FF"/>
        </w:rPr>
        <w:t>论古代教会礼仪</w:t>
      </w:r>
      <w:r w:rsidRPr="004C59BB">
        <w:rPr>
          <w:color w:val="0000FF"/>
          <w:lang w:val="ru-RU"/>
        </w:rPr>
        <w:t>》</w:t>
      </w:r>
      <w:r w:rsidRPr="0097554A">
        <w:rPr>
          <w:color w:val="0000FF"/>
        </w:rPr>
        <w:t>（</w:t>
      </w:r>
      <w:r w:rsidRPr="004C59BB">
        <w:rPr>
          <w:color w:val="0000FF"/>
        </w:rPr>
        <w:t>de antiquis eccles</w:t>
      </w:r>
      <w:r w:rsidRPr="0097554A">
        <w:rPr>
          <w:color w:val="0000FF"/>
        </w:rPr>
        <w:t xml:space="preserve">. </w:t>
      </w:r>
      <w:r w:rsidRPr="004C59BB">
        <w:rPr>
          <w:color w:val="0000FF"/>
        </w:rPr>
        <w:t>ritibus libri IV</w:t>
      </w:r>
      <w:r w:rsidRPr="0097554A">
        <w:rPr>
          <w:color w:val="0000FF"/>
        </w:rPr>
        <w:t>）</w:t>
      </w:r>
      <w:r w:rsidRPr="004C59BB">
        <w:rPr>
          <w:color w:val="0000FF"/>
          <w:lang w:val="ru-RU"/>
        </w:rPr>
        <w:t>开头附上了这些信件的范本</w:t>
      </w:r>
      <w:r w:rsidRPr="004C59BB">
        <w:rPr>
          <w:color w:val="0000FF"/>
        </w:rPr>
        <w:t>。参见雷诺多《信仰的永恒》（Perpetuite de la foi）第V卷，第1册，第7章。</w:t>
      </w:r>
    </w:p>
  </w:footnote>
  <w:footnote w:id="1605">
    <w:p w14:paraId="6E2E1681" w14:textId="60F4E61E"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《致安菲洛克的关于圣灵的</w:t>
      </w:r>
      <w:r w:rsidRPr="0097554A">
        <w:rPr>
          <w:color w:val="0000FF"/>
        </w:rPr>
        <w:t>27</w:t>
      </w:r>
      <w:r w:rsidRPr="004C59BB">
        <w:rPr>
          <w:color w:val="0000FF"/>
          <w:lang w:val="ru-RU"/>
        </w:rPr>
        <w:t>章》</w:t>
      </w:r>
      <w:r w:rsidRPr="0097554A">
        <w:rPr>
          <w:color w:val="0000FF"/>
        </w:rPr>
        <w:t>，</w:t>
      </w:r>
      <w:r w:rsidRPr="004C59BB">
        <w:rPr>
          <w:color w:val="0000FF"/>
        </w:rPr>
        <w:t>第91条，载于《规则集》，第328条。</w:t>
      </w:r>
    </w:p>
  </w:footnote>
  <w:footnote w:id="1606">
    <w:p w14:paraId="1D184D72" w14:textId="328AF9E0"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埃曼努埃尔·阿·谢尔斯特拉特（Emman. a Schelstrate），《关于奥秘纪律的辩护论》（Diss. apolog. de disciplin. arcani），罗马，1685年，第二章和第三</w:t>
      </w:r>
      <w:r w:rsidRPr="004C59BB">
        <w:rPr>
          <w:color w:val="0000FF"/>
          <w:lang w:val="ru-RU"/>
        </w:rPr>
        <w:t>章</w:t>
      </w:r>
      <w:r w:rsidRPr="0097554A">
        <w:rPr>
          <w:color w:val="0000FF"/>
        </w:rPr>
        <w:t>，</w:t>
      </w:r>
      <w:r w:rsidRPr="004C59BB">
        <w:rPr>
          <w:color w:val="0000FF"/>
          <w:lang w:val="ru-RU"/>
        </w:rPr>
        <w:t>其中列举了许多证据来证实这一真理。</w:t>
      </w:r>
    </w:p>
  </w:footnote>
  <w:footnote w:id="1607">
    <w:p w14:paraId="452E15C4" w14:textId="16BF59E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例如</w:t>
      </w:r>
      <w:r w:rsidRPr="0097554A">
        <w:rPr>
          <w:color w:val="0000FF"/>
        </w:rPr>
        <w:t>，</w:t>
      </w:r>
      <w:r w:rsidRPr="004C59BB">
        <w:rPr>
          <w:color w:val="0000FF"/>
          <w:lang w:val="ru-RU"/>
        </w:rPr>
        <w:t>圣贾斯汀</w:t>
      </w:r>
      <w:r w:rsidRPr="0097554A">
        <w:rPr>
          <w:color w:val="0000FF"/>
        </w:rPr>
        <w:t>（</w:t>
      </w:r>
      <w:r w:rsidRPr="004C59BB">
        <w:rPr>
          <w:color w:val="0000FF"/>
          <w:lang w:val="ru-RU"/>
        </w:rPr>
        <w:t>《</w:t>
      </w:r>
      <w:r w:rsidRPr="004C59BB">
        <w:rPr>
          <w:color w:val="0000FF"/>
        </w:rPr>
        <w:t>护教论</w:t>
      </w:r>
      <w:r w:rsidRPr="004C59BB">
        <w:rPr>
          <w:color w:val="0000FF"/>
          <w:lang w:val="ru-RU"/>
        </w:rPr>
        <w:t>》第</w:t>
      </w:r>
      <w:r w:rsidRPr="0097554A">
        <w:rPr>
          <w:color w:val="0000FF"/>
        </w:rPr>
        <w:t>1</w:t>
      </w:r>
      <w:r w:rsidRPr="004C59BB">
        <w:rPr>
          <w:color w:val="0000FF"/>
        </w:rPr>
        <w:t>卷</w:t>
      </w:r>
      <w:r w:rsidRPr="0097554A">
        <w:rPr>
          <w:color w:val="0000FF"/>
        </w:rPr>
        <w:t>，</w:t>
      </w:r>
      <w:r w:rsidRPr="004C59BB">
        <w:rPr>
          <w:color w:val="0000FF"/>
          <w:lang w:val="ru-RU"/>
        </w:rPr>
        <w:t>第</w:t>
      </w:r>
      <w:r w:rsidRPr="0097554A">
        <w:rPr>
          <w:color w:val="0000FF"/>
        </w:rPr>
        <w:t>65</w:t>
      </w:r>
      <w:r w:rsidRPr="004C59BB">
        <w:rPr>
          <w:color w:val="0000FF"/>
          <w:lang w:val="ru-RU"/>
        </w:rPr>
        <w:t>、</w:t>
      </w:r>
      <w:r w:rsidRPr="004C59BB">
        <w:rPr>
          <w:color w:val="0000FF"/>
        </w:rPr>
        <w:t>66节）、福者 奥古斯丁（《诗篇讲道集》第1卷</w:t>
      </w:r>
      <w:r w:rsidRPr="0097554A">
        <w:rPr>
          <w:color w:val="0000FF"/>
        </w:rPr>
        <w:t>，</w:t>
      </w:r>
      <w:r w:rsidRPr="004C59BB">
        <w:rPr>
          <w:color w:val="0000FF"/>
        </w:rPr>
        <w:t>CCCVIII</w:t>
      </w:r>
      <w:r w:rsidRPr="004C59BB">
        <w:rPr>
          <w:color w:val="0000FF"/>
          <w:lang w:val="ru-RU"/>
        </w:rPr>
        <w:t>篇</w:t>
      </w:r>
      <w:r w:rsidRPr="0097554A">
        <w:rPr>
          <w:color w:val="0000FF"/>
        </w:rPr>
        <w:t>，14</w:t>
      </w:r>
      <w:r w:rsidRPr="004C59BB">
        <w:rPr>
          <w:color w:val="0000FF"/>
          <w:lang w:val="ru-RU"/>
        </w:rPr>
        <w:t>节</w:t>
      </w:r>
      <w:r w:rsidRPr="0097554A">
        <w:rPr>
          <w:color w:val="0000FF"/>
        </w:rPr>
        <w:t>）</w:t>
      </w:r>
      <w:r w:rsidRPr="004C59BB">
        <w:rPr>
          <w:color w:val="0000FF"/>
          <w:lang w:val="ru-RU"/>
        </w:rPr>
        <w:t>、圣约翰</w:t>
      </w:r>
      <w:r w:rsidRPr="0097554A">
        <w:rPr>
          <w:color w:val="0000FF"/>
        </w:rPr>
        <w:t>·</w:t>
      </w:r>
      <w:r w:rsidRPr="004C59BB">
        <w:rPr>
          <w:color w:val="0000FF"/>
          <w:lang w:val="ru-RU"/>
        </w:rPr>
        <w:t>达马斯库斯</w:t>
      </w:r>
      <w:r w:rsidRPr="0097554A">
        <w:rPr>
          <w:color w:val="0000FF"/>
        </w:rPr>
        <w:t>（</w:t>
      </w:r>
      <w:r w:rsidRPr="004C59BB">
        <w:rPr>
          <w:color w:val="0000FF"/>
          <w:lang w:val="ru-RU"/>
        </w:rPr>
        <w:t>《正信论》</w:t>
      </w:r>
      <w:r w:rsidRPr="004C59BB">
        <w:rPr>
          <w:color w:val="0000FF"/>
        </w:rPr>
        <w:t>第IV卷</w:t>
      </w:r>
      <w:r w:rsidRPr="0097554A">
        <w:rPr>
          <w:color w:val="0000FF"/>
        </w:rPr>
        <w:t>，</w:t>
      </w:r>
      <w:r w:rsidRPr="004C59BB">
        <w:rPr>
          <w:color w:val="0000FF"/>
          <w:lang w:val="ru-RU"/>
        </w:rPr>
        <w:t>第</w:t>
      </w:r>
      <w:r w:rsidRPr="0097554A">
        <w:rPr>
          <w:color w:val="0000FF"/>
        </w:rPr>
        <w:t>9</w:t>
      </w:r>
      <w:r w:rsidRPr="004C59BB">
        <w:rPr>
          <w:color w:val="0000FF"/>
          <w:lang w:val="ru-RU"/>
        </w:rPr>
        <w:t>、</w:t>
      </w:r>
      <w:r w:rsidRPr="0097554A">
        <w:rPr>
          <w:color w:val="0000FF"/>
        </w:rPr>
        <w:t>13</w:t>
      </w:r>
      <w:r w:rsidRPr="004C59BB">
        <w:rPr>
          <w:color w:val="0000FF"/>
          <w:lang w:val="ru-RU"/>
        </w:rPr>
        <w:t>条</w:t>
      </w:r>
      <w:r w:rsidRPr="0097554A">
        <w:rPr>
          <w:color w:val="0000FF"/>
        </w:rPr>
        <w:t>）——</w:t>
      </w:r>
      <w:r w:rsidRPr="004C59BB">
        <w:rPr>
          <w:color w:val="0000FF"/>
          <w:lang w:val="ru-RU"/>
        </w:rPr>
        <w:t>关于洗礼和圣体圣事。</w:t>
      </w:r>
    </w:p>
  </w:footnote>
  <w:footnote w:id="1608">
    <w:p w14:paraId="5CF10164" w14:textId="1756BC0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例如</w:t>
      </w:r>
      <w:r w:rsidRPr="0097554A">
        <w:rPr>
          <w:color w:val="0000FF"/>
        </w:rPr>
        <w:t>，</w:t>
      </w:r>
      <w:r w:rsidRPr="004C59BB">
        <w:rPr>
          <w:color w:val="0000FF"/>
          <w:lang w:val="ru-RU"/>
        </w:rPr>
        <w:t>圣安布罗斯</w:t>
      </w:r>
      <w:r w:rsidRPr="0097554A">
        <w:rPr>
          <w:color w:val="0000FF"/>
        </w:rPr>
        <w:t>（</w:t>
      </w:r>
      <w:r w:rsidRPr="004C59BB">
        <w:rPr>
          <w:color w:val="0000FF"/>
        </w:rPr>
        <w:t>《论圣事</w:t>
      </w:r>
      <w:r w:rsidRPr="004C59BB">
        <w:rPr>
          <w:color w:val="0000FF"/>
          <w:lang w:val="ru-RU"/>
        </w:rPr>
        <w:t>》</w:t>
      </w:r>
      <w:r w:rsidRPr="004C59BB">
        <w:rPr>
          <w:color w:val="0000FF"/>
        </w:rPr>
        <w:t>第六</w:t>
      </w:r>
      <w:r w:rsidRPr="004C59BB">
        <w:rPr>
          <w:color w:val="0000FF"/>
          <w:lang w:val="ru-RU"/>
        </w:rPr>
        <w:t>卷</w:t>
      </w:r>
      <w:r w:rsidRPr="0097554A">
        <w:rPr>
          <w:color w:val="0000FF"/>
        </w:rPr>
        <w:t>）</w:t>
      </w:r>
      <w:r w:rsidRPr="004C59BB">
        <w:rPr>
          <w:color w:val="0000FF"/>
          <w:lang w:val="ru-RU"/>
        </w:rPr>
        <w:t>和圣基里尔</w:t>
      </w:r>
      <w:r w:rsidRPr="0097554A">
        <w:rPr>
          <w:color w:val="0000FF"/>
        </w:rPr>
        <w:t>·</w:t>
      </w:r>
      <w:r w:rsidRPr="004C59BB">
        <w:rPr>
          <w:color w:val="0000FF"/>
          <w:lang w:val="ru-RU"/>
        </w:rPr>
        <w:t>耶路撒冷</w:t>
      </w:r>
      <w:r w:rsidRPr="0097554A">
        <w:rPr>
          <w:color w:val="0000FF"/>
        </w:rPr>
        <w:t>（</w:t>
      </w:r>
      <w:r w:rsidRPr="004C59BB">
        <w:rPr>
          <w:color w:val="0000FF"/>
          <w:lang w:val="ru-RU"/>
        </w:rPr>
        <w:t>《秘仪教义》</w:t>
      </w:r>
      <w:r w:rsidRPr="004C59BB">
        <w:rPr>
          <w:color w:val="0000FF"/>
        </w:rPr>
        <w:t>第一至第四卷</w:t>
      </w:r>
      <w:r w:rsidRPr="0097554A">
        <w:rPr>
          <w:color w:val="0000FF"/>
        </w:rPr>
        <w:t>）——</w:t>
      </w:r>
      <w:r w:rsidRPr="004C59BB">
        <w:rPr>
          <w:color w:val="0000FF"/>
          <w:lang w:val="ru-RU"/>
        </w:rPr>
        <w:t>关于洗礼、坚振和圣体圣事。</w:t>
      </w:r>
    </w:p>
  </w:footnote>
  <w:footnote w:id="1609">
    <w:p w14:paraId="6EC5815F" w14:textId="316E149D"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例如</w:t>
      </w:r>
      <w:r w:rsidRPr="0097554A">
        <w:rPr>
          <w:color w:val="0000FF"/>
        </w:rPr>
        <w:t>，</w:t>
      </w:r>
      <w:r w:rsidRPr="004C59BB">
        <w:rPr>
          <w:color w:val="0000FF"/>
          <w:lang w:val="ru-RU"/>
        </w:rPr>
        <w:t>可敬的奥古斯丁说</w:t>
      </w:r>
      <w:r w:rsidRPr="0097554A">
        <w:rPr>
          <w:color w:val="0000FF"/>
        </w:rPr>
        <w:t>：</w:t>
      </w:r>
      <w:r w:rsidRPr="004C59BB">
        <w:rPr>
          <w:color w:val="0000FF"/>
        </w:rPr>
        <w:t>如果《福音书》中所说的“上帝不听罪人的祈求</w:t>
      </w:r>
      <w:r w:rsidRPr="0097554A">
        <w:rPr>
          <w:color w:val="0000FF"/>
        </w:rPr>
        <w:t>”（</w:t>
      </w:r>
      <w:r w:rsidRPr="004C59BB">
        <w:rPr>
          <w:color w:val="0000FF"/>
          <w:lang w:val="ru-RU"/>
        </w:rPr>
        <w:t>《</w:t>
      </w:r>
      <w:r w:rsidRPr="004C59BB">
        <w:rPr>
          <w:color w:val="0000FF"/>
        </w:rPr>
        <w:t>约翰</w:t>
      </w:r>
      <w:r w:rsidRPr="004C59BB">
        <w:rPr>
          <w:color w:val="0000FF"/>
          <w:lang w:val="ru-RU"/>
        </w:rPr>
        <w:t>福音》第九章</w:t>
      </w:r>
      <w:r w:rsidRPr="0097554A">
        <w:rPr>
          <w:color w:val="0000FF"/>
        </w:rPr>
        <w:t>31</w:t>
      </w:r>
      <w:r w:rsidRPr="004C59BB">
        <w:rPr>
          <w:color w:val="0000FF"/>
          <w:lang w:val="ru-RU"/>
        </w:rPr>
        <w:t>节</w:t>
      </w:r>
      <w:r w:rsidRPr="0097554A">
        <w:rPr>
          <w:color w:val="0000FF"/>
        </w:rPr>
        <w:t>）</w:t>
      </w:r>
      <w:r w:rsidRPr="004C59BB">
        <w:rPr>
          <w:color w:val="0000FF"/>
        </w:rPr>
        <w:t>这一说法在此适用</w:t>
      </w:r>
      <w:r w:rsidRPr="0097554A">
        <w:rPr>
          <w:color w:val="0000FF"/>
        </w:rPr>
        <w:t>，</w:t>
      </w:r>
      <w:r w:rsidRPr="004C59BB">
        <w:rPr>
          <w:color w:val="0000FF"/>
        </w:rPr>
        <w:t>那么是否可以通过举行罪人的圣事来实现</w:t>
      </w:r>
      <w:r w:rsidRPr="0097554A">
        <w:rPr>
          <w:color w:val="0000FF"/>
        </w:rPr>
        <w:t xml:space="preserve">； </w:t>
      </w:r>
      <w:r w:rsidRPr="004C59BB">
        <w:rPr>
          <w:color w:val="0000FF"/>
        </w:rPr>
        <w:t>那么</w:t>
      </w:r>
      <w:r w:rsidRPr="0097554A">
        <w:rPr>
          <w:color w:val="0000FF"/>
        </w:rPr>
        <w:t>，</w:t>
      </w:r>
      <w:r w:rsidRPr="004C59BB">
        <w:rPr>
          <w:color w:val="0000FF"/>
        </w:rPr>
        <w:t>祂为何会垂听杀人犯的</w:t>
      </w:r>
      <w:r w:rsidRPr="004C59BB">
        <w:rPr>
          <w:color w:val="0000FF"/>
          <w:lang w:val="ru-RU"/>
        </w:rPr>
        <w:t>祈</w:t>
      </w:r>
      <w:r w:rsidRPr="004C59BB">
        <w:rPr>
          <w:color w:val="0000FF"/>
        </w:rPr>
        <w:t>求——无论是通过洗礼之水</w:t>
      </w:r>
      <w:r w:rsidRPr="004C59BB">
        <w:rPr>
          <w:color w:val="0000FF"/>
          <w:lang w:val="ru-RU"/>
        </w:rPr>
        <w:t>、傅油礼之</w:t>
      </w:r>
      <w:r w:rsidRPr="004C59BB">
        <w:rPr>
          <w:color w:val="0000FF"/>
        </w:rPr>
        <w:t>油</w:t>
      </w:r>
      <w:r w:rsidRPr="004C59BB">
        <w:rPr>
          <w:color w:val="0000FF"/>
          <w:lang w:val="ru-RU"/>
        </w:rPr>
        <w:t>、</w:t>
      </w:r>
      <w:r w:rsidRPr="004C59BB">
        <w:rPr>
          <w:color w:val="0000FF"/>
        </w:rPr>
        <w:t>圣体</w:t>
      </w:r>
      <w:r w:rsidRPr="004C59BB">
        <w:rPr>
          <w:color w:val="0000FF"/>
          <w:lang w:val="ru-RU"/>
        </w:rPr>
        <w:t>圣事</w:t>
      </w:r>
      <w:r w:rsidRPr="0097554A">
        <w:rPr>
          <w:color w:val="0000FF"/>
        </w:rPr>
        <w:t>，</w:t>
      </w:r>
      <w:r w:rsidRPr="004C59BB">
        <w:rPr>
          <w:color w:val="0000FF"/>
        </w:rPr>
        <w:t>还是通过那些被按手者</w:t>
      </w:r>
      <w:r w:rsidRPr="0097554A">
        <w:rPr>
          <w:color w:val="0000FF"/>
        </w:rPr>
        <w:t>（</w:t>
      </w:r>
      <w:r w:rsidRPr="004C59BB">
        <w:rPr>
          <w:color w:val="0000FF"/>
          <w:lang w:val="ru-RU"/>
        </w:rPr>
        <w:t>即神职人员</w:t>
      </w:r>
      <w:r w:rsidRPr="0097554A">
        <w:rPr>
          <w:color w:val="0000FF"/>
        </w:rPr>
        <w:t>）</w:t>
      </w:r>
      <w:r w:rsidRPr="004C59BB">
        <w:rPr>
          <w:color w:val="0000FF"/>
        </w:rPr>
        <w:t>的头顶</w:t>
      </w:r>
      <w:r w:rsidRPr="0097554A">
        <w:rPr>
          <w:color w:val="0000FF"/>
        </w:rPr>
        <w:t xml:space="preserve">？ </w:t>
      </w:r>
      <w:r w:rsidRPr="004C59BB">
        <w:rPr>
          <w:color w:val="0000FF"/>
        </w:rPr>
        <w:t>然而，这一切不仅得以施行，而且有效，即便是由杀人者——即那些憎恨弟兄的人——在教会内部所行，亦然（《论洗礼》第五</w:t>
      </w:r>
      <w:r w:rsidRPr="004C59BB">
        <w:rPr>
          <w:color w:val="0000FF"/>
          <w:lang w:val="ru-RU"/>
        </w:rPr>
        <w:t>卷</w:t>
      </w:r>
      <w:r w:rsidRPr="0097554A">
        <w:rPr>
          <w:color w:val="0000FF"/>
        </w:rPr>
        <w:t>，</w:t>
      </w:r>
      <w:r w:rsidRPr="004C59BB">
        <w:rPr>
          <w:color w:val="0000FF"/>
          <w:lang w:val="ru-RU"/>
        </w:rPr>
        <w:t>第</w:t>
      </w:r>
      <w:r w:rsidRPr="0097554A">
        <w:rPr>
          <w:color w:val="0000FF"/>
        </w:rPr>
        <w:t>20</w:t>
      </w:r>
      <w:r w:rsidRPr="004C59BB">
        <w:rPr>
          <w:color w:val="0000FF"/>
          <w:lang w:val="ru-RU"/>
        </w:rPr>
        <w:t>章</w:t>
      </w:r>
      <w:r w:rsidRPr="0097554A">
        <w:rPr>
          <w:color w:val="0000FF"/>
        </w:rPr>
        <w:t>，</w:t>
      </w:r>
      <w:r w:rsidRPr="004C59BB">
        <w:rPr>
          <w:color w:val="0000FF"/>
          <w:lang w:val="ru-RU"/>
        </w:rPr>
        <w:t>第</w:t>
      </w:r>
      <w:r w:rsidRPr="0097554A">
        <w:rPr>
          <w:color w:val="0000FF"/>
        </w:rPr>
        <w:t>28</w:t>
      </w:r>
      <w:r w:rsidRPr="004C59BB">
        <w:rPr>
          <w:color w:val="0000FF"/>
          <w:lang w:val="ru-RU"/>
        </w:rPr>
        <w:t>节</w:t>
      </w:r>
      <w:r w:rsidRPr="0097554A">
        <w:rPr>
          <w:color w:val="0000FF"/>
        </w:rPr>
        <w:t>）</w:t>
      </w:r>
      <w:r w:rsidRPr="004C59BB">
        <w:rPr>
          <w:color w:val="0000FF"/>
          <w:lang w:val="ru-RU"/>
        </w:rPr>
        <w:t>。</w:t>
      </w:r>
      <w:r w:rsidRPr="0097554A">
        <w:rPr>
          <w:color w:val="0000FF"/>
        </w:rPr>
        <w:t xml:space="preserve"> </w:t>
      </w:r>
      <w:r w:rsidRPr="004C59BB">
        <w:rPr>
          <w:color w:val="0000FF"/>
          <w:lang w:val="ru-RU"/>
        </w:rPr>
        <w:t>圣格里高利大教父</w:t>
      </w:r>
      <w:r w:rsidRPr="0097554A">
        <w:rPr>
          <w:color w:val="0000FF"/>
        </w:rPr>
        <w:t>（</w:t>
      </w:r>
      <w:r w:rsidRPr="004C59BB">
        <w:rPr>
          <w:color w:val="0000FF"/>
        </w:rPr>
        <w:t>在《圣事论》中</w:t>
      </w:r>
      <w:r w:rsidRPr="0097554A">
        <w:rPr>
          <w:color w:val="0000FF"/>
        </w:rPr>
        <w:t>）</w:t>
      </w:r>
      <w:r w:rsidRPr="004C59BB">
        <w:rPr>
          <w:color w:val="0000FF"/>
          <w:lang w:val="ru-RU"/>
        </w:rPr>
        <w:t>也</w:t>
      </w:r>
      <w:r w:rsidRPr="004C59BB">
        <w:rPr>
          <w:color w:val="0000FF"/>
        </w:rPr>
        <w:t>谈到了</w:t>
      </w:r>
      <w:r w:rsidRPr="004C59BB">
        <w:rPr>
          <w:color w:val="0000FF"/>
          <w:lang w:val="ru-RU"/>
        </w:rPr>
        <w:t>四个圣事</w:t>
      </w:r>
      <w:r w:rsidRPr="0097554A">
        <w:rPr>
          <w:color w:val="0000FF"/>
        </w:rPr>
        <w:t>：</w:t>
      </w:r>
      <w:r w:rsidRPr="004C59BB">
        <w:rPr>
          <w:color w:val="0000FF"/>
          <w:lang w:val="ru-RU"/>
        </w:rPr>
        <w:t>洗礼、坚振、圣体和傅油。</w:t>
      </w:r>
    </w:p>
  </w:footnote>
  <w:footnote w:id="1610">
    <w:p w14:paraId="61D87552" w14:textId="4DBADF7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参见上文这些神学家的名字。</w:t>
      </w:r>
    </w:p>
  </w:footnote>
  <w:footnote w:id="1611">
    <w:p w14:paraId="0EBD50DF" w14:textId="5EB55F54"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例如</w:t>
      </w:r>
      <w:r w:rsidRPr="0097554A">
        <w:rPr>
          <w:color w:val="0000FF"/>
        </w:rPr>
        <w:t>，</w:t>
      </w:r>
      <w:r w:rsidRPr="004C59BB">
        <w:rPr>
          <w:color w:val="0000FF"/>
          <w:lang w:val="ru-RU"/>
        </w:rPr>
        <w:t>可敬的奥古斯丁在</w:t>
      </w:r>
      <w:r w:rsidRPr="004C59BB">
        <w:rPr>
          <w:color w:val="0000FF"/>
        </w:rPr>
        <w:t>同一处</w:t>
      </w:r>
      <w:r w:rsidRPr="0097554A">
        <w:rPr>
          <w:color w:val="0000FF"/>
        </w:rPr>
        <w:t>（</w:t>
      </w:r>
      <w:r w:rsidRPr="004C59BB">
        <w:rPr>
          <w:color w:val="0000FF"/>
        </w:rPr>
        <w:t>参见注1607）说道：“请关注教会本身的恩赐。圣事的恩赐体现在洗礼、圣体圣事及其他神圣圣事之中”（《讲道集》同上，第9条）。</w:t>
      </w:r>
    </w:p>
  </w:footnote>
  <w:footnote w:id="1612">
    <w:p w14:paraId="52CA7768" w14:textId="4353B52D"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同样</w:t>
      </w:r>
      <w:r w:rsidRPr="0097554A">
        <w:rPr>
          <w:color w:val="0000FF"/>
        </w:rPr>
        <w:t>，</w:t>
      </w:r>
      <w:r w:rsidRPr="004C59BB">
        <w:rPr>
          <w:color w:val="0000FF"/>
          <w:lang w:val="ru-RU"/>
        </w:rPr>
        <w:t>例如</w:t>
      </w:r>
      <w:r w:rsidRPr="0097554A">
        <w:rPr>
          <w:color w:val="0000FF"/>
        </w:rPr>
        <w:t>，</w:t>
      </w:r>
      <w:r w:rsidRPr="004C59BB">
        <w:rPr>
          <w:color w:val="0000FF"/>
          <w:lang w:val="ru-RU"/>
        </w:rPr>
        <w:t>福者奥古斯丁除了洗礼和圣体圣事</w:t>
      </w:r>
      <w:r w:rsidRPr="0097554A">
        <w:rPr>
          <w:color w:val="0000FF"/>
        </w:rPr>
        <w:t>（</w:t>
      </w:r>
      <w:r w:rsidRPr="004C59BB">
        <w:rPr>
          <w:color w:val="0000FF"/>
          <w:lang w:val="ru-RU"/>
        </w:rPr>
        <w:t>参见前注</w:t>
      </w:r>
      <w:r w:rsidRPr="0097554A">
        <w:rPr>
          <w:color w:val="0000FF"/>
        </w:rPr>
        <w:t>）</w:t>
      </w:r>
      <w:r w:rsidRPr="004C59BB">
        <w:rPr>
          <w:color w:val="0000FF"/>
          <w:lang w:val="ru-RU"/>
        </w:rPr>
        <w:t>之外</w:t>
      </w:r>
      <w:r w:rsidRPr="0097554A">
        <w:rPr>
          <w:color w:val="0000FF"/>
        </w:rPr>
        <w:t>，</w:t>
      </w:r>
      <w:r w:rsidRPr="004C59BB">
        <w:rPr>
          <w:color w:val="0000FF"/>
          <w:lang w:val="ru-RU"/>
        </w:rPr>
        <w:t>还明确将以下仪式归入圣事范畴或称之为圣事</w:t>
      </w:r>
      <w:r w:rsidRPr="0097554A">
        <w:rPr>
          <w:color w:val="0000FF"/>
        </w:rPr>
        <w:t xml:space="preserve">： </w:t>
      </w:r>
      <w:r w:rsidRPr="004C59BB">
        <w:rPr>
          <w:color w:val="0000FF"/>
          <w:lang w:val="ru-RU"/>
        </w:rPr>
        <w:t>还明确</w:t>
      </w:r>
      <w:r w:rsidRPr="004C59BB">
        <w:rPr>
          <w:color w:val="0000FF"/>
        </w:rPr>
        <w:t>将坚振礼——sacramentum chrismatis</w:t>
      </w:r>
      <w:r w:rsidRPr="0097554A">
        <w:rPr>
          <w:color w:val="0000FF"/>
        </w:rPr>
        <w:t>（</w:t>
      </w:r>
      <w:r w:rsidRPr="004C59BB">
        <w:rPr>
          <w:color w:val="0000FF"/>
          <w:lang w:val="ru-RU"/>
        </w:rPr>
        <w:t>参见上</w:t>
      </w:r>
      <w:r w:rsidRPr="004C59BB">
        <w:rPr>
          <w:color w:val="0000FF"/>
        </w:rPr>
        <w:t>文注1039，关于坚振礼），以及忏悔礼：“忏悔的缘由与洗礼相同”（《论忏悔》1，第38章，第35节； 参见注1360），傅油礼（注1609），婚姻——sacramentum（注1504. 1505），圣职：utrumque（洗礼与圣职）sacramentum est，et quadam consecratione utrumque homini datur，illud，cum baptizatur，istud，cum ordinatur（contr. Epist</w:t>
      </w:r>
      <w:r w:rsidRPr="0097554A">
        <w:rPr>
          <w:color w:val="0000FF"/>
        </w:rPr>
        <w:t xml:space="preserve">. </w:t>
      </w:r>
      <w:r w:rsidRPr="004C59BB">
        <w:rPr>
          <w:color w:val="0000FF"/>
        </w:rPr>
        <w:t>Farmen</w:t>
      </w:r>
      <w:r w:rsidRPr="0097554A">
        <w:rPr>
          <w:color w:val="0000FF"/>
        </w:rPr>
        <w:t xml:space="preserve">. </w:t>
      </w:r>
      <w:r w:rsidRPr="004C59BB">
        <w:rPr>
          <w:color w:val="0000FF"/>
        </w:rPr>
        <w:t>II，c</w:t>
      </w:r>
      <w:r w:rsidRPr="0097554A">
        <w:rPr>
          <w:color w:val="0000FF"/>
        </w:rPr>
        <w:t>.</w:t>
      </w:r>
      <w:r w:rsidRPr="004C59BB">
        <w:rPr>
          <w:color w:val="0000FF"/>
        </w:rPr>
        <w:t xml:space="preserve"> 13，n</w:t>
      </w:r>
      <w:r w:rsidRPr="0097554A">
        <w:rPr>
          <w:color w:val="0000FF"/>
        </w:rPr>
        <w:t>. 98；</w:t>
      </w:r>
      <w:r w:rsidRPr="004C59BB">
        <w:rPr>
          <w:color w:val="0000FF"/>
          <w:lang w:val="ru-RU"/>
        </w:rPr>
        <w:t>参见注</w:t>
      </w:r>
      <w:r w:rsidRPr="0097554A">
        <w:rPr>
          <w:color w:val="0000FF"/>
        </w:rPr>
        <w:t>1536）</w:t>
      </w:r>
      <w:r w:rsidRPr="004C59BB">
        <w:rPr>
          <w:color w:val="0000FF"/>
          <w:lang w:val="ru-RU"/>
        </w:rPr>
        <w:t>。</w:t>
      </w:r>
    </w:p>
  </w:footnote>
  <w:footnote w:id="1613">
    <w:p w14:paraId="3ADD149C" w14:textId="524FFE0B" w:rsidR="00254F25" w:rsidRPr="0097554A"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rPr>
        <w:t>雷诺多（Renaudot）</w:t>
      </w:r>
      <w:r w:rsidRPr="004C59BB">
        <w:rPr>
          <w:color w:val="0000FF"/>
          <w:lang w:val="ru-RU"/>
        </w:rPr>
        <w:t>对此作了明确阐述。《</w:t>
      </w:r>
      <w:r w:rsidRPr="004C59BB">
        <w:rPr>
          <w:color w:val="0000FF"/>
        </w:rPr>
        <w:t>信仰的永恒》</w:t>
      </w:r>
      <w:r w:rsidRPr="0097554A">
        <w:rPr>
          <w:color w:val="0000FF"/>
          <w:lang w:val="ru-RU"/>
        </w:rPr>
        <w:t>（</w:t>
      </w:r>
      <w:r w:rsidRPr="004C59BB">
        <w:rPr>
          <w:color w:val="0000FF"/>
        </w:rPr>
        <w:t>Perpetuite</w:t>
      </w:r>
      <w:r w:rsidRPr="0097554A">
        <w:rPr>
          <w:color w:val="0000FF"/>
          <w:lang w:val="ru-RU"/>
        </w:rPr>
        <w:t xml:space="preserve"> </w:t>
      </w:r>
      <w:r w:rsidRPr="004C59BB">
        <w:rPr>
          <w:color w:val="0000FF"/>
        </w:rPr>
        <w:t>de</w:t>
      </w:r>
      <w:r w:rsidRPr="0097554A">
        <w:rPr>
          <w:color w:val="0000FF"/>
          <w:lang w:val="ru-RU"/>
        </w:rPr>
        <w:t xml:space="preserve"> </w:t>
      </w:r>
      <w:r w:rsidRPr="004C59BB">
        <w:rPr>
          <w:color w:val="0000FF"/>
        </w:rPr>
        <w:t>la</w:t>
      </w:r>
      <w:r w:rsidRPr="0097554A">
        <w:rPr>
          <w:color w:val="0000FF"/>
          <w:lang w:val="ru-RU"/>
        </w:rPr>
        <w:t xml:space="preserve"> </w:t>
      </w:r>
      <w:r w:rsidRPr="004C59BB">
        <w:rPr>
          <w:color w:val="0000FF"/>
        </w:rPr>
        <w:t>foi</w:t>
      </w:r>
      <w:r w:rsidRPr="0097554A">
        <w:rPr>
          <w:color w:val="0000FF"/>
          <w:lang w:val="ru-RU"/>
        </w:rPr>
        <w:t>）</w:t>
      </w:r>
      <w:r w:rsidRPr="004C59BB">
        <w:rPr>
          <w:color w:val="0000FF"/>
        </w:rPr>
        <w:t>第V卷</w:t>
      </w:r>
      <w:r w:rsidRPr="0097554A">
        <w:rPr>
          <w:color w:val="0000FF"/>
          <w:lang w:val="ru-RU"/>
        </w:rPr>
        <w:t>，</w:t>
      </w:r>
      <w:r w:rsidRPr="004C59BB">
        <w:rPr>
          <w:color w:val="0000FF"/>
        </w:rPr>
        <w:t>第</w:t>
      </w:r>
      <w:r w:rsidRPr="0097554A">
        <w:rPr>
          <w:color w:val="0000FF"/>
          <w:lang w:val="ru-RU"/>
        </w:rPr>
        <w:t>1</w:t>
      </w:r>
      <w:r w:rsidRPr="004C59BB">
        <w:rPr>
          <w:color w:val="0000FF"/>
        </w:rPr>
        <w:t>册</w:t>
      </w:r>
      <w:r w:rsidRPr="0097554A">
        <w:rPr>
          <w:color w:val="0000FF"/>
          <w:lang w:val="ru-RU"/>
        </w:rPr>
        <w:t>，</w:t>
      </w:r>
      <w:r w:rsidRPr="004C59BB">
        <w:rPr>
          <w:color w:val="0000FF"/>
        </w:rPr>
        <w:t>第</w:t>
      </w:r>
      <w:r w:rsidRPr="0097554A">
        <w:rPr>
          <w:color w:val="0000FF"/>
          <w:lang w:val="ru-RU"/>
        </w:rPr>
        <w:t>8</w:t>
      </w:r>
      <w:r w:rsidRPr="004C59BB">
        <w:rPr>
          <w:color w:val="0000FF"/>
        </w:rPr>
        <w:t>章。</w:t>
      </w:r>
    </w:p>
  </w:footnote>
  <w:footnote w:id="1614">
    <w:p w14:paraId="0B9F65D8" w14:textId="0E2362F9"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加布里埃尔</w:t>
      </w:r>
      <w:r w:rsidRPr="0097554A">
        <w:rPr>
          <w:color w:val="0000FF"/>
          <w:lang w:val="ru-RU"/>
        </w:rPr>
        <w:t>·</w:t>
      </w:r>
      <w:r w:rsidRPr="004C59BB">
        <w:rPr>
          <w:color w:val="0000FF"/>
        </w:rPr>
        <w:t>费拉德尔菲</w:t>
      </w:r>
      <w:r w:rsidRPr="0097554A">
        <w:rPr>
          <w:color w:val="0000FF"/>
          <w:lang w:val="ru-RU"/>
        </w:rPr>
        <w:t>，</w:t>
      </w:r>
      <w:r w:rsidRPr="004C59BB">
        <w:rPr>
          <w:color w:val="0000FF"/>
        </w:rPr>
        <w:t>《论圣事》第五章</w:t>
      </w:r>
      <w:r w:rsidRPr="0097554A">
        <w:rPr>
          <w:color w:val="0000FF"/>
          <w:lang w:val="ru-RU"/>
        </w:rPr>
        <w:t>；</w:t>
      </w:r>
      <w:r w:rsidRPr="004C59BB">
        <w:rPr>
          <w:color w:val="0000FF"/>
        </w:rPr>
        <w:t>耶雷米亚</w:t>
      </w:r>
      <w:r w:rsidRPr="0097554A">
        <w:rPr>
          <w:color w:val="0000FF"/>
          <w:lang w:val="ru-RU"/>
        </w:rPr>
        <w:t>，</w:t>
      </w:r>
      <w:r w:rsidRPr="004C59BB">
        <w:rPr>
          <w:color w:val="0000FF"/>
        </w:rPr>
        <w:t>《答问集》第一卷</w:t>
      </w:r>
      <w:r w:rsidRPr="0097554A">
        <w:rPr>
          <w:color w:val="0000FF"/>
          <w:lang w:val="ru-RU"/>
        </w:rPr>
        <w:t>，</w:t>
      </w:r>
      <w:r w:rsidRPr="004C59BB">
        <w:rPr>
          <w:color w:val="0000FF"/>
        </w:rPr>
        <w:t>针对奥古斯丁《信经》第七章</w:t>
      </w:r>
      <w:r w:rsidRPr="0097554A">
        <w:rPr>
          <w:color w:val="0000FF"/>
          <w:lang w:val="ru-RU"/>
        </w:rPr>
        <w:t>（</w:t>
      </w:r>
      <w:r w:rsidRPr="004C59BB">
        <w:rPr>
          <w:color w:val="0000FF"/>
        </w:rPr>
        <w:t>载于《维尔特海姆神学著作集》第</w:t>
      </w:r>
      <w:r w:rsidRPr="0097554A">
        <w:rPr>
          <w:color w:val="0000FF"/>
          <w:lang w:val="ru-RU"/>
        </w:rPr>
        <w:t>77</w:t>
      </w:r>
      <w:r w:rsidRPr="004C59BB">
        <w:rPr>
          <w:color w:val="0000FF"/>
        </w:rPr>
        <w:t>页</w:t>
      </w:r>
      <w:r w:rsidRPr="0097554A">
        <w:rPr>
          <w:color w:val="0000FF"/>
          <w:lang w:val="ru-RU"/>
        </w:rPr>
        <w:t>）</w:t>
      </w:r>
      <w:r w:rsidRPr="004C59BB">
        <w:rPr>
          <w:color w:val="0000FF"/>
          <w:lang w:val="ru-RU"/>
        </w:rPr>
        <w:t>。参见东正教东方天主教会信条，对第98个问题的回答。</w:t>
      </w:r>
    </w:p>
  </w:footnote>
  <w:footnote w:id="1615">
    <w:p w14:paraId="1D4A3952" w14:textId="4D4102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《基督教理问答》关于</w:t>
      </w:r>
      <w:r w:rsidRPr="004C59BB">
        <w:rPr>
          <w:color w:val="0000FF"/>
        </w:rPr>
        <w:t>第十</w:t>
      </w:r>
      <w:r w:rsidRPr="004C59BB">
        <w:rPr>
          <w:color w:val="0000FF"/>
          <w:lang w:val="ru-RU"/>
        </w:rPr>
        <w:t>条的阐述。</w:t>
      </w:r>
    </w:p>
  </w:footnote>
  <w:footnote w:id="1616">
    <w:p w14:paraId="71EA99E3" w14:textId="25B278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众所周知，拉丁教会与新教之间就这一问题展开了相当激烈的争论，正如通常所见，其中不乏极端观点和经院哲学式的细微之争（</w:t>
      </w:r>
      <w:r w:rsidRPr="004C59BB">
        <w:rPr>
          <w:color w:val="0000FF"/>
        </w:rPr>
        <w:t>V</w:t>
      </w:r>
      <w:r w:rsidRPr="004C59BB">
        <w:rPr>
          <w:color w:val="0000FF"/>
          <w:lang w:val="ru-RU"/>
        </w:rPr>
        <w:t xml:space="preserve">. </w:t>
      </w:r>
      <w:r w:rsidRPr="004C59BB">
        <w:rPr>
          <w:color w:val="0000FF"/>
        </w:rPr>
        <w:t>Perrone</w:t>
      </w:r>
      <w:r w:rsidRPr="004C59BB">
        <w:rPr>
          <w:color w:val="0000FF"/>
          <w:lang w:val="ru-RU"/>
        </w:rPr>
        <w:t>. 《神学</w:t>
      </w:r>
      <w:r w:rsidRPr="004C59BB">
        <w:rPr>
          <w:color w:val="0000FF"/>
        </w:rPr>
        <w:t>讲义</w:t>
      </w:r>
      <w:r w:rsidRPr="004C59BB">
        <w:rPr>
          <w:color w:val="0000FF"/>
          <w:lang w:val="ru-RU"/>
        </w:rPr>
        <w:t>》，《</w:t>
      </w:r>
      <w:r w:rsidRPr="004C59BB">
        <w:rPr>
          <w:color w:val="0000FF"/>
        </w:rPr>
        <w:t>论圣事通论</w:t>
      </w:r>
      <w:r w:rsidRPr="004C59BB">
        <w:rPr>
          <w:color w:val="0000FF"/>
          <w:lang w:val="ru-RU"/>
        </w:rPr>
        <w:t>》第3章，第3条）。</w:t>
      </w:r>
    </w:p>
  </w:footnote>
  <w:footnote w:id="1617">
    <w:p w14:paraId="5F8B0CB0" w14:textId="1997C226"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“恩典并非来自人，而是由上帝通过人赐予的：去接受施洗者吧，但在接受时，不要注视你眼前所见之人的面容，而要将我们此刻所谈论的圣灵铭记于心。 因为祂已准备好在你的灵魂上烙下印记（圣基里尔·耶路撒冷，《教义讲授》</w:t>
      </w:r>
      <w:r w:rsidRPr="004C59BB">
        <w:rPr>
          <w:color w:val="0000FF"/>
        </w:rPr>
        <w:t>第十七卷</w:t>
      </w:r>
      <w:r w:rsidRPr="004C59BB">
        <w:rPr>
          <w:color w:val="0000FF"/>
          <w:lang w:val="ru-RU"/>
        </w:rPr>
        <w:t xml:space="preserve">，第35节，第402页）。 </w:t>
      </w:r>
      <w:r w:rsidRPr="0097554A">
        <w:rPr>
          <w:color w:val="0000FF"/>
          <w:lang w:val="ru-RU"/>
        </w:rPr>
        <w:t>“</w:t>
      </w:r>
      <w:r w:rsidRPr="004C59BB">
        <w:rPr>
          <w:color w:val="0000FF"/>
        </w:rPr>
        <w:t>司祭并非使水成圣</w:t>
      </w:r>
      <w:r w:rsidRPr="004C59BB">
        <w:rPr>
          <w:color w:val="0000FF"/>
          <w:lang w:val="ru-RU"/>
        </w:rPr>
        <w:t>，</w:t>
      </w:r>
      <w:r w:rsidRPr="004C59BB">
        <w:rPr>
          <w:color w:val="0000FF"/>
        </w:rPr>
        <w:t>而是借着从上帝那里领受的恩典</w:t>
      </w:r>
      <w:r w:rsidRPr="004C59BB">
        <w:rPr>
          <w:color w:val="0000FF"/>
          <w:lang w:val="ru-RU"/>
        </w:rPr>
        <w:t>，</w:t>
      </w:r>
      <w:r w:rsidRPr="004C59BB">
        <w:rPr>
          <w:color w:val="0000FF"/>
        </w:rPr>
        <w:t>使那应得的恩典得以充满</w:t>
      </w:r>
      <w:r w:rsidRPr="004C59BB">
        <w:rPr>
          <w:color w:val="0000FF"/>
          <w:lang w:val="ru-RU"/>
        </w:rPr>
        <w:t>”（圣亚法纳西</w:t>
      </w:r>
      <w:r w:rsidRPr="004C59BB">
        <w:rPr>
          <w:color w:val="0000FF"/>
        </w:rPr>
        <w:t>《论圣父、圣子及圣灵的</w:t>
      </w:r>
      <w:r w:rsidRPr="004C59BB">
        <w:rPr>
          <w:color w:val="0000FF"/>
          <w:lang w:val="ru-RU"/>
        </w:rPr>
        <w:t>本质》</w:t>
      </w:r>
      <w:r w:rsidRPr="004C59BB">
        <w:rPr>
          <w:color w:val="0000FF"/>
        </w:rPr>
        <w:t>第</w:t>
      </w:r>
      <w:r w:rsidRPr="0097554A">
        <w:rPr>
          <w:color w:val="0000FF"/>
          <w:lang w:val="ru-RU"/>
        </w:rPr>
        <w:t>40</w:t>
      </w:r>
      <w:r w:rsidRPr="004C59BB">
        <w:rPr>
          <w:color w:val="0000FF"/>
        </w:rPr>
        <w:t>章</w:t>
      </w:r>
      <w:r w:rsidRPr="0097554A">
        <w:rPr>
          <w:color w:val="0000FF"/>
          <w:lang w:val="ru-RU"/>
        </w:rPr>
        <w:t>）</w:t>
      </w:r>
      <w:r w:rsidRPr="004C59BB">
        <w:rPr>
          <w:color w:val="0000FF"/>
        </w:rPr>
        <w:t>。</w:t>
      </w:r>
      <w:r w:rsidRPr="0097554A">
        <w:rPr>
          <w:color w:val="0000FF"/>
          <w:lang w:val="ru-RU"/>
        </w:rPr>
        <w:t xml:space="preserve"> </w:t>
      </w:r>
      <w:r w:rsidRPr="004C59BB">
        <w:rPr>
          <w:color w:val="0000FF"/>
        </w:rPr>
        <w:t>参见下文注释</w:t>
      </w:r>
      <w:r w:rsidRPr="0097554A">
        <w:rPr>
          <w:color w:val="0000FF"/>
          <w:lang w:val="ru-RU"/>
        </w:rPr>
        <w:t>1620</w:t>
      </w:r>
      <w:r w:rsidRPr="004C59BB">
        <w:rPr>
          <w:color w:val="0000FF"/>
        </w:rPr>
        <w:t>。</w:t>
      </w:r>
    </w:p>
  </w:footnote>
  <w:footnote w:id="1618">
    <w:p w14:paraId="1C007C96" w14:textId="29348108"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ru-RU"/>
        </w:rPr>
        <w:t xml:space="preserve"> </w:t>
      </w:r>
      <w:r w:rsidRPr="004C59BB">
        <w:rPr>
          <w:color w:val="0000FF"/>
        </w:rPr>
        <w:t>无论是施洗</w:t>
      </w:r>
      <w:r w:rsidRPr="0097554A">
        <w:rPr>
          <w:color w:val="0000FF"/>
          <w:lang w:val="ru-RU"/>
        </w:rPr>
        <w:t>，</w:t>
      </w:r>
      <w:r w:rsidRPr="004C59BB">
        <w:rPr>
          <w:color w:val="0000FF"/>
        </w:rPr>
        <w:t>还是促使人悔改</w:t>
      </w:r>
      <w:r w:rsidRPr="0097554A">
        <w:rPr>
          <w:color w:val="0000FF"/>
          <w:lang w:val="ru-RU"/>
        </w:rPr>
        <w:t>，</w:t>
      </w:r>
      <w:r w:rsidRPr="004C59BB">
        <w:rPr>
          <w:color w:val="0000FF"/>
        </w:rPr>
        <w:t>或是赦免悔罪者的过犯</w:t>
      </w:r>
      <w:r w:rsidRPr="0097554A">
        <w:rPr>
          <w:color w:val="0000FF"/>
          <w:lang w:val="ru-RU"/>
        </w:rPr>
        <w:t>，</w:t>
      </w:r>
      <w:r w:rsidRPr="004C59BB">
        <w:rPr>
          <w:color w:val="0000FF"/>
        </w:rPr>
        <w:t>我们都是借着基督作为主宰来行事的</w:t>
      </w:r>
      <w:r w:rsidRPr="0097554A">
        <w:rPr>
          <w:color w:val="0000FF"/>
          <w:lang w:val="ru-RU"/>
        </w:rPr>
        <w:t>（</w:t>
      </w:r>
      <w:r w:rsidRPr="004C59BB">
        <w:rPr>
          <w:color w:val="0000FF"/>
        </w:rPr>
        <w:t>塔齐安《致西姆普罗尼安书</w:t>
      </w:r>
      <w:r w:rsidRPr="004C59BB">
        <w:rPr>
          <w:color w:val="0000FF"/>
          <w:lang w:val="el-GR"/>
        </w:rPr>
        <w:t>》</w:t>
      </w:r>
      <w:r w:rsidRPr="004C59BB">
        <w:rPr>
          <w:color w:val="0000FF"/>
        </w:rPr>
        <w:t>第三卷</w:t>
      </w:r>
      <w:r w:rsidRPr="0097554A">
        <w:rPr>
          <w:color w:val="0000FF"/>
          <w:lang w:val="ru-RU"/>
        </w:rPr>
        <w:t>，</w:t>
      </w:r>
      <w:r w:rsidRPr="004C59BB">
        <w:rPr>
          <w:color w:val="0000FF"/>
          <w:lang w:val="el-GR"/>
        </w:rPr>
        <w:t>第</w:t>
      </w:r>
      <w:r w:rsidRPr="0097554A">
        <w:rPr>
          <w:color w:val="0000FF"/>
          <w:lang w:val="ru-RU"/>
        </w:rPr>
        <w:t>7</w:t>
      </w:r>
      <w:r w:rsidRPr="004C59BB">
        <w:rPr>
          <w:color w:val="0000FF"/>
          <w:lang w:val="el-GR"/>
        </w:rPr>
        <w:t>节</w:t>
      </w:r>
      <w:r w:rsidRPr="0097554A">
        <w:rPr>
          <w:color w:val="0000FF"/>
          <w:lang w:val="ru-RU"/>
        </w:rPr>
        <w:t>）</w:t>
      </w:r>
      <w:r w:rsidRPr="004C59BB">
        <w:rPr>
          <w:color w:val="0000FF"/>
          <w:lang w:val="el-GR"/>
        </w:rPr>
        <w:t>。</w:t>
      </w:r>
      <w:r w:rsidRPr="004C59BB">
        <w:rPr>
          <w:color w:val="0000FF"/>
        </w:rPr>
        <w:t>参见注</w:t>
      </w:r>
      <w:r w:rsidRPr="004C59BB">
        <w:rPr>
          <w:color w:val="0000FF"/>
          <w:lang w:val="el-GR"/>
        </w:rPr>
        <w:t>释1355、1356。</w:t>
      </w:r>
    </w:p>
  </w:footnote>
  <w:footnote w:id="1619">
    <w:p w14:paraId="72192059" w14:textId="19D9994B"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“人的手虽参与其中，但一切皆由上帝成就；而那触碰受按立者头部的，正是祂的手——只要按立仪式按规定进行”（圣</w:t>
      </w:r>
      <w:r w:rsidRPr="004C59BB">
        <w:rPr>
          <w:color w:val="0000FF"/>
          <w:lang w:val="ru-RU"/>
        </w:rPr>
        <w:t>金口若望</w:t>
      </w:r>
      <w:r w:rsidRPr="0097554A">
        <w:rPr>
          <w:color w:val="0000FF"/>
          <w:lang w:val="el-GR"/>
        </w:rPr>
        <w:t>，</w:t>
      </w:r>
      <w:r w:rsidRPr="004C59BB">
        <w:rPr>
          <w:color w:val="0000FF"/>
        </w:rPr>
        <w:t>《讲道</w:t>
      </w:r>
      <w:r w:rsidRPr="004C59BB">
        <w:rPr>
          <w:color w:val="0000FF"/>
          <w:lang w:val="ru-RU"/>
        </w:rPr>
        <w:t>集》</w:t>
      </w:r>
      <w:r w:rsidRPr="004C59BB">
        <w:rPr>
          <w:color w:val="0000FF"/>
        </w:rPr>
        <w:t>第十四</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3</w:t>
      </w:r>
      <w:r w:rsidRPr="004C59BB">
        <w:rPr>
          <w:color w:val="0000FF"/>
          <w:lang w:val="ru-RU"/>
        </w:rPr>
        <w:t>号</w:t>
      </w:r>
      <w:r w:rsidRPr="0097554A">
        <w:rPr>
          <w:color w:val="0000FF"/>
          <w:lang w:val="el-GR"/>
        </w:rPr>
        <w:t>）</w:t>
      </w:r>
      <w:r w:rsidRPr="004C59BB">
        <w:rPr>
          <w:color w:val="0000FF"/>
          <w:lang w:val="ru-RU"/>
        </w:rPr>
        <w:t>。</w:t>
      </w:r>
      <w:r w:rsidRPr="0097554A">
        <w:rPr>
          <w:color w:val="0000FF"/>
          <w:lang w:val="el-GR"/>
        </w:rPr>
        <w:t xml:space="preserve"> </w:t>
      </w:r>
      <w:r w:rsidRPr="004C59BB">
        <w:rPr>
          <w:color w:val="0000FF"/>
          <w:lang w:val="ru-RU"/>
        </w:rPr>
        <w:t>约</w:t>
      </w:r>
      <w:r w:rsidRPr="0097554A">
        <w:rPr>
          <w:color w:val="0000FF"/>
          <w:lang w:val="el-GR"/>
        </w:rPr>
        <w:t>1550</w:t>
      </w:r>
      <w:r w:rsidRPr="004C59BB">
        <w:rPr>
          <w:color w:val="0000FF"/>
          <w:lang w:val="ru-RU"/>
        </w:rPr>
        <w:t>年。</w:t>
      </w:r>
    </w:p>
  </w:footnote>
  <w:footnote w:id="1620">
    <w:p w14:paraId="4EC8194C" w14:textId="10A545CB"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el-GR"/>
        </w:rPr>
        <w:t xml:space="preserve"> “</w:t>
      </w:r>
      <w:r w:rsidRPr="004C59BB">
        <w:rPr>
          <w:color w:val="0000FF"/>
          <w:lang w:val="ru-RU"/>
        </w:rPr>
        <w:t>你们要相信</w:t>
      </w:r>
      <w:r w:rsidRPr="0097554A">
        <w:rPr>
          <w:color w:val="0000FF"/>
          <w:lang w:val="el-GR"/>
        </w:rPr>
        <w:t>，</w:t>
      </w:r>
      <w:r w:rsidRPr="004C59BB">
        <w:rPr>
          <w:color w:val="0000FF"/>
          <w:lang w:val="ru-RU"/>
        </w:rPr>
        <w:t>如今所举行的正是那次圣餐</w:t>
      </w:r>
      <w:r w:rsidRPr="0097554A">
        <w:rPr>
          <w:color w:val="0000FF"/>
          <w:lang w:val="el-GR"/>
        </w:rPr>
        <w:t>，</w:t>
      </w:r>
      <w:r w:rsidRPr="004C59BB">
        <w:rPr>
          <w:color w:val="0000FF"/>
          <w:lang w:val="ru-RU"/>
        </w:rPr>
        <w:t>当时祂</w:t>
      </w:r>
      <w:r w:rsidRPr="0097554A">
        <w:rPr>
          <w:color w:val="0000FF"/>
          <w:lang w:val="el-GR"/>
        </w:rPr>
        <w:t>（</w:t>
      </w:r>
      <w:r w:rsidRPr="004C59BB">
        <w:rPr>
          <w:color w:val="0000FF"/>
          <w:lang w:val="ru-RU"/>
        </w:rPr>
        <w:t>耶稣基督</w:t>
      </w:r>
      <w:r w:rsidRPr="0097554A">
        <w:rPr>
          <w:color w:val="0000FF"/>
          <w:lang w:val="el-GR"/>
        </w:rPr>
        <w:t>）</w:t>
      </w:r>
      <w:r w:rsidRPr="004C59BB">
        <w:rPr>
          <w:color w:val="0000FF"/>
          <w:lang w:val="ru-RU"/>
        </w:rPr>
        <w:t>亲自参与其中。因为两者之间毫无区别。 不能说这一场是由人主持的，而那一场是由基督主持的：恰恰相反，这两场都是祂亲自主持的。因此，当你看到神父将圣礼赐予你时，要想象，这不是神父在做，而是基督正向你伸出双手。 正如在洗礼时，并非神父为你施洗，而是上帝以无形之力托住你的头，无论是天使、大天使，还是其他任何人，都不敢上前触碰；领圣体时也是如此。 “若唯独上帝使人重生，那么这恩赐便唯独属于祂”（金口若望《马太福音讲道集》第2篇，第11卷，第357页）。</w:t>
      </w:r>
    </w:p>
  </w:footnote>
  <w:footnote w:id="1621">
    <w:p w14:paraId="3DDAF00B" w14:textId="2B404751"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《论圣洗礼》讲道，载于《圣教父文集》</w:t>
      </w:r>
      <w:r w:rsidRPr="004C59BB">
        <w:rPr>
          <w:color w:val="0000FF"/>
        </w:rPr>
        <w:t>第三卷</w:t>
      </w:r>
      <w:r w:rsidRPr="0097554A">
        <w:rPr>
          <w:color w:val="0000FF"/>
          <w:lang w:val="ru-RU"/>
        </w:rPr>
        <w:t>，</w:t>
      </w:r>
      <w:r w:rsidRPr="004C59BB">
        <w:rPr>
          <w:color w:val="0000FF"/>
        </w:rPr>
        <w:t>第</w:t>
      </w:r>
      <w:r w:rsidRPr="0097554A">
        <w:rPr>
          <w:color w:val="0000FF"/>
          <w:lang w:val="ru-RU"/>
        </w:rPr>
        <w:t>298–299</w:t>
      </w:r>
      <w:r w:rsidRPr="004C59BB">
        <w:rPr>
          <w:color w:val="0000FF"/>
        </w:rPr>
        <w:t>页。</w:t>
      </w:r>
    </w:p>
  </w:footnote>
  <w:footnote w:id="1622">
    <w:p w14:paraId="7558A148" w14:textId="6934E895"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ru-RU"/>
        </w:rPr>
        <w:t xml:space="preserve"> </w:t>
      </w:r>
      <w:r w:rsidRPr="004C59BB">
        <w:rPr>
          <w:color w:val="0000FF"/>
        </w:rPr>
        <w:t>《哥林多前书讲道集》第八</w:t>
      </w:r>
      <w:r w:rsidRPr="004C59BB">
        <w:rPr>
          <w:color w:val="0000FF"/>
          <w:lang w:val="el-GR"/>
        </w:rPr>
        <w:t>篇</w:t>
      </w:r>
      <w:r w:rsidRPr="0097554A">
        <w:rPr>
          <w:color w:val="0000FF"/>
          <w:lang w:val="ru-RU"/>
        </w:rPr>
        <w:t>，</w:t>
      </w:r>
      <w:r w:rsidRPr="004C59BB">
        <w:rPr>
          <w:color w:val="0000FF"/>
          <w:lang w:val="el-GR"/>
        </w:rPr>
        <w:t>第</w:t>
      </w:r>
      <w:r w:rsidRPr="0097554A">
        <w:rPr>
          <w:color w:val="0000FF"/>
          <w:lang w:val="ru-RU"/>
        </w:rPr>
        <w:t>1</w:t>
      </w:r>
      <w:r w:rsidRPr="004C59BB">
        <w:rPr>
          <w:color w:val="0000FF"/>
          <w:lang w:val="el-GR"/>
        </w:rPr>
        <w:t>节</w:t>
      </w:r>
      <w:r w:rsidRPr="0097554A">
        <w:rPr>
          <w:color w:val="0000FF"/>
          <w:lang w:val="ru-RU"/>
        </w:rPr>
        <w:t>……“</w:t>
      </w:r>
      <w:r w:rsidRPr="004C59BB">
        <w:rPr>
          <w:color w:val="0000FF"/>
          <w:lang w:val="el-GR"/>
        </w:rPr>
        <w:t>但这一切都是出于上帝的大能</w:t>
      </w:r>
      <w:r w:rsidRPr="0097554A">
        <w:rPr>
          <w:color w:val="0000FF"/>
          <w:lang w:val="ru-RU"/>
        </w:rPr>
        <w:t>，</w:t>
      </w:r>
      <w:r w:rsidRPr="004C59BB">
        <w:rPr>
          <w:color w:val="0000FF"/>
          <w:lang w:val="el-GR"/>
        </w:rPr>
        <w:t>而祂正是引导你们进入奥秘的那一位。”</w:t>
      </w:r>
    </w:p>
  </w:footnote>
  <w:footnote w:id="1623">
    <w:p w14:paraId="038FE90F" w14:textId="6521A2BC"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第三卷</w:t>
      </w:r>
      <w:r w:rsidRPr="0097554A">
        <w:rPr>
          <w:color w:val="0000FF"/>
          <w:lang w:val="el-GR"/>
        </w:rPr>
        <w:t>，</w:t>
      </w:r>
      <w:r w:rsidRPr="004C59BB">
        <w:rPr>
          <w:color w:val="0000FF"/>
        </w:rPr>
        <w:t>第</w:t>
      </w:r>
      <w:r w:rsidRPr="0097554A">
        <w:rPr>
          <w:color w:val="0000FF"/>
          <w:lang w:val="el-GR"/>
        </w:rPr>
        <w:t>340</w:t>
      </w:r>
      <w:r w:rsidRPr="004C59BB">
        <w:rPr>
          <w:color w:val="0000FF"/>
        </w:rPr>
        <w:t>封书信。</w:t>
      </w:r>
    </w:p>
  </w:footnote>
  <w:footnote w:id="1624">
    <w:p w14:paraId="74710B71" w14:textId="107BE129"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致多纳图斯派的书信第CV封</w:t>
      </w:r>
      <w:r w:rsidRPr="0097554A">
        <w:rPr>
          <w:color w:val="0000FF"/>
          <w:lang w:val="el-GR"/>
        </w:rPr>
        <w:t>，</w:t>
      </w:r>
      <w:r w:rsidRPr="004C59BB">
        <w:rPr>
          <w:color w:val="0000FF"/>
        </w:rPr>
        <w:t>第</w:t>
      </w:r>
      <w:r w:rsidRPr="0097554A">
        <w:rPr>
          <w:color w:val="0000FF"/>
          <w:lang w:val="el-GR"/>
        </w:rPr>
        <w:t>12</w:t>
      </w:r>
      <w:r w:rsidRPr="004C59BB">
        <w:rPr>
          <w:color w:val="0000FF"/>
        </w:rPr>
        <w:t>段。</w:t>
      </w:r>
    </w:p>
  </w:footnote>
  <w:footnote w:id="1625">
    <w:p w14:paraId="5A251412" w14:textId="3BF9B23D" w:rsidR="00254F25" w:rsidRPr="0097554A" w:rsidRDefault="00000000">
      <w:pPr>
        <w:pStyle w:val="FootnoteText"/>
        <w:rPr>
          <w:color w:val="0000FF"/>
        </w:rPr>
      </w:pPr>
      <w:r w:rsidRPr="004C59BB">
        <w:rPr>
          <w:rStyle w:val="FootnoteReference"/>
          <w:color w:val="0000FF"/>
        </w:rPr>
        <w:footnoteRef/>
      </w:r>
      <w:r w:rsidRPr="0097554A">
        <w:rPr>
          <w:color w:val="0000FF"/>
          <w:lang w:val="el-GR"/>
        </w:rPr>
        <w:t xml:space="preserve"> </w:t>
      </w:r>
      <w:r w:rsidRPr="004C59BB">
        <w:rPr>
          <w:color w:val="0000FF"/>
        </w:rPr>
        <w:t>《反佩蒂利乌斯论》第</w:t>
      </w:r>
      <w:r w:rsidRPr="0097554A">
        <w:rPr>
          <w:color w:val="0000FF"/>
          <w:lang w:val="el-GR"/>
        </w:rPr>
        <w:t>11</w:t>
      </w:r>
      <w:r w:rsidRPr="004C59BB">
        <w:rPr>
          <w:color w:val="0000FF"/>
        </w:rPr>
        <w:t>卷</w:t>
      </w:r>
      <w:r w:rsidRPr="0097554A">
        <w:rPr>
          <w:color w:val="0000FF"/>
          <w:lang w:val="el-GR"/>
        </w:rPr>
        <w:t>，</w:t>
      </w:r>
      <w:r w:rsidRPr="004C59BB">
        <w:rPr>
          <w:color w:val="0000FF"/>
        </w:rPr>
        <w:t>第</w:t>
      </w:r>
      <w:r w:rsidRPr="0097554A">
        <w:rPr>
          <w:color w:val="0000FF"/>
          <w:lang w:val="el-GR"/>
        </w:rPr>
        <w:t>37</w:t>
      </w:r>
      <w:r w:rsidRPr="004C59BB">
        <w:rPr>
          <w:color w:val="0000FF"/>
        </w:rPr>
        <w:t>章</w:t>
      </w:r>
      <w:r w:rsidRPr="0097554A">
        <w:rPr>
          <w:color w:val="0000FF"/>
          <w:lang w:val="el-GR"/>
        </w:rPr>
        <w:t>，</w:t>
      </w:r>
      <w:r w:rsidRPr="004C59BB">
        <w:rPr>
          <w:color w:val="0000FF"/>
        </w:rPr>
        <w:t>第</w:t>
      </w:r>
      <w:r w:rsidRPr="0097554A">
        <w:rPr>
          <w:color w:val="0000FF"/>
          <w:lang w:val="el-GR"/>
        </w:rPr>
        <w:t>88</w:t>
      </w:r>
      <w:r w:rsidRPr="004C59BB">
        <w:rPr>
          <w:color w:val="0000FF"/>
        </w:rPr>
        <w:t>节。此外：施洗者在可见的事工上既施予善也施予恶，但在不可见之处，却是那位既赐下可见的洗礼又赐下不可见的恩典者，借着他们施洗（《反克雷斯孔论</w:t>
      </w:r>
      <w:r w:rsidRPr="004C59BB">
        <w:rPr>
          <w:color w:val="0000FF"/>
          <w:lang w:val="el-GR"/>
        </w:rPr>
        <w:t>》</w:t>
      </w:r>
      <w:r w:rsidRPr="004C59BB">
        <w:rPr>
          <w:color w:val="0000FF"/>
        </w:rPr>
        <w:t>第II</w:t>
      </w:r>
      <w:r w:rsidRPr="004C59BB">
        <w:rPr>
          <w:color w:val="0000FF"/>
          <w:lang w:val="el-GR"/>
        </w:rPr>
        <w:t>卷</w:t>
      </w:r>
      <w:r w:rsidRPr="0097554A">
        <w:rPr>
          <w:color w:val="0000FF"/>
        </w:rPr>
        <w:t>，</w:t>
      </w:r>
      <w:r w:rsidRPr="004C59BB">
        <w:rPr>
          <w:color w:val="0000FF"/>
          <w:lang w:val="el-GR"/>
        </w:rPr>
        <w:t>第</w:t>
      </w:r>
      <w:r w:rsidRPr="0097554A">
        <w:rPr>
          <w:color w:val="0000FF"/>
        </w:rPr>
        <w:t>21</w:t>
      </w:r>
      <w:r w:rsidRPr="004C59BB">
        <w:rPr>
          <w:color w:val="0000FF"/>
          <w:lang w:val="el-GR"/>
        </w:rPr>
        <w:t>章</w:t>
      </w:r>
      <w:r w:rsidRPr="0097554A">
        <w:rPr>
          <w:color w:val="0000FF"/>
        </w:rPr>
        <w:t>，</w:t>
      </w:r>
      <w:r w:rsidRPr="004C59BB">
        <w:rPr>
          <w:color w:val="0000FF"/>
          <w:lang w:val="el-GR"/>
        </w:rPr>
        <w:t>第</w:t>
      </w:r>
      <w:r w:rsidRPr="0097554A">
        <w:rPr>
          <w:color w:val="0000FF"/>
        </w:rPr>
        <w:t>26</w:t>
      </w:r>
      <w:r w:rsidRPr="004C59BB">
        <w:rPr>
          <w:color w:val="0000FF"/>
          <w:lang w:val="el-GR"/>
        </w:rPr>
        <w:t>节</w:t>
      </w:r>
      <w:r w:rsidRPr="0097554A">
        <w:rPr>
          <w:color w:val="0000FF"/>
        </w:rPr>
        <w:t>）</w:t>
      </w:r>
      <w:r w:rsidRPr="004C59BB">
        <w:rPr>
          <w:color w:val="0000FF"/>
          <w:lang w:val="el-GR"/>
        </w:rPr>
        <w:t>。</w:t>
      </w:r>
    </w:p>
  </w:footnote>
  <w:footnote w:id="1626">
    <w:p w14:paraId="7B607BA4" w14:textId="7D82FB2B"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正如我们借着不配的司祭而得以成圣。</w:t>
      </w:r>
      <w:r w:rsidRPr="004C59BB">
        <w:rPr>
          <w:color w:val="0000FF"/>
        </w:rPr>
        <w:t>见《马太福音》第七章。</w:t>
      </w:r>
    </w:p>
  </w:footnote>
  <w:footnote w:id="1627">
    <w:p w14:paraId="45BCCC85" w14:textId="03D3B031"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奥古斯丁，《约翰福音讲义》第五卷，第15节；《反克雷斯康》第三卷，第8章；《论洗礼》第三</w:t>
      </w:r>
      <w:r w:rsidRPr="004C59BB">
        <w:rPr>
          <w:color w:val="0000FF"/>
          <w:lang w:val="ru-RU"/>
        </w:rPr>
        <w:t>卷</w:t>
      </w:r>
      <w:r w:rsidRPr="0097554A">
        <w:rPr>
          <w:color w:val="0000FF"/>
        </w:rPr>
        <w:t>，</w:t>
      </w:r>
      <w:r w:rsidRPr="004C59BB">
        <w:rPr>
          <w:color w:val="0000FF"/>
          <w:lang w:val="ru-RU"/>
        </w:rPr>
        <w:t>第</w:t>
      </w:r>
      <w:r w:rsidRPr="0097554A">
        <w:rPr>
          <w:color w:val="0000FF"/>
        </w:rPr>
        <w:t>10</w:t>
      </w:r>
      <w:r w:rsidRPr="004C59BB">
        <w:rPr>
          <w:color w:val="0000FF"/>
          <w:lang w:val="ru-RU"/>
        </w:rPr>
        <w:t>章</w:t>
      </w:r>
      <w:r w:rsidRPr="0097554A">
        <w:rPr>
          <w:color w:val="0000FF"/>
        </w:rPr>
        <w:t>，</w:t>
      </w:r>
      <w:r w:rsidRPr="004C59BB">
        <w:rPr>
          <w:color w:val="0000FF"/>
          <w:lang w:val="ru-RU"/>
        </w:rPr>
        <w:t>第</w:t>
      </w:r>
      <w:r w:rsidRPr="0097554A">
        <w:rPr>
          <w:color w:val="0000FF"/>
        </w:rPr>
        <w:t>15</w:t>
      </w:r>
      <w:r w:rsidRPr="004C59BB">
        <w:rPr>
          <w:color w:val="0000FF"/>
          <w:lang w:val="ru-RU"/>
        </w:rPr>
        <w:t>节。</w:t>
      </w:r>
    </w:p>
  </w:footnote>
  <w:footnote w:id="1628">
    <w:p w14:paraId="4A7E9690" w14:textId="2302A7AB"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并将再次带着荣耀降临</w:t>
      </w:r>
      <w:r w:rsidRPr="0097554A">
        <w:rPr>
          <w:color w:val="0000FF"/>
        </w:rPr>
        <w:t>，</w:t>
      </w:r>
      <w:r w:rsidRPr="004C59BB">
        <w:rPr>
          <w:color w:val="0000FF"/>
          <w:lang w:val="ru-RU"/>
        </w:rPr>
        <w:t>审判活人与死人。</w:t>
      </w:r>
      <w:r w:rsidRPr="0097554A">
        <w:rPr>
          <w:color w:val="0000FF"/>
        </w:rPr>
        <w:t>”</w:t>
      </w:r>
      <w:r w:rsidRPr="004C59BB">
        <w:rPr>
          <w:color w:val="0000FF"/>
          <w:lang w:val="ru-RU"/>
        </w:rPr>
        <w:t>在礼拜书卷中亦有记载</w:t>
      </w:r>
      <w:r w:rsidRPr="0097554A">
        <w:rPr>
          <w:color w:val="0000FF"/>
        </w:rPr>
        <w:t>： “</w:t>
      </w:r>
      <w:r w:rsidRPr="004C59BB">
        <w:rPr>
          <w:color w:val="0000FF"/>
          <w:lang w:val="ru-RU"/>
        </w:rPr>
        <w:t>圣母</w:t>
      </w:r>
      <w:r w:rsidRPr="0097554A">
        <w:rPr>
          <w:color w:val="0000FF"/>
        </w:rPr>
        <w:t>，</w:t>
      </w:r>
      <w:r w:rsidRPr="004C59BB">
        <w:rPr>
          <w:color w:val="0000FF"/>
          <w:lang w:val="ru-RU"/>
        </w:rPr>
        <w:t>你曾孕育了超乎本性的圣子</w:t>
      </w:r>
      <w:r w:rsidRPr="0097554A">
        <w:rPr>
          <w:color w:val="0000FF"/>
        </w:rPr>
        <w:t>，</w:t>
      </w:r>
      <w:r w:rsidRPr="004C59BB">
        <w:rPr>
          <w:color w:val="0000FF"/>
          <w:lang w:val="ru-RU"/>
        </w:rPr>
        <w:t>祂是审判生者与死者、审判全地的主</w:t>
      </w:r>
      <w:r w:rsidRPr="0097554A">
        <w:rPr>
          <w:color w:val="0000FF"/>
        </w:rPr>
        <w:t>，</w:t>
      </w:r>
      <w:r w:rsidRPr="004C59BB">
        <w:rPr>
          <w:color w:val="0000FF"/>
          <w:lang w:val="ru-RU"/>
        </w:rPr>
        <w:t>并拯救那些祂所眷顾之人脱离苦难</w:t>
      </w:r>
      <w:r w:rsidRPr="0097554A">
        <w:rPr>
          <w:color w:val="0000FF"/>
        </w:rPr>
        <w:t>，</w:t>
      </w:r>
      <w:r w:rsidRPr="004C59BB">
        <w:rPr>
          <w:color w:val="0000FF"/>
          <w:lang w:val="ru-RU"/>
        </w:rPr>
        <w:t>尤其是那些以敬爱之心通过圣像敬拜祂、并永远颂扬圣母的人</w:t>
      </w:r>
      <w:r w:rsidRPr="0097554A">
        <w:rPr>
          <w:color w:val="0000FF"/>
        </w:rPr>
        <w:t>”（</w:t>
      </w:r>
      <w:r w:rsidRPr="004C59BB">
        <w:rPr>
          <w:color w:val="0000FF"/>
          <w:lang w:val="ru-RU"/>
        </w:rPr>
        <w:t>《礼仪书》第</w:t>
      </w:r>
      <w:r w:rsidRPr="0097554A">
        <w:rPr>
          <w:color w:val="0000FF"/>
        </w:rPr>
        <w:t>144</w:t>
      </w:r>
      <w:r w:rsidRPr="004C59BB">
        <w:rPr>
          <w:color w:val="0000FF"/>
          <w:lang w:val="ru-RU"/>
        </w:rPr>
        <w:t>页</w:t>
      </w:r>
      <w:r w:rsidRPr="0097554A">
        <w:rPr>
          <w:color w:val="0000FF"/>
        </w:rPr>
        <w:t xml:space="preserve">， </w:t>
      </w:r>
      <w:r w:rsidRPr="004C59BB">
        <w:rPr>
          <w:color w:val="0000FF"/>
          <w:lang w:val="ru-RU"/>
        </w:rPr>
        <w:t>莫斯科</w:t>
      </w:r>
      <w:r w:rsidRPr="0097554A">
        <w:rPr>
          <w:color w:val="0000FF"/>
        </w:rPr>
        <w:t>，1836</w:t>
      </w:r>
      <w:r w:rsidRPr="004C59BB">
        <w:rPr>
          <w:color w:val="0000FF"/>
          <w:lang w:val="ru-RU"/>
        </w:rPr>
        <w:t>年</w:t>
      </w:r>
      <w:r w:rsidRPr="0097554A">
        <w:rPr>
          <w:color w:val="0000FF"/>
        </w:rPr>
        <w:t>）</w:t>
      </w:r>
      <w:r w:rsidRPr="004C59BB">
        <w:rPr>
          <w:color w:val="0000FF"/>
          <w:lang w:val="ru-RU"/>
        </w:rPr>
        <w:t>。“站在祢那威严、令人战栗且可畏的宝座前，基督啊，正如自古以来逝去之人，他们期待祢公义的判决，并接受祢神圣的审判”（《八日书》第1卷，第158页背面，莫斯科，1838年）。</w:t>
      </w:r>
    </w:p>
  </w:footnote>
  <w:footnote w:id="1629">
    <w:p w14:paraId="4E1F4520" w14:textId="4556CA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巴尔纳巴书信，第7节；尤斯丁，《护教论》第1卷，第8节；《与特里丰的对话》，第125节；伊里内乌斯，《</w:t>
      </w:r>
      <w:r w:rsidRPr="004C59BB">
        <w:rPr>
          <w:color w:val="0000FF"/>
        </w:rPr>
        <w:t>反异端</w:t>
      </w:r>
      <w:r w:rsidRPr="004C59BB">
        <w:rPr>
          <w:color w:val="0000FF"/>
          <w:lang w:val="ru-RU"/>
        </w:rPr>
        <w:t>》第111卷，第16章，注6；</w:t>
      </w:r>
      <w:r w:rsidRPr="004C59BB">
        <w:rPr>
          <w:color w:val="0000FF"/>
        </w:rPr>
        <w:t>第IV卷</w:t>
      </w:r>
      <w:r w:rsidRPr="004C59BB">
        <w:rPr>
          <w:color w:val="0000FF"/>
          <w:lang w:val="ru-RU"/>
        </w:rPr>
        <w:t>，第33章，注3；特土良，《</w:t>
      </w:r>
      <w:r w:rsidRPr="004C59BB">
        <w:rPr>
          <w:color w:val="0000FF"/>
        </w:rPr>
        <w:t>论异端预言</w:t>
      </w:r>
      <w:r w:rsidRPr="004C59BB">
        <w:rPr>
          <w:color w:val="0000FF"/>
          <w:lang w:val="ru-RU"/>
        </w:rPr>
        <w:t>》，注13。</w:t>
      </w:r>
    </w:p>
  </w:footnote>
  <w:footnote w:id="1630">
    <w:p w14:paraId="455CB19F" w14:textId="2B38E8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《讲道集》</w:t>
      </w:r>
      <w:r w:rsidRPr="004C59BB">
        <w:rPr>
          <w:color w:val="0000FF"/>
        </w:rPr>
        <w:t>第十五</w:t>
      </w:r>
      <w:r w:rsidRPr="004C59BB">
        <w:rPr>
          <w:color w:val="0000FF"/>
          <w:lang w:val="ru-RU"/>
        </w:rPr>
        <w:t>卷，第26段，第333页，俄文译本。</w:t>
      </w:r>
    </w:p>
  </w:footnote>
  <w:footnote w:id="1631">
    <w:p w14:paraId="18064E1C" w14:textId="6D0233A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《公开讲道》</w:t>
      </w:r>
      <w:r w:rsidRPr="004C59BB">
        <w:rPr>
          <w:color w:val="0000FF"/>
        </w:rPr>
        <w:t>第十八卷</w:t>
      </w:r>
      <w:r w:rsidRPr="004C59BB">
        <w:rPr>
          <w:color w:val="0000FF"/>
          <w:lang w:val="ru-RU"/>
        </w:rPr>
        <w:t>，第14段，第417–418页。</w:t>
      </w:r>
    </w:p>
  </w:footnote>
  <w:footnote w:id="1632">
    <w:p w14:paraId="73190ACA" w14:textId="42D4C4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《道德法则》第1卷，第2和第5章，载于《圣教父文集》</w:t>
      </w:r>
      <w:r w:rsidRPr="004C59BB">
        <w:rPr>
          <w:color w:val="0000FF"/>
        </w:rPr>
        <w:t>第VII</w:t>
      </w:r>
      <w:r w:rsidRPr="004C59BB">
        <w:rPr>
          <w:color w:val="0000FF"/>
          <w:lang w:val="ru-RU"/>
        </w:rPr>
        <w:t>卷，第359、361页。</w:t>
      </w:r>
    </w:p>
  </w:footnote>
  <w:footnote w:id="1633">
    <w:p w14:paraId="321C20BF" w14:textId="1C9327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《词汇》</w:t>
      </w:r>
      <w:r w:rsidRPr="004C59BB">
        <w:rPr>
          <w:color w:val="0000FF"/>
        </w:rPr>
        <w:t>第十五卷</w:t>
      </w:r>
      <w:r w:rsidRPr="004C59BB">
        <w:rPr>
          <w:color w:val="0000FF"/>
          <w:lang w:val="ru-RU"/>
        </w:rPr>
        <w:t>，收录于《圣教父文集》</w:t>
      </w:r>
      <w:r w:rsidRPr="004C59BB">
        <w:rPr>
          <w:color w:val="0000FF"/>
        </w:rPr>
        <w:t>第二卷</w:t>
      </w:r>
      <w:r w:rsidRPr="004C59BB">
        <w:rPr>
          <w:color w:val="0000FF"/>
          <w:lang w:val="ru-RU"/>
        </w:rPr>
        <w:t>，第54页。</w:t>
      </w:r>
    </w:p>
  </w:footnote>
  <w:footnote w:id="1634">
    <w:p w14:paraId="409D2FD8" w14:textId="7569B0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《马太福音讲道集》</w:t>
      </w:r>
      <w:r w:rsidRPr="004C59BB">
        <w:rPr>
          <w:color w:val="0000FF"/>
        </w:rPr>
        <w:t>第XXXVI</w:t>
      </w:r>
      <w:r w:rsidRPr="004C59BB">
        <w:rPr>
          <w:color w:val="0000FF"/>
          <w:lang w:val="ru-RU"/>
        </w:rPr>
        <w:t>篇，载于</w:t>
      </w:r>
      <w:r w:rsidRPr="004C59BB">
        <w:rPr>
          <w:color w:val="0000FF"/>
        </w:rPr>
        <w:t>第II</w:t>
      </w:r>
      <w:r w:rsidRPr="004C59BB">
        <w:rPr>
          <w:color w:val="0000FF"/>
          <w:lang w:val="ru-RU"/>
        </w:rPr>
        <w:t>卷，第139页（俄文译本）。</w:t>
      </w:r>
    </w:p>
  </w:footnote>
  <w:footnote w:id="1635">
    <w:p w14:paraId="1F5683B3" w14:textId="08B2E88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《诗篇》第九篇</w:t>
      </w:r>
      <w:r w:rsidRPr="0097554A">
        <w:rPr>
          <w:color w:val="0000FF"/>
          <w:lang w:val="ru-RU"/>
        </w:rPr>
        <w:t>，</w:t>
      </w:r>
      <w:r w:rsidRPr="004C59BB">
        <w:rPr>
          <w:color w:val="0000FF"/>
        </w:rPr>
        <w:t>注释第</w:t>
      </w:r>
      <w:r w:rsidRPr="0097554A">
        <w:rPr>
          <w:color w:val="0000FF"/>
          <w:lang w:val="ru-RU"/>
        </w:rPr>
        <w:t>4</w:t>
      </w:r>
      <w:r w:rsidRPr="004C59BB">
        <w:rPr>
          <w:color w:val="0000FF"/>
        </w:rPr>
        <w:t>条。</w:t>
      </w:r>
    </w:p>
  </w:footnote>
  <w:footnote w:id="1636">
    <w:p w14:paraId="0AE4A55E" w14:textId="2D807B6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《诗篇》第六篇第</w:t>
      </w:r>
      <w:r w:rsidRPr="0097554A">
        <w:rPr>
          <w:color w:val="0000FF"/>
          <w:lang w:val="ru-RU"/>
        </w:rPr>
        <w:t>6</w:t>
      </w:r>
      <w:r w:rsidRPr="004C59BB">
        <w:rPr>
          <w:color w:val="0000FF"/>
        </w:rPr>
        <w:t>节</w:t>
      </w:r>
      <w:r w:rsidRPr="0097554A">
        <w:rPr>
          <w:color w:val="0000FF"/>
          <w:lang w:val="ru-RU"/>
        </w:rPr>
        <w:t>；</w:t>
      </w:r>
      <w:r w:rsidRPr="004C59BB">
        <w:rPr>
          <w:color w:val="0000FF"/>
        </w:rPr>
        <w:t>参见《诗篇》第九十四篇第</w:t>
      </w:r>
      <w:r w:rsidRPr="0097554A">
        <w:rPr>
          <w:color w:val="0000FF"/>
          <w:lang w:val="ru-RU"/>
        </w:rPr>
        <w:t>1</w:t>
      </w:r>
      <w:r w:rsidRPr="004C59BB">
        <w:rPr>
          <w:color w:val="0000FF"/>
        </w:rPr>
        <w:t>节。</w:t>
      </w:r>
    </w:p>
  </w:footnote>
  <w:footnote w:id="1637">
    <w:p w14:paraId="630191CA" w14:textId="686D38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《路加福音》第6章注释。</w:t>
      </w:r>
    </w:p>
  </w:footnote>
  <w:footnote w:id="1638">
    <w:p w14:paraId="57BDAF40" w14:textId="75F58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《马太福音》第22章的注释。</w:t>
      </w:r>
    </w:p>
  </w:footnote>
  <w:footnote w:id="1639">
    <w:p w14:paraId="50F166F2" w14:textId="3612A0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对同一位福音书作者《路加福音》第25章的注释。</w:t>
      </w:r>
    </w:p>
  </w:footnote>
  <w:footnote w:id="1640">
    <w:p w14:paraId="2E579266" w14:textId="5D10009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《圣诗集》</w:t>
      </w:r>
      <w:r w:rsidRPr="004C59BB">
        <w:rPr>
          <w:color w:val="0000FF"/>
        </w:rPr>
        <w:t>第XXII</w:t>
      </w:r>
      <w:r w:rsidRPr="004C59BB">
        <w:rPr>
          <w:color w:val="0000FF"/>
          <w:lang w:val="ru-RU"/>
        </w:rPr>
        <w:t>卷，对大阿法纳西的颂词，载于《圣父著作集》</w:t>
      </w:r>
      <w:r w:rsidRPr="004C59BB">
        <w:rPr>
          <w:color w:val="0000FF"/>
        </w:rPr>
        <w:t>第II</w:t>
      </w:r>
      <w:r w:rsidRPr="004C59BB">
        <w:rPr>
          <w:color w:val="0000FF"/>
          <w:lang w:val="ru-RU"/>
        </w:rPr>
        <w:t>卷，第200页。</w:t>
      </w:r>
    </w:p>
  </w:footnote>
  <w:footnote w:id="1641">
    <w:p w14:paraId="4BB9BAAB" w14:textId="578046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《马太福音讲道集》</w:t>
      </w:r>
      <w:r w:rsidRPr="004C59BB">
        <w:rPr>
          <w:color w:val="0000FF"/>
        </w:rPr>
        <w:t>第十四</w:t>
      </w:r>
      <w:r w:rsidRPr="004C59BB">
        <w:rPr>
          <w:color w:val="0000FF"/>
          <w:lang w:val="ru-RU"/>
        </w:rPr>
        <w:t>篇，第4节，</w:t>
      </w:r>
      <w:r w:rsidRPr="004C59BB">
        <w:rPr>
          <w:color w:val="0000FF"/>
        </w:rPr>
        <w:t>第一</w:t>
      </w:r>
      <w:r w:rsidRPr="004C59BB">
        <w:rPr>
          <w:color w:val="0000FF"/>
          <w:lang w:val="ru-RU"/>
        </w:rPr>
        <w:t>卷，第263页。</w:t>
      </w:r>
    </w:p>
  </w:footnote>
  <w:footnote w:id="1642">
    <w:p w14:paraId="15D3D417" w14:textId="484450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《马太福音讲道集》</w:t>
      </w:r>
      <w:r w:rsidRPr="004C59BB">
        <w:rPr>
          <w:color w:val="0000FF"/>
        </w:rPr>
        <w:t>第十三</w:t>
      </w:r>
      <w:r w:rsidRPr="004C59BB">
        <w:rPr>
          <w:color w:val="0000FF"/>
          <w:lang w:val="ru-RU"/>
        </w:rPr>
        <w:t>篇，第6段，</w:t>
      </w:r>
      <w:r w:rsidRPr="004C59BB">
        <w:rPr>
          <w:color w:val="0000FF"/>
        </w:rPr>
        <w:t>第一</w:t>
      </w:r>
      <w:r w:rsidRPr="004C59BB">
        <w:rPr>
          <w:color w:val="0000FF"/>
          <w:lang w:val="ru-RU"/>
        </w:rPr>
        <w:t>卷，第251–252页。</w:t>
      </w:r>
    </w:p>
  </w:footnote>
  <w:footnote w:id="1643">
    <w:p w14:paraId="0D76B9C3" w14:textId="6A114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《论拉撒路》</w:t>
      </w:r>
      <w:r w:rsidRPr="004C59BB">
        <w:rPr>
          <w:color w:val="0000FF"/>
        </w:rPr>
        <w:t>第二</w:t>
      </w:r>
      <w:r w:rsidRPr="004C59BB">
        <w:rPr>
          <w:color w:val="0000FF"/>
          <w:lang w:val="ru-RU"/>
        </w:rPr>
        <w:t>篇，第4段，载于</w:t>
      </w:r>
      <w:r w:rsidRPr="004C59BB">
        <w:rPr>
          <w:color w:val="0000FF"/>
        </w:rPr>
        <w:t>第一</w:t>
      </w:r>
      <w:r w:rsidRPr="004C59BB">
        <w:rPr>
          <w:color w:val="0000FF"/>
          <w:lang w:val="ru-RU"/>
        </w:rPr>
        <w:t>卷《致安提阿民众的讲道》，第63页，据俄文译本。</w:t>
      </w:r>
    </w:p>
  </w:footnote>
  <w:footnote w:id="1644">
    <w:p w14:paraId="649A8C78" w14:textId="03924B54"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至于</w:t>
      </w:r>
      <w:r w:rsidRPr="0097554A">
        <w:rPr>
          <w:color w:val="0000FF"/>
          <w:lang w:val="ru-RU"/>
        </w:rPr>
        <w:t>（</w:t>
      </w:r>
      <w:r w:rsidRPr="004C59BB">
        <w:rPr>
          <w:color w:val="0000FF"/>
        </w:rPr>
        <w:t>文森特</w:t>
      </w:r>
      <w:r w:rsidRPr="0097554A">
        <w:rPr>
          <w:color w:val="0000FF"/>
          <w:lang w:val="ru-RU"/>
        </w:rPr>
        <w:t>·</w:t>
      </w:r>
      <w:r w:rsidRPr="004C59BB">
        <w:rPr>
          <w:color w:val="0000FF"/>
        </w:rPr>
        <w:t>维克多</w:t>
      </w:r>
      <w:r w:rsidRPr="0097554A">
        <w:rPr>
          <w:color w:val="0000FF"/>
          <w:lang w:val="ru-RU"/>
        </w:rPr>
        <w:t>）</w:t>
      </w:r>
      <w:r w:rsidRPr="004C59BB">
        <w:rPr>
          <w:color w:val="0000FF"/>
        </w:rPr>
        <w:t>所信奉的那种极为正确且大有裨益的观点</w:t>
      </w:r>
      <w:r w:rsidRPr="0097554A">
        <w:rPr>
          <w:color w:val="0000FF"/>
          <w:lang w:val="ru-RU"/>
        </w:rPr>
        <w:t>——</w:t>
      </w:r>
      <w:r w:rsidRPr="004C59BB">
        <w:rPr>
          <w:color w:val="0000FF"/>
        </w:rPr>
        <w:t>即灵魂在离开肉体后</w:t>
      </w:r>
      <w:r w:rsidRPr="0097554A">
        <w:rPr>
          <w:color w:val="0000FF"/>
          <w:lang w:val="ru-RU"/>
        </w:rPr>
        <w:t>，</w:t>
      </w:r>
      <w:r w:rsidRPr="004C59BB">
        <w:rPr>
          <w:color w:val="0000FF"/>
        </w:rPr>
        <w:t>在抵达那场应当与已归还的肉体一同受审判的审判之前</w:t>
      </w:r>
      <w:r w:rsidRPr="0097554A">
        <w:rPr>
          <w:color w:val="0000FF"/>
          <w:lang w:val="ru-RU"/>
        </w:rPr>
        <w:t>，</w:t>
      </w:r>
      <w:r w:rsidRPr="004C59BB">
        <w:rPr>
          <w:color w:val="0000FF"/>
        </w:rPr>
        <w:t>便会先接受审判</w:t>
      </w:r>
      <w:r w:rsidRPr="0097554A">
        <w:rPr>
          <w:color w:val="0000FF"/>
          <w:lang w:val="ru-RU"/>
        </w:rPr>
        <w:t>，</w:t>
      </w:r>
      <w:r w:rsidRPr="004C59BB">
        <w:rPr>
          <w:color w:val="0000FF"/>
        </w:rPr>
        <w:t>并且要在它们生前所居住的肉体中遭受折磨</w:t>
      </w:r>
      <w:r w:rsidRPr="0097554A">
        <w:rPr>
          <w:color w:val="0000FF"/>
          <w:lang w:val="ru-RU"/>
        </w:rPr>
        <w:t>——</w:t>
      </w:r>
      <w:r w:rsidRPr="004C59BB">
        <w:rPr>
          <w:color w:val="0000FF"/>
        </w:rPr>
        <w:t>难道你自己竟对此一无所知吗</w:t>
      </w:r>
      <w:r w:rsidRPr="0097554A">
        <w:rPr>
          <w:color w:val="0000FF"/>
          <w:lang w:val="ru-RU"/>
        </w:rPr>
        <w:t>？ （</w:t>
      </w:r>
      <w:r w:rsidRPr="004C59BB">
        <w:rPr>
          <w:color w:val="0000FF"/>
        </w:rPr>
        <w:t>《论灵魂及其起源》第二卷</w:t>
      </w:r>
      <w:r w:rsidRPr="0097554A">
        <w:rPr>
          <w:color w:val="0000FF"/>
          <w:lang w:val="ru-RU"/>
        </w:rPr>
        <w:t>，</w:t>
      </w:r>
      <w:r w:rsidRPr="004C59BB">
        <w:rPr>
          <w:color w:val="0000FF"/>
        </w:rPr>
        <w:t>第四章</w:t>
      </w:r>
      <w:r w:rsidRPr="0097554A">
        <w:rPr>
          <w:color w:val="0000FF"/>
          <w:lang w:val="ru-RU"/>
        </w:rPr>
        <w:t>，</w:t>
      </w:r>
      <w:r w:rsidRPr="004C59BB">
        <w:rPr>
          <w:color w:val="0000FF"/>
        </w:rPr>
        <w:t>第</w:t>
      </w:r>
      <w:r w:rsidRPr="0097554A">
        <w:rPr>
          <w:color w:val="0000FF"/>
          <w:lang w:val="ru-RU"/>
        </w:rPr>
        <w:t>8</w:t>
      </w:r>
      <w:r w:rsidRPr="004C59BB">
        <w:rPr>
          <w:color w:val="0000FF"/>
        </w:rPr>
        <w:t>节</w:t>
      </w:r>
      <w:r w:rsidRPr="0097554A">
        <w:rPr>
          <w:color w:val="0000FF"/>
          <w:lang w:val="ru-RU"/>
        </w:rPr>
        <w:t>，</w:t>
      </w:r>
      <w:r w:rsidRPr="004C59BB">
        <w:rPr>
          <w:color w:val="0000FF"/>
        </w:rPr>
        <w:t>载于《教父全集》第XLIV</w:t>
      </w:r>
      <w:r w:rsidRPr="004C59BB">
        <w:rPr>
          <w:color w:val="0000FF"/>
          <w:lang w:val="ru-RU"/>
        </w:rPr>
        <w:t>卷，第498页）。</w:t>
      </w:r>
    </w:p>
  </w:footnote>
  <w:footnote w:id="1645">
    <w:p w14:paraId="4DC2B77F" w14:textId="410DF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关于</w:t>
      </w:r>
      <w:r w:rsidRPr="004C59BB">
        <w:rPr>
          <w:color w:val="0000FF"/>
          <w:lang w:val="ru-RU"/>
        </w:rPr>
        <w:t>布林斯克信仰分裂的调查》，第117页。</w:t>
      </w:r>
    </w:p>
  </w:footnote>
  <w:footnote w:id="1646">
    <w:p w14:paraId="3CD73AEF" w14:textId="169E0C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文集 </w:t>
      </w:r>
      <w:r w:rsidRPr="004C59BB">
        <w:rPr>
          <w:color w:val="0000FF"/>
        </w:rPr>
        <w:t>第V</w:t>
      </w:r>
      <w:r w:rsidRPr="004C59BB">
        <w:rPr>
          <w:color w:val="0000FF"/>
          <w:lang w:val="ru-RU"/>
        </w:rPr>
        <w:t>卷，第8页。</w:t>
      </w:r>
    </w:p>
  </w:footnote>
  <w:footnote w:id="1647">
    <w:p w14:paraId="08D11A45" w14:textId="12EA3F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《探究》，第285–286页。</w:t>
      </w:r>
    </w:p>
  </w:footnote>
  <w:footnote w:id="1648">
    <w:p w14:paraId="2F477C4A" w14:textId="01CE2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一些异端分子宣称，灵魂会随肉体一同死亡，然后在复活之日与肉体一同复活（优西比乌《教会史》</w:t>
      </w:r>
      <w:r w:rsidRPr="004C59BB">
        <w:rPr>
          <w:color w:val="0000FF"/>
        </w:rPr>
        <w:t>第六</w:t>
      </w:r>
      <w:r w:rsidRPr="004C59BB">
        <w:rPr>
          <w:color w:val="0000FF"/>
          <w:lang w:val="ru-RU"/>
        </w:rPr>
        <w:t>卷，第37章；奥古斯丁《</w:t>
      </w:r>
      <w:r w:rsidRPr="004C59BB">
        <w:rPr>
          <w:color w:val="0000FF"/>
        </w:rPr>
        <w:t>论异端</w:t>
      </w:r>
      <w:r w:rsidRPr="004C59BB">
        <w:rPr>
          <w:color w:val="0000FF"/>
          <w:lang w:val="ru-RU"/>
        </w:rPr>
        <w:t>》</w:t>
      </w:r>
      <w:r w:rsidRPr="004C59BB">
        <w:rPr>
          <w:color w:val="0000FF"/>
        </w:rPr>
        <w:t>第八十三章</w:t>
      </w:r>
      <w:r w:rsidRPr="004C59BB">
        <w:rPr>
          <w:color w:val="0000FF"/>
          <w:lang w:val="ru-RU"/>
        </w:rPr>
        <w:t>；达马斯库斯《</w:t>
      </w:r>
      <w:r w:rsidRPr="004C59BB">
        <w:rPr>
          <w:color w:val="0000FF"/>
        </w:rPr>
        <w:t>论异端</w:t>
      </w:r>
      <w:r w:rsidRPr="004C59BB">
        <w:rPr>
          <w:color w:val="0000FF"/>
          <w:lang w:val="ru-RU"/>
        </w:rPr>
        <w:t>》第九十章</w:t>
      </w:r>
      <w:r w:rsidRPr="0097554A">
        <w:rPr>
          <w:color w:val="0000FF"/>
          <w:lang w:val="ru-RU"/>
        </w:rPr>
        <w:t>——“</w:t>
      </w:r>
      <w:r w:rsidRPr="004C59BB">
        <w:rPr>
          <w:color w:val="0000FF"/>
        </w:rPr>
        <w:t>认为灵魂会死亡</w:t>
      </w:r>
      <w:r w:rsidRPr="004C59BB">
        <w:rPr>
          <w:color w:val="0000FF"/>
          <w:lang w:val="ru-RU"/>
        </w:rPr>
        <w:t>”）。 聂斯托里派则主张，灵魂虽不会死亡，但在整个上述时期内，即从肉体死亡直至未来复活之前，始终处于无意识状态（</w:t>
      </w:r>
      <w:r w:rsidRPr="004C59BB">
        <w:rPr>
          <w:color w:val="0000FF"/>
        </w:rPr>
        <w:t>阿塞曼《论聂斯托里派</w:t>
      </w:r>
      <w:r w:rsidRPr="004C59BB">
        <w:rPr>
          <w:color w:val="0000FF"/>
          <w:lang w:val="ru-RU"/>
        </w:rPr>
        <w:t>》论文</w:t>
      </w:r>
      <w:r w:rsidRPr="0097554A">
        <w:rPr>
          <w:color w:val="0000FF"/>
          <w:lang w:val="ru-RU"/>
        </w:rPr>
        <w:t>，</w:t>
      </w:r>
      <w:r w:rsidRPr="004C59BB">
        <w:rPr>
          <w:color w:val="0000FF"/>
        </w:rPr>
        <w:t>载于</w:t>
      </w:r>
      <w:r w:rsidRPr="004C59BB">
        <w:rPr>
          <w:color w:val="0000FF"/>
          <w:lang w:val="ru-RU"/>
        </w:rPr>
        <w:t>《</w:t>
      </w:r>
      <w:r w:rsidRPr="004C59BB">
        <w:rPr>
          <w:color w:val="0000FF"/>
        </w:rPr>
        <w:t>东方</w:t>
      </w:r>
      <w:r w:rsidRPr="004C59BB">
        <w:rPr>
          <w:color w:val="0000FF"/>
          <w:lang w:val="ru-RU"/>
        </w:rPr>
        <w:t xml:space="preserve">文献集》 </w:t>
      </w:r>
      <w:r w:rsidRPr="004C59BB">
        <w:rPr>
          <w:color w:val="0000FF"/>
        </w:rPr>
        <w:t>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P</w:t>
      </w:r>
      <w:r w:rsidRPr="004C59BB">
        <w:rPr>
          <w:color w:val="0000FF"/>
          <w:lang w:val="ru-RU"/>
        </w:rPr>
        <w:t xml:space="preserve">. 11, </w:t>
      </w:r>
      <w:r w:rsidRPr="004C59BB">
        <w:rPr>
          <w:color w:val="0000FF"/>
        </w:rPr>
        <w:t>p</w:t>
      </w:r>
      <w:r w:rsidRPr="004C59BB">
        <w:rPr>
          <w:color w:val="0000FF"/>
          <w:lang w:val="ru-RU"/>
        </w:rPr>
        <w:t>. 342），这一观点后来被再洗礼派和某些新教徒所复兴（</w:t>
      </w:r>
      <w:r w:rsidRPr="004C59BB">
        <w:rPr>
          <w:color w:val="0000FF"/>
        </w:rPr>
        <w:t>茨温利</w:t>
      </w:r>
      <w:r w:rsidRPr="004C59BB">
        <w:rPr>
          <w:color w:val="0000FF"/>
          <w:lang w:val="ru-RU"/>
        </w:rPr>
        <w:t>《</w:t>
      </w:r>
      <w:r w:rsidRPr="004C59BB">
        <w:rPr>
          <w:color w:val="0000FF"/>
        </w:rPr>
        <w:t>反再洗礼派论驳</w:t>
      </w:r>
      <w:r w:rsidRPr="004C59BB">
        <w:rPr>
          <w:color w:val="0000FF"/>
          <w:lang w:val="ru-RU"/>
        </w:rPr>
        <w:t>》，</w:t>
      </w:r>
      <w:r w:rsidRPr="004C59BB">
        <w:rPr>
          <w:color w:val="0000FF"/>
        </w:rPr>
        <w:t>第III</w:t>
      </w:r>
      <w:r w:rsidRPr="004C59BB">
        <w:rPr>
          <w:color w:val="0000FF"/>
          <w:lang w:val="ru-RU"/>
        </w:rPr>
        <w:t>卷，第433条）。</w:t>
      </w:r>
    </w:p>
  </w:footnote>
  <w:footnote w:id="1649">
    <w:p w14:paraId="5776B7E3" w14:textId="4D278231"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不过，东正教《信条》本身也表达了这一教义的本质，尽管表述得不够清晰和完整，且未使用“炼狱”一词（参见</w:t>
      </w:r>
      <w:r w:rsidRPr="004C59BB">
        <w:rPr>
          <w:color w:val="0000FF"/>
        </w:rPr>
        <w:t>第二</w:t>
      </w:r>
      <w:r w:rsidRPr="004C59BB">
        <w:rPr>
          <w:color w:val="0000FF"/>
          <w:lang w:val="ru-RU"/>
        </w:rPr>
        <w:t>部分，对</w:t>
      </w:r>
      <w:r w:rsidRPr="004C59BB">
        <w:rPr>
          <w:color w:val="0000FF"/>
          <w:lang w:val="el-GR"/>
        </w:rPr>
        <w:t>第</w:t>
      </w:r>
      <w:r w:rsidRPr="0097554A">
        <w:rPr>
          <w:color w:val="0000FF"/>
          <w:lang w:val="ru-RU"/>
        </w:rPr>
        <w:t>25</w:t>
      </w:r>
      <w:r w:rsidRPr="004C59BB">
        <w:rPr>
          <w:color w:val="0000FF"/>
          <w:lang w:val="el-GR"/>
        </w:rPr>
        <w:t>个</w:t>
      </w:r>
      <w:r w:rsidRPr="004C59BB">
        <w:rPr>
          <w:color w:val="0000FF"/>
          <w:lang w:val="ru-RU"/>
        </w:rPr>
        <w:t>问题的回答</w:t>
      </w:r>
      <w:r w:rsidRPr="0097554A">
        <w:rPr>
          <w:color w:val="0000FF"/>
          <w:lang w:val="ru-RU"/>
        </w:rPr>
        <w:t>）</w:t>
      </w:r>
      <w:r w:rsidRPr="004C59BB">
        <w:rPr>
          <w:color w:val="0000FF"/>
          <w:lang w:val="el-GR"/>
        </w:rPr>
        <w:t>。</w:t>
      </w:r>
    </w:p>
  </w:footnote>
  <w:footnote w:id="1650">
    <w:p w14:paraId="6A076765" w14:textId="172E2061"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《论灵魂出窍》</w:t>
      </w:r>
      <w:r w:rsidRPr="0097554A">
        <w:rPr>
          <w:color w:val="0000FF"/>
          <w:lang w:val="ru-RU"/>
        </w:rPr>
        <w:t>，</w:t>
      </w:r>
      <w:r w:rsidRPr="004C59BB">
        <w:rPr>
          <w:color w:val="0000FF"/>
        </w:rPr>
        <w:t>载于《全集</w:t>
      </w:r>
      <w:r w:rsidRPr="004C59BB">
        <w:rPr>
          <w:color w:val="0000FF"/>
          <w:lang w:val="el-GR"/>
        </w:rPr>
        <w:t>》</w:t>
      </w:r>
      <w:r w:rsidRPr="004C59BB">
        <w:rPr>
          <w:color w:val="0000FF"/>
        </w:rPr>
        <w:t>第V卷</w:t>
      </w:r>
      <w:r w:rsidRPr="0097554A">
        <w:rPr>
          <w:color w:val="0000FF"/>
          <w:lang w:val="ru-RU"/>
        </w:rPr>
        <w:t>，</w:t>
      </w:r>
      <w:r w:rsidRPr="004C59BB">
        <w:rPr>
          <w:color w:val="0000FF"/>
        </w:rPr>
        <w:t>第II</w:t>
      </w:r>
      <w:r w:rsidRPr="004C59BB">
        <w:rPr>
          <w:color w:val="0000FF"/>
          <w:lang w:val="el-GR"/>
        </w:rPr>
        <w:t>册</w:t>
      </w:r>
      <w:r w:rsidRPr="0097554A">
        <w:rPr>
          <w:color w:val="0000FF"/>
          <w:lang w:val="ru-RU"/>
        </w:rPr>
        <w:t>，</w:t>
      </w:r>
      <w:r w:rsidRPr="004C59BB">
        <w:rPr>
          <w:color w:val="0000FF"/>
          <w:lang w:val="el-GR"/>
        </w:rPr>
        <w:t>第</w:t>
      </w:r>
      <w:r w:rsidRPr="0097554A">
        <w:rPr>
          <w:color w:val="0000FF"/>
          <w:lang w:val="ru-RU"/>
        </w:rPr>
        <w:t>405–408</w:t>
      </w:r>
      <w:r w:rsidRPr="004C59BB">
        <w:rPr>
          <w:color w:val="0000FF"/>
          <w:lang w:val="el-GR"/>
        </w:rPr>
        <w:t>页</w:t>
      </w:r>
      <w:r w:rsidRPr="0097554A">
        <w:rPr>
          <w:color w:val="0000FF"/>
          <w:lang w:val="ru-RU"/>
        </w:rPr>
        <w:t>，</w:t>
      </w:r>
      <w:r w:rsidRPr="004C59BB">
        <w:rPr>
          <w:color w:val="0000FF"/>
        </w:rPr>
        <w:t>巴黎</w:t>
      </w:r>
      <w:r w:rsidRPr="004C59BB">
        <w:rPr>
          <w:color w:val="0000FF"/>
          <w:lang w:val="el-GR"/>
        </w:rPr>
        <w:t>版</w:t>
      </w:r>
      <w:r w:rsidRPr="004C59BB">
        <w:rPr>
          <w:color w:val="0000FF"/>
          <w:lang w:val="ru-RU"/>
        </w:rPr>
        <w:t>，见《基督教读物》1841年第1期，第202–207页。</w:t>
      </w:r>
    </w:p>
  </w:footnote>
  <w:footnote w:id="1651">
    <w:p w14:paraId="5042D3DD" w14:textId="32FFC5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关于</w:t>
      </w:r>
      <w:r w:rsidRPr="004C59BB">
        <w:rPr>
          <w:color w:val="0000FF"/>
          <w:lang w:val="ru-RU"/>
        </w:rPr>
        <w:t>“炼狱”</w:t>
      </w:r>
      <w:r w:rsidRPr="004C59BB">
        <w:rPr>
          <w:color w:val="0000FF"/>
        </w:rPr>
        <w:t>作为</w:t>
      </w:r>
      <w:r w:rsidRPr="004C59BB">
        <w:rPr>
          <w:color w:val="0000FF"/>
          <w:lang w:val="ru-RU"/>
        </w:rPr>
        <w:t>所有死者共同经历之路的论述，亦见于新巴西里乌斯圣师的传记中，其中福者 狄奥多尔在传记中还提到：“当我们攀登那座山时，我向引领我的圣天使们问道：‘我的主啊，所有基督徒是否都要经历这些苦难？是否有人能够不经受折磨和恐惧，独自穿越这些苦难之地？’ 圣天使们回答我说：‘对于那些升往天堂的信徒之魂，别无他途；所有人都会亲自经历这一过程，但并非所有人都像你这样遭受折磨；唯有与你相似的罪人，那些没有完全忏悔自己罪过的人，因羞愧而在属灵的父亲面前隐瞒自己的可耻行径； 因为若有人诚实地忏悔自己的一切恶行，并对所犯之恶深感懊悔并悔改，他们的罪孽便会在上帝的仁慈中被无形地赦免：当这样的灵魂独自前行时，天上的审判者翻开他们的册子， 却发现上面毫无记载，也无法对她施加任何伤害，于是这灵魂便满怀喜乐地升上恩典的宝座。”</w:t>
      </w:r>
    </w:p>
  </w:footnote>
  <w:footnote w:id="1652">
    <w:p w14:paraId="48D9BDD4" w14:textId="0EC210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“正如圣大巴西尔所言，上帝的审判不应是强加的，相反，它更应与世人所行的审判相通，并给予被告辩护的机会，使人在其案情被澄清后， 在受罚时便能确认上帝无可辩驳的审判，承认这惩罚是完全公正地加诸于他的；同样，在蒙赦免时，也能明白这宽恕是依法依序赐予他的”（《以赛亚书》第一章注释，载于《圣教父著作集》</w:t>
      </w:r>
      <w:r w:rsidRPr="004C59BB">
        <w:rPr>
          <w:color w:val="0000FF"/>
        </w:rPr>
        <w:t>第六</w:t>
      </w:r>
      <w:r w:rsidRPr="004C59BB">
        <w:rPr>
          <w:color w:val="0000FF"/>
          <w:lang w:val="ru-RU"/>
        </w:rPr>
        <w:t>卷，69–70页）。</w:t>
      </w:r>
    </w:p>
  </w:footnote>
  <w:footnote w:id="1653">
    <w:p w14:paraId="5E0FFDBB" w14:textId="6A9C6FD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在第四世纪之前，特土良（</w:t>
      </w:r>
      <w:r w:rsidRPr="004C59BB">
        <w:rPr>
          <w:color w:val="0000FF"/>
        </w:rPr>
        <w:t>《论灵魂》</w:t>
      </w:r>
      <w:r w:rsidRPr="004C59BB">
        <w:rPr>
          <w:color w:val="0000FF"/>
          <w:lang w:val="ru-RU"/>
        </w:rPr>
        <w:t>第53章</w:t>
      </w:r>
      <w:r w:rsidRPr="0097554A">
        <w:rPr>
          <w:color w:val="0000FF"/>
          <w:lang w:val="ru-RU"/>
        </w:rPr>
        <w:t>，</w:t>
      </w:r>
      <w:r w:rsidRPr="004C59BB">
        <w:rPr>
          <w:color w:val="0000FF"/>
        </w:rPr>
        <w:t>载于《教父文集</w:t>
      </w:r>
      <w:r w:rsidRPr="004C59BB">
        <w:rPr>
          <w:color w:val="0000FF"/>
          <w:lang w:val="ru-RU"/>
        </w:rPr>
        <w:t>》</w:t>
      </w:r>
      <w:r w:rsidRPr="004C59BB">
        <w:rPr>
          <w:color w:val="0000FF"/>
        </w:rPr>
        <w:t>第II卷</w:t>
      </w:r>
      <w:r w:rsidRPr="0097554A">
        <w:rPr>
          <w:color w:val="0000FF"/>
          <w:lang w:val="ru-RU"/>
        </w:rPr>
        <w:t>，</w:t>
      </w:r>
      <w:r w:rsidRPr="004C59BB">
        <w:rPr>
          <w:color w:val="0000FF"/>
        </w:rPr>
        <w:t>第</w:t>
      </w:r>
      <w:r w:rsidRPr="0097554A">
        <w:rPr>
          <w:color w:val="0000FF"/>
          <w:lang w:val="ru-RU"/>
        </w:rPr>
        <w:t>741</w:t>
      </w:r>
      <w:r w:rsidRPr="004C59BB">
        <w:rPr>
          <w:color w:val="0000FF"/>
        </w:rPr>
        <w:t>页</w:t>
      </w:r>
      <w:r w:rsidRPr="0097554A">
        <w:rPr>
          <w:color w:val="0000FF"/>
          <w:lang w:val="ru-RU"/>
        </w:rPr>
        <w:t>）</w:t>
      </w:r>
      <w:r w:rsidRPr="004C59BB">
        <w:rPr>
          <w:color w:val="0000FF"/>
        </w:rPr>
        <w:t>、奥利金</w:t>
      </w:r>
      <w:r w:rsidRPr="0097554A">
        <w:rPr>
          <w:color w:val="0000FF"/>
          <w:lang w:val="ru-RU"/>
        </w:rPr>
        <w:t>（</w:t>
      </w:r>
      <w:r w:rsidRPr="004C59BB">
        <w:rPr>
          <w:color w:val="0000FF"/>
        </w:rPr>
        <w:t>《约翰福音注》第XIX卷</w:t>
      </w:r>
      <w:r w:rsidRPr="0097554A">
        <w:rPr>
          <w:color w:val="0000FF"/>
          <w:lang w:val="ru-RU"/>
        </w:rPr>
        <w:t>，</w:t>
      </w:r>
      <w:r w:rsidRPr="004C59BB">
        <w:rPr>
          <w:color w:val="0000FF"/>
        </w:rPr>
        <w:t>第</w:t>
      </w:r>
      <w:r w:rsidRPr="0097554A">
        <w:rPr>
          <w:color w:val="0000FF"/>
          <w:lang w:val="ru-RU"/>
        </w:rPr>
        <w:t>4</w:t>
      </w:r>
      <w:r w:rsidRPr="004C59BB">
        <w:rPr>
          <w:color w:val="0000FF"/>
        </w:rPr>
        <w:t>节</w:t>
      </w:r>
      <w:r w:rsidRPr="0097554A">
        <w:rPr>
          <w:color w:val="0000FF"/>
          <w:lang w:val="ru-RU"/>
        </w:rPr>
        <w:t xml:space="preserve">； </w:t>
      </w:r>
      <w:r w:rsidRPr="004C59BB">
        <w:rPr>
          <w:color w:val="0000FF"/>
        </w:rPr>
        <w:t>第XXVIII卷</w:t>
      </w:r>
      <w:r w:rsidRPr="0097554A">
        <w:rPr>
          <w:color w:val="0000FF"/>
          <w:lang w:val="ru-RU"/>
        </w:rPr>
        <w:t>，</w:t>
      </w:r>
      <w:r w:rsidRPr="004C59BB">
        <w:rPr>
          <w:color w:val="0000FF"/>
        </w:rPr>
        <w:t>注</w:t>
      </w:r>
      <w:r w:rsidRPr="0097554A">
        <w:rPr>
          <w:color w:val="0000FF"/>
          <w:lang w:val="ru-RU"/>
        </w:rPr>
        <w:t>5；</w:t>
      </w:r>
      <w:r w:rsidRPr="004C59BB">
        <w:rPr>
          <w:color w:val="0000FF"/>
        </w:rPr>
        <w:t>《利未记讲道集》第九</w:t>
      </w:r>
      <w:r w:rsidRPr="004C59BB">
        <w:rPr>
          <w:color w:val="0000FF"/>
          <w:lang w:val="ru-RU"/>
        </w:rPr>
        <w:t>篇，注4）、希波吕托（《</w:t>
      </w:r>
      <w:r w:rsidRPr="004C59BB">
        <w:rPr>
          <w:color w:val="0000FF"/>
        </w:rPr>
        <w:t>反柏拉图论</w:t>
      </w:r>
      <w:r w:rsidRPr="004C59BB">
        <w:rPr>
          <w:color w:val="0000FF"/>
          <w:lang w:val="ru-RU"/>
        </w:rPr>
        <w:t>》第1章）、亚历山大的克利门特（《</w:t>
      </w:r>
      <w:r w:rsidRPr="004C59BB">
        <w:rPr>
          <w:color w:val="0000FF"/>
        </w:rPr>
        <w:t>杂</w:t>
      </w:r>
      <w:r w:rsidRPr="004C59BB">
        <w:rPr>
          <w:color w:val="0000FF"/>
          <w:lang w:val="ru-RU"/>
        </w:rPr>
        <w:t>论》</w:t>
      </w:r>
      <w:r w:rsidRPr="004C59BB">
        <w:rPr>
          <w:color w:val="0000FF"/>
        </w:rPr>
        <w:t>第四</w:t>
      </w:r>
      <w:r w:rsidRPr="004C59BB">
        <w:rPr>
          <w:color w:val="0000FF"/>
          <w:lang w:val="ru-RU"/>
        </w:rPr>
        <w:t>卷，第18章）等人著作中均可窥见该教义的蛛丝马迹。</w:t>
      </w:r>
    </w:p>
  </w:footnote>
  <w:footnote w:id="1654">
    <w:p w14:paraId="435C7E0B" w14:textId="639710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《论在基督里安息者》，载于《圣父文集》</w:t>
      </w:r>
      <w:r w:rsidRPr="004C59BB">
        <w:rPr>
          <w:color w:val="0000FF"/>
        </w:rPr>
        <w:t>第十五卷</w:t>
      </w:r>
      <w:r w:rsidRPr="004C59BB">
        <w:rPr>
          <w:color w:val="0000FF"/>
          <w:lang w:val="ru-RU"/>
        </w:rPr>
        <w:t>，第269、270、271页。 圣埃弗拉姆也在其关于“否认死人复活”的讲道中（见《圣教父文集》</w:t>
      </w:r>
      <w:r w:rsidRPr="004C59BB">
        <w:rPr>
          <w:color w:val="0000FF"/>
        </w:rPr>
        <w:t>第十五</w:t>
      </w:r>
      <w:r w:rsidRPr="004C59BB">
        <w:rPr>
          <w:color w:val="0000FF"/>
          <w:lang w:val="ru-RU"/>
        </w:rPr>
        <w:t>卷，第115–116页）以及在遗嘱中（《基督教读本》1827年版，</w:t>
      </w:r>
      <w:r w:rsidRPr="004C59BB">
        <w:rPr>
          <w:color w:val="0000FF"/>
        </w:rPr>
        <w:t>第二十七</w:t>
      </w:r>
      <w:r w:rsidRPr="004C59BB">
        <w:rPr>
          <w:color w:val="0000FF"/>
          <w:lang w:val="ru-RU"/>
        </w:rPr>
        <w:t>卷，第275、285、292页）表达了同样的教义。</w:t>
      </w:r>
    </w:p>
  </w:footnote>
  <w:footnote w:id="1655">
    <w:p w14:paraId="6C3357C9" w14:textId="3FF0934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《大安东尼传》，</w:t>
      </w:r>
      <w:r w:rsidRPr="004C59BB">
        <w:rPr>
          <w:color w:val="0000FF"/>
        </w:rPr>
        <w:t>载于</w:t>
      </w:r>
      <w:r w:rsidRPr="004C59BB">
        <w:rPr>
          <w:color w:val="0000FF"/>
          <w:lang w:val="ru-RU"/>
        </w:rPr>
        <w:t>《</w:t>
      </w:r>
      <w:r w:rsidRPr="004C59BB">
        <w:rPr>
          <w:color w:val="0000FF"/>
        </w:rPr>
        <w:t>奥尔集</w:t>
      </w:r>
      <w:r w:rsidRPr="004C59BB">
        <w:rPr>
          <w:color w:val="0000FF"/>
          <w:lang w:val="ru-RU"/>
        </w:rPr>
        <w:t>》</w:t>
      </w:r>
      <w:r w:rsidRPr="004C59BB">
        <w:rPr>
          <w:color w:val="0000FF"/>
        </w:rPr>
        <w:t>第I卷</w:t>
      </w:r>
      <w:r w:rsidRPr="004C59BB">
        <w:rPr>
          <w:color w:val="0000FF"/>
          <w:lang w:val="ru-RU"/>
        </w:rPr>
        <w:t>，</w:t>
      </w:r>
      <w:r w:rsidRPr="004C59BB">
        <w:rPr>
          <w:color w:val="0000FF"/>
        </w:rPr>
        <w:t>第II</w:t>
      </w:r>
      <w:r w:rsidRPr="004C59BB">
        <w:rPr>
          <w:color w:val="0000FF"/>
          <w:lang w:val="ru-RU"/>
        </w:rPr>
        <w:t>册，第845页，</w:t>
      </w:r>
      <w:r w:rsidRPr="004C59BB">
        <w:rPr>
          <w:color w:val="0000FF"/>
        </w:rPr>
        <w:t>毛里</w:t>
      </w:r>
      <w:r w:rsidRPr="004C59BB">
        <w:rPr>
          <w:color w:val="0000FF"/>
          <w:lang w:val="ru-RU"/>
        </w:rPr>
        <w:t>版，见《四旬斋读本》1月17日。</w:t>
      </w:r>
    </w:p>
  </w:footnote>
  <w:footnote w:id="1656">
    <w:p w14:paraId="419AC6A2" w14:textId="34D8EF0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《论离世者双重状态的谈话》，载于《基督教读物》1828年，</w:t>
      </w:r>
      <w:r w:rsidRPr="004C59BB">
        <w:rPr>
          <w:color w:val="0000FF"/>
        </w:rPr>
        <w:t>第XXXI卷</w:t>
      </w:r>
      <w:r w:rsidRPr="004C59BB">
        <w:rPr>
          <w:color w:val="0000FF"/>
          <w:lang w:val="ru-RU"/>
        </w:rPr>
        <w:t>，第113–114页。</w:t>
      </w:r>
    </w:p>
  </w:footnote>
  <w:footnote w:id="1657">
    <w:p w14:paraId="61FAC7ED" w14:textId="50D40EB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《词汇集》</w:t>
      </w:r>
      <w:r w:rsidRPr="004C59BB">
        <w:rPr>
          <w:color w:val="0000FF"/>
        </w:rPr>
        <w:t>第十一</w:t>
      </w:r>
      <w:r w:rsidRPr="004C59BB">
        <w:rPr>
          <w:color w:val="0000FF"/>
          <w:lang w:val="ru-RU"/>
        </w:rPr>
        <w:t>卷，论纪念逝者（参见《玛格丽特》）。圣父在《论拉撒路》</w:t>
      </w:r>
      <w:r w:rsidRPr="004C59BB">
        <w:rPr>
          <w:color w:val="0000FF"/>
        </w:rPr>
        <w:t>第二篇</w:t>
      </w:r>
      <w:r w:rsidRPr="004C59BB">
        <w:rPr>
          <w:color w:val="0000FF"/>
          <w:lang w:val="ru-RU"/>
        </w:rPr>
        <w:t>，第3段中也有类似论述，见《致安提阿民众的讲道集》</w:t>
      </w:r>
      <w:r w:rsidRPr="004C59BB">
        <w:rPr>
          <w:color w:val="0000FF"/>
        </w:rPr>
        <w:t>第一</w:t>
      </w:r>
      <w:r w:rsidRPr="004C59BB">
        <w:rPr>
          <w:color w:val="0000FF"/>
          <w:lang w:val="ru-RU"/>
        </w:rPr>
        <w:t>卷，俄文译本第61页。</w:t>
      </w:r>
    </w:p>
  </w:footnote>
  <w:footnote w:id="1658">
    <w:p w14:paraId="4112B5F8" w14:textId="5760C4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《马太福音讲道集》</w:t>
      </w:r>
      <w:r w:rsidRPr="004C59BB">
        <w:rPr>
          <w:color w:val="0000FF"/>
        </w:rPr>
        <w:t>第LIII</w:t>
      </w:r>
      <w:r w:rsidRPr="004C59BB">
        <w:rPr>
          <w:color w:val="0000FF"/>
          <w:lang w:val="ru-RU"/>
        </w:rPr>
        <w:t>篇，载于</w:t>
      </w:r>
      <w:r w:rsidRPr="004C59BB">
        <w:rPr>
          <w:color w:val="0000FF"/>
        </w:rPr>
        <w:t>第II</w:t>
      </w:r>
      <w:r w:rsidRPr="004C59BB">
        <w:rPr>
          <w:color w:val="0000FF"/>
          <w:lang w:val="ru-RU"/>
        </w:rPr>
        <w:t>卷，第414页。</w:t>
      </w:r>
    </w:p>
  </w:footnote>
  <w:footnote w:id="1659">
    <w:p w14:paraId="20C367FA" w14:textId="546813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他在某处说道：“谁也不要自欺，用虚浮的话自欺（以弗所书 5: 6）。因为毁灭将忽然临到你们（帖撒罗尼迦前书 5: 3），灾祸将如风暴一般降临。 那位阴沉的天使将降临，强行牵引并拖走你的灵魂——那被罪恶捆绑、频频回望尘世所留之物、无声痛哭的灵魂；因为哭泣的闸门已然关闭”（《讲道集》，《受洗劝勉》，载于《圣父著作集》</w:t>
      </w:r>
      <w:r w:rsidRPr="004C59BB">
        <w:rPr>
          <w:color w:val="0000FF"/>
        </w:rPr>
        <w:t>第八</w:t>
      </w:r>
      <w:r w:rsidRPr="004C59BB">
        <w:rPr>
          <w:color w:val="0000FF"/>
          <w:lang w:val="ru-RU"/>
        </w:rPr>
        <w:t>卷，第241页）。 而在另一处则说：“你应当思考末日（因为毫无疑问，你不会独自永生）； 想象一下那时的混乱、呼吸的急促以及死亡的时刻，想象上帝即将降下的判决、匆匆赶来的天使，想象灵魂在那可怕的惊惶中，被罪恶的良知无情地折磨，将悲怆的目光投向彼岸，最后——那不可避免的、遥远的迁移” （致堕落少女的第43封信，同上，</w:t>
      </w:r>
      <w:r w:rsidRPr="004C59BB">
        <w:rPr>
          <w:color w:val="0000FF"/>
        </w:rPr>
        <w:t>X</w:t>
      </w:r>
      <w:r w:rsidRPr="004C59BB">
        <w:rPr>
          <w:color w:val="0000FF"/>
          <w:lang w:val="ru-RU"/>
        </w:rPr>
        <w:t>，139）。</w:t>
      </w:r>
    </w:p>
  </w:footnote>
  <w:footnote w:id="1660">
    <w:p w14:paraId="6A84F57B" w14:textId="0BF7DA4F"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论洗礼</w:t>
      </w:r>
      <w:r w:rsidRPr="004C59BB">
        <w:rPr>
          <w:color w:val="0000FF"/>
          <w:lang w:val="ru-RU"/>
        </w:rPr>
        <w:t>》，</w:t>
      </w:r>
      <w:r w:rsidRPr="004C59BB">
        <w:rPr>
          <w:color w:val="0000FF"/>
        </w:rPr>
        <w:t>载于</w:t>
      </w:r>
      <w:r w:rsidRPr="004C59BB">
        <w:rPr>
          <w:color w:val="0000FF"/>
          <w:lang w:val="ru-RU"/>
        </w:rPr>
        <w:t>《</w:t>
      </w:r>
      <w:r w:rsidRPr="004C59BB">
        <w:rPr>
          <w:color w:val="0000FF"/>
        </w:rPr>
        <w:t>著作集</w:t>
      </w:r>
      <w:r w:rsidRPr="004C59BB">
        <w:rPr>
          <w:color w:val="0000FF"/>
          <w:lang w:val="ru-RU"/>
        </w:rPr>
        <w:t>》</w:t>
      </w:r>
      <w:r w:rsidRPr="004C59BB">
        <w:rPr>
          <w:color w:val="0000FF"/>
        </w:rPr>
        <w:t>第II</w:t>
      </w:r>
      <w:r w:rsidRPr="004C59BB">
        <w:rPr>
          <w:color w:val="0000FF"/>
          <w:lang w:val="ru-RU"/>
        </w:rPr>
        <w:t>卷，第220</w:t>
      </w:r>
      <w:r w:rsidRPr="004C59BB">
        <w:rPr>
          <w:color w:val="0000FF"/>
        </w:rPr>
        <w:t>页</w:t>
      </w:r>
      <w:r w:rsidRPr="004C59BB">
        <w:rPr>
          <w:color w:val="0000FF"/>
          <w:lang w:val="ru-RU"/>
        </w:rPr>
        <w:t>，</w:t>
      </w:r>
      <w:r w:rsidRPr="004C59BB">
        <w:rPr>
          <w:color w:val="0000FF"/>
        </w:rPr>
        <w:t>莫雷尔</w:t>
      </w:r>
      <w:r w:rsidRPr="004C59BB">
        <w:rPr>
          <w:color w:val="0000FF"/>
          <w:lang w:val="ru-RU"/>
        </w:rPr>
        <w:t>校注</w:t>
      </w:r>
      <w:r w:rsidRPr="004C59BB">
        <w:rPr>
          <w:color w:val="0000FF"/>
        </w:rPr>
        <w:t>。</w:t>
      </w:r>
    </w:p>
  </w:footnote>
  <w:footnote w:id="1661">
    <w:p w14:paraId="64EA1D13" w14:textId="30F13E7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《异端论》LXXV。</w:t>
      </w:r>
    </w:p>
  </w:footnote>
  <w:footnote w:id="1662">
    <w:p w14:paraId="408E94DD" w14:textId="371419E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《福音论证》第三卷</w:t>
      </w:r>
      <w:r w:rsidRPr="0097554A">
        <w:rPr>
          <w:color w:val="0000FF"/>
          <w:lang w:val="ru-RU"/>
        </w:rPr>
        <w:t>，</w:t>
      </w:r>
      <w:r w:rsidRPr="004C59BB">
        <w:rPr>
          <w:color w:val="0000FF"/>
        </w:rPr>
        <w:t>第</w:t>
      </w:r>
      <w:r w:rsidRPr="0097554A">
        <w:rPr>
          <w:color w:val="0000FF"/>
          <w:lang w:val="ru-RU"/>
        </w:rPr>
        <w:t>5</w:t>
      </w:r>
      <w:r w:rsidRPr="004C59BB">
        <w:rPr>
          <w:color w:val="0000FF"/>
        </w:rPr>
        <w:t>章</w:t>
      </w:r>
      <w:r w:rsidRPr="0097554A">
        <w:rPr>
          <w:color w:val="0000FF"/>
          <w:lang w:val="ru-RU"/>
        </w:rPr>
        <w:t>；</w:t>
      </w:r>
      <w:r w:rsidRPr="004C59BB">
        <w:rPr>
          <w:color w:val="0000FF"/>
        </w:rPr>
        <w:t>《福音准备》第十一卷</w:t>
      </w:r>
      <w:r w:rsidRPr="0097554A">
        <w:rPr>
          <w:color w:val="0000FF"/>
          <w:lang w:val="ru-RU"/>
        </w:rPr>
        <w:t>，</w:t>
      </w:r>
      <w:r w:rsidRPr="004C59BB">
        <w:rPr>
          <w:color w:val="0000FF"/>
        </w:rPr>
        <w:t>第</w:t>
      </w:r>
      <w:r w:rsidRPr="0097554A">
        <w:rPr>
          <w:color w:val="0000FF"/>
          <w:lang w:val="ru-RU"/>
        </w:rPr>
        <w:t>20</w:t>
      </w:r>
      <w:r w:rsidRPr="004C59BB">
        <w:rPr>
          <w:color w:val="0000FF"/>
        </w:rPr>
        <w:t>章。</w:t>
      </w:r>
    </w:p>
  </w:footnote>
  <w:footnote w:id="1663">
    <w:p w14:paraId="6776BF9E" w14:textId="4652C0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《拉夫萨伊克》第24章，第89–90页，圣彼得堡，1850年。</w:t>
      </w:r>
    </w:p>
  </w:footnote>
  <w:footnote w:id="1664">
    <w:p w14:paraId="317FBDE6" w14:textId="647482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《论灵魂出窍》，载于《基督教读物》1831年，</w:t>
      </w:r>
      <w:r w:rsidRPr="004C59BB">
        <w:rPr>
          <w:color w:val="0000FF"/>
        </w:rPr>
        <w:t>第XLIII卷</w:t>
      </w:r>
      <w:r w:rsidRPr="004C59BB">
        <w:rPr>
          <w:color w:val="0000FF"/>
          <w:lang w:val="ru-RU"/>
        </w:rPr>
        <w:t>，第126–131页。</w:t>
      </w:r>
    </w:p>
  </w:footnote>
  <w:footnote w:id="1665">
    <w:p w14:paraId="0862CC2D" w14:textId="020DCF2A"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《致修士讲道集》第</w:t>
      </w:r>
      <w:r w:rsidRPr="0097554A">
        <w:rPr>
          <w:color w:val="0000FF"/>
          <w:lang w:val="ru-RU"/>
        </w:rPr>
        <w:t>1</w:t>
      </w:r>
      <w:r w:rsidRPr="004C59BB">
        <w:rPr>
          <w:color w:val="0000FF"/>
        </w:rPr>
        <w:t>篇</w:t>
      </w:r>
      <w:r w:rsidRPr="0097554A">
        <w:rPr>
          <w:color w:val="0000FF"/>
          <w:lang w:val="ru-RU"/>
        </w:rPr>
        <w:t>，</w:t>
      </w:r>
      <w:r w:rsidRPr="004C59BB">
        <w:rPr>
          <w:color w:val="0000FF"/>
        </w:rPr>
        <w:t>载于</w:t>
      </w:r>
      <w:r w:rsidRPr="004C59BB">
        <w:rPr>
          <w:color w:val="0000FF"/>
          <w:lang w:val="ru-RU"/>
        </w:rPr>
        <w:t>《</w:t>
      </w:r>
      <w:r w:rsidRPr="004C59BB">
        <w:rPr>
          <w:color w:val="0000FF"/>
        </w:rPr>
        <w:t>教父文库</w:t>
      </w:r>
      <w:r w:rsidRPr="004C59BB">
        <w:rPr>
          <w:color w:val="0000FF"/>
          <w:lang w:val="ru-RU"/>
        </w:rPr>
        <w:t>》</w:t>
      </w:r>
      <w:r w:rsidRPr="004C59BB">
        <w:rPr>
          <w:color w:val="0000FF"/>
        </w:rPr>
        <w:t>第VII</w:t>
      </w:r>
      <w:r w:rsidRPr="004C59BB">
        <w:rPr>
          <w:color w:val="0000FF"/>
          <w:lang w:val="ru-RU"/>
        </w:rPr>
        <w:t>卷，第656页。</w:t>
      </w:r>
    </w:p>
  </w:footnote>
  <w:footnote w:id="1666">
    <w:p w14:paraId="1BD3EDFE" w14:textId="40FD35AE"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《论灵魂出窍》，载于《序言》10月29日条目，</w:t>
      </w:r>
      <w:r w:rsidRPr="004C59BB">
        <w:rPr>
          <w:color w:val="0000FF"/>
        </w:rPr>
        <w:t>第</w:t>
      </w:r>
      <w:r w:rsidRPr="0097554A">
        <w:rPr>
          <w:color w:val="0000FF"/>
          <w:lang w:val="ru-RU"/>
        </w:rPr>
        <w:t>211</w:t>
      </w:r>
      <w:r w:rsidRPr="004C59BB">
        <w:rPr>
          <w:color w:val="0000FF"/>
          <w:lang w:val="ru-RU"/>
        </w:rPr>
        <w:t>页</w:t>
      </w:r>
      <w:r w:rsidRPr="004C59BB">
        <w:rPr>
          <w:color w:val="0000FF"/>
        </w:rPr>
        <w:t>背面。</w:t>
      </w:r>
    </w:p>
  </w:footnote>
  <w:footnote w:id="1667">
    <w:p w14:paraId="5D8D2EE6" w14:textId="71AD4B9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《内室书信》</w:t>
      </w:r>
      <w:r w:rsidRPr="0097554A">
        <w:rPr>
          <w:color w:val="0000FF"/>
          <w:lang w:val="ru-RU"/>
        </w:rPr>
        <w:t>，</w:t>
      </w:r>
      <w:r w:rsidRPr="004C59BB">
        <w:rPr>
          <w:color w:val="0000FF"/>
        </w:rPr>
        <w:t>载于《教父文库》第XXVI卷</w:t>
      </w:r>
      <w:r w:rsidRPr="0097554A">
        <w:rPr>
          <w:color w:val="0000FF"/>
          <w:lang w:val="ru-RU"/>
        </w:rPr>
        <w:t>，</w:t>
      </w:r>
      <w:r w:rsidRPr="004C59BB">
        <w:rPr>
          <w:color w:val="0000FF"/>
        </w:rPr>
        <w:t>第</w:t>
      </w:r>
      <w:r w:rsidRPr="0097554A">
        <w:rPr>
          <w:color w:val="0000FF"/>
          <w:lang w:val="ru-RU"/>
        </w:rPr>
        <w:t>581</w:t>
      </w:r>
      <w:r w:rsidRPr="004C59BB">
        <w:rPr>
          <w:color w:val="0000FF"/>
        </w:rPr>
        <w:t>页。</w:t>
      </w:r>
    </w:p>
  </w:footnote>
  <w:footnote w:id="1668">
    <w:p w14:paraId="0FA6F999" w14:textId="59E1B49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(1668) </w:t>
      </w:r>
      <w:r w:rsidRPr="004C59BB">
        <w:rPr>
          <w:color w:val="0000FF"/>
        </w:rPr>
        <w:t>约翰</w:t>
      </w:r>
      <w:r w:rsidRPr="0097554A">
        <w:rPr>
          <w:color w:val="0000FF"/>
          <w:lang w:val="ru-RU"/>
        </w:rPr>
        <w:t>·</w:t>
      </w:r>
      <w:r w:rsidRPr="004C59BB">
        <w:rPr>
          <w:color w:val="0000FF"/>
        </w:rPr>
        <w:t>克利马科斯</w:t>
      </w:r>
      <w:r w:rsidRPr="0097554A">
        <w:rPr>
          <w:color w:val="0000FF"/>
          <w:lang w:val="ru-RU"/>
        </w:rPr>
        <w:t>，</w:t>
      </w:r>
      <w:r w:rsidRPr="004C59BB">
        <w:rPr>
          <w:color w:val="0000FF"/>
        </w:rPr>
        <w:t>《天堂之梯》</w:t>
      </w:r>
      <w:r w:rsidRPr="0097554A">
        <w:rPr>
          <w:color w:val="0000FF"/>
          <w:lang w:val="ru-RU"/>
        </w:rPr>
        <w:t>，</w:t>
      </w:r>
      <w:r w:rsidRPr="004C59BB">
        <w:rPr>
          <w:color w:val="0000FF"/>
        </w:rPr>
        <w:t>第</w:t>
      </w:r>
      <w:r w:rsidRPr="0097554A">
        <w:rPr>
          <w:color w:val="0000FF"/>
          <w:lang w:val="ru-RU"/>
        </w:rPr>
        <w:t>158</w:t>
      </w:r>
      <w:r w:rsidRPr="004C59BB">
        <w:rPr>
          <w:color w:val="0000FF"/>
        </w:rPr>
        <w:t>页</w:t>
      </w:r>
      <w:r w:rsidRPr="0097554A">
        <w:rPr>
          <w:color w:val="0000FF"/>
          <w:lang w:val="ru-RU"/>
        </w:rPr>
        <w:t>，</w:t>
      </w:r>
      <w:r w:rsidRPr="004C59BB">
        <w:rPr>
          <w:color w:val="0000FF"/>
        </w:rPr>
        <w:t>巴黎</w:t>
      </w:r>
      <w:r w:rsidRPr="0097554A">
        <w:rPr>
          <w:color w:val="0000FF"/>
          <w:lang w:val="ru-RU"/>
        </w:rPr>
        <w:t>1633</w:t>
      </w:r>
      <w:r w:rsidRPr="004C59BB">
        <w:rPr>
          <w:color w:val="0000FF"/>
        </w:rPr>
        <w:t>年版。</w:t>
      </w:r>
    </w:p>
  </w:footnote>
  <w:footnote w:id="1669">
    <w:p w14:paraId="3B7198E2" w14:textId="273186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(1669) 在临终之际，他这样向主耶稣祈祷：“我的主啊！ 求祢怜悯我的灵魂，勿使它遭遇邪恶之灵的诡计，但愿祢的天使接纳我，引领我穿越黑暗的炼狱，带我进入祢仁慈之光中”（《四时祷文》，5月3日条目）。</w:t>
      </w:r>
    </w:p>
  </w:footnote>
  <w:footnote w:id="1670">
    <w:p w14:paraId="4A2E3E28" w14:textId="5C80F26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他对“苦难”的教义进行了非常详细的阐述（《12世纪俄罗斯文学纪念文集》，第92页，莫斯科，1821年）。</w:t>
      </w:r>
    </w:p>
  </w:footnote>
  <w:footnote w:id="1671">
    <w:p w14:paraId="225A8652" w14:textId="36BE5518"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参见勒</w:t>
      </w:r>
      <w:r w:rsidRPr="0097554A">
        <w:rPr>
          <w:color w:val="0000FF"/>
          <w:lang w:val="ru-RU"/>
        </w:rPr>
        <w:t>-</w:t>
      </w:r>
      <w:r w:rsidRPr="004C59BB">
        <w:rPr>
          <w:color w:val="0000FF"/>
        </w:rPr>
        <w:t>奎恩</w:t>
      </w:r>
      <w:r w:rsidRPr="0097554A">
        <w:rPr>
          <w:color w:val="0000FF"/>
          <w:lang w:val="ru-RU"/>
        </w:rPr>
        <w:t>（</w:t>
      </w:r>
      <w:r w:rsidRPr="004C59BB">
        <w:rPr>
          <w:color w:val="0000FF"/>
        </w:rPr>
        <w:t>Le</w:t>
      </w:r>
      <w:r w:rsidRPr="0097554A">
        <w:rPr>
          <w:color w:val="0000FF"/>
          <w:lang w:val="ru-RU"/>
        </w:rPr>
        <w:t>-</w:t>
      </w:r>
      <w:r w:rsidRPr="004C59BB">
        <w:rPr>
          <w:color w:val="0000FF"/>
        </w:rPr>
        <w:t>Quien</w:t>
      </w:r>
      <w:r w:rsidRPr="0097554A">
        <w:rPr>
          <w:color w:val="0000FF"/>
          <w:lang w:val="ru-RU"/>
        </w:rPr>
        <w:t>）</w:t>
      </w:r>
      <w:r w:rsidRPr="004C59BB">
        <w:rPr>
          <w:color w:val="0000FF"/>
        </w:rPr>
        <w:t>所编《大马士革的约翰论著》</w:t>
      </w:r>
      <w:r w:rsidRPr="0097554A">
        <w:rPr>
          <w:color w:val="0000FF"/>
          <w:lang w:val="ru-RU"/>
        </w:rPr>
        <w:t>（</w:t>
      </w:r>
      <w:r w:rsidRPr="004C59BB">
        <w:rPr>
          <w:color w:val="0000FF"/>
        </w:rPr>
        <w:t>Diasert</w:t>
      </w:r>
      <w:r w:rsidRPr="0097554A">
        <w:rPr>
          <w:color w:val="0000FF"/>
          <w:lang w:val="ru-RU"/>
        </w:rPr>
        <w:t xml:space="preserve">. </w:t>
      </w:r>
      <w:r w:rsidRPr="004C59BB">
        <w:rPr>
          <w:color w:val="0000FF"/>
        </w:rPr>
        <w:t>Damascen</w:t>
      </w:r>
      <w:r w:rsidRPr="0097554A">
        <w:rPr>
          <w:color w:val="0000FF"/>
          <w:lang w:val="ru-RU"/>
        </w:rPr>
        <w:t>.）</w:t>
      </w:r>
      <w:r w:rsidRPr="004C59BB">
        <w:rPr>
          <w:color w:val="0000FF"/>
        </w:rPr>
        <w:t>第五卷</w:t>
      </w:r>
      <w:r w:rsidRPr="0097554A">
        <w:rPr>
          <w:color w:val="0000FF"/>
          <w:lang w:val="ru-RU"/>
        </w:rPr>
        <w:t>，</w:t>
      </w:r>
      <w:r w:rsidRPr="004C59BB">
        <w:rPr>
          <w:color w:val="0000FF"/>
        </w:rPr>
        <w:t>载于《大马士革的约翰文集》</w:t>
      </w:r>
      <w:r w:rsidRPr="0097554A">
        <w:rPr>
          <w:color w:val="0000FF"/>
          <w:lang w:val="ru-RU"/>
        </w:rPr>
        <w:t>（</w:t>
      </w:r>
      <w:r w:rsidRPr="004C59BB">
        <w:rPr>
          <w:color w:val="0000FF"/>
        </w:rPr>
        <w:t>Opp</w:t>
      </w:r>
      <w:r w:rsidRPr="0097554A">
        <w:rPr>
          <w:color w:val="0000FF"/>
          <w:lang w:val="ru-RU"/>
        </w:rPr>
        <w:t xml:space="preserve">. </w:t>
      </w:r>
      <w:r w:rsidRPr="004C59BB">
        <w:rPr>
          <w:color w:val="0000FF"/>
        </w:rPr>
        <w:t>s</w:t>
      </w:r>
      <w:r w:rsidRPr="0097554A">
        <w:rPr>
          <w:color w:val="0000FF"/>
          <w:lang w:val="ru-RU"/>
        </w:rPr>
        <w:t xml:space="preserve">. </w:t>
      </w:r>
      <w:r w:rsidRPr="004C59BB">
        <w:rPr>
          <w:color w:val="0000FF"/>
        </w:rPr>
        <w:t>Joan</w:t>
      </w:r>
      <w:r w:rsidRPr="0097554A">
        <w:rPr>
          <w:color w:val="0000FF"/>
          <w:lang w:val="ru-RU"/>
        </w:rPr>
        <w:t xml:space="preserve">. </w:t>
      </w:r>
      <w:r w:rsidRPr="004C59BB">
        <w:rPr>
          <w:color w:val="0000FF"/>
        </w:rPr>
        <w:t>Damasceni</w:t>
      </w:r>
      <w:r w:rsidRPr="0097554A">
        <w:rPr>
          <w:color w:val="0000FF"/>
          <w:lang w:val="ru-RU"/>
        </w:rPr>
        <w:t>）</w:t>
      </w:r>
      <w:r w:rsidRPr="004C59BB">
        <w:rPr>
          <w:color w:val="0000FF"/>
        </w:rPr>
        <w:t>第一卷</w:t>
      </w:r>
      <w:r w:rsidRPr="004C59BB">
        <w:rPr>
          <w:color w:val="0000FF"/>
          <w:lang w:val="ru-RU"/>
        </w:rPr>
        <w:t>。</w:t>
      </w:r>
    </w:p>
  </w:footnote>
  <w:footnote w:id="1672">
    <w:p w14:paraId="496CD0EA" w14:textId="1B22F7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“当我灵魂与肉体分离的可怕时刻来临之时：那时，我的救赎主，请将它接纳在祢的手中，保护它免受一切灾祸的侵扰，愿我的灵魂不必目睹邪恶恶魔那阴暗的目光，而是得以蒙救赎，顺利通过所有的炼狱” （《文集》</w:t>
      </w:r>
      <w:r w:rsidRPr="004C59BB">
        <w:rPr>
          <w:color w:val="0000FF"/>
        </w:rPr>
        <w:t>第一</w:t>
      </w:r>
      <w:r w:rsidRPr="004C59BB">
        <w:rPr>
          <w:color w:val="0000FF"/>
          <w:lang w:val="ru-RU"/>
        </w:rPr>
        <w:t>卷，第179页）。</w:t>
      </w:r>
    </w:p>
  </w:footnote>
  <w:footnote w:id="1673">
    <w:p w14:paraId="2C3E7396" w14:textId="1710D6C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例如：1月17日的圣安东尼大德传；10月29日的圣约翰仁慈者传；11月12日和3月26日的圣瓦西里新德传。</w:t>
      </w:r>
    </w:p>
  </w:footnote>
  <w:footnote w:id="1674">
    <w:p w14:paraId="546A55F8" w14:textId="2BC36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此外还有：“当我临终之时，童贞女啊，求你救我脱离魔鬼之手、审判、争辩、可怕的试炼、痛苦的磨难、凶残的魔君，以及永恒的定罪”（《八日祷文》</w:t>
      </w:r>
      <w:r w:rsidRPr="004C59BB">
        <w:rPr>
          <w:color w:val="0000FF"/>
        </w:rPr>
        <w:t>第一卷</w:t>
      </w:r>
      <w:r w:rsidRPr="004C59BB">
        <w:rPr>
          <w:color w:val="0000FF"/>
          <w:lang w:val="ru-RU"/>
        </w:rPr>
        <w:t>，第286页背面，莫斯科，1838年）。</w:t>
      </w:r>
    </w:p>
  </w:footnote>
  <w:footnote w:id="1675">
    <w:p w14:paraId="779D7FC8" w14:textId="3446A3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同样：“全能上帝至圣的天使们，请怜悯我，并使我免受一切邪恶之人的折磨：因为我没有善行足以抵消我的恶行（《礼仪书》第182页背面，莫斯科，1836年）。</w:t>
      </w:r>
    </w:p>
  </w:footnote>
  <w:footnote w:id="1676">
    <w:p w14:paraId="0FD68694" w14:textId="308574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“那时，天使们带走了拉撒路。相反，那个（富人）的灵魂却被某些可怕的力量带走了，或许是为此而派来的；因为灵魂无法凭自身前往彼岸，因为这根本是不可能的。 如果我们在从一个城市前往另一个城市时都需要向导，那么，被从肉体中剥离并即将进入来世的灵魂，又何等需要向导呢？ 正因如此，当灵魂脱离躯体时，它常常时而升腾，时而下沉，既恐惧又战栗。因为对罪孽的觉知始终折磨着我们，但在即将被带往彼岸承受折磨与可怕审判的那一刻，这种折磨尤为剧烈。” （圣约翰·金口，《对安提阿民众的讲道》</w:t>
      </w:r>
      <w:r w:rsidRPr="004C59BB">
        <w:rPr>
          <w:color w:val="0000FF"/>
        </w:rPr>
        <w:t>第三</w:t>
      </w:r>
      <w:r w:rsidRPr="004C59BB">
        <w:rPr>
          <w:color w:val="0000FF"/>
          <w:lang w:val="ru-RU"/>
        </w:rPr>
        <w:t>卷，论拉撒路第二篇，第3段，</w:t>
      </w:r>
      <w:r w:rsidRPr="004C59BB">
        <w:rPr>
          <w:color w:val="0000FF"/>
        </w:rPr>
        <w:t>第一</w:t>
      </w:r>
      <w:r w:rsidRPr="004C59BB">
        <w:rPr>
          <w:color w:val="0000FF"/>
          <w:lang w:val="ru-RU"/>
        </w:rPr>
        <w:t>卷，第61页，据俄文译本）。</w:t>
      </w:r>
    </w:p>
  </w:footnote>
  <w:footnote w:id="1677">
    <w:p w14:paraId="0D30B15D" w14:textId="7B7E82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“还有一种心智（</w:t>
      </w:r>
      <w:r w:rsidRPr="004C59BB">
        <w:rPr>
          <w:color w:val="0000FF"/>
        </w:rPr>
        <w:t>νοητός</w:t>
      </w:r>
      <w:r w:rsidRPr="004C59BB">
        <w:rPr>
          <w:color w:val="0000FF"/>
          <w:lang w:val="ru-RU"/>
        </w:rPr>
        <w:t>）之境，我们在其中想象并感知着心智的、无形的存在。它存在于此，在此运作并被容纳，并非以肉体的方式，而是以心智的方式；因为它没有轮廓（</w:t>
      </w:r>
      <w:r w:rsidRPr="004C59BB">
        <w:rPr>
          <w:color w:val="0000FF"/>
        </w:rPr>
        <w:t>σχήμα</w:t>
      </w:r>
      <w:r w:rsidRPr="004C59BB">
        <w:rPr>
          <w:color w:val="0000FF"/>
          <w:lang w:val="ru-RU"/>
        </w:rPr>
        <w:t>），无法被肉体所容纳。 天使虽然不会以物质的方式局限于某个空间，从而具有外在的轮廓和形态；然而，仍可认为他在某处存在，因为他在那里以灵性方式临在，并按其本性在那里发挥作用，且不位于其他地方，而是在其发挥作用之处具有观念上的轮廓」（圣约翰·达马斯库斯。 《正统信仰精要》第1卷，第13章，第42、43页）。</w:t>
      </w:r>
    </w:p>
  </w:footnote>
  <w:footnote w:id="1678">
    <w:p w14:paraId="63DB163D" w14:textId="49A19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关于灵魂出离的讲道，载于《基督教读本》1831年，</w:t>
      </w:r>
      <w:r w:rsidRPr="004C59BB">
        <w:rPr>
          <w:color w:val="0000FF"/>
        </w:rPr>
        <w:t>第XLIII卷</w:t>
      </w:r>
      <w:r w:rsidRPr="004C59BB">
        <w:rPr>
          <w:color w:val="0000FF"/>
          <w:lang w:val="ru-RU"/>
        </w:rPr>
        <w:t>，第126页。</w:t>
      </w:r>
    </w:p>
  </w:footnote>
  <w:footnote w:id="1679">
    <w:p w14:paraId="2B59659F" w14:textId="1AF044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参见，例如，亚历山大的圣西里尔的讲道以及新瓦西里神父的生平中对受苦历程的详细描述。</w:t>
      </w:r>
    </w:p>
  </w:footnote>
  <w:footnote w:id="1680">
    <w:p w14:paraId="685019E0" w14:textId="0B9B4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《致哥林多前书》1章，第5、50节，载于《基督教读本》1824年版，</w:t>
      </w:r>
      <w:r w:rsidRPr="004C59BB">
        <w:rPr>
          <w:color w:val="0000FF"/>
        </w:rPr>
        <w:t>第XIV</w:t>
      </w:r>
      <w:r w:rsidRPr="004C59BB">
        <w:rPr>
          <w:color w:val="0000FF"/>
          <w:lang w:val="ru-RU"/>
        </w:rPr>
        <w:t>卷，第243、287页。</w:t>
      </w:r>
    </w:p>
  </w:footnote>
  <w:footnote w:id="1681">
    <w:p w14:paraId="176F76CF" w14:textId="6DC45D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……第19节，载于《基督教读本》1821年版，第139页。</w:t>
      </w:r>
    </w:p>
  </w:footnote>
  <w:footnote w:id="1682">
    <w:p w14:paraId="149A1755" w14:textId="730B62F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参见优西比乌《教会史》</w:t>
      </w:r>
      <w:r w:rsidRPr="004C59BB">
        <w:rPr>
          <w:color w:val="0000FF"/>
        </w:rPr>
        <w:t>第五</w:t>
      </w:r>
      <w:r w:rsidRPr="004C59BB">
        <w:rPr>
          <w:color w:val="0000FF"/>
          <w:lang w:val="ru-RU"/>
        </w:rPr>
        <w:t>卷，第二章，第268页（俄文译本）。</w:t>
      </w:r>
    </w:p>
  </w:footnote>
  <w:footnote w:id="1683">
    <w:p w14:paraId="79F591C1" w14:textId="782D980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此外</w:t>
      </w:r>
      <w:r w:rsidRPr="0097554A">
        <w:rPr>
          <w:color w:val="0000FF"/>
          <w:lang w:val="ru-RU"/>
        </w:rPr>
        <w:t>：</w:t>
      </w:r>
      <w:r w:rsidRPr="004C59BB">
        <w:rPr>
          <w:color w:val="0000FF"/>
        </w:rPr>
        <w:t>何等尊严</w:t>
      </w:r>
      <w:r w:rsidRPr="0097554A">
        <w:rPr>
          <w:color w:val="0000FF"/>
          <w:lang w:val="ru-RU"/>
        </w:rPr>
        <w:t>，</w:t>
      </w:r>
      <w:r w:rsidRPr="004C59BB">
        <w:rPr>
          <w:color w:val="0000FF"/>
        </w:rPr>
        <w:t>何等安全</w:t>
      </w:r>
      <w:r w:rsidRPr="0097554A">
        <w:rPr>
          <w:color w:val="0000FF"/>
          <w:lang w:val="ru-RU"/>
        </w:rPr>
        <w:t>……</w:t>
      </w:r>
      <w:r w:rsidRPr="004C59BB">
        <w:rPr>
          <w:color w:val="0000FF"/>
        </w:rPr>
        <w:t>在顷刻间闭上双眼</w:t>
      </w:r>
      <w:r w:rsidRPr="0097554A">
        <w:rPr>
          <w:color w:val="0000FF"/>
          <w:lang w:val="ru-RU"/>
        </w:rPr>
        <w:t>——</w:t>
      </w:r>
      <w:r w:rsidRPr="004C59BB">
        <w:rPr>
          <w:color w:val="0000FF"/>
        </w:rPr>
        <w:t>那些曾让人看见世人与尘世的双眼</w:t>
      </w:r>
      <w:r w:rsidRPr="0097554A">
        <w:rPr>
          <w:color w:val="0000FF"/>
          <w:lang w:val="ru-RU"/>
        </w:rPr>
        <w:t>——</w:t>
      </w:r>
      <w:r w:rsidRPr="004C59BB">
        <w:rPr>
          <w:color w:val="0000FF"/>
        </w:rPr>
        <w:t>随即睁开</w:t>
      </w:r>
      <w:r w:rsidRPr="0097554A">
        <w:rPr>
          <w:color w:val="0000FF"/>
          <w:lang w:val="ru-RU"/>
        </w:rPr>
        <w:t>，</w:t>
      </w:r>
      <w:r w:rsidRPr="004C59BB">
        <w:rPr>
          <w:color w:val="0000FF"/>
        </w:rPr>
        <w:t>以便看见上帝与基督</w:t>
      </w:r>
      <w:r w:rsidRPr="0097554A">
        <w:rPr>
          <w:color w:val="0000FF"/>
          <w:lang w:val="ru-RU"/>
        </w:rPr>
        <w:t>！（</w:t>
      </w:r>
      <w:r w:rsidRPr="004C59BB">
        <w:rPr>
          <w:color w:val="0000FF"/>
        </w:rPr>
        <w:t>《致福图纳特的书信</w:t>
      </w:r>
      <w:r w:rsidRPr="0097554A">
        <w:rPr>
          <w:color w:val="0000FF"/>
          <w:lang w:val="ru-RU"/>
        </w:rPr>
        <w:t>：</w:t>
      </w:r>
      <w:r w:rsidRPr="004C59BB">
        <w:rPr>
          <w:color w:val="0000FF"/>
        </w:rPr>
        <w:t>论殉道劝勉》</w:t>
      </w:r>
      <w:r w:rsidRPr="0097554A">
        <w:rPr>
          <w:color w:val="0000FF"/>
          <w:lang w:val="ru-RU"/>
        </w:rPr>
        <w:t>）</w:t>
      </w:r>
      <w:r w:rsidRPr="004C59BB">
        <w:rPr>
          <w:color w:val="0000FF"/>
        </w:rPr>
        <w:t>。</w:t>
      </w:r>
    </w:p>
  </w:footnote>
  <w:footnote w:id="1684">
    <w:p w14:paraId="2B53B833" w14:textId="0656C89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《论基督与敌基督》第</w:t>
      </w:r>
      <w:r w:rsidRPr="0097554A">
        <w:rPr>
          <w:color w:val="0000FF"/>
          <w:lang w:val="ru-RU"/>
        </w:rPr>
        <w:t>21</w:t>
      </w:r>
      <w:r w:rsidRPr="004C59BB">
        <w:rPr>
          <w:color w:val="0000FF"/>
        </w:rPr>
        <w:t>节。</w:t>
      </w:r>
    </w:p>
  </w:footnote>
  <w:footnote w:id="1685">
    <w:p w14:paraId="0A00E5C5" w14:textId="6BA6024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参见优西比乌《教会史》第六卷</w:t>
      </w:r>
      <w:r w:rsidRPr="0097554A">
        <w:rPr>
          <w:color w:val="0000FF"/>
          <w:lang w:val="ru-RU"/>
        </w:rPr>
        <w:t>，</w:t>
      </w:r>
      <w:r w:rsidRPr="004C59BB">
        <w:rPr>
          <w:color w:val="0000FF"/>
        </w:rPr>
        <w:t>第</w:t>
      </w:r>
      <w:r w:rsidRPr="0097554A">
        <w:rPr>
          <w:color w:val="0000FF"/>
          <w:lang w:val="ru-RU"/>
        </w:rPr>
        <w:t>42</w:t>
      </w:r>
      <w:r w:rsidRPr="004C59BB">
        <w:rPr>
          <w:color w:val="0000FF"/>
        </w:rPr>
        <w:t>章</w:t>
      </w:r>
      <w:r w:rsidRPr="0097554A">
        <w:rPr>
          <w:color w:val="0000FF"/>
          <w:lang w:val="ru-RU"/>
        </w:rPr>
        <w:t>，</w:t>
      </w:r>
      <w:r w:rsidRPr="004C59BB">
        <w:rPr>
          <w:color w:val="0000FF"/>
        </w:rPr>
        <w:t>第</w:t>
      </w:r>
      <w:r w:rsidRPr="0097554A">
        <w:rPr>
          <w:color w:val="0000FF"/>
          <w:lang w:val="ru-RU"/>
        </w:rPr>
        <w:t>385</w:t>
      </w:r>
      <w:r w:rsidRPr="004C59BB">
        <w:rPr>
          <w:color w:val="0000FF"/>
        </w:rPr>
        <w:t>页。</w:t>
      </w:r>
    </w:p>
  </w:footnote>
  <w:footnote w:id="1686">
    <w:p w14:paraId="04F3F6AE" w14:textId="05BA90E1"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ru-RU"/>
        </w:rPr>
        <w:t xml:space="preserve"> </w:t>
      </w:r>
      <w:r w:rsidRPr="004C59BB">
        <w:rPr>
          <w:color w:val="0000FF"/>
          <w:lang w:val="el-GR"/>
        </w:rPr>
        <w:t>因为这些</w:t>
      </w:r>
      <w:r w:rsidRPr="0097554A">
        <w:rPr>
          <w:color w:val="0000FF"/>
          <w:lang w:val="ru-RU"/>
        </w:rPr>
        <w:t>（</w:t>
      </w:r>
      <w:r w:rsidRPr="004C59BB">
        <w:rPr>
          <w:color w:val="0000FF"/>
          <w:lang w:val="el-GR"/>
        </w:rPr>
        <w:t>殉道者</w:t>
      </w:r>
      <w:r w:rsidRPr="0097554A">
        <w:rPr>
          <w:color w:val="0000FF"/>
          <w:lang w:val="ru-RU"/>
        </w:rPr>
        <w:t>）</w:t>
      </w:r>
      <w:r w:rsidRPr="004C59BB">
        <w:rPr>
          <w:color w:val="0000FF"/>
          <w:lang w:val="el-GR"/>
        </w:rPr>
        <w:t>确是蒙上帝赐福的。</w:t>
      </w:r>
      <w:r w:rsidRPr="004C59BB">
        <w:rPr>
          <w:color w:val="0000FF"/>
        </w:rPr>
        <w:t>第五卷</w:t>
      </w:r>
      <w:r w:rsidRPr="004C59BB">
        <w:rPr>
          <w:color w:val="0000FF"/>
          <w:lang w:val="el-GR"/>
        </w:rPr>
        <w:t>，第8</w:t>
      </w:r>
      <w:r w:rsidRPr="004C59BB">
        <w:rPr>
          <w:color w:val="0000FF"/>
        </w:rPr>
        <w:t>章</w:t>
      </w:r>
      <w:r w:rsidRPr="004C59BB">
        <w:rPr>
          <w:color w:val="0000FF"/>
          <w:lang w:val="el-GR"/>
        </w:rPr>
        <w:t>。</w:t>
      </w:r>
    </w:p>
  </w:footnote>
  <w:footnote w:id="1687">
    <w:p w14:paraId="777C3A26" w14:textId="55F5C321" w:rsidR="00254F25" w:rsidRPr="0097554A"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伊格纳提乌斯</w:t>
      </w:r>
      <w:r w:rsidRPr="004C59BB">
        <w:rPr>
          <w:color w:val="0000FF"/>
          <w:lang w:val="el-GR"/>
        </w:rPr>
        <w:t>，</w:t>
      </w:r>
      <w:r w:rsidRPr="004C59BB">
        <w:rPr>
          <w:color w:val="0000FF"/>
        </w:rPr>
        <w:t>《致特拉勒斯书</w:t>
      </w:r>
      <w:r w:rsidRPr="004C59BB">
        <w:rPr>
          <w:color w:val="0000FF"/>
          <w:lang w:val="el-GR"/>
        </w:rPr>
        <w:t>》，第13节；</w:t>
      </w:r>
      <w:r w:rsidRPr="004C59BB">
        <w:rPr>
          <w:color w:val="0000FF"/>
        </w:rPr>
        <w:t>狄奥尼修斯</w:t>
      </w:r>
      <w:r w:rsidRPr="004C59BB">
        <w:rPr>
          <w:color w:val="0000FF"/>
          <w:lang w:val="el-GR"/>
        </w:rPr>
        <w:t>·阿雷奥帕戈斯，《</w:t>
      </w:r>
      <w:r w:rsidRPr="004C59BB">
        <w:rPr>
          <w:color w:val="0000FF"/>
        </w:rPr>
        <w:t>论</w:t>
      </w:r>
      <w:r w:rsidRPr="004C59BB">
        <w:rPr>
          <w:color w:val="0000FF"/>
          <w:lang w:val="el-GR"/>
        </w:rPr>
        <w:t>教会</w:t>
      </w:r>
      <w:r w:rsidRPr="004C59BB">
        <w:rPr>
          <w:color w:val="0000FF"/>
        </w:rPr>
        <w:t>等级</w:t>
      </w:r>
      <w:r w:rsidRPr="004C59BB">
        <w:rPr>
          <w:color w:val="0000FF"/>
          <w:lang w:val="el-GR"/>
        </w:rPr>
        <w:t>制度》</w:t>
      </w:r>
      <w:r w:rsidRPr="0097554A">
        <w:rPr>
          <w:color w:val="0000FF"/>
          <w:lang w:val="el-GR"/>
        </w:rPr>
        <w:t>，</w:t>
      </w:r>
      <w:r w:rsidRPr="004C59BB">
        <w:rPr>
          <w:color w:val="0000FF"/>
        </w:rPr>
        <w:t>第三</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3</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9</w:t>
      </w:r>
      <w:r w:rsidRPr="004C59BB">
        <w:rPr>
          <w:color w:val="0000FF"/>
          <w:lang w:val="ru-RU"/>
        </w:rPr>
        <w:t>节</w:t>
      </w:r>
      <w:r w:rsidRPr="0097554A">
        <w:rPr>
          <w:color w:val="0000FF"/>
          <w:lang w:val="el-GR"/>
        </w:rPr>
        <w:t>；</w:t>
      </w:r>
      <w:r w:rsidRPr="004C59BB">
        <w:rPr>
          <w:color w:val="0000FF"/>
          <w:lang w:val="ru-RU"/>
        </w:rPr>
        <w:t>阿提纳斯</w:t>
      </w:r>
      <w:r w:rsidRPr="0097554A">
        <w:rPr>
          <w:color w:val="0000FF"/>
          <w:lang w:val="el-GR"/>
        </w:rPr>
        <w:t>，</w:t>
      </w:r>
      <w:r w:rsidRPr="004C59BB">
        <w:rPr>
          <w:color w:val="0000FF"/>
          <w:lang w:val="ru-RU"/>
        </w:rPr>
        <w:t>《</w:t>
      </w:r>
      <w:r w:rsidRPr="004C59BB">
        <w:rPr>
          <w:color w:val="0000FF"/>
        </w:rPr>
        <w:t>使节</w:t>
      </w:r>
      <w:r w:rsidRPr="004C59BB">
        <w:rPr>
          <w:color w:val="0000FF"/>
          <w:lang w:val="ru-RU"/>
        </w:rPr>
        <w:t>》</w:t>
      </w:r>
      <w:r w:rsidRPr="0097554A">
        <w:rPr>
          <w:color w:val="0000FF"/>
          <w:lang w:val="el-GR"/>
        </w:rPr>
        <w:t>，</w:t>
      </w:r>
      <w:r w:rsidRPr="004C59BB">
        <w:rPr>
          <w:color w:val="0000FF"/>
        </w:rPr>
        <w:t>第</w:t>
      </w:r>
      <w:r w:rsidRPr="0097554A">
        <w:rPr>
          <w:color w:val="0000FF"/>
          <w:lang w:val="el-GR"/>
        </w:rPr>
        <w:t>31</w:t>
      </w:r>
      <w:r w:rsidRPr="004C59BB">
        <w:rPr>
          <w:color w:val="0000FF"/>
        </w:rPr>
        <w:t>卷</w:t>
      </w:r>
      <w:r w:rsidRPr="0097554A">
        <w:rPr>
          <w:color w:val="0000FF"/>
          <w:lang w:val="el-GR"/>
        </w:rPr>
        <w:t>；</w:t>
      </w:r>
      <w:r w:rsidRPr="004C59BB">
        <w:rPr>
          <w:color w:val="0000FF"/>
          <w:lang w:val="ru-RU"/>
        </w:rPr>
        <w:t>克利门特</w:t>
      </w:r>
      <w:r w:rsidRPr="0097554A">
        <w:rPr>
          <w:color w:val="0000FF"/>
          <w:lang w:val="el-GR"/>
        </w:rPr>
        <w:t>·</w:t>
      </w:r>
      <w:r w:rsidRPr="004C59BB">
        <w:rPr>
          <w:color w:val="0000FF"/>
          <w:lang w:val="ru-RU"/>
        </w:rPr>
        <w:t>亚历山大</w:t>
      </w:r>
      <w:r w:rsidRPr="0097554A">
        <w:rPr>
          <w:color w:val="0000FF"/>
          <w:lang w:val="el-GR"/>
        </w:rPr>
        <w:t>，</w:t>
      </w:r>
      <w:r w:rsidRPr="004C59BB">
        <w:rPr>
          <w:color w:val="0000FF"/>
          <w:lang w:val="ru-RU"/>
        </w:rPr>
        <w:t>《</w:t>
      </w:r>
      <w:r w:rsidRPr="004C59BB">
        <w:rPr>
          <w:color w:val="0000FF"/>
        </w:rPr>
        <w:t>杂论</w:t>
      </w:r>
      <w:r w:rsidRPr="004C59BB">
        <w:rPr>
          <w:color w:val="0000FF"/>
          <w:lang w:val="ru-RU"/>
        </w:rPr>
        <w:t>》</w:t>
      </w:r>
      <w:r w:rsidRPr="0097554A">
        <w:rPr>
          <w:color w:val="0000FF"/>
          <w:lang w:val="el-GR"/>
        </w:rPr>
        <w:t>，</w:t>
      </w:r>
      <w:r w:rsidRPr="004C59BB">
        <w:rPr>
          <w:color w:val="0000FF"/>
        </w:rPr>
        <w:t>第七</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10</w:t>
      </w:r>
      <w:r w:rsidRPr="004C59BB">
        <w:rPr>
          <w:color w:val="0000FF"/>
          <w:lang w:val="ru-RU"/>
        </w:rPr>
        <w:t>章</w:t>
      </w:r>
      <w:r w:rsidRPr="0097554A">
        <w:rPr>
          <w:color w:val="0000FF"/>
          <w:lang w:val="el-GR"/>
        </w:rPr>
        <w:t>；</w:t>
      </w:r>
      <w:r w:rsidRPr="004C59BB">
        <w:rPr>
          <w:color w:val="0000FF"/>
          <w:lang w:val="ru-RU"/>
        </w:rPr>
        <w:t>奥利金</w:t>
      </w:r>
      <w:r w:rsidRPr="0097554A">
        <w:rPr>
          <w:color w:val="0000FF"/>
          <w:lang w:val="el-GR"/>
        </w:rPr>
        <w:t>，</w:t>
      </w:r>
      <w:r w:rsidRPr="004C59BB">
        <w:rPr>
          <w:color w:val="0000FF"/>
          <w:lang w:val="ru-RU"/>
        </w:rPr>
        <w:t>《论原理》</w:t>
      </w:r>
      <w:r w:rsidRPr="0097554A">
        <w:rPr>
          <w:color w:val="0000FF"/>
          <w:lang w:val="el-GR"/>
        </w:rPr>
        <w:t>，</w:t>
      </w:r>
      <w:r w:rsidRPr="004C59BB">
        <w:rPr>
          <w:color w:val="0000FF"/>
          <w:lang w:val="ru-RU"/>
        </w:rPr>
        <w:t>第</w:t>
      </w:r>
      <w:r w:rsidRPr="0097554A">
        <w:rPr>
          <w:color w:val="0000FF"/>
          <w:lang w:val="el-GR"/>
        </w:rPr>
        <w:t>11</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11</w:t>
      </w:r>
      <w:r w:rsidRPr="004C59BB">
        <w:rPr>
          <w:color w:val="0000FF"/>
          <w:lang w:val="ru-RU"/>
        </w:rPr>
        <w:t>节。</w:t>
      </w:r>
    </w:p>
  </w:footnote>
  <w:footnote w:id="1688">
    <w:p w14:paraId="4CE36282" w14:textId="2D0D3BA0"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《圣教父著作集》</w:t>
      </w:r>
      <w:r w:rsidRPr="004C59BB">
        <w:rPr>
          <w:color w:val="0000FF"/>
        </w:rPr>
        <w:t>第四卷</w:t>
      </w:r>
      <w:r w:rsidRPr="0097554A">
        <w:rPr>
          <w:color w:val="0000FF"/>
          <w:lang w:val="el-GR"/>
        </w:rPr>
        <w:t>，</w:t>
      </w:r>
      <w:r w:rsidRPr="004C59BB">
        <w:rPr>
          <w:color w:val="0000FF"/>
          <w:lang w:val="ru-RU"/>
        </w:rPr>
        <w:t>第</w:t>
      </w:r>
      <w:r w:rsidRPr="0097554A">
        <w:rPr>
          <w:color w:val="0000FF"/>
          <w:lang w:val="el-GR"/>
        </w:rPr>
        <w:t>138</w:t>
      </w:r>
      <w:r w:rsidRPr="004C59BB">
        <w:rPr>
          <w:color w:val="0000FF"/>
          <w:lang w:val="ru-RU"/>
        </w:rPr>
        <w:t>、</w:t>
      </w:r>
      <w:r w:rsidRPr="0097554A">
        <w:rPr>
          <w:color w:val="0000FF"/>
          <w:lang w:val="el-GR"/>
        </w:rPr>
        <w:t>139</w:t>
      </w:r>
      <w:r w:rsidRPr="004C59BB">
        <w:rPr>
          <w:color w:val="0000FF"/>
          <w:lang w:val="ru-RU"/>
        </w:rPr>
        <w:t>页。</w:t>
      </w:r>
    </w:p>
  </w:footnote>
  <w:footnote w:id="1689">
    <w:p w14:paraId="21C0EF00" w14:textId="7C44EC82"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同上</w:t>
      </w:r>
      <w:r w:rsidRPr="0097554A">
        <w:rPr>
          <w:color w:val="0000FF"/>
          <w:lang w:val="el-GR"/>
        </w:rPr>
        <w:t>，</w:t>
      </w:r>
      <w:r w:rsidRPr="004C59BB">
        <w:rPr>
          <w:color w:val="0000FF"/>
        </w:rPr>
        <w:t>第十五卷</w:t>
      </w:r>
      <w:r w:rsidRPr="0097554A">
        <w:rPr>
          <w:color w:val="0000FF"/>
          <w:lang w:val="el-GR"/>
        </w:rPr>
        <w:t>，</w:t>
      </w:r>
      <w:r w:rsidRPr="004C59BB">
        <w:rPr>
          <w:color w:val="0000FF"/>
          <w:lang w:val="ru-RU"/>
        </w:rPr>
        <w:t>第</w:t>
      </w:r>
      <w:r w:rsidRPr="0097554A">
        <w:rPr>
          <w:color w:val="0000FF"/>
          <w:lang w:val="el-GR"/>
        </w:rPr>
        <w:t>263</w:t>
      </w:r>
      <w:r w:rsidRPr="004C59BB">
        <w:rPr>
          <w:color w:val="0000FF"/>
          <w:lang w:val="ru-RU"/>
        </w:rPr>
        <w:t>页。</w:t>
      </w:r>
    </w:p>
  </w:footnote>
  <w:footnote w:id="1690">
    <w:p w14:paraId="2B82333B" w14:textId="40629ACA"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《异端论》LXXVIII</w:t>
      </w:r>
      <w:r w:rsidRPr="0097554A">
        <w:rPr>
          <w:color w:val="0000FF"/>
          <w:lang w:val="el-GR"/>
        </w:rPr>
        <w:t>，</w:t>
      </w:r>
      <w:r w:rsidRPr="004C59BB">
        <w:rPr>
          <w:color w:val="0000FF"/>
        </w:rPr>
        <w:t>n</w:t>
      </w:r>
      <w:r w:rsidRPr="0097554A">
        <w:rPr>
          <w:color w:val="0000FF"/>
          <w:lang w:val="el-GR"/>
        </w:rPr>
        <w:t>. 23</w:t>
      </w:r>
      <w:r w:rsidRPr="004C59BB">
        <w:rPr>
          <w:color w:val="0000FF"/>
        </w:rPr>
        <w:t>。</w:t>
      </w:r>
    </w:p>
  </w:footnote>
  <w:footnote w:id="1691">
    <w:p w14:paraId="17C5C6A1" w14:textId="2F1FD808"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《腓立比书讲道集》第三卷</w:t>
      </w:r>
      <w:r w:rsidRPr="0097554A">
        <w:rPr>
          <w:color w:val="0000FF"/>
          <w:lang w:val="el-GR"/>
        </w:rPr>
        <w:t>，</w:t>
      </w:r>
      <w:r w:rsidRPr="004C59BB">
        <w:rPr>
          <w:color w:val="0000FF"/>
        </w:rPr>
        <w:t>第</w:t>
      </w:r>
      <w:r w:rsidRPr="0097554A">
        <w:rPr>
          <w:color w:val="0000FF"/>
          <w:lang w:val="el-GR"/>
        </w:rPr>
        <w:t>3</w:t>
      </w:r>
      <w:r w:rsidRPr="004C59BB">
        <w:rPr>
          <w:color w:val="0000FF"/>
        </w:rPr>
        <w:t>、</w:t>
      </w:r>
      <w:r w:rsidRPr="0097554A">
        <w:rPr>
          <w:color w:val="0000FF"/>
          <w:lang w:val="el-GR"/>
        </w:rPr>
        <w:t>4</w:t>
      </w:r>
      <w:r w:rsidRPr="004C59BB">
        <w:rPr>
          <w:color w:val="0000FF"/>
        </w:rPr>
        <w:t>节</w:t>
      </w:r>
      <w:r w:rsidRPr="0097554A">
        <w:rPr>
          <w:color w:val="0000FF"/>
          <w:lang w:val="el-GR"/>
        </w:rPr>
        <w:t>；</w:t>
      </w:r>
      <w:r w:rsidRPr="004C59BB">
        <w:rPr>
          <w:color w:val="0000FF"/>
        </w:rPr>
        <w:t>《哥林多后书讲道集》第十卷</w:t>
      </w:r>
      <w:r w:rsidRPr="0097554A">
        <w:rPr>
          <w:color w:val="0000FF"/>
          <w:lang w:val="el-GR"/>
        </w:rPr>
        <w:t>，</w:t>
      </w:r>
      <w:r w:rsidRPr="004C59BB">
        <w:rPr>
          <w:color w:val="0000FF"/>
        </w:rPr>
        <w:t>第</w:t>
      </w:r>
      <w:r w:rsidRPr="0097554A">
        <w:rPr>
          <w:color w:val="0000FF"/>
          <w:lang w:val="el-GR"/>
        </w:rPr>
        <w:t>2</w:t>
      </w:r>
      <w:r w:rsidRPr="004C59BB">
        <w:rPr>
          <w:color w:val="0000FF"/>
        </w:rPr>
        <w:t>节。</w:t>
      </w:r>
    </w:p>
  </w:footnote>
  <w:footnote w:id="1692">
    <w:p w14:paraId="3951F168" w14:textId="562434F9"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即使他们尝到了肉体的死亡</w:t>
      </w:r>
      <w:r w:rsidRPr="0097554A">
        <w:rPr>
          <w:color w:val="0000FF"/>
          <w:lang w:val="el-GR"/>
        </w:rPr>
        <w:t>，</w:t>
      </w:r>
      <w:r w:rsidRPr="004C59BB">
        <w:rPr>
          <w:color w:val="0000FF"/>
        </w:rPr>
        <w:t>却仍将获得无形之生命</w:t>
      </w:r>
      <w:r w:rsidRPr="0097554A">
        <w:rPr>
          <w:color w:val="0000FF"/>
          <w:lang w:val="el-GR"/>
        </w:rPr>
        <w:t>，</w:t>
      </w:r>
      <w:r w:rsidRPr="004C59BB">
        <w:rPr>
          <w:color w:val="0000FF"/>
        </w:rPr>
        <w:t>并因自身功德的光辉而得照耀</w:t>
      </w:r>
      <w:r w:rsidRPr="0097554A">
        <w:rPr>
          <w:color w:val="0000FF"/>
          <w:lang w:val="el-GR"/>
        </w:rPr>
        <w:t>，</w:t>
      </w:r>
      <w:r w:rsidRPr="004C59BB">
        <w:rPr>
          <w:color w:val="0000FF"/>
        </w:rPr>
        <w:t>亦将享受永恒之光</w:t>
      </w:r>
      <w:r w:rsidRPr="0097554A">
        <w:rPr>
          <w:color w:val="0000FF"/>
          <w:lang w:val="el-GR"/>
        </w:rPr>
        <w:t>”（</w:t>
      </w:r>
      <w:r w:rsidRPr="004C59BB">
        <w:rPr>
          <w:color w:val="0000FF"/>
        </w:rPr>
        <w:t>《论该隐与亚伯》第二卷</w:t>
      </w:r>
      <w:r w:rsidRPr="0097554A">
        <w:rPr>
          <w:color w:val="0000FF"/>
          <w:lang w:val="el-GR"/>
        </w:rPr>
        <w:t>，</w:t>
      </w:r>
      <w:r w:rsidRPr="004C59BB">
        <w:rPr>
          <w:color w:val="0000FF"/>
          <w:lang w:val="ru-RU"/>
        </w:rPr>
        <w:t>第</w:t>
      </w:r>
      <w:r w:rsidRPr="0097554A">
        <w:rPr>
          <w:color w:val="0000FF"/>
          <w:lang w:val="el-GR"/>
        </w:rPr>
        <w:t>9</w:t>
      </w:r>
      <w:r w:rsidRPr="004C59BB">
        <w:rPr>
          <w:color w:val="0000FF"/>
          <w:lang w:val="ru-RU"/>
        </w:rPr>
        <w:t>章</w:t>
      </w:r>
      <w:r w:rsidRPr="0097554A">
        <w:rPr>
          <w:color w:val="0000FF"/>
          <w:lang w:val="el-GR"/>
        </w:rPr>
        <w:t>，</w:t>
      </w:r>
      <w:r w:rsidRPr="004C59BB">
        <w:rPr>
          <w:color w:val="0000FF"/>
          <w:lang w:val="ru-RU"/>
        </w:rPr>
        <w:t>第</w:t>
      </w:r>
      <w:r w:rsidRPr="0097554A">
        <w:rPr>
          <w:color w:val="0000FF"/>
          <w:lang w:val="el-GR"/>
        </w:rPr>
        <w:t>31</w:t>
      </w:r>
      <w:r w:rsidRPr="004C59BB">
        <w:rPr>
          <w:color w:val="0000FF"/>
          <w:lang w:val="ru-RU"/>
        </w:rPr>
        <w:t>节</w:t>
      </w:r>
      <w:r w:rsidRPr="0097554A">
        <w:rPr>
          <w:color w:val="0000FF"/>
          <w:lang w:val="el-GR"/>
        </w:rPr>
        <w:t>）</w:t>
      </w:r>
      <w:r w:rsidRPr="004C59BB">
        <w:rPr>
          <w:color w:val="0000FF"/>
          <w:lang w:val="ru-RU"/>
        </w:rPr>
        <w:t>。</w:t>
      </w:r>
    </w:p>
  </w:footnote>
  <w:footnote w:id="1693">
    <w:p w14:paraId="7ECCF859" w14:textId="681742BC"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圣以弗所的灵魂该栖身何处</w:t>
      </w:r>
      <w:r w:rsidRPr="0097554A">
        <w:rPr>
          <w:color w:val="0000FF"/>
          <w:lang w:val="el-GR"/>
        </w:rPr>
        <w:t>？</w:t>
      </w:r>
      <w:r w:rsidRPr="004C59BB">
        <w:rPr>
          <w:color w:val="0000FF"/>
          <w:lang w:val="ru-RU"/>
        </w:rPr>
        <w:t>岂不是在天上的居所</w:t>
      </w:r>
      <w:r w:rsidRPr="0097554A">
        <w:rPr>
          <w:color w:val="0000FF"/>
          <w:lang w:val="el-GR"/>
        </w:rPr>
        <w:t>，</w:t>
      </w:r>
      <w:r w:rsidRPr="004C59BB">
        <w:rPr>
          <w:color w:val="0000FF"/>
          <w:lang w:val="ru-RU"/>
        </w:rPr>
        <w:t>岂不是在天使的行列之中</w:t>
      </w:r>
      <w:r w:rsidRPr="0097554A">
        <w:rPr>
          <w:color w:val="0000FF"/>
          <w:lang w:val="el-GR"/>
        </w:rPr>
        <w:t>，</w:t>
      </w:r>
      <w:r w:rsidRPr="004C59BB">
        <w:rPr>
          <w:color w:val="0000FF"/>
          <w:lang w:val="ru-RU"/>
        </w:rPr>
        <w:t>在先知的群像之中</w:t>
      </w:r>
      <w:r w:rsidRPr="0097554A">
        <w:rPr>
          <w:color w:val="0000FF"/>
          <w:lang w:val="el-GR"/>
        </w:rPr>
        <w:t>，</w:t>
      </w:r>
      <w:r w:rsidRPr="004C59BB">
        <w:rPr>
          <w:color w:val="0000FF"/>
          <w:lang w:val="ru-RU"/>
        </w:rPr>
        <w:t>在使徒的宝座之上</w:t>
      </w:r>
      <w:r w:rsidRPr="0097554A">
        <w:rPr>
          <w:color w:val="0000FF"/>
          <w:lang w:val="el-GR"/>
        </w:rPr>
        <w:t>，</w:t>
      </w:r>
      <w:r w:rsidRPr="004C59BB">
        <w:rPr>
          <w:color w:val="0000FF"/>
          <w:lang w:val="ru-RU"/>
        </w:rPr>
        <w:t>在殉道者的喜乐之中</w:t>
      </w:r>
      <w:r w:rsidRPr="0097554A">
        <w:rPr>
          <w:color w:val="0000FF"/>
          <w:lang w:val="el-GR"/>
        </w:rPr>
        <w:t>，</w:t>
      </w:r>
      <w:r w:rsidRPr="004C59BB">
        <w:rPr>
          <w:color w:val="0000FF"/>
          <w:lang w:val="ru-RU"/>
        </w:rPr>
        <w:t>在圣徒的欢欣之中</w:t>
      </w:r>
      <w:r w:rsidRPr="0097554A">
        <w:rPr>
          <w:color w:val="0000FF"/>
          <w:lang w:val="el-GR"/>
        </w:rPr>
        <w:t>，</w:t>
      </w:r>
      <w:r w:rsidRPr="004C59BB">
        <w:rPr>
          <w:color w:val="0000FF"/>
          <w:lang w:val="ru-RU"/>
        </w:rPr>
        <w:t>在导师的光辉之中</w:t>
      </w:r>
      <w:r w:rsidRPr="0097554A">
        <w:rPr>
          <w:color w:val="0000FF"/>
          <w:lang w:val="el-GR"/>
        </w:rPr>
        <w:t>，</w:t>
      </w:r>
      <w:r w:rsidRPr="004C59BB">
        <w:rPr>
          <w:color w:val="0000FF"/>
          <w:lang w:val="ru-RU"/>
        </w:rPr>
        <w:t>在长子们的庆典之中</w:t>
      </w:r>
      <w:r w:rsidRPr="0097554A">
        <w:rPr>
          <w:color w:val="0000FF"/>
          <w:lang w:val="el-GR"/>
        </w:rPr>
        <w:t>？” （</w:t>
      </w:r>
      <w:r w:rsidRPr="004C59BB">
        <w:rPr>
          <w:color w:val="0000FF"/>
        </w:rPr>
        <w:t>《论圣以弗所的生平</w:t>
      </w:r>
      <w:r w:rsidRPr="004C59BB">
        <w:rPr>
          <w:color w:val="0000FF"/>
          <w:lang w:val="ru-RU"/>
        </w:rPr>
        <w:t>》</w:t>
      </w:r>
      <w:r w:rsidRPr="0097554A">
        <w:rPr>
          <w:color w:val="0000FF"/>
          <w:lang w:val="el-GR"/>
        </w:rPr>
        <w:t>，</w:t>
      </w:r>
      <w:r w:rsidRPr="004C59BB">
        <w:rPr>
          <w:color w:val="0000FF"/>
        </w:rPr>
        <w:t>载于第三卷</w:t>
      </w:r>
      <w:r w:rsidRPr="0097554A">
        <w:rPr>
          <w:color w:val="0000FF"/>
          <w:lang w:val="el-GR"/>
        </w:rPr>
        <w:t>，</w:t>
      </w:r>
      <w:r w:rsidRPr="004C59BB">
        <w:rPr>
          <w:color w:val="0000FF"/>
          <w:lang w:val="ru-RU"/>
        </w:rPr>
        <w:t>第</w:t>
      </w:r>
      <w:r w:rsidRPr="0097554A">
        <w:rPr>
          <w:color w:val="0000FF"/>
          <w:lang w:val="el-GR"/>
        </w:rPr>
        <w:t>316</w:t>
      </w:r>
      <w:r w:rsidRPr="004C59BB">
        <w:rPr>
          <w:color w:val="0000FF"/>
          <w:lang w:val="ru-RU"/>
        </w:rPr>
        <w:t>页</w:t>
      </w:r>
      <w:r w:rsidRPr="0097554A">
        <w:rPr>
          <w:color w:val="0000FF"/>
          <w:lang w:val="el-GR"/>
        </w:rPr>
        <w:t>，</w:t>
      </w:r>
      <w:r w:rsidRPr="004C59BB">
        <w:rPr>
          <w:color w:val="0000FF"/>
        </w:rPr>
        <w:t>莫雷尔</w:t>
      </w:r>
      <w:r w:rsidRPr="004C59BB">
        <w:rPr>
          <w:color w:val="0000FF"/>
          <w:lang w:val="ru-RU"/>
        </w:rPr>
        <w:t>版。</w:t>
      </w:r>
      <w:r w:rsidRPr="0097554A">
        <w:rPr>
          <w:color w:val="0000FF"/>
          <w:lang w:val="el-GR"/>
        </w:rPr>
        <w:t>）</w:t>
      </w:r>
    </w:p>
  </w:footnote>
  <w:footnote w:id="1694">
    <w:p w14:paraId="6D836CC9" w14:textId="4D462DE3"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《圣大君主谈话集》中关于圣殉道者瓦尔拉姆日的论述</w:t>
      </w:r>
      <w:r w:rsidRPr="0097554A">
        <w:rPr>
          <w:color w:val="0000FF"/>
          <w:lang w:val="el-GR"/>
        </w:rPr>
        <w:t>，</w:t>
      </w:r>
      <w:r w:rsidRPr="004C59BB">
        <w:rPr>
          <w:color w:val="0000FF"/>
          <w:lang w:val="ru-RU"/>
        </w:rPr>
        <w:t>载于《特维尔圣父集》</w:t>
      </w:r>
      <w:r w:rsidRPr="004C59BB">
        <w:rPr>
          <w:color w:val="0000FF"/>
        </w:rPr>
        <w:t>第八</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274</w:t>
      </w:r>
      <w:r w:rsidRPr="004C59BB">
        <w:rPr>
          <w:color w:val="0000FF"/>
          <w:lang w:val="ru-RU"/>
        </w:rPr>
        <w:t>页</w:t>
      </w:r>
      <w:r w:rsidRPr="0097554A">
        <w:rPr>
          <w:color w:val="0000FF"/>
          <w:lang w:val="el-GR"/>
        </w:rPr>
        <w:t>；</w:t>
      </w:r>
      <w:r w:rsidRPr="004C59BB">
        <w:rPr>
          <w:color w:val="0000FF"/>
          <w:lang w:val="ru-RU"/>
        </w:rPr>
        <w:t>伊拉里乌斯</w:t>
      </w:r>
      <w:r w:rsidRPr="004C59BB">
        <w:rPr>
          <w:color w:val="0000FF"/>
        </w:rPr>
        <w:t>《</w:t>
      </w:r>
      <w:r w:rsidRPr="004C59BB">
        <w:rPr>
          <w:color w:val="0000FF"/>
          <w:lang w:val="ru-RU"/>
        </w:rPr>
        <w:t>诗篇注释》</w:t>
      </w:r>
      <w:r w:rsidRPr="004C59BB">
        <w:rPr>
          <w:color w:val="0000FF"/>
        </w:rPr>
        <w:t>第</w:t>
      </w:r>
      <w:r w:rsidRPr="0097554A">
        <w:rPr>
          <w:color w:val="0000FF"/>
          <w:lang w:val="el-GR"/>
        </w:rPr>
        <w:t>194</w:t>
      </w:r>
      <w:r w:rsidRPr="004C59BB">
        <w:rPr>
          <w:color w:val="0000FF"/>
        </w:rPr>
        <w:t>篇</w:t>
      </w:r>
      <w:r w:rsidRPr="0097554A">
        <w:rPr>
          <w:color w:val="0000FF"/>
          <w:lang w:val="el-GR"/>
        </w:rPr>
        <w:t>，</w:t>
      </w:r>
      <w:r w:rsidRPr="004C59BB">
        <w:rPr>
          <w:color w:val="0000FF"/>
          <w:lang w:val="ru-RU"/>
        </w:rPr>
        <w:t>第</w:t>
      </w:r>
      <w:r w:rsidRPr="0097554A">
        <w:rPr>
          <w:color w:val="0000FF"/>
          <w:lang w:val="el-GR"/>
        </w:rPr>
        <w:t>5</w:t>
      </w:r>
      <w:r w:rsidRPr="004C59BB">
        <w:rPr>
          <w:color w:val="0000FF"/>
          <w:lang w:val="ru-RU"/>
        </w:rPr>
        <w:t>注。</w:t>
      </w:r>
    </w:p>
  </w:footnote>
  <w:footnote w:id="1695">
    <w:p w14:paraId="37230E0A" w14:textId="4ACF2DAA"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那些胜利者的英勇灵魂</w:t>
      </w:r>
      <w:r w:rsidRPr="0097554A">
        <w:rPr>
          <w:color w:val="0000FF"/>
          <w:lang w:val="el-GR"/>
        </w:rPr>
        <w:t>，</w:t>
      </w:r>
      <w:r w:rsidRPr="004C59BB">
        <w:rPr>
          <w:color w:val="0000FF"/>
        </w:rPr>
        <w:t>正以这样的队伍穿行于天际</w:t>
      </w:r>
      <w:r w:rsidRPr="0097554A">
        <w:rPr>
          <w:color w:val="0000FF"/>
          <w:lang w:val="el-GR"/>
        </w:rPr>
        <w:t>，</w:t>
      </w:r>
      <w:r w:rsidRPr="004C59BB">
        <w:rPr>
          <w:color w:val="0000FF"/>
        </w:rPr>
        <w:t>与天上的合唱团一同欢庆</w:t>
      </w:r>
      <w:r w:rsidRPr="0097554A">
        <w:rPr>
          <w:color w:val="0000FF"/>
          <w:lang w:val="el-GR"/>
        </w:rPr>
        <w:t>（</w:t>
      </w:r>
      <w:r w:rsidRPr="004C59BB">
        <w:rPr>
          <w:color w:val="0000FF"/>
        </w:rPr>
        <w:t>《希腊文注释</w:t>
      </w:r>
      <w:r w:rsidRPr="004C59BB">
        <w:rPr>
          <w:color w:val="0000FF"/>
          <w:lang w:val="ru-RU"/>
        </w:rPr>
        <w:t>集》</w:t>
      </w:r>
      <w:r w:rsidRPr="004C59BB">
        <w:rPr>
          <w:color w:val="0000FF"/>
        </w:rPr>
        <w:t>第八卷</w:t>
      </w:r>
      <w:r w:rsidRPr="0097554A">
        <w:rPr>
          <w:color w:val="0000FF"/>
          <w:lang w:val="el-GR"/>
        </w:rPr>
        <w:t>）</w:t>
      </w:r>
      <w:r w:rsidRPr="004C59BB">
        <w:rPr>
          <w:color w:val="0000FF"/>
        </w:rPr>
        <w:t>。</w:t>
      </w:r>
    </w:p>
  </w:footnote>
  <w:footnote w:id="1696">
    <w:p w14:paraId="6AD17599" w14:textId="36B14904"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要站在保罗的位置上</w:t>
      </w:r>
      <w:r w:rsidRPr="0097554A">
        <w:rPr>
          <w:color w:val="0000FF"/>
          <w:lang w:val="el-GR"/>
        </w:rPr>
        <w:t>，</w:t>
      </w:r>
      <w:r w:rsidRPr="004C59BB">
        <w:rPr>
          <w:color w:val="0000FF"/>
        </w:rPr>
        <w:t>保持彼得的地位</w:t>
      </w:r>
      <w:r w:rsidRPr="0097554A">
        <w:rPr>
          <w:color w:val="0000FF"/>
          <w:lang w:val="el-GR"/>
        </w:rPr>
        <w:t>，</w:t>
      </w:r>
      <w:r w:rsidRPr="004C59BB">
        <w:rPr>
          <w:color w:val="0000FF"/>
        </w:rPr>
        <w:t>与基督一同作王</w:t>
      </w:r>
      <w:r w:rsidRPr="0097554A">
        <w:rPr>
          <w:color w:val="0000FF"/>
          <w:lang w:val="el-GR"/>
        </w:rPr>
        <w:t>，</w:t>
      </w:r>
      <w:r w:rsidRPr="004C59BB">
        <w:rPr>
          <w:color w:val="0000FF"/>
        </w:rPr>
        <w:t>绝非易事</w:t>
      </w:r>
      <w:r w:rsidRPr="0097554A">
        <w:rPr>
          <w:color w:val="0000FF"/>
          <w:lang w:val="el-GR"/>
        </w:rPr>
        <w:t>（</w:t>
      </w:r>
      <w:r w:rsidRPr="004C59BB">
        <w:rPr>
          <w:color w:val="0000FF"/>
        </w:rPr>
        <w:t>《致赫利多尔书》第五封</w:t>
      </w:r>
      <w:r w:rsidRPr="0097554A">
        <w:rPr>
          <w:color w:val="0000FF"/>
          <w:lang w:val="el-GR"/>
        </w:rPr>
        <w:t>）</w:t>
      </w:r>
      <w:r w:rsidRPr="004C59BB">
        <w:rPr>
          <w:color w:val="0000FF"/>
        </w:rPr>
        <w:t>。</w:t>
      </w:r>
    </w:p>
  </w:footnote>
  <w:footnote w:id="1697">
    <w:p w14:paraId="70C76F01" w14:textId="367A4C0E"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《反一性论》第四卷</w:t>
      </w:r>
      <w:r w:rsidRPr="0097554A">
        <w:rPr>
          <w:color w:val="0000FF"/>
          <w:lang w:val="el-GR"/>
        </w:rPr>
        <w:t>，</w:t>
      </w:r>
      <w:r w:rsidRPr="004C59BB">
        <w:rPr>
          <w:color w:val="0000FF"/>
        </w:rPr>
        <w:t>载于Mai版第七卷</w:t>
      </w:r>
      <w:r w:rsidRPr="0097554A">
        <w:rPr>
          <w:color w:val="0000FF"/>
          <w:lang w:val="el-GR"/>
        </w:rPr>
        <w:t>，</w:t>
      </w:r>
      <w:r w:rsidRPr="004C59BB">
        <w:rPr>
          <w:color w:val="0000FF"/>
        </w:rPr>
        <w:t>第</w:t>
      </w:r>
      <w:r w:rsidRPr="0097554A">
        <w:rPr>
          <w:color w:val="0000FF"/>
          <w:lang w:val="el-GR"/>
        </w:rPr>
        <w:t>196</w:t>
      </w:r>
      <w:r w:rsidRPr="004C59BB">
        <w:rPr>
          <w:color w:val="0000FF"/>
        </w:rPr>
        <w:t>页及以下。</w:t>
      </w:r>
    </w:p>
  </w:footnote>
  <w:footnote w:id="1698">
    <w:p w14:paraId="66CFB8A6" w14:textId="59C68472"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(1699) </w:t>
      </w:r>
      <w:r w:rsidRPr="004C59BB">
        <w:rPr>
          <w:color w:val="0000FF"/>
        </w:rPr>
        <w:t>《对话录》第四卷</w:t>
      </w:r>
      <w:r w:rsidRPr="0097554A">
        <w:rPr>
          <w:color w:val="0000FF"/>
          <w:lang w:val="el-GR"/>
        </w:rPr>
        <w:t>，</w:t>
      </w:r>
      <w:r w:rsidRPr="004C59BB">
        <w:rPr>
          <w:color w:val="0000FF"/>
        </w:rPr>
        <w:t>第</w:t>
      </w:r>
      <w:r w:rsidRPr="0097554A">
        <w:rPr>
          <w:color w:val="0000FF"/>
          <w:lang w:val="el-GR"/>
        </w:rPr>
        <w:t>25</w:t>
      </w:r>
      <w:r w:rsidRPr="004C59BB">
        <w:rPr>
          <w:color w:val="0000FF"/>
        </w:rPr>
        <w:t>、</w:t>
      </w:r>
      <w:r w:rsidRPr="0097554A">
        <w:rPr>
          <w:color w:val="0000FF"/>
          <w:lang w:val="el-GR"/>
        </w:rPr>
        <w:t>28</w:t>
      </w:r>
      <w:r w:rsidRPr="004C59BB">
        <w:rPr>
          <w:color w:val="0000FF"/>
        </w:rPr>
        <w:t>章</w:t>
      </w:r>
      <w:r w:rsidRPr="0097554A">
        <w:rPr>
          <w:color w:val="0000FF"/>
          <w:lang w:val="el-GR"/>
        </w:rPr>
        <w:t>；</w:t>
      </w:r>
      <w:r w:rsidRPr="004C59BB">
        <w:rPr>
          <w:color w:val="0000FF"/>
        </w:rPr>
        <w:t>见《约伯记》第三章</w:t>
      </w:r>
      <w:r w:rsidRPr="0097554A">
        <w:rPr>
          <w:color w:val="0000FF"/>
          <w:lang w:val="el-GR"/>
        </w:rPr>
        <w:t>，</w:t>
      </w:r>
      <w:r w:rsidRPr="004C59BB">
        <w:rPr>
          <w:color w:val="0000FF"/>
        </w:rPr>
        <w:t>第</w:t>
      </w:r>
      <w:r w:rsidRPr="0097554A">
        <w:rPr>
          <w:color w:val="0000FF"/>
          <w:lang w:val="el-GR"/>
        </w:rPr>
        <w:t>48</w:t>
      </w:r>
      <w:r w:rsidRPr="004C59BB">
        <w:rPr>
          <w:color w:val="0000FF"/>
        </w:rPr>
        <w:t>节。</w:t>
      </w:r>
    </w:p>
  </w:footnote>
  <w:footnote w:id="1699">
    <w:p w14:paraId="4E0A5B4E" w14:textId="4D2D423A"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el-GR"/>
        </w:rPr>
        <w:t xml:space="preserve"> </w:t>
      </w:r>
      <w:r w:rsidRPr="004C59BB">
        <w:rPr>
          <w:color w:val="0000FF"/>
          <w:lang w:val="ru-RU"/>
        </w:rPr>
        <w:t>在星期二晨祷第二调的八节经中</w:t>
      </w:r>
      <w:r w:rsidRPr="0097554A">
        <w:rPr>
          <w:color w:val="0000FF"/>
          <w:lang w:val="el-GR"/>
        </w:rPr>
        <w:t>，</w:t>
      </w:r>
      <w:r w:rsidRPr="004C59BB">
        <w:rPr>
          <w:color w:val="0000FF"/>
          <w:lang w:val="ru-RU"/>
        </w:rPr>
        <w:t>第九首诗篇里</w:t>
      </w:r>
      <w:r w:rsidRPr="0097554A">
        <w:rPr>
          <w:color w:val="0000FF"/>
          <w:lang w:val="el-GR"/>
        </w:rPr>
        <w:t>，</w:t>
      </w:r>
      <w:r w:rsidRPr="004C59BB">
        <w:rPr>
          <w:color w:val="0000FF"/>
          <w:lang w:val="ru-RU"/>
        </w:rPr>
        <w:t>他呼求道</w:t>
      </w:r>
      <w:r w:rsidRPr="0097554A">
        <w:rPr>
          <w:color w:val="0000FF"/>
          <w:lang w:val="el-GR"/>
        </w:rPr>
        <w:t>：“</w:t>
      </w:r>
      <w:r w:rsidRPr="004C59BB">
        <w:rPr>
          <w:color w:val="0000FF"/>
          <w:lang w:val="ru-RU"/>
        </w:rPr>
        <w:t>受难的殉道者们</w:t>
      </w:r>
      <w:r w:rsidRPr="0097554A">
        <w:rPr>
          <w:color w:val="0000FF"/>
          <w:lang w:val="el-GR"/>
        </w:rPr>
        <w:t>！</w:t>
      </w:r>
      <w:r w:rsidRPr="004C59BB">
        <w:rPr>
          <w:color w:val="0000FF"/>
          <w:lang w:val="ru-RU"/>
        </w:rPr>
        <w:t>大地裂开</w:t>
      </w:r>
      <w:r w:rsidRPr="0097554A">
        <w:rPr>
          <w:color w:val="0000FF"/>
          <w:lang w:val="el-GR"/>
        </w:rPr>
        <w:t>，</w:t>
      </w:r>
      <w:r w:rsidRPr="004C59BB">
        <w:rPr>
          <w:color w:val="0000FF"/>
          <w:lang w:val="ru-RU"/>
        </w:rPr>
        <w:t>接纳了你们的鲜血</w:t>
      </w:r>
      <w:r w:rsidRPr="0097554A">
        <w:rPr>
          <w:color w:val="0000FF"/>
          <w:lang w:val="el-GR"/>
        </w:rPr>
        <w:t>，</w:t>
      </w:r>
      <w:r w:rsidRPr="004C59BB">
        <w:rPr>
          <w:color w:val="0000FF"/>
          <w:lang w:val="ru-RU"/>
        </w:rPr>
        <w:t>而天界则接纳了神圣的灵。”</w:t>
      </w:r>
    </w:p>
  </w:footnote>
  <w:footnote w:id="1700">
    <w:p w14:paraId="0FB8DE94" w14:textId="3E8875C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参见上文注释1683、1685、1688、1690、1693、1695、1698、1699。</w:t>
      </w:r>
    </w:p>
  </w:footnote>
  <w:footnote w:id="1701">
    <w:p w14:paraId="71DA80D4" w14:textId="06A26B50"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在圣灵降临节这一天，圣教会祈祷道：“主啊，求祢接受我们的祈求与恳求，并使所有先我们而去的灵魂得享安息，怀着复活与永生的盼望： 愿他们的灵魂与名字被记入生命册，进入亚伯拉罕、以撒和雅各的怀抱，进入活人之国、天国，进入甘美之园，由祢的光明天使将他们全都领入祢的圣所……”</w:t>
      </w:r>
      <w:r w:rsidRPr="0097554A">
        <w:rPr>
          <w:color w:val="0000FF"/>
          <w:lang w:val="ru-RU"/>
        </w:rPr>
        <w:t>（</w:t>
      </w:r>
      <w:r w:rsidRPr="004C59BB">
        <w:rPr>
          <w:color w:val="0000FF"/>
        </w:rPr>
        <w:t>《祷文集》第五卷</w:t>
      </w:r>
      <w:r w:rsidRPr="0097554A">
        <w:rPr>
          <w:color w:val="0000FF"/>
          <w:lang w:val="ru-RU"/>
        </w:rPr>
        <w:t>）</w:t>
      </w:r>
      <w:r w:rsidRPr="004C59BB">
        <w:rPr>
          <w:color w:val="0000FF"/>
        </w:rPr>
        <w:t>。</w:t>
      </w:r>
    </w:p>
  </w:footnote>
  <w:footnote w:id="1702">
    <w:p w14:paraId="39E2DF4D" w14:textId="32FB8F3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特图利乌斯</w:t>
      </w:r>
      <w:r w:rsidRPr="0097554A">
        <w:rPr>
          <w:color w:val="0000FF"/>
          <w:lang w:val="ru-RU"/>
        </w:rPr>
        <w:t>，</w:t>
      </w:r>
      <w:r w:rsidRPr="004C59BB">
        <w:rPr>
          <w:color w:val="0000FF"/>
        </w:rPr>
        <w:t>《反马吉安论》IV</w:t>
      </w:r>
      <w:r w:rsidRPr="0097554A">
        <w:rPr>
          <w:color w:val="0000FF"/>
          <w:lang w:val="ru-RU"/>
        </w:rPr>
        <w:t>，34；</w:t>
      </w:r>
      <w:r w:rsidRPr="004C59BB">
        <w:rPr>
          <w:color w:val="0000FF"/>
        </w:rPr>
        <w:t>《论肉身复活》第</w:t>
      </w:r>
      <w:r w:rsidRPr="0097554A">
        <w:rPr>
          <w:color w:val="0000FF"/>
          <w:lang w:val="ru-RU"/>
        </w:rPr>
        <w:t>17</w:t>
      </w:r>
      <w:r w:rsidRPr="004C59BB">
        <w:rPr>
          <w:color w:val="0000FF"/>
        </w:rPr>
        <w:t>章</w:t>
      </w:r>
      <w:r w:rsidRPr="0097554A">
        <w:rPr>
          <w:color w:val="0000FF"/>
          <w:lang w:val="ru-RU"/>
        </w:rPr>
        <w:t>，43；</w:t>
      </w:r>
      <w:r w:rsidRPr="004C59BB">
        <w:rPr>
          <w:color w:val="0000FF"/>
        </w:rPr>
        <w:t>《论灵魂》第</w:t>
      </w:r>
      <w:r w:rsidRPr="0097554A">
        <w:rPr>
          <w:color w:val="0000FF"/>
          <w:lang w:val="ru-RU"/>
        </w:rPr>
        <w:t>7</w:t>
      </w:r>
      <w:r w:rsidRPr="004C59BB">
        <w:rPr>
          <w:color w:val="0000FF"/>
        </w:rPr>
        <w:t>章</w:t>
      </w:r>
      <w:r w:rsidRPr="0097554A">
        <w:rPr>
          <w:color w:val="0000FF"/>
          <w:lang w:val="ru-RU"/>
        </w:rPr>
        <w:t>，8，55；</w:t>
      </w:r>
      <w:r w:rsidRPr="004C59BB">
        <w:rPr>
          <w:color w:val="0000FF"/>
        </w:rPr>
        <w:t>拉克坦提乌斯</w:t>
      </w:r>
      <w:r w:rsidRPr="0097554A">
        <w:rPr>
          <w:color w:val="0000FF"/>
          <w:lang w:val="ru-RU"/>
        </w:rPr>
        <w:t>，</w:t>
      </w:r>
      <w:r w:rsidRPr="004C59BB">
        <w:rPr>
          <w:color w:val="0000FF"/>
        </w:rPr>
        <w:t>《神学要义》VII</w:t>
      </w:r>
      <w:r w:rsidRPr="0097554A">
        <w:rPr>
          <w:color w:val="0000FF"/>
          <w:lang w:val="ru-RU"/>
        </w:rPr>
        <w:t>，21；</w:t>
      </w:r>
      <w:r w:rsidRPr="004C59BB">
        <w:rPr>
          <w:color w:val="0000FF"/>
        </w:rPr>
        <w:t>伊拉里乌斯</w:t>
      </w:r>
      <w:r w:rsidRPr="0097554A">
        <w:rPr>
          <w:color w:val="0000FF"/>
          <w:lang w:val="ru-RU"/>
        </w:rPr>
        <w:t>，</w:t>
      </w:r>
      <w:r w:rsidRPr="004C59BB">
        <w:rPr>
          <w:color w:val="0000FF"/>
        </w:rPr>
        <w:t>《诗篇注释》CXX</w:t>
      </w:r>
      <w:r w:rsidRPr="0097554A">
        <w:rPr>
          <w:color w:val="0000FF"/>
          <w:lang w:val="ru-RU"/>
        </w:rPr>
        <w:t>，</w:t>
      </w:r>
      <w:r w:rsidRPr="004C59BB">
        <w:rPr>
          <w:color w:val="0000FF"/>
        </w:rPr>
        <w:t>注</w:t>
      </w:r>
      <w:r w:rsidRPr="0097554A">
        <w:rPr>
          <w:color w:val="0000FF"/>
          <w:lang w:val="ru-RU"/>
        </w:rPr>
        <w:t>16</w:t>
      </w:r>
      <w:r w:rsidRPr="004C59BB">
        <w:rPr>
          <w:color w:val="0000FF"/>
        </w:rPr>
        <w:t>。</w:t>
      </w:r>
    </w:p>
  </w:footnote>
  <w:footnote w:id="1703">
    <w:p w14:paraId="153CD41E" w14:textId="03897ED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《圣教父著作集》第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258</w:t>
      </w:r>
      <w:r w:rsidRPr="004C59BB">
        <w:rPr>
          <w:color w:val="0000FF"/>
        </w:rPr>
        <w:t>、</w:t>
      </w:r>
      <w:r w:rsidRPr="0097554A">
        <w:rPr>
          <w:color w:val="0000FF"/>
          <w:lang w:val="ru-RU"/>
        </w:rPr>
        <w:t>288</w:t>
      </w:r>
      <w:r w:rsidRPr="004C59BB">
        <w:rPr>
          <w:color w:val="0000FF"/>
        </w:rPr>
        <w:t>页。</w:t>
      </w:r>
    </w:p>
  </w:footnote>
  <w:footnote w:id="1704">
    <w:p w14:paraId="0F0B295F" w14:textId="031A18A3"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基普里安。《致提亚里塔人书》LVI</w:t>
      </w:r>
      <w:r w:rsidRPr="0097554A">
        <w:rPr>
          <w:color w:val="0000FF"/>
          <w:lang w:val="ru-RU"/>
        </w:rPr>
        <w:t>；</w:t>
      </w:r>
      <w:r w:rsidRPr="004C59BB">
        <w:rPr>
          <w:color w:val="0000FF"/>
        </w:rPr>
        <w:t>金口若望。《圣菲洛戈尼乌斯讲道集》，载于《文集》第1卷，第494页，蒙福克版；《哥林多后书讲道集》第X篇，注2。</w:t>
      </w:r>
    </w:p>
  </w:footnote>
  <w:footnote w:id="1705">
    <w:p w14:paraId="669A242A" w14:textId="1789F3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他（圣阿科利乌斯）如今已是上界之居民，拥有那位于天上的永恒之城——耶路撒冷。他在那里见到了那座城市的浩瀚规模……那永恒的光芒无需太阳；虽然这一切他早已知晓，但如今却得以面对面地显明……（《书信集》第十五封，第4节）。</w:t>
      </w:r>
    </w:p>
  </w:footnote>
  <w:footnote w:id="1706">
    <w:p w14:paraId="753DD00F" w14:textId="716E3C95"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伊拉里乌斯。《诗篇讲道集》第二卷，第48节；奥古斯丁。《上帝之城》第二十二卷，第30章；《诗篇讲道集》第三十三</w:t>
      </w:r>
      <w:r w:rsidRPr="004C59BB">
        <w:rPr>
          <w:color w:val="0000FF"/>
          <w:lang w:val="ru-RU"/>
        </w:rPr>
        <w:t>篇</w:t>
      </w:r>
      <w:r w:rsidRPr="0097554A">
        <w:rPr>
          <w:color w:val="0000FF"/>
        </w:rPr>
        <w:t>，</w:t>
      </w:r>
      <w:r w:rsidRPr="004C59BB">
        <w:rPr>
          <w:color w:val="0000FF"/>
        </w:rPr>
        <w:t>第二卷</w:t>
      </w:r>
      <w:r w:rsidRPr="0097554A">
        <w:rPr>
          <w:color w:val="0000FF"/>
        </w:rPr>
        <w:t>，</w:t>
      </w:r>
      <w:r w:rsidRPr="004C59BB">
        <w:rPr>
          <w:color w:val="0000FF"/>
          <w:lang w:val="ru-RU"/>
        </w:rPr>
        <w:t>第</w:t>
      </w:r>
      <w:r w:rsidRPr="0097554A">
        <w:rPr>
          <w:color w:val="0000FF"/>
        </w:rPr>
        <w:t>9</w:t>
      </w:r>
      <w:r w:rsidRPr="004C59BB">
        <w:rPr>
          <w:color w:val="0000FF"/>
          <w:lang w:val="ru-RU"/>
        </w:rPr>
        <w:t>节。</w:t>
      </w:r>
    </w:p>
  </w:footnote>
  <w:footnote w:id="1707">
    <w:p w14:paraId="765CEA42" w14:textId="3D273F17"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《圣父著作集》第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262–263</w:t>
      </w:r>
      <w:r w:rsidRPr="004C59BB">
        <w:rPr>
          <w:color w:val="0000FF"/>
          <w:lang w:val="ru-RU"/>
        </w:rPr>
        <w:t>页。</w:t>
      </w:r>
    </w:p>
  </w:footnote>
  <w:footnote w:id="1708">
    <w:p w14:paraId="78EEFB2D" w14:textId="459B067C"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4C59BB">
        <w:rPr>
          <w:color w:val="0000FF"/>
        </w:rPr>
        <w:t>1704。</w:t>
      </w:r>
    </w:p>
  </w:footnote>
  <w:footnote w:id="1709">
    <w:p w14:paraId="66E89A17" w14:textId="688C34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《讲道集》第XXVIII卷，论《希伯来书》第十二章</w:t>
      </w:r>
    </w:p>
  </w:footnote>
  <w:footnote w:id="1710">
    <w:p w14:paraId="4ADCFAC1" w14:textId="112FDB53"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《讲道集》第XXXIX卷，论《哥林多前书》第XI</w:t>
      </w:r>
      <w:r w:rsidRPr="004C59BB">
        <w:rPr>
          <w:color w:val="0000FF"/>
          <w:lang w:val="ru-RU"/>
        </w:rPr>
        <w:t>章第</w:t>
      </w:r>
      <w:r w:rsidRPr="0097554A">
        <w:rPr>
          <w:color w:val="0000FF"/>
        </w:rPr>
        <w:t>3</w:t>
      </w:r>
      <w:r w:rsidRPr="004C59BB">
        <w:rPr>
          <w:color w:val="0000FF"/>
          <w:lang w:val="ru-RU"/>
        </w:rPr>
        <w:t>节。</w:t>
      </w:r>
    </w:p>
  </w:footnote>
  <w:footnote w:id="1711">
    <w:p w14:paraId="68C6CAB7" w14:textId="58979CE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1702</w:t>
      </w:r>
      <w:r w:rsidRPr="004C59BB">
        <w:rPr>
          <w:color w:val="0000FF"/>
          <w:lang w:val="ru-RU"/>
        </w:rPr>
        <w:t>。</w:t>
      </w:r>
    </w:p>
  </w:footnote>
  <w:footnote w:id="1712">
    <w:p w14:paraId="18E815EB" w14:textId="7609426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阿法纳西乌斯。《致安提阿王书》</w:t>
      </w:r>
      <w:r w:rsidRPr="0097554A">
        <w:rPr>
          <w:color w:val="0000FF"/>
        </w:rPr>
        <w:t>，</w:t>
      </w:r>
      <w:r w:rsidRPr="004C59BB">
        <w:rPr>
          <w:color w:val="0000FF"/>
          <w:lang w:val="ru-RU"/>
        </w:rPr>
        <w:t>对</w:t>
      </w:r>
      <w:r w:rsidRPr="004C59BB">
        <w:rPr>
          <w:color w:val="0000FF"/>
        </w:rPr>
        <w:t>第20个</w:t>
      </w:r>
      <w:r w:rsidRPr="004C59BB">
        <w:rPr>
          <w:color w:val="0000FF"/>
          <w:lang w:val="ru-RU"/>
        </w:rPr>
        <w:t>问题的回答</w:t>
      </w:r>
      <w:r w:rsidRPr="004C59BB">
        <w:rPr>
          <w:color w:val="0000FF"/>
        </w:rPr>
        <w:t>（载于《基督教读本》1842年版，第11卷，第224页）；安布罗斯。《论善死》第10章，第47节；奥古斯丁。《诗篇讲道集》第XXXVI篇</w:t>
      </w:r>
    </w:p>
  </w:footnote>
  <w:footnote w:id="1713">
    <w:p w14:paraId="6DD7CFEB" w14:textId="57BEBD71"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在</w:t>
      </w:r>
      <w:r w:rsidRPr="0097554A">
        <w:rPr>
          <w:color w:val="0000FF"/>
        </w:rPr>
        <w:t>（</w:t>
      </w:r>
      <w:r w:rsidRPr="004C59BB">
        <w:rPr>
          <w:color w:val="0000FF"/>
          <w:lang w:val="ru-RU"/>
        </w:rPr>
        <w:t>末日</w:t>
      </w:r>
      <w:r w:rsidRPr="0097554A">
        <w:rPr>
          <w:color w:val="0000FF"/>
        </w:rPr>
        <w:t>）</w:t>
      </w:r>
      <w:r w:rsidRPr="004C59BB">
        <w:rPr>
          <w:color w:val="0000FF"/>
          <w:lang w:val="ru-RU"/>
        </w:rPr>
        <w:t>审判中</w:t>
      </w:r>
      <w:r w:rsidRPr="0097554A">
        <w:rPr>
          <w:color w:val="0000FF"/>
        </w:rPr>
        <w:t>，</w:t>
      </w:r>
      <w:r w:rsidRPr="004C59BB">
        <w:rPr>
          <w:color w:val="0000FF"/>
          <w:lang w:val="ru-RU"/>
        </w:rPr>
        <w:t>奖赏无疑将倍增。因为义人如今仅在灵魂层面享受福乐；而那时，他们也将以肉体享受福乐，并在那曾为耶稣基督承受病痛与折磨的肉体中欢欣鼓舞。 关于这种加倍的荣耀，经上记载：‘他们在自己的地上必得加倍的赏赐’（赛61:7）。至于那些在复活之日之前住在天上的圣徒的灵魂，经上记载： “各人得了白衣，又对他们说：‘还要安息片时，等候他们的同伴和弟兄也死尽了’（启6:11）。义人如今仅以灵魂的荣耀发光，那时他们将因灵魂与肉体的荣耀而欢欣”（《</w:t>
      </w:r>
      <w:r w:rsidRPr="004C59BB">
        <w:rPr>
          <w:color w:val="0000FF"/>
        </w:rPr>
        <w:t>对话录</w:t>
      </w:r>
      <w:r w:rsidRPr="004C59BB">
        <w:rPr>
          <w:color w:val="0000FF"/>
          <w:lang w:val="ru-RU"/>
        </w:rPr>
        <w:t>》</w:t>
      </w:r>
      <w:r w:rsidRPr="004C59BB">
        <w:rPr>
          <w:color w:val="0000FF"/>
        </w:rPr>
        <w:t>第四</w:t>
      </w:r>
      <w:r w:rsidRPr="004C59BB">
        <w:rPr>
          <w:color w:val="0000FF"/>
          <w:lang w:val="ru-RU"/>
        </w:rPr>
        <w:t>卷，第25页）。</w:t>
      </w:r>
    </w:p>
  </w:footnote>
  <w:footnote w:id="1714">
    <w:p w14:paraId="5D2D8105" w14:textId="03428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圣大巴西勒在关于圣殉道者瓦尔拉姆日的讲道中指出：“殉道者不关注危险，而是注视着冠冕；他不畏惧打击，而是盘算着奖赏；他看到的不是在尘世施以鞭笞的行刑者，而是想象着从天上迎接他的天使； 他心中所想的不是短暂的危险，而是永恒的报偿。我们的殉道者们如今已收获了荣耀的光明预兆，因为他们受到众人热烈的欢呼，从棺木中将成千上万的人网罗进自己的网中。这一切如今在英勇的瓦尔拉姆身上得以应验。 殉道者的号角已然吹响，正如你们所见，它召集了虔诚的战士。这位长眠的基督门徒已被宣扬，并为教会揭开了壮丽的景象”（《圣父文集》</w:t>
      </w:r>
      <w:r w:rsidRPr="004C59BB">
        <w:rPr>
          <w:color w:val="0000FF"/>
        </w:rPr>
        <w:t>第八卷</w:t>
      </w:r>
      <w:r w:rsidRPr="004C59BB">
        <w:rPr>
          <w:color w:val="0000FF"/>
          <w:lang w:val="ru-RU"/>
        </w:rPr>
        <w:t>，274–275页）。 而圣格里高利在他为妹妹戈尔戈尼亚所作的墓前悼词中说道：“倘若我们的颂扬对你而言多少有些救赎之效，倘若圣徒的灵魂从上帝那里所获得的奖赏，正是为了感受此类颂扬：那么，请接受我的这番话吧”（同上，</w:t>
      </w:r>
      <w:r w:rsidRPr="004C59BB">
        <w:rPr>
          <w:color w:val="0000FF"/>
        </w:rPr>
        <w:t>第一卷</w:t>
      </w:r>
      <w:r w:rsidRPr="004C59BB">
        <w:rPr>
          <w:color w:val="0000FF"/>
          <w:lang w:val="ru-RU"/>
        </w:rPr>
        <w:t>，288页）。</w:t>
      </w:r>
    </w:p>
  </w:footnote>
  <w:footnote w:id="1715">
    <w:p w14:paraId="62E3A2C2" w14:textId="6BE424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作为反对敬礼圣人教义的代表人物，有：塞瓦斯提亚的尤斯塔菲乌斯，他被甘格拉大公会议（约340年）定罪；随后是维吉兰提乌斯、优诺米派 （杰罗姆</w:t>
      </w:r>
      <w:r w:rsidRPr="004C59BB">
        <w:rPr>
          <w:color w:val="0000FF"/>
        </w:rPr>
        <w:t>《致里帕尔书</w:t>
      </w:r>
      <w:r w:rsidRPr="0097554A">
        <w:rPr>
          <w:color w:val="0000FF"/>
          <w:lang w:val="ru-RU"/>
        </w:rPr>
        <w:t>：</w:t>
      </w:r>
      <w:r w:rsidRPr="004C59BB">
        <w:rPr>
          <w:color w:val="0000FF"/>
        </w:rPr>
        <w:t>反维吉兰提乌斯》</w:t>
      </w:r>
      <w:r w:rsidRPr="0097554A">
        <w:rPr>
          <w:color w:val="0000FF"/>
          <w:lang w:val="ru-RU"/>
        </w:rPr>
        <w:t>）</w:t>
      </w:r>
      <w:r w:rsidRPr="004C59BB">
        <w:rPr>
          <w:color w:val="0000FF"/>
        </w:rPr>
        <w:t>以及摩尼教徒</w:t>
      </w:r>
      <w:r w:rsidRPr="0097554A">
        <w:rPr>
          <w:color w:val="0000FF"/>
          <w:lang w:val="ru-RU"/>
        </w:rPr>
        <w:t>（</w:t>
      </w:r>
      <w:r w:rsidRPr="004C59BB">
        <w:rPr>
          <w:color w:val="0000FF"/>
        </w:rPr>
        <w:t>奥古斯丁《反法乌斯图斯》</w:t>
      </w:r>
      <w:r w:rsidRPr="004C59BB">
        <w:rPr>
          <w:color w:val="0000FF"/>
          <w:lang w:val="ru-RU"/>
        </w:rPr>
        <w:t>第</w:t>
      </w:r>
      <w:r w:rsidRPr="004C59BB">
        <w:rPr>
          <w:color w:val="0000FF"/>
        </w:rPr>
        <w:t>XX</w:t>
      </w:r>
      <w:r w:rsidRPr="004C59BB">
        <w:rPr>
          <w:color w:val="0000FF"/>
          <w:lang w:val="ru-RU"/>
        </w:rPr>
        <w:t>卷，第14章）；中世纪时期——阿尔比派、保利基安派、博戈米尔派、瓦尔登派、威克里夫和胡斯追随者；近代——则普遍指新教徒。</w:t>
      </w:r>
    </w:p>
  </w:footnote>
  <w:footnote w:id="1716">
    <w:p w14:paraId="1315552B" w14:textId="1EAA822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《使徒宪章》第八卷</w:t>
      </w:r>
      <w:r w:rsidRPr="0097554A">
        <w:rPr>
          <w:color w:val="0000FF"/>
          <w:lang w:val="ru-RU"/>
        </w:rPr>
        <w:t>，</w:t>
      </w:r>
      <w:r w:rsidRPr="004C59BB">
        <w:rPr>
          <w:color w:val="0000FF"/>
        </w:rPr>
        <w:t>第</w:t>
      </w:r>
      <w:r w:rsidRPr="0097554A">
        <w:rPr>
          <w:color w:val="0000FF"/>
          <w:lang w:val="ru-RU"/>
        </w:rPr>
        <w:t>33</w:t>
      </w:r>
      <w:r w:rsidRPr="004C59BB">
        <w:rPr>
          <w:color w:val="0000FF"/>
        </w:rPr>
        <w:t>页。</w:t>
      </w:r>
    </w:p>
  </w:footnote>
  <w:footnote w:id="1717">
    <w:p w14:paraId="1836820E" w14:textId="25A9211F"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优西比乌</w:t>
      </w:r>
      <w:r w:rsidRPr="0097554A">
        <w:rPr>
          <w:color w:val="0000FF"/>
          <w:lang w:val="ru-RU"/>
        </w:rPr>
        <w:t>，</w:t>
      </w:r>
      <w:r w:rsidRPr="004C59BB">
        <w:rPr>
          <w:color w:val="0000FF"/>
          <w:lang w:val="ru-RU"/>
        </w:rPr>
        <w:t>《教会史》</w:t>
      </w:r>
      <w:r w:rsidRPr="004C59BB">
        <w:rPr>
          <w:color w:val="0000FF"/>
        </w:rPr>
        <w:t>第四卷</w:t>
      </w:r>
      <w:r w:rsidRPr="004C59BB">
        <w:rPr>
          <w:color w:val="0000FF"/>
          <w:lang w:val="ru-RU"/>
        </w:rPr>
        <w:t>，第15章，第217页。</w:t>
      </w:r>
    </w:p>
  </w:footnote>
  <w:footnote w:id="1718">
    <w:p w14:paraId="2CABC5F5" w14:textId="22E419D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《圣伊格纳提乌斯·神载殉道者》载于《基督教读本》1822年版，</w:t>
      </w:r>
      <w:r w:rsidRPr="004C59BB">
        <w:rPr>
          <w:color w:val="0000FF"/>
        </w:rPr>
        <w:t>第八卷</w:t>
      </w:r>
      <w:r w:rsidRPr="004C59BB">
        <w:rPr>
          <w:color w:val="0000FF"/>
          <w:lang w:val="ru-RU"/>
        </w:rPr>
        <w:t>，第356页。</w:t>
      </w:r>
    </w:p>
  </w:footnote>
  <w:footnote w:id="1719">
    <w:p w14:paraId="71C424DE" w14:textId="25A60D00"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尼萨的格里高利</w:t>
      </w:r>
      <w:r w:rsidRPr="0097554A">
        <w:rPr>
          <w:color w:val="0000FF"/>
          <w:lang w:val="ru-RU"/>
        </w:rPr>
        <w:t>，</w:t>
      </w:r>
      <w:r w:rsidRPr="004C59BB">
        <w:rPr>
          <w:color w:val="0000FF"/>
        </w:rPr>
        <w:t>《圣格里高利</w:t>
      </w:r>
      <w:r w:rsidRPr="0097554A">
        <w:rPr>
          <w:color w:val="0000FF"/>
          <w:lang w:val="ru-RU"/>
        </w:rPr>
        <w:t>·</w:t>
      </w:r>
      <w:r w:rsidRPr="004C59BB">
        <w:rPr>
          <w:color w:val="0000FF"/>
        </w:rPr>
        <w:t>神迹者</w:t>
      </w:r>
      <w:r w:rsidRPr="004C59BB">
        <w:rPr>
          <w:color w:val="0000FF"/>
          <w:lang w:val="ru-RU"/>
        </w:rPr>
        <w:t>传》第27章；大巴西尔致安菲利斯的书信第169封（另见第176封），载于《圣教父文集》</w:t>
      </w:r>
      <w:r w:rsidRPr="004C59BB">
        <w:rPr>
          <w:color w:val="0000FF"/>
        </w:rPr>
        <w:t>第X</w:t>
      </w:r>
      <w:r w:rsidRPr="004C59BB">
        <w:rPr>
          <w:color w:val="0000FF"/>
          <w:lang w:val="ru-RU"/>
        </w:rPr>
        <w:t>卷，第359页； 格里高利·神学家，《讲道集》，即圣格里高利·尼萨的讲道，同上，1，304；约翰·金口，</w:t>
      </w:r>
      <w:r w:rsidRPr="004C59BB">
        <w:rPr>
          <w:color w:val="0000FF"/>
        </w:rPr>
        <w:t>《论安娜</w:t>
      </w:r>
      <w:r w:rsidRPr="004C59BB">
        <w:rPr>
          <w:color w:val="0000FF"/>
          <w:lang w:val="ru-RU"/>
        </w:rPr>
        <w:t>》</w:t>
      </w:r>
      <w:r w:rsidRPr="004C59BB">
        <w:rPr>
          <w:color w:val="0000FF"/>
        </w:rPr>
        <w:t>讲道集</w:t>
      </w:r>
      <w:r w:rsidRPr="004C59BB">
        <w:rPr>
          <w:color w:val="0000FF"/>
          <w:lang w:val="ru-RU"/>
        </w:rPr>
        <w:t>，1，第1节。</w:t>
      </w:r>
    </w:p>
  </w:footnote>
  <w:footnote w:id="1720">
    <w:p w14:paraId="7E82298A" w14:textId="5BE050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大圣巴西尔致庞特主教书信第244封，载于《圣教父文集》</w:t>
      </w:r>
      <w:r w:rsidRPr="004C59BB">
        <w:rPr>
          <w:color w:val="0000FF"/>
        </w:rPr>
        <w:t>第十一卷</w:t>
      </w:r>
      <w:r w:rsidRPr="004C59BB">
        <w:rPr>
          <w:color w:val="0000FF"/>
          <w:lang w:val="ru-RU"/>
        </w:rPr>
        <w:t>，第216页。</w:t>
      </w:r>
    </w:p>
  </w:footnote>
  <w:footnote w:id="1721">
    <w:p w14:paraId="36BC408E" w14:textId="3DA0F0C3"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《拉奥迪卡亚教规》第51条；《迦太基教规》第56、</w:t>
      </w:r>
      <w:r w:rsidRPr="0097554A">
        <w:rPr>
          <w:color w:val="0000FF"/>
          <w:lang w:val="ru-RU"/>
        </w:rPr>
        <w:t>94</w:t>
      </w:r>
      <w:r w:rsidRPr="004C59BB">
        <w:rPr>
          <w:color w:val="0000FF"/>
        </w:rPr>
        <w:t>条。</w:t>
      </w:r>
    </w:p>
  </w:footnote>
  <w:footnote w:id="1722">
    <w:p w14:paraId="1547CADB" w14:textId="6E0F79B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我们每年在逝者诞辰之日为他们献祭</w:t>
      </w:r>
      <w:r w:rsidRPr="0097554A">
        <w:rPr>
          <w:color w:val="0000FF"/>
          <w:lang w:val="ru-RU"/>
        </w:rPr>
        <w:t>（</w:t>
      </w:r>
      <w:r w:rsidRPr="004C59BB">
        <w:rPr>
          <w:color w:val="0000FF"/>
        </w:rPr>
        <w:t>《论冠冕》第</w:t>
      </w:r>
      <w:r w:rsidRPr="0097554A">
        <w:rPr>
          <w:color w:val="0000FF"/>
          <w:lang w:val="ru-RU"/>
        </w:rPr>
        <w:t>3</w:t>
      </w:r>
      <w:r w:rsidRPr="004C59BB">
        <w:rPr>
          <w:color w:val="0000FF"/>
        </w:rPr>
        <w:t>章</w:t>
      </w:r>
      <w:r w:rsidRPr="0097554A">
        <w:rPr>
          <w:color w:val="0000FF"/>
          <w:lang w:val="ru-RU"/>
        </w:rPr>
        <w:t>）</w:t>
      </w:r>
      <w:r w:rsidRPr="004C59BB">
        <w:rPr>
          <w:color w:val="0000FF"/>
        </w:rPr>
        <w:t>。</w:t>
      </w:r>
    </w:p>
  </w:footnote>
  <w:footnote w:id="1723">
    <w:p w14:paraId="686A82F5" w14:textId="1F45C98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正如你们所知</w:t>
      </w:r>
      <w:r w:rsidRPr="0097554A">
        <w:rPr>
          <w:color w:val="0000FF"/>
          <w:lang w:val="ru-RU"/>
        </w:rPr>
        <w:t>，</w:t>
      </w:r>
      <w:r w:rsidRPr="004C59BB">
        <w:rPr>
          <w:color w:val="0000FF"/>
        </w:rPr>
        <w:t>每当我们纪念殉道者的受难和周年纪念日时</w:t>
      </w:r>
      <w:r w:rsidRPr="0097554A">
        <w:rPr>
          <w:color w:val="0000FF"/>
          <w:lang w:val="ru-RU"/>
        </w:rPr>
        <w:t>，</w:t>
      </w:r>
      <w:r w:rsidRPr="004C59BB">
        <w:rPr>
          <w:color w:val="0000FF"/>
        </w:rPr>
        <w:t>我们都会为他们献上祭品</w:t>
      </w:r>
      <w:r w:rsidRPr="0097554A">
        <w:rPr>
          <w:color w:val="0000FF"/>
          <w:lang w:val="ru-RU"/>
        </w:rPr>
        <w:t>（</w:t>
      </w:r>
      <w:r w:rsidRPr="004C59BB">
        <w:rPr>
          <w:color w:val="0000FF"/>
        </w:rPr>
        <w:t>《书信》第XXXIV封</w:t>
      </w:r>
      <w:r w:rsidRPr="0097554A">
        <w:rPr>
          <w:color w:val="0000FF"/>
          <w:lang w:val="ru-RU"/>
        </w:rPr>
        <w:t>）</w:t>
      </w:r>
      <w:r w:rsidRPr="004C59BB">
        <w:rPr>
          <w:color w:val="0000FF"/>
        </w:rPr>
        <w:t>。</w:t>
      </w:r>
    </w:p>
  </w:footnote>
  <w:footnote w:id="1724">
    <w:p w14:paraId="69B05A4C" w14:textId="4A32A68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金口若望</w:t>
      </w:r>
      <w:r w:rsidRPr="0097554A">
        <w:rPr>
          <w:color w:val="0000FF"/>
          <w:lang w:val="ru-RU"/>
        </w:rPr>
        <w:t>，</w:t>
      </w:r>
      <w:r w:rsidRPr="004C59BB">
        <w:rPr>
          <w:color w:val="0000FF"/>
        </w:rPr>
        <w:t>《使徒行传讲道集》第</w:t>
      </w:r>
      <w:r w:rsidRPr="0097554A">
        <w:rPr>
          <w:color w:val="0000FF"/>
          <w:lang w:val="ru-RU"/>
        </w:rPr>
        <w:t xml:space="preserve"> </w:t>
      </w:r>
      <w:r w:rsidRPr="004C59BB">
        <w:rPr>
          <w:color w:val="0000FF"/>
        </w:rPr>
        <w:t>XXI</w:t>
      </w:r>
      <w:r w:rsidRPr="0097554A">
        <w:rPr>
          <w:color w:val="0000FF"/>
          <w:lang w:val="ru-RU"/>
        </w:rPr>
        <w:t xml:space="preserve"> </w:t>
      </w:r>
      <w:r w:rsidRPr="004C59BB">
        <w:rPr>
          <w:color w:val="0000FF"/>
        </w:rPr>
        <w:t>篇</w:t>
      </w:r>
      <w:r w:rsidRPr="0097554A">
        <w:rPr>
          <w:color w:val="0000FF"/>
          <w:lang w:val="ru-RU"/>
        </w:rPr>
        <w:t>，</w:t>
      </w:r>
      <w:r w:rsidRPr="004C59BB">
        <w:rPr>
          <w:color w:val="0000FF"/>
        </w:rPr>
        <w:t>第</w:t>
      </w:r>
      <w:r w:rsidRPr="0097554A">
        <w:rPr>
          <w:color w:val="0000FF"/>
          <w:lang w:val="ru-RU"/>
        </w:rPr>
        <w:t xml:space="preserve"> 4 </w:t>
      </w:r>
      <w:r w:rsidRPr="004C59BB">
        <w:rPr>
          <w:color w:val="0000FF"/>
        </w:rPr>
        <w:t>节</w:t>
      </w:r>
      <w:r w:rsidRPr="0097554A">
        <w:rPr>
          <w:color w:val="0000FF"/>
          <w:lang w:val="ru-RU"/>
        </w:rPr>
        <w:t>；</w:t>
      </w:r>
      <w:r w:rsidRPr="004C59BB">
        <w:rPr>
          <w:color w:val="0000FF"/>
        </w:rPr>
        <w:t>奥古斯丁</w:t>
      </w:r>
      <w:r w:rsidRPr="0097554A">
        <w:rPr>
          <w:color w:val="0000FF"/>
          <w:lang w:val="ru-RU"/>
        </w:rPr>
        <w:t>，</w:t>
      </w:r>
      <w:r w:rsidRPr="004C59BB">
        <w:rPr>
          <w:color w:val="0000FF"/>
        </w:rPr>
        <w:t>《讲道集》第</w:t>
      </w:r>
      <w:r w:rsidRPr="0097554A">
        <w:rPr>
          <w:color w:val="0000FF"/>
          <w:lang w:val="ru-RU"/>
        </w:rPr>
        <w:t xml:space="preserve"> </w:t>
      </w:r>
      <w:r w:rsidRPr="004C59BB">
        <w:rPr>
          <w:color w:val="0000FF"/>
        </w:rPr>
        <w:t>CCLXXIII</w:t>
      </w:r>
      <w:r w:rsidRPr="0097554A">
        <w:rPr>
          <w:color w:val="0000FF"/>
          <w:lang w:val="ru-RU"/>
        </w:rPr>
        <w:t xml:space="preserve"> </w:t>
      </w:r>
      <w:r w:rsidRPr="004C59BB">
        <w:rPr>
          <w:color w:val="0000FF"/>
        </w:rPr>
        <w:t>篇</w:t>
      </w:r>
      <w:r w:rsidRPr="0097554A">
        <w:rPr>
          <w:color w:val="0000FF"/>
          <w:lang w:val="ru-RU"/>
        </w:rPr>
        <w:t>，</w:t>
      </w:r>
      <w:r w:rsidRPr="004C59BB">
        <w:rPr>
          <w:color w:val="0000FF"/>
        </w:rPr>
        <w:t>第</w:t>
      </w:r>
      <w:r w:rsidRPr="0097554A">
        <w:rPr>
          <w:color w:val="0000FF"/>
          <w:lang w:val="ru-RU"/>
        </w:rPr>
        <w:t xml:space="preserve"> 12 </w:t>
      </w:r>
      <w:r w:rsidRPr="004C59BB">
        <w:rPr>
          <w:color w:val="0000FF"/>
        </w:rPr>
        <w:t>章。</w:t>
      </w:r>
    </w:p>
  </w:footnote>
  <w:footnote w:id="1725">
    <w:p w14:paraId="508BF403" w14:textId="348F874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《马克里努斯传》</w:t>
      </w:r>
      <w:r w:rsidRPr="0097554A">
        <w:rPr>
          <w:color w:val="0000FF"/>
          <w:lang w:val="ru-RU"/>
        </w:rPr>
        <w:t>，</w:t>
      </w:r>
      <w:r w:rsidRPr="004C59BB">
        <w:rPr>
          <w:color w:val="0000FF"/>
        </w:rPr>
        <w:t>载于《文集》第II卷</w:t>
      </w:r>
      <w:r w:rsidRPr="0097554A">
        <w:rPr>
          <w:color w:val="0000FF"/>
          <w:lang w:val="ru-RU"/>
        </w:rPr>
        <w:t>，</w:t>
      </w:r>
      <w:r w:rsidRPr="004C59BB">
        <w:rPr>
          <w:color w:val="0000FF"/>
        </w:rPr>
        <w:t>第</w:t>
      </w:r>
      <w:r w:rsidRPr="0097554A">
        <w:rPr>
          <w:color w:val="0000FF"/>
          <w:lang w:val="ru-RU"/>
        </w:rPr>
        <w:t>200</w:t>
      </w:r>
      <w:r w:rsidRPr="004C59BB">
        <w:rPr>
          <w:color w:val="0000FF"/>
        </w:rPr>
        <w:t>页</w:t>
      </w:r>
      <w:r w:rsidRPr="0097554A">
        <w:rPr>
          <w:color w:val="0000FF"/>
          <w:lang w:val="ru-RU"/>
        </w:rPr>
        <w:t>，</w:t>
      </w:r>
      <w:r w:rsidRPr="004C59BB">
        <w:rPr>
          <w:color w:val="0000FF"/>
        </w:rPr>
        <w:t>莫雷尔。</w:t>
      </w:r>
    </w:p>
  </w:footnote>
  <w:footnote w:id="1726">
    <w:p w14:paraId="452DEA13" w14:textId="14B463E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你们预先占据了这殉道者神圣的围场，从半夜起就以圣歌向殉道者的上帝献上赎罪祭，一直忍耐到今天中午，等待我的到来；因此，你们这些将殉道者的尊荣和侍奉上帝置于睡眠与安息之上的人，奖赏已为你们备妥”（《诗篇讲道集》 114，载于《圣父著作集》</w:t>
      </w:r>
      <w:r w:rsidRPr="004C59BB">
        <w:rPr>
          <w:color w:val="0000FF"/>
        </w:rPr>
        <w:t>第五卷</w:t>
      </w:r>
      <w:r w:rsidRPr="004C59BB">
        <w:rPr>
          <w:color w:val="0000FF"/>
          <w:lang w:val="ru-RU"/>
        </w:rPr>
        <w:t>，397页）。</w:t>
      </w:r>
    </w:p>
  </w:footnote>
  <w:footnote w:id="1727">
    <w:p w14:paraId="417FD54D" w14:textId="0DAB2B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教会史</w:t>
      </w:r>
      <w:r w:rsidRPr="004C59BB">
        <w:rPr>
          <w:color w:val="0000FF"/>
          <w:lang w:val="ru-RU"/>
        </w:rPr>
        <w:t>》</w:t>
      </w:r>
      <w:r w:rsidRPr="004C59BB">
        <w:rPr>
          <w:color w:val="0000FF"/>
        </w:rPr>
        <w:t>第二卷</w:t>
      </w:r>
      <w:r w:rsidRPr="004C59BB">
        <w:rPr>
          <w:color w:val="0000FF"/>
          <w:lang w:val="ru-RU"/>
        </w:rPr>
        <w:t>，第24</w:t>
      </w:r>
      <w:r w:rsidRPr="004C59BB">
        <w:rPr>
          <w:color w:val="0000FF"/>
        </w:rPr>
        <w:t>章</w:t>
      </w:r>
      <w:r w:rsidRPr="004C59BB">
        <w:rPr>
          <w:color w:val="0000FF"/>
          <w:lang w:val="ru-RU"/>
        </w:rPr>
        <w:t>。</w:t>
      </w:r>
    </w:p>
  </w:footnote>
  <w:footnote w:id="1728">
    <w:p w14:paraId="2A61BC04" w14:textId="50F577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例如，大巴西尔关于圣殉道者瓦尔拉姆日、圣殉道者马曼特日、圣四十位殉道者日等的讲道（《圣父著作集》第V卷）；格里高利·神学家赞颂圣殉道者基普里安等的讲道 （同上，第1和11页）；金口若望的《赞美讲道》，献给圣伊格纳提乌斯·神载者、梅莱提乌斯、尤斯塔菲乌斯等人（《基督教读本》1835年、1836年、1842年等）。</w:t>
      </w:r>
    </w:p>
  </w:footnote>
  <w:footnote w:id="1729">
    <w:p w14:paraId="6B8B9133" w14:textId="5CF52B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参见词条：martyrium，见《金口若望著作索引》（</w:t>
      </w:r>
      <w:r w:rsidRPr="004C59BB">
        <w:rPr>
          <w:color w:val="0000FF"/>
        </w:rPr>
        <w:t>opp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XIII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Montfauc</w:t>
      </w:r>
      <w:r w:rsidRPr="004C59BB">
        <w:rPr>
          <w:color w:val="0000FF"/>
          <w:lang w:val="ru-RU"/>
        </w:rPr>
        <w:t>.）。“圣殉道者的圣殿是未来审判的预兆和象征；在那里，恶魔受苦，而人们则受到惩罚并获得宽恕。 你看，圣徒——尤其是那些已逝的圣徒——的力量是何等强大？”（金口若望《哥林多后书讲道集》第XXVI篇，第533页，据俄文译本）。</w:t>
      </w:r>
    </w:p>
  </w:footnote>
  <w:footnote w:id="1730">
    <w:p w14:paraId="587DF645" w14:textId="2B6A3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“为了使这座与自己同名的城市脱颖而出，他（君士坦丁大帝）在城中修建了众多祈祷所、宏伟的殉道者圣殿以及庄严的建筑，这些建筑部分建在城郊，部分建在城堡内； 借此纪念殉道者，并将他们连同自己的城市一并奉献给上帝」（《关于福者君主君士坦丁生平》</w:t>
      </w:r>
      <w:r w:rsidRPr="004C59BB">
        <w:rPr>
          <w:color w:val="0000FF"/>
        </w:rPr>
        <w:t>第三</w:t>
      </w:r>
      <w:r w:rsidRPr="004C59BB">
        <w:rPr>
          <w:color w:val="0000FF"/>
          <w:lang w:val="ru-RU"/>
        </w:rPr>
        <w:t>卷，第48章，第202节，据俄文译本；参见</w:t>
      </w:r>
      <w:r w:rsidRPr="004C59BB">
        <w:rPr>
          <w:color w:val="0000FF"/>
        </w:rPr>
        <w:t>第四</w:t>
      </w:r>
      <w:r w:rsidRPr="004C59BB">
        <w:rPr>
          <w:color w:val="0000FF"/>
          <w:lang w:val="ru-RU"/>
        </w:rPr>
        <w:t>卷，第62章，第275页）。</w:t>
      </w:r>
    </w:p>
  </w:footnote>
  <w:footnote w:id="1731">
    <w:p w14:paraId="25C7BAC3" w14:textId="3643B18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《De</w:t>
      </w:r>
      <w:r w:rsidRPr="0097554A">
        <w:rPr>
          <w:color w:val="0000FF"/>
          <w:lang w:val="ru-RU"/>
        </w:rPr>
        <w:t xml:space="preserve"> </w:t>
      </w:r>
      <w:r w:rsidRPr="004C59BB">
        <w:rPr>
          <w:color w:val="0000FF"/>
        </w:rPr>
        <w:t>sii</w:t>
      </w:r>
      <w:r w:rsidRPr="0097554A">
        <w:rPr>
          <w:color w:val="0000FF"/>
          <w:lang w:val="ru-RU"/>
        </w:rPr>
        <w:t xml:space="preserve">. </w:t>
      </w:r>
      <w:r w:rsidRPr="004C59BB">
        <w:rPr>
          <w:color w:val="0000FF"/>
        </w:rPr>
        <w:t>Dei》第八卷</w:t>
      </w:r>
      <w:r w:rsidRPr="0097554A">
        <w:rPr>
          <w:color w:val="0000FF"/>
          <w:lang w:val="ru-RU"/>
        </w:rPr>
        <w:t>，</w:t>
      </w:r>
      <w:r w:rsidRPr="004C59BB">
        <w:rPr>
          <w:color w:val="0000FF"/>
        </w:rPr>
        <w:t>第</w:t>
      </w:r>
      <w:r w:rsidRPr="0097554A">
        <w:rPr>
          <w:color w:val="0000FF"/>
          <w:lang w:val="ru-RU"/>
        </w:rPr>
        <w:t>26</w:t>
      </w:r>
      <w:r w:rsidRPr="004C59BB">
        <w:rPr>
          <w:color w:val="0000FF"/>
        </w:rPr>
        <w:t>章</w:t>
      </w:r>
      <w:r w:rsidRPr="0097554A">
        <w:rPr>
          <w:color w:val="0000FF"/>
          <w:lang w:val="ru-RU"/>
        </w:rPr>
        <w:t>，</w:t>
      </w:r>
      <w:r w:rsidRPr="004C59BB">
        <w:rPr>
          <w:color w:val="0000FF"/>
        </w:rPr>
        <w:t>注</w:t>
      </w:r>
      <w:r w:rsidRPr="0097554A">
        <w:rPr>
          <w:color w:val="0000FF"/>
          <w:lang w:val="ru-RU"/>
        </w:rPr>
        <w:t>1</w:t>
      </w:r>
      <w:r w:rsidRPr="004C59BB">
        <w:rPr>
          <w:color w:val="0000FF"/>
        </w:rPr>
        <w:t>。</w:t>
      </w:r>
    </w:p>
  </w:footnote>
  <w:footnote w:id="1732">
    <w:p w14:paraId="48706C13" w14:textId="50DB12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“这座城市里有一座著名而光荣的教堂，是为纪念使徒多马而建的，在该教堂中，因着圣地的神圣，人们经常举行聚会”（索克拉底《君主传》</w:t>
      </w:r>
      <w:r w:rsidRPr="004C59BB">
        <w:rPr>
          <w:color w:val="0000FF"/>
        </w:rPr>
        <w:t>第IV卷</w:t>
      </w:r>
      <w:r w:rsidRPr="004C59BB">
        <w:rPr>
          <w:color w:val="0000FF"/>
          <w:lang w:val="ru-RU"/>
        </w:rPr>
        <w:t>，第18章，第345页，据俄文译本）。</w:t>
      </w:r>
    </w:p>
  </w:footnote>
  <w:footnote w:id="1733">
    <w:p w14:paraId="73602F4F" w14:textId="36556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优西比乌《君士坦丁大帝传》</w:t>
      </w:r>
      <w:r w:rsidRPr="004C59BB">
        <w:rPr>
          <w:color w:val="0000FF"/>
        </w:rPr>
        <w:t>第IV</w:t>
      </w:r>
      <w:r w:rsidRPr="004C59BB">
        <w:rPr>
          <w:color w:val="0000FF"/>
          <w:lang w:val="ru-RU"/>
        </w:rPr>
        <w:t>卷，第68章，第272页。</w:t>
      </w:r>
    </w:p>
  </w:footnote>
  <w:footnote w:id="1734">
    <w:p w14:paraId="68CBB90A" w14:textId="5DBBC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苏格拉底《政治家》</w:t>
      </w:r>
      <w:r w:rsidRPr="004C59BB">
        <w:rPr>
          <w:color w:val="0000FF"/>
        </w:rPr>
        <w:t>第六</w:t>
      </w:r>
      <w:r w:rsidRPr="004C59BB">
        <w:rPr>
          <w:color w:val="0000FF"/>
          <w:lang w:val="ru-RU"/>
        </w:rPr>
        <w:t>卷，第6、12章，第461、478页。</w:t>
      </w:r>
    </w:p>
  </w:footnote>
  <w:footnote w:id="1735">
    <w:p w14:paraId="33465DFC" w14:textId="36B0ACEF"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基里尔·亚历山大：</w:t>
      </w:r>
      <w:r w:rsidRPr="004C59BB">
        <w:rPr>
          <w:color w:val="0000FF"/>
        </w:rPr>
        <w:t>《致狄奥多尔的辩护书》</w:t>
      </w:r>
      <w:r w:rsidRPr="0097554A">
        <w:rPr>
          <w:color w:val="0000FF"/>
          <w:lang w:val="ru-RU"/>
        </w:rPr>
        <w:t>；</w:t>
      </w:r>
      <w:r w:rsidRPr="004C59BB">
        <w:rPr>
          <w:color w:val="0000FF"/>
        </w:rPr>
        <w:t>《致君士坦丁堡教士书》第XX封</w:t>
      </w:r>
      <w:r w:rsidRPr="0097554A">
        <w:rPr>
          <w:color w:val="0000FF"/>
          <w:lang w:val="ru-RU"/>
        </w:rPr>
        <w:t>；</w:t>
      </w:r>
      <w:r w:rsidRPr="004C59BB">
        <w:rPr>
          <w:color w:val="0000FF"/>
        </w:rPr>
        <w:t>《致亚历山大教士书》第XXI封。</w:t>
      </w:r>
    </w:p>
  </w:footnote>
  <w:footnote w:id="1736">
    <w:p w14:paraId="20EBDEBC" w14:textId="59C002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优西比乌，《君士坦丁史》</w:t>
      </w:r>
      <w:r w:rsidRPr="004C59BB">
        <w:rPr>
          <w:color w:val="0000FF"/>
        </w:rPr>
        <w:t>第IV</w:t>
      </w:r>
      <w:r w:rsidRPr="004C59BB">
        <w:rPr>
          <w:color w:val="0000FF"/>
          <w:lang w:val="ru-RU"/>
        </w:rPr>
        <w:t>卷，第217页。</w:t>
      </w:r>
    </w:p>
  </w:footnote>
  <w:footnote w:id="1737">
    <w:p w14:paraId="1CF07CEC" w14:textId="45D6EF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《关于四位圣殉道者的讲道》，载于《圣教父文集》</w:t>
      </w:r>
      <w:r w:rsidRPr="004C59BB">
        <w:rPr>
          <w:color w:val="0000FF"/>
        </w:rPr>
        <w:t>第八卷</w:t>
      </w:r>
      <w:r w:rsidRPr="004C59BB">
        <w:rPr>
          <w:color w:val="0000FF"/>
          <w:lang w:val="ru-RU"/>
        </w:rPr>
        <w:t>，第295页。</w:t>
      </w:r>
    </w:p>
  </w:footnote>
  <w:footnote w:id="1738">
    <w:p w14:paraId="74F09F34" w14:textId="3AC6B8B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《论圣殉道者戈尔迪亚的讲道》，同上，第281–282页。</w:t>
      </w:r>
    </w:p>
  </w:footnote>
  <w:footnote w:id="1739">
    <w:p w14:paraId="5B02055A" w14:textId="53A0BEA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《论圣殉道者马曼塔的讲道》，同上，第266页。</w:t>
      </w:r>
    </w:p>
  </w:footnote>
  <w:footnote w:id="1740">
    <w:p w14:paraId="658D182D" w14:textId="5A4CBF77"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《哥林多后书讲道集》</w:t>
      </w:r>
      <w:r w:rsidRPr="004C59BB">
        <w:rPr>
          <w:color w:val="0000FF"/>
        </w:rPr>
        <w:t>第XXVI篇</w:t>
      </w:r>
      <w:r w:rsidRPr="0097554A">
        <w:rPr>
          <w:color w:val="0000FF"/>
          <w:lang w:val="ru-RU"/>
        </w:rPr>
        <w:t>，</w:t>
      </w:r>
      <w:r w:rsidRPr="004C59BB">
        <w:rPr>
          <w:color w:val="0000FF"/>
        </w:rPr>
        <w:t>第</w:t>
      </w:r>
      <w:r w:rsidRPr="0097554A">
        <w:rPr>
          <w:color w:val="0000FF"/>
          <w:lang w:val="ru-RU"/>
        </w:rPr>
        <w:t>530–531</w:t>
      </w:r>
      <w:r w:rsidRPr="004C59BB">
        <w:rPr>
          <w:color w:val="0000FF"/>
        </w:rPr>
        <w:t>页。</w:t>
      </w:r>
    </w:p>
  </w:footnote>
  <w:footnote w:id="1741">
    <w:p w14:paraId="5411F99F" w14:textId="6655BB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Avar.》II, 3.</w:t>
      </w:r>
    </w:p>
  </w:footnote>
  <w:footnote w:id="1742">
    <w:p w14:paraId="4B816118" w14:textId="2817B8E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《反法乌斯图斯论》第XX卷，第21章。随后又写道：既然献祭属于这种崇拜……，我们绝不向任何殉道者、任何圣灵或任何天使献上此类祭品，也不命令他人如此献祭； 凡陷入此种谬误者，均应通过正统教义予以纠正，无论是为了使其改过，还是为了予以谴责，抑或是为了加以警示。</w:t>
      </w:r>
    </w:p>
  </w:footnote>
  <w:footnote w:id="1743">
    <w:p w14:paraId="764C9CA5" w14:textId="2FB618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《尼西亚第二次大公会议》，会议记录第四卷。</w:t>
      </w:r>
    </w:p>
  </w:footnote>
  <w:footnote w:id="1744">
    <w:p w14:paraId="0C01073C" w14:textId="1195A7A9"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《正统信仰精确阐述》</w:t>
      </w:r>
      <w:r w:rsidRPr="0097554A">
        <w:rPr>
          <w:color w:val="0000FF"/>
        </w:rPr>
        <w:t>，</w:t>
      </w:r>
      <w:r w:rsidRPr="004C59BB">
        <w:rPr>
          <w:color w:val="0000FF"/>
        </w:rPr>
        <w:t>第四</w:t>
      </w:r>
      <w:r w:rsidRPr="004C59BB">
        <w:rPr>
          <w:color w:val="0000FF"/>
          <w:lang w:val="ru-RU"/>
        </w:rPr>
        <w:t>卷</w:t>
      </w:r>
      <w:r w:rsidRPr="0097554A">
        <w:rPr>
          <w:color w:val="0000FF"/>
        </w:rPr>
        <w:t>，</w:t>
      </w:r>
      <w:r w:rsidRPr="004C59BB">
        <w:rPr>
          <w:color w:val="0000FF"/>
          <w:lang w:val="ru-RU"/>
        </w:rPr>
        <w:t>第</w:t>
      </w:r>
      <w:r w:rsidRPr="0097554A">
        <w:rPr>
          <w:color w:val="0000FF"/>
        </w:rPr>
        <w:t>15</w:t>
      </w:r>
      <w:r w:rsidRPr="004C59BB">
        <w:rPr>
          <w:color w:val="0000FF"/>
          <w:lang w:val="ru-RU"/>
        </w:rPr>
        <w:t>章</w:t>
      </w:r>
      <w:r w:rsidRPr="0097554A">
        <w:rPr>
          <w:color w:val="0000FF"/>
        </w:rPr>
        <w:t>，</w:t>
      </w:r>
      <w:r w:rsidRPr="004C59BB">
        <w:rPr>
          <w:color w:val="0000FF"/>
          <w:lang w:val="ru-RU"/>
        </w:rPr>
        <w:t>第</w:t>
      </w:r>
      <w:r w:rsidRPr="0097554A">
        <w:rPr>
          <w:color w:val="0000FF"/>
        </w:rPr>
        <w:t>262–266</w:t>
      </w:r>
      <w:r w:rsidRPr="004C59BB">
        <w:rPr>
          <w:color w:val="0000FF"/>
          <w:lang w:val="ru-RU"/>
        </w:rPr>
        <w:t>页。</w:t>
      </w:r>
      <w:r w:rsidRPr="0097554A">
        <w:rPr>
          <w:color w:val="0000FF"/>
        </w:rPr>
        <w:t xml:space="preserve"> </w:t>
      </w:r>
      <w:r w:rsidRPr="004C59BB">
        <w:rPr>
          <w:color w:val="0000FF"/>
          <w:lang w:val="ru-RU"/>
        </w:rPr>
        <w:t>他在另一处还说</w:t>
      </w:r>
      <w:r w:rsidRPr="0097554A">
        <w:rPr>
          <w:color w:val="0000FF"/>
        </w:rPr>
        <w:t>：“</w:t>
      </w:r>
      <w:r w:rsidRPr="004C59BB">
        <w:rPr>
          <w:color w:val="0000FF"/>
          <w:lang w:val="ru-RU"/>
        </w:rPr>
        <w:t>我们敬拜那些蒙上帝</w:t>
      </w:r>
      <w:r w:rsidRPr="0097554A">
        <w:rPr>
          <w:color w:val="0000FF"/>
        </w:rPr>
        <w:t>——</w:t>
      </w:r>
      <w:r w:rsidRPr="004C59BB">
        <w:rPr>
          <w:color w:val="0000FF"/>
          <w:lang w:val="ru-RU"/>
        </w:rPr>
        <w:t>唯一圣者、住在圣者之中的上帝</w:t>
      </w:r>
      <w:r w:rsidRPr="0097554A">
        <w:rPr>
          <w:color w:val="0000FF"/>
        </w:rPr>
        <w:t>——</w:t>
      </w:r>
      <w:r w:rsidRPr="004C59BB">
        <w:rPr>
          <w:color w:val="0000FF"/>
          <w:lang w:val="ru-RU"/>
        </w:rPr>
        <w:t>所栖息的人</w:t>
      </w:r>
      <w:r w:rsidRPr="0097554A">
        <w:rPr>
          <w:color w:val="0000FF"/>
        </w:rPr>
        <w:t>，</w:t>
      </w:r>
      <w:r w:rsidRPr="004C59BB">
        <w:rPr>
          <w:color w:val="0000FF"/>
          <w:lang w:val="ru-RU"/>
        </w:rPr>
        <w:t>例如</w:t>
      </w:r>
      <w:r w:rsidRPr="0097554A">
        <w:rPr>
          <w:color w:val="0000FF"/>
        </w:rPr>
        <w:t>：</w:t>
      </w:r>
      <w:r w:rsidRPr="004C59BB">
        <w:rPr>
          <w:color w:val="0000FF"/>
          <w:lang w:val="ru-RU"/>
        </w:rPr>
        <w:t>圣母玛利亚和所有圣徒。因为他们以各种方式与上帝相似，无论是出于他们自身意志的作为，还是因上帝住在他们里面，或是因祂的协助…… 他们之所以值得敬拜，并非因其本性，而是因为他们内有那位按其本性值得敬拜者：正如炽热的铁，并非因其本性而不可触碰且会灼伤人，而是因为它吸收了火焰，而火焰的自然属性正是燃烧。 因此，我们敬拜他们，是因为上帝使他们得荣耀，使他们在敌人面前威严可畏，在凭着信心前来的人面前成为施恩者；我们敬拜他们，并非因他们本性上就是神明或施恩者，而是因他们作为上帝的仆人和侍奉者，因着对上帝的爱，得以大胆地亲近上帝； 我们敬拜他们，是因为君王本人在看到自己所爱之人受到敬重时，会将这份敬意归于自己——并非因其作为君王，而是因其作为顺服的仆人和对他心怀善意的朋友”（关于圣像的</w:t>
      </w:r>
      <w:r w:rsidRPr="004C59BB">
        <w:rPr>
          <w:color w:val="0000FF"/>
        </w:rPr>
        <w:t>第三篇</w:t>
      </w:r>
      <w:r w:rsidRPr="004C59BB">
        <w:rPr>
          <w:color w:val="0000FF"/>
          <w:lang w:val="ru-RU"/>
        </w:rPr>
        <w:t>讲道，见《正统信仰告白》末尾第217–219页）。</w:t>
      </w:r>
    </w:p>
  </w:footnote>
  <w:footnote w:id="1745">
    <w:p w14:paraId="30118A7A" w14:textId="6F5F24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这一思想在《信仰之基》中得到了十分清晰的阐述：“唯有一位向神代求的中保，即人中的基督耶稣，祂为众人献上了救赎…… 正如天父的唯一性并不否定地上的父亲，基督作为导师和教师的唯一性也不否定地上的导师和教师，基督圣洁与主权的唯一性也不剥夺其他圣徒的圣洁，也不剥夺地上的君主的主权： 同样，基督作为代求者的唯一性，也并非否定其他代求者的存在，而是通过其无可比拟的代求之功与地位，将他们与基督区分开来。因为基督是至高无上的代求者，正如所言：“圣徒们则是地位较低、与基督相距最远的代求者。” 基督是赎罪的代求者，也是向父神为儿女代求的代求者。圣徒则是唯一友爱之祷告的代求者，正如诗篇所言：“神啊，你的朋友对我大有尊荣”（诗篇138:17）。 基督是代求者，无需他人为祂代求；而活在世上的圣徒们，曾为基督寻求代求者，如今仍在寻求，并非为自己，而是为了我们。 基督是代求者，其代求之力源于自身；而圣徒则是代求者，其代求之力源于基督，源于祂在十字架上的功绩，正如铁本身并不具备燃烧之力，而是因接触火焰而获得。基督是按本性作代求者；圣徒则是因恩典作代求者”…… 接着又说：“当使徒说，在神与人之间只有一位代求者和中保——基督时，他之所以这样说，是因为基督不仅在职分上作为中保，使神向人施恩，而且在位格上，作为神与人之间的中保： 因为祂既是神又是人，而这对于使人与神和好是极其必要的。正因如此，唯有基督是这样的代求者和中保。至于圣徒，他们既不是，也不可能成为这样的代求者。 圣父们——如金口若望、安布罗斯、狄奥菲拉克特、埃皮法尼乌斯、西里尔等人——便是如此教导并传授的……」（《关于呼求圣徒的教义》</w:t>
      </w:r>
      <w:r w:rsidRPr="004C59BB">
        <w:rPr>
          <w:color w:val="0000FF"/>
        </w:rPr>
        <w:t>第二</w:t>
      </w:r>
      <w:r w:rsidRPr="004C59BB">
        <w:rPr>
          <w:color w:val="0000FF"/>
          <w:lang w:val="ru-RU"/>
        </w:rPr>
        <w:t>部分，第一章，载于</w:t>
      </w:r>
      <w:r w:rsidRPr="004C59BB">
        <w:rPr>
          <w:color w:val="0000FF"/>
        </w:rPr>
        <w:t>第二</w:t>
      </w:r>
      <w:r w:rsidRPr="004C59BB">
        <w:rPr>
          <w:color w:val="0000FF"/>
          <w:lang w:val="ru-RU"/>
        </w:rPr>
        <w:t>卷，第254、255、256页。</w:t>
      </w:r>
    </w:p>
  </w:footnote>
  <w:footnote w:id="1746">
    <w:p w14:paraId="7DE1E5CA" w14:textId="0A4A6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针对新教徒这一常见的异议——即“呼求其他代祷者会招致基督的冒犯与轻蔑”——《信仰之基》提出了以下两点反驳：1）“基督耶稣是上帝与世人唯一的代祷者。因为保罗呼求活在世上的人，恳请他们代祷，这并非徒然。 使徒雅各也并非徒然地说：‘你们要彼此代祷’（雅各书5:16）。而你们这些反对者，彼此呼吁，彼此请求代祷，并教导他人如此行，这又何尝不是徒然的呢？ 既然基督是唯一的代求者，那么保罗、雅各以及你们，都在冒犯和轻视基督……2) “基督在福音书中说：‘不要称自己为老师，因为你们只有一位老师，就是基督；你们都是弟兄。 也不要称地上的任何人为父，因为你们只有一位父，就是天上的父。 也不要称自己为导师，因为你们的导师只有一位，就是基督（马太福音 23: 8）。因为基督是唯一的教师，是唯一的导师，是天上的那位唯一的父：难道保罗自称是外邦人的教师，就是犯罪了吗？ 既然如此，你们这些反对者，为何在地上自称有父亲、教师、导师呢？因为你们无法称呼那位生你们的人为父亲，也无法称呼教导你们的人为教师和导师。 你们为何违背主的诫命？请告诉我们。你们别无选择，只能与我们一致，承认天上只有一位至高的父，地上只有一位至高的教师和导师——基督。 因为，世上所有的父亲都源于那位唯一的父；所有的教师和导师都从那位唯一的教师兼导师基督那里领受正确的教导和指引。世上的父亲确实是父亲，但在等级上最低，他们是因父性而成为父亲的，源于那位唯一的天父。 同样，地上的教师和导师也是真正的教师和导师，但在等级上最为卑微：也就是说，他们通过正确的教导和指引，从唯一的教师基督那里接受了源头。 ——当我们听到或读到“唯一圣者，唯一主耶稣基督”时，也应作同样的理解。但既然圣经将其他圣徒称为“圣徒”，将其他主称为“主”，基督如何能是唯一的圣者，又是唯一的主呢？对此的回答与上述相同。 基督是唯一的圣者，是唯一的主，其圣洁与主权至高无上，不受任何人支配，不源于任何人，亦无人能与之相提并论。 至于其余的圣徒和主，则处于最低的等级，与基督相距甚远，他们之所以被称为圣徒，之所以被称为主，是因为他们所拥有的圣洁与主权源自至高者。 正如炽热的铁虽非自身产生热量，因为铁本身是冷的，但它因与火的结合而灼烧，是火焰赋予了铁以炽热的力量；同样，关于其他圣徒和主们的圣洁与主权，也应当如此说”（同上，第252–254页）。</w:t>
      </w:r>
    </w:p>
  </w:footnote>
  <w:footnote w:id="1747">
    <w:p w14:paraId="275D5124" w14:textId="341C49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“正如我们毫不怀疑先知们在尚处凡躯之时便已看见天上的事物，因此能够预言未来： 同样，我们不仅毫不怀疑，而且坚定不移地相信并宣认：天使以及那些仿佛成为天使般的圣徒，在上帝无边的光辉中，能看见我们的需求」（《东方宗主教关于正统信仰的书信》第8条）。 古代教会导师们也是这样解释圣徒的这种洞察力的（奥古斯丁，</w:t>
      </w:r>
      <w:r w:rsidRPr="004C59BB">
        <w:rPr>
          <w:color w:val="0000FF"/>
        </w:rPr>
        <w:t>《论如何面对死亡</w:t>
      </w:r>
      <w:r w:rsidRPr="004C59BB">
        <w:rPr>
          <w:color w:val="0000FF"/>
          <w:lang w:val="ru-RU"/>
        </w:rPr>
        <w:t>》第18、19节；格里高利，</w:t>
      </w:r>
      <w:r w:rsidRPr="004C59BB">
        <w:rPr>
          <w:color w:val="0000FF"/>
        </w:rPr>
        <w:t>《约伯记</w:t>
      </w:r>
      <w:r w:rsidRPr="004C59BB">
        <w:rPr>
          <w:color w:val="0000FF"/>
          <w:lang w:val="ru-RU"/>
        </w:rPr>
        <w:t>注释》第十二章26节）。 “那位看见并知道一切的主，难道会不被看见祂的人所知晓吗？”（</w:t>
      </w:r>
      <w:r w:rsidRPr="004C59BB">
        <w:rPr>
          <w:color w:val="0000FF"/>
        </w:rPr>
        <w:t>《对话录》</w:t>
      </w:r>
      <w:r w:rsidRPr="004C59BB">
        <w:rPr>
          <w:color w:val="0000FF"/>
          <w:lang w:val="ru-RU"/>
        </w:rPr>
        <w:t>，</w:t>
      </w:r>
      <w:r w:rsidRPr="004C59BB">
        <w:rPr>
          <w:color w:val="0000FF"/>
        </w:rPr>
        <w:t>第四</w:t>
      </w:r>
      <w:r w:rsidRPr="004C59BB">
        <w:rPr>
          <w:color w:val="0000FF"/>
          <w:lang w:val="ru-RU"/>
        </w:rPr>
        <w:t>卷，第33页）</w:t>
      </w:r>
    </w:p>
  </w:footnote>
  <w:footnote w:id="1748">
    <w:p w14:paraId="70D06D1D" w14:textId="2543DCB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雷诺多</w:t>
      </w:r>
      <w:r w:rsidRPr="0097554A">
        <w:rPr>
          <w:color w:val="0000FF"/>
          <w:lang w:val="ru-RU"/>
        </w:rPr>
        <w:t>，</w:t>
      </w:r>
      <w:r w:rsidRPr="004C59BB">
        <w:rPr>
          <w:color w:val="0000FF"/>
        </w:rPr>
        <w:t>《东方礼仪文集》</w:t>
      </w:r>
      <w:r w:rsidRPr="0097554A">
        <w:rPr>
          <w:color w:val="0000FF"/>
          <w:lang w:val="ru-RU"/>
        </w:rPr>
        <w:t>，</w:t>
      </w:r>
      <w:r w:rsidRPr="004C59BB">
        <w:rPr>
          <w:color w:val="0000FF"/>
        </w:rPr>
        <w:t>第II卷</w:t>
      </w:r>
      <w:r w:rsidRPr="0097554A">
        <w:rPr>
          <w:color w:val="0000FF"/>
          <w:lang w:val="ru-RU"/>
        </w:rPr>
        <w:t>，</w:t>
      </w:r>
      <w:r w:rsidRPr="004C59BB">
        <w:rPr>
          <w:color w:val="0000FF"/>
        </w:rPr>
        <w:t>第</w:t>
      </w:r>
      <w:r w:rsidRPr="0097554A">
        <w:rPr>
          <w:color w:val="0000FF"/>
          <w:lang w:val="ru-RU"/>
        </w:rPr>
        <w:t>33</w:t>
      </w:r>
      <w:r w:rsidRPr="004C59BB">
        <w:rPr>
          <w:color w:val="0000FF"/>
        </w:rPr>
        <w:t>页</w:t>
      </w:r>
      <w:r w:rsidRPr="0097554A">
        <w:rPr>
          <w:color w:val="0000FF"/>
          <w:lang w:val="ru-RU"/>
        </w:rPr>
        <w:t>，</w:t>
      </w:r>
      <w:r w:rsidRPr="004C59BB">
        <w:rPr>
          <w:color w:val="0000FF"/>
        </w:rPr>
        <w:t>巴黎</w:t>
      </w:r>
      <w:r w:rsidRPr="0097554A">
        <w:rPr>
          <w:color w:val="0000FF"/>
          <w:lang w:val="ru-RU"/>
        </w:rPr>
        <w:t>，1716</w:t>
      </w:r>
      <w:r w:rsidRPr="004C59BB">
        <w:rPr>
          <w:color w:val="0000FF"/>
        </w:rPr>
        <w:t>年。</w:t>
      </w:r>
    </w:p>
  </w:footnote>
  <w:footnote w:id="1749">
    <w:p w14:paraId="25F47DD1" w14:textId="48E6F4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同上</w:t>
      </w:r>
      <w:r w:rsidRPr="004C59BB">
        <w:rPr>
          <w:color w:val="0000FF"/>
          <w:lang w:val="ru-RU"/>
        </w:rPr>
        <w:t>，第145</w:t>
      </w:r>
      <w:r w:rsidRPr="004C59BB">
        <w:rPr>
          <w:color w:val="0000FF"/>
        </w:rPr>
        <w:t>页</w:t>
      </w:r>
      <w:r w:rsidRPr="004C59BB">
        <w:rPr>
          <w:color w:val="0000FF"/>
          <w:lang w:val="ru-RU"/>
        </w:rPr>
        <w:t>、第176页</w:t>
      </w:r>
      <w:r w:rsidRPr="004C59BB">
        <w:rPr>
          <w:color w:val="0000FF"/>
        </w:rPr>
        <w:t>及相关内容</w:t>
      </w:r>
      <w:r w:rsidRPr="004C59BB">
        <w:rPr>
          <w:color w:val="0000FF"/>
          <w:lang w:val="ru-RU"/>
        </w:rPr>
        <w:t>。</w:t>
      </w:r>
    </w:p>
  </w:footnote>
  <w:footnote w:id="1750">
    <w:p w14:paraId="2FD16A07" w14:textId="1A2301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参见圣体祝圣祷文等。</w:t>
      </w:r>
    </w:p>
  </w:footnote>
  <w:footnote w:id="1751">
    <w:p w14:paraId="62AF94BB" w14:textId="27690A3F" w:rsidR="00254F25" w:rsidRPr="0097554A"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阿塞曼</w:t>
      </w:r>
      <w:r w:rsidRPr="0097554A">
        <w:rPr>
          <w:color w:val="0000FF"/>
          <w:lang w:val="ru-RU"/>
        </w:rPr>
        <w:t>（</w:t>
      </w:r>
      <w:r w:rsidRPr="004C59BB">
        <w:rPr>
          <w:color w:val="0000FF"/>
        </w:rPr>
        <w:t>Asseman</w:t>
      </w:r>
      <w:r w:rsidRPr="0097554A">
        <w:rPr>
          <w:color w:val="0000FF"/>
          <w:lang w:val="ru-RU"/>
        </w:rPr>
        <w:t>）</w:t>
      </w:r>
      <w:r w:rsidRPr="004C59BB">
        <w:rPr>
          <w:color w:val="0000FF"/>
        </w:rPr>
        <w:t>。《普世教会礼仪手稿》（Cod. liturg. Eccl. universae），第IV卷，第1、2、3部分，罗马，1751年；扎卡里亚（Zaccaria），《论礼仪在神学事务中的应用》（Dissert. de liturg. in rebus theolog. usu），推论</w:t>
      </w:r>
      <w:r w:rsidRPr="0097554A">
        <w:rPr>
          <w:color w:val="0000FF"/>
        </w:rPr>
        <w:t>17</w:t>
      </w:r>
      <w:r w:rsidRPr="004C59BB">
        <w:rPr>
          <w:color w:val="0000FF"/>
          <w:lang w:val="ru-RU"/>
        </w:rPr>
        <w:t>、</w:t>
      </w:r>
      <w:r w:rsidRPr="0097554A">
        <w:rPr>
          <w:color w:val="0000FF"/>
        </w:rPr>
        <w:t>18</w:t>
      </w:r>
      <w:r w:rsidRPr="004C59BB">
        <w:rPr>
          <w:color w:val="0000FF"/>
          <w:lang w:val="ru-RU"/>
        </w:rPr>
        <w:t>。</w:t>
      </w:r>
    </w:p>
  </w:footnote>
  <w:footnote w:id="1752">
    <w:p w14:paraId="5C28D180" w14:textId="12E45D7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《秘传教义》</w:t>
      </w:r>
      <w:r w:rsidRPr="004C59BB">
        <w:rPr>
          <w:color w:val="0000FF"/>
        </w:rPr>
        <w:t>第五</w:t>
      </w:r>
      <w:r w:rsidRPr="004C59BB">
        <w:rPr>
          <w:color w:val="0000FF"/>
          <w:lang w:val="ru-RU"/>
        </w:rPr>
        <w:t>卷</w:t>
      </w:r>
      <w:r w:rsidRPr="0097554A">
        <w:rPr>
          <w:color w:val="0000FF"/>
        </w:rPr>
        <w:t>，</w:t>
      </w:r>
      <w:r w:rsidRPr="004C59BB">
        <w:rPr>
          <w:color w:val="0000FF"/>
          <w:lang w:val="ru-RU"/>
        </w:rPr>
        <w:t>第</w:t>
      </w:r>
      <w:r w:rsidRPr="0097554A">
        <w:rPr>
          <w:color w:val="0000FF"/>
        </w:rPr>
        <w:t>9</w:t>
      </w:r>
      <w:r w:rsidRPr="004C59BB">
        <w:rPr>
          <w:color w:val="0000FF"/>
          <w:lang w:val="ru-RU"/>
        </w:rPr>
        <w:t>条</w:t>
      </w:r>
      <w:r w:rsidRPr="0097554A">
        <w:rPr>
          <w:color w:val="0000FF"/>
        </w:rPr>
        <w:t>，</w:t>
      </w:r>
      <w:r w:rsidRPr="004C59BB">
        <w:rPr>
          <w:color w:val="0000FF"/>
          <w:lang w:val="ru-RU"/>
        </w:rPr>
        <w:t>第</w:t>
      </w:r>
      <w:r w:rsidRPr="0097554A">
        <w:rPr>
          <w:color w:val="0000FF"/>
        </w:rPr>
        <w:t>462–463</w:t>
      </w:r>
      <w:r w:rsidRPr="004C59BB">
        <w:rPr>
          <w:color w:val="0000FF"/>
          <w:lang w:val="ru-RU"/>
        </w:rPr>
        <w:t>页。</w:t>
      </w:r>
    </w:p>
  </w:footnote>
  <w:footnote w:id="1753">
    <w:p w14:paraId="0EE61AED" w14:textId="399A622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《殉道者圣伊格纳提乌斯</w:t>
      </w:r>
      <w:r w:rsidRPr="0097554A">
        <w:rPr>
          <w:color w:val="0000FF"/>
        </w:rPr>
        <w:t>·</w:t>
      </w:r>
      <w:r w:rsidRPr="004C59BB">
        <w:rPr>
          <w:color w:val="0000FF"/>
          <w:lang w:val="ru-RU"/>
        </w:rPr>
        <w:t>博戈诺斯》</w:t>
      </w:r>
      <w:r w:rsidRPr="0097554A">
        <w:rPr>
          <w:color w:val="0000FF"/>
        </w:rPr>
        <w:t>，</w:t>
      </w:r>
      <w:r w:rsidRPr="004C59BB">
        <w:rPr>
          <w:color w:val="0000FF"/>
          <w:lang w:val="ru-RU"/>
        </w:rPr>
        <w:t>载于《基督教读本》</w:t>
      </w:r>
      <w:r w:rsidRPr="0097554A">
        <w:rPr>
          <w:color w:val="0000FF"/>
        </w:rPr>
        <w:t>1822</w:t>
      </w:r>
      <w:r w:rsidRPr="004C59BB">
        <w:rPr>
          <w:color w:val="0000FF"/>
          <w:lang w:val="ru-RU"/>
        </w:rPr>
        <w:t>年版</w:t>
      </w:r>
      <w:r w:rsidRPr="0097554A">
        <w:rPr>
          <w:color w:val="0000FF"/>
        </w:rPr>
        <w:t>，</w:t>
      </w:r>
      <w:r w:rsidRPr="004C59BB">
        <w:rPr>
          <w:color w:val="0000FF"/>
        </w:rPr>
        <w:t>第八卷</w:t>
      </w:r>
      <w:r w:rsidRPr="0097554A">
        <w:rPr>
          <w:color w:val="0000FF"/>
        </w:rPr>
        <w:t>，</w:t>
      </w:r>
      <w:r w:rsidRPr="004C59BB">
        <w:rPr>
          <w:color w:val="0000FF"/>
          <w:lang w:val="ru-RU"/>
        </w:rPr>
        <w:t>第</w:t>
      </w:r>
      <w:r w:rsidRPr="0097554A">
        <w:rPr>
          <w:color w:val="0000FF"/>
        </w:rPr>
        <w:t>355–360</w:t>
      </w:r>
      <w:r w:rsidRPr="004C59BB">
        <w:rPr>
          <w:color w:val="0000FF"/>
          <w:lang w:val="ru-RU"/>
        </w:rPr>
        <w:t>页。</w:t>
      </w:r>
    </w:p>
  </w:footnote>
  <w:footnote w:id="1754">
    <w:p w14:paraId="7BEEAB36" w14:textId="0384CC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参见《斯基利塔殉道者行传》，收录于鲁伊纳尔编《殉道者行传·真本》中，第87页。</w:t>
      </w:r>
    </w:p>
  </w:footnote>
  <w:footnote w:id="1755">
    <w:p w14:paraId="42154878" w14:textId="52B497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(1785) 参见《圣马克西姆行传》——同上，第157页。</w:t>
      </w:r>
    </w:p>
  </w:footnote>
  <w:footnote w:id="1756">
    <w:p w14:paraId="7689B8BC" w14:textId="58CD1E6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《教会史》</w:t>
      </w:r>
      <w:r w:rsidRPr="004C59BB">
        <w:rPr>
          <w:color w:val="0000FF"/>
        </w:rPr>
        <w:t>第六</w:t>
      </w:r>
      <w:r w:rsidRPr="004C59BB">
        <w:rPr>
          <w:color w:val="0000FF"/>
          <w:lang w:val="ru-RU"/>
        </w:rPr>
        <w:t>卷</w:t>
      </w:r>
      <w:r w:rsidRPr="0097554A">
        <w:rPr>
          <w:color w:val="0000FF"/>
        </w:rPr>
        <w:t>，</w:t>
      </w:r>
      <w:r w:rsidRPr="004C59BB">
        <w:rPr>
          <w:color w:val="0000FF"/>
          <w:lang w:val="ru-RU"/>
        </w:rPr>
        <w:t>第五章</w:t>
      </w:r>
      <w:r w:rsidRPr="0097554A">
        <w:rPr>
          <w:color w:val="0000FF"/>
        </w:rPr>
        <w:t>，</w:t>
      </w:r>
      <w:r w:rsidRPr="004C59BB">
        <w:rPr>
          <w:color w:val="0000FF"/>
          <w:lang w:val="ru-RU"/>
        </w:rPr>
        <w:t>第</w:t>
      </w:r>
      <w:r w:rsidRPr="0097554A">
        <w:rPr>
          <w:color w:val="0000FF"/>
        </w:rPr>
        <w:t>330</w:t>
      </w:r>
      <w:r w:rsidRPr="004C59BB">
        <w:rPr>
          <w:color w:val="0000FF"/>
          <w:lang w:val="ru-RU"/>
        </w:rPr>
        <w:t>页。</w:t>
      </w:r>
    </w:p>
  </w:footnote>
  <w:footnote w:id="1757">
    <w:p w14:paraId="349FE21E" w14:textId="7358EFF8"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《赞颂圣基普里安的词》</w:t>
      </w:r>
      <w:r w:rsidRPr="0097554A">
        <w:rPr>
          <w:color w:val="0000FF"/>
        </w:rPr>
        <w:t>，</w:t>
      </w:r>
      <w:r w:rsidRPr="004C59BB">
        <w:rPr>
          <w:color w:val="0000FF"/>
          <w:lang w:val="ru-RU"/>
        </w:rPr>
        <w:t>《圣父著作集》</w:t>
      </w:r>
      <w:r w:rsidRPr="004C59BB">
        <w:rPr>
          <w:color w:val="0000FF"/>
        </w:rPr>
        <w:t>第二卷</w:t>
      </w:r>
      <w:r w:rsidRPr="0097554A">
        <w:rPr>
          <w:color w:val="0000FF"/>
        </w:rPr>
        <w:t>，</w:t>
      </w:r>
      <w:r w:rsidRPr="004C59BB">
        <w:rPr>
          <w:color w:val="0000FF"/>
          <w:lang w:val="ru-RU"/>
        </w:rPr>
        <w:t>第</w:t>
      </w:r>
      <w:r w:rsidRPr="0097554A">
        <w:rPr>
          <w:color w:val="0000FF"/>
        </w:rPr>
        <w:t>255</w:t>
      </w:r>
      <w:r w:rsidRPr="004C59BB">
        <w:rPr>
          <w:color w:val="0000FF"/>
          <w:lang w:val="ru-RU"/>
        </w:rPr>
        <w:t>页。</w:t>
      </w:r>
    </w:p>
  </w:footnote>
  <w:footnote w:id="1758">
    <w:p w14:paraId="23E19885" w14:textId="3E68208A"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《论教会等级制度》</w:t>
      </w:r>
      <w:r w:rsidRPr="004C59BB">
        <w:rPr>
          <w:color w:val="0000FF"/>
        </w:rPr>
        <w:t>第七</w:t>
      </w:r>
      <w:r w:rsidRPr="004C59BB">
        <w:rPr>
          <w:color w:val="0000FF"/>
          <w:lang w:val="ru-RU"/>
        </w:rPr>
        <w:t>章</w:t>
      </w:r>
      <w:r w:rsidRPr="004C59BB">
        <w:rPr>
          <w:color w:val="0000FF"/>
        </w:rPr>
        <w:t>，第三部分，第6节。</w:t>
      </w:r>
    </w:p>
  </w:footnote>
  <w:footnote w:id="1759">
    <w:p w14:paraId="400C3B28" w14:textId="4E5450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致科尔内利乌斯的第五十七封书信，第96页，Mavr. 版。</w:t>
      </w:r>
    </w:p>
  </w:footnote>
  <w:footnote w:id="1760">
    <w:p w14:paraId="1A641582" w14:textId="10994F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《福音准备讲道集》第十三卷，第11章。</w:t>
      </w:r>
    </w:p>
  </w:footnote>
  <w:footnote w:id="1761">
    <w:p w14:paraId="24D3C89C" w14:textId="41A1D95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《论四位殉道者的讲道》</w:t>
      </w:r>
      <w:r w:rsidRPr="0097554A">
        <w:rPr>
          <w:color w:val="0000FF"/>
        </w:rPr>
        <w:t>，</w:t>
      </w:r>
      <w:r w:rsidRPr="004C59BB">
        <w:rPr>
          <w:color w:val="0000FF"/>
          <w:lang w:val="ru-RU"/>
        </w:rPr>
        <w:t>载于《圣教父文集》</w:t>
      </w:r>
      <w:r w:rsidRPr="004C59BB">
        <w:rPr>
          <w:color w:val="0000FF"/>
        </w:rPr>
        <w:t>第八卷</w:t>
      </w:r>
      <w:r w:rsidRPr="0097554A">
        <w:rPr>
          <w:color w:val="0000FF"/>
        </w:rPr>
        <w:t>，</w:t>
      </w:r>
      <w:r w:rsidRPr="004C59BB">
        <w:rPr>
          <w:color w:val="0000FF"/>
          <w:lang w:val="ru-RU"/>
        </w:rPr>
        <w:t>第</w:t>
      </w:r>
      <w:r w:rsidRPr="0097554A">
        <w:rPr>
          <w:color w:val="0000FF"/>
        </w:rPr>
        <w:t>306</w:t>
      </w:r>
      <w:r w:rsidRPr="004C59BB">
        <w:rPr>
          <w:color w:val="0000FF"/>
          <w:lang w:val="ru-RU"/>
        </w:rPr>
        <w:t>、</w:t>
      </w:r>
      <w:r w:rsidRPr="0097554A">
        <w:rPr>
          <w:color w:val="0000FF"/>
        </w:rPr>
        <w:t>307</w:t>
      </w:r>
      <w:r w:rsidRPr="004C59BB">
        <w:rPr>
          <w:color w:val="0000FF"/>
          <w:lang w:val="ru-RU"/>
        </w:rPr>
        <w:t>页。</w:t>
      </w:r>
    </w:p>
  </w:footnote>
  <w:footnote w:id="1762">
    <w:p w14:paraId="5EE8627D" w14:textId="6B1F1616"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《圣教父文集》</w:t>
      </w:r>
      <w:r w:rsidRPr="004C59BB">
        <w:rPr>
          <w:color w:val="0000FF"/>
        </w:rPr>
        <w:t>第二卷</w:t>
      </w:r>
      <w:r w:rsidRPr="0097554A">
        <w:rPr>
          <w:color w:val="0000FF"/>
        </w:rPr>
        <w:t>，</w:t>
      </w:r>
      <w:r w:rsidRPr="004C59BB">
        <w:rPr>
          <w:color w:val="0000FF"/>
          <w:lang w:val="ru-RU"/>
        </w:rPr>
        <w:t>第</w:t>
      </w:r>
      <w:r w:rsidRPr="0097554A">
        <w:rPr>
          <w:color w:val="0000FF"/>
        </w:rPr>
        <w:t>103</w:t>
      </w:r>
      <w:r w:rsidRPr="004C59BB">
        <w:rPr>
          <w:color w:val="0000FF"/>
          <w:lang w:val="ru-RU"/>
        </w:rPr>
        <w:t>页。</w:t>
      </w:r>
    </w:p>
  </w:footnote>
  <w:footnote w:id="1763">
    <w:p w14:paraId="496BF262" w14:textId="0B48D386"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同上</w:t>
      </w:r>
      <w:r w:rsidRPr="0097554A">
        <w:rPr>
          <w:color w:val="0000FF"/>
        </w:rPr>
        <w:t>，</w:t>
      </w:r>
      <w:r w:rsidRPr="004C59BB">
        <w:rPr>
          <w:color w:val="0000FF"/>
          <w:lang w:val="ru-RU"/>
        </w:rPr>
        <w:t>第</w:t>
      </w:r>
      <w:r w:rsidRPr="0097554A">
        <w:rPr>
          <w:color w:val="0000FF"/>
        </w:rPr>
        <w:t>264</w:t>
      </w:r>
      <w:r w:rsidRPr="004C59BB">
        <w:rPr>
          <w:color w:val="0000FF"/>
          <w:lang w:val="ru-RU"/>
        </w:rPr>
        <w:t>页。他还曾向大圣亚他那修</w:t>
      </w:r>
      <w:r w:rsidRPr="0097554A">
        <w:rPr>
          <w:color w:val="0000FF"/>
        </w:rPr>
        <w:t>（</w:t>
      </w:r>
      <w:r w:rsidRPr="004C59BB">
        <w:rPr>
          <w:color w:val="0000FF"/>
          <w:lang w:val="ru-RU"/>
        </w:rPr>
        <w:t>同上</w:t>
      </w:r>
      <w:r w:rsidRPr="0097554A">
        <w:rPr>
          <w:color w:val="0000FF"/>
        </w:rPr>
        <w:t>，</w:t>
      </w:r>
      <w:r w:rsidRPr="004C59BB">
        <w:rPr>
          <w:color w:val="0000FF"/>
          <w:lang w:val="ru-RU"/>
        </w:rPr>
        <w:t>第</w:t>
      </w:r>
      <w:r w:rsidRPr="0097554A">
        <w:rPr>
          <w:color w:val="0000FF"/>
        </w:rPr>
        <w:t>213</w:t>
      </w:r>
      <w:r w:rsidRPr="004C59BB">
        <w:rPr>
          <w:color w:val="0000FF"/>
          <w:lang w:val="ru-RU"/>
        </w:rPr>
        <w:t>页</w:t>
      </w:r>
      <w:r w:rsidRPr="0097554A">
        <w:rPr>
          <w:color w:val="0000FF"/>
        </w:rPr>
        <w:t>）</w:t>
      </w:r>
      <w:r w:rsidRPr="004C59BB">
        <w:rPr>
          <w:color w:val="0000FF"/>
          <w:lang w:val="ru-RU"/>
        </w:rPr>
        <w:t>和大圣巴西勒发出过类似的祈祷</w:t>
      </w:r>
      <w:r w:rsidRPr="0097554A">
        <w:rPr>
          <w:color w:val="0000FF"/>
        </w:rPr>
        <w:t>： “</w:t>
      </w:r>
      <w:r w:rsidRPr="004C59BB">
        <w:rPr>
          <w:color w:val="0000FF"/>
          <w:lang w:val="ru-RU"/>
        </w:rPr>
        <w:t>求你从高天垂顾我</w:t>
      </w:r>
      <w:r w:rsidRPr="0097554A">
        <w:rPr>
          <w:color w:val="0000FF"/>
        </w:rPr>
        <w:t>，</w:t>
      </w:r>
      <w:r w:rsidRPr="004C59BB">
        <w:rPr>
          <w:color w:val="0000FF"/>
          <w:lang w:val="ru-RU"/>
        </w:rPr>
        <w:t>神圣而圣洁的元首</w:t>
      </w:r>
      <w:r w:rsidRPr="0097554A">
        <w:rPr>
          <w:color w:val="0000FF"/>
        </w:rPr>
        <w:t>，</w:t>
      </w:r>
      <w:r w:rsidRPr="004C59BB">
        <w:rPr>
          <w:color w:val="0000FF"/>
          <w:lang w:val="ru-RU"/>
        </w:rPr>
        <w:t>并求你以你的祈祷平息那为使我得着教训而赐予我的肉体上的刺</w:t>
      </w:r>
      <w:r w:rsidRPr="0097554A">
        <w:rPr>
          <w:color w:val="0000FF"/>
        </w:rPr>
        <w:t>（</w:t>
      </w:r>
      <w:r w:rsidRPr="004C59BB">
        <w:rPr>
          <w:color w:val="0000FF"/>
          <w:lang w:val="ru-RU"/>
        </w:rPr>
        <w:t>林后</w:t>
      </w:r>
      <w:r w:rsidRPr="0097554A">
        <w:rPr>
          <w:color w:val="0000FF"/>
        </w:rPr>
        <w:t>12:7），</w:t>
      </w:r>
      <w:r w:rsidRPr="004C59BB">
        <w:rPr>
          <w:color w:val="0000FF"/>
          <w:lang w:val="ru-RU"/>
        </w:rPr>
        <w:t>或教导我忍耐地承受它</w:t>
      </w:r>
      <w:r w:rsidRPr="0097554A">
        <w:rPr>
          <w:color w:val="0000FF"/>
        </w:rPr>
        <w:t>，</w:t>
      </w:r>
      <w:r w:rsidRPr="004C59BB">
        <w:rPr>
          <w:color w:val="0000FF"/>
          <w:lang w:val="ru-RU"/>
        </w:rPr>
        <w:t>并引导我的一生走向最有益的方向</w:t>
      </w:r>
      <w:r w:rsidRPr="0097554A">
        <w:rPr>
          <w:color w:val="0000FF"/>
        </w:rPr>
        <w:t>”（</w:t>
      </w:r>
      <w:r w:rsidRPr="004C59BB">
        <w:rPr>
          <w:color w:val="0000FF"/>
          <w:lang w:val="ru-RU"/>
        </w:rPr>
        <w:t>同上</w:t>
      </w:r>
      <w:r w:rsidRPr="0097554A">
        <w:rPr>
          <w:color w:val="0000FF"/>
        </w:rPr>
        <w:t>，</w:t>
      </w:r>
      <w:r w:rsidRPr="004C59BB">
        <w:rPr>
          <w:color w:val="0000FF"/>
        </w:rPr>
        <w:t>IV</w:t>
      </w:r>
      <w:r w:rsidRPr="0097554A">
        <w:rPr>
          <w:color w:val="0000FF"/>
        </w:rPr>
        <w:t>，139）</w:t>
      </w:r>
      <w:r w:rsidRPr="004C59BB">
        <w:rPr>
          <w:color w:val="0000FF"/>
          <w:lang w:val="ru-RU"/>
        </w:rPr>
        <w:t>。</w:t>
      </w:r>
    </w:p>
  </w:footnote>
  <w:footnote w:id="1764">
    <w:p w14:paraId="10AE70D4" w14:textId="3DDDAF45"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《马太福音讲道集》</w:t>
      </w:r>
      <w:r w:rsidRPr="004C59BB">
        <w:rPr>
          <w:color w:val="0000FF"/>
        </w:rPr>
        <w:t>第五</w:t>
      </w:r>
      <w:r w:rsidRPr="004C59BB">
        <w:rPr>
          <w:color w:val="0000FF"/>
          <w:lang w:val="ru-RU"/>
        </w:rPr>
        <w:t>卷</w:t>
      </w:r>
      <w:r w:rsidRPr="0097554A">
        <w:rPr>
          <w:color w:val="0000FF"/>
        </w:rPr>
        <w:t>，</w:t>
      </w:r>
      <w:r w:rsidRPr="004C59BB">
        <w:rPr>
          <w:color w:val="0000FF"/>
          <w:lang w:val="ru-RU"/>
        </w:rPr>
        <w:t>第</w:t>
      </w:r>
      <w:r w:rsidRPr="0097554A">
        <w:rPr>
          <w:color w:val="0000FF"/>
        </w:rPr>
        <w:t>4</w:t>
      </w:r>
      <w:r w:rsidRPr="004C59BB">
        <w:rPr>
          <w:color w:val="0000FF"/>
        </w:rPr>
        <w:t>、5段，第1卷，第96、97页。</w:t>
      </w:r>
    </w:p>
  </w:footnote>
  <w:footnote w:id="1765">
    <w:p w14:paraId="0740B01A" w14:textId="234039E4"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《创世记讲道集》第XLIV篇</w:t>
      </w:r>
      <w:r w:rsidRPr="0097554A">
        <w:rPr>
          <w:color w:val="0000FF"/>
        </w:rPr>
        <w:t>，</w:t>
      </w:r>
      <w:r w:rsidRPr="004C59BB">
        <w:rPr>
          <w:color w:val="0000FF"/>
          <w:lang w:val="ru-RU"/>
        </w:rPr>
        <w:t>第</w:t>
      </w:r>
      <w:r w:rsidRPr="0097554A">
        <w:rPr>
          <w:color w:val="0000FF"/>
        </w:rPr>
        <w:t>2</w:t>
      </w:r>
      <w:r w:rsidRPr="004C59BB">
        <w:rPr>
          <w:color w:val="0000FF"/>
          <w:lang w:val="ru-RU"/>
        </w:rPr>
        <w:t>节。</w:t>
      </w:r>
    </w:p>
  </w:footnote>
  <w:footnote w:id="1766">
    <w:p w14:paraId="794EF9FA" w14:textId="659E65B9"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《殉道者颂》</w:t>
      </w:r>
      <w:r w:rsidRPr="0097554A">
        <w:rPr>
          <w:color w:val="0000FF"/>
        </w:rPr>
        <w:t>，</w:t>
      </w:r>
      <w:r w:rsidRPr="004C59BB">
        <w:rPr>
          <w:color w:val="0000FF"/>
          <w:lang w:val="ru-RU"/>
        </w:rPr>
        <w:t>载于《圣父</w:t>
      </w:r>
      <w:r w:rsidRPr="004C59BB">
        <w:rPr>
          <w:color w:val="0000FF"/>
        </w:rPr>
        <w:t>著作集</w:t>
      </w:r>
      <w:r w:rsidRPr="004C59BB">
        <w:rPr>
          <w:color w:val="0000FF"/>
          <w:lang w:val="ru-RU"/>
        </w:rPr>
        <w:t>》</w:t>
      </w:r>
      <w:r w:rsidRPr="004C59BB">
        <w:rPr>
          <w:color w:val="0000FF"/>
        </w:rPr>
        <w:t>第十五卷，第250页。</w:t>
      </w:r>
    </w:p>
  </w:footnote>
  <w:footnote w:id="1767">
    <w:p w14:paraId="605363B8" w14:textId="0002589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殉道者（是）我们祈求的对象，我们看到他们以某种肉身的抵押来为我们争取庇护。他们能够为我们的罪过代求，因为他们用自己的鲜血洗净了罪孽——即使他们曾有过某些罪过——因为这些人乃是上帝的殉道者，是我们生命的牧者，是我们言行举止的监护者。 我们不应羞于将他们作为我们软弱的代祷者……（《论寡妇》第9章）。</w:t>
      </w:r>
    </w:p>
  </w:footnote>
  <w:footnote w:id="1768">
    <w:p w14:paraId="33287077" w14:textId="2CB8D0A9" w:rsidR="00254F25" w:rsidRPr="0097554A"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他这样对圣殉道者狄奥多尔说</w:t>
      </w:r>
      <w:r w:rsidRPr="0097554A">
        <w:rPr>
          <w:color w:val="0000FF"/>
        </w:rPr>
        <w:t>：“</w:t>
      </w:r>
      <w:r w:rsidRPr="004C59BB">
        <w:rPr>
          <w:color w:val="0000FF"/>
          <w:lang w:val="ru-RU"/>
        </w:rPr>
        <w:t>请向共同的君王和主为祖国代求。我们正面临着巨大的危险……战士啊，为我们而战；殉道者啊，大胆地为你的同胞代求。虽然你已在另一个世界，但你始终知晓人类的灾难与需求。 求你为我们祈求和平，使我们的圣会得以延续……我们恳求你，今后切勿剥夺我们受你庇佑的恩典。若需更强有力的代祷：请召集你的弟兄——众殉道者——与他们一同祈祷。 众多义人的祈祷将遮盖各民族的罪孽」（</w:t>
      </w:r>
      <w:r w:rsidRPr="004C59BB">
        <w:rPr>
          <w:color w:val="0000FF"/>
        </w:rPr>
        <w:t>《论圣狄奥多尔的讲道</w:t>
      </w:r>
      <w:r w:rsidRPr="004C59BB">
        <w:rPr>
          <w:color w:val="0000FF"/>
          <w:lang w:val="ru-RU"/>
        </w:rPr>
        <w:t>》，</w:t>
      </w:r>
      <w:r w:rsidRPr="004C59BB">
        <w:rPr>
          <w:color w:val="0000FF"/>
        </w:rPr>
        <w:t>载于</w:t>
      </w:r>
      <w:r w:rsidRPr="004C59BB">
        <w:rPr>
          <w:color w:val="0000FF"/>
          <w:lang w:val="ru-RU"/>
        </w:rPr>
        <w:t>《文集》第111卷，第585页，</w:t>
      </w:r>
      <w:r w:rsidRPr="004C59BB">
        <w:rPr>
          <w:color w:val="0000FF"/>
        </w:rPr>
        <w:t>莫雷尔</w:t>
      </w:r>
      <w:r w:rsidRPr="004C59BB">
        <w:rPr>
          <w:color w:val="0000FF"/>
          <w:lang w:val="ru-RU"/>
        </w:rPr>
        <w:t>版</w:t>
      </w:r>
      <w:r w:rsidRPr="0097554A">
        <w:rPr>
          <w:color w:val="0000FF"/>
          <w:lang w:val="ru-RU"/>
        </w:rPr>
        <w:t>）</w:t>
      </w:r>
      <w:r w:rsidRPr="004C59BB">
        <w:rPr>
          <w:color w:val="0000FF"/>
        </w:rPr>
        <w:t>。</w:t>
      </w:r>
    </w:p>
  </w:footnote>
  <w:footnote w:id="1769">
    <w:p w14:paraId="34F28E3E" w14:textId="03A0E73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《论三位一体》第二卷</w:t>
      </w:r>
      <w:r w:rsidRPr="0097554A">
        <w:rPr>
          <w:color w:val="0000FF"/>
          <w:lang w:val="ru-RU"/>
        </w:rPr>
        <w:t>，</w:t>
      </w:r>
      <w:r w:rsidRPr="004C59BB">
        <w:rPr>
          <w:color w:val="0000FF"/>
        </w:rPr>
        <w:t>第七章</w:t>
      </w:r>
      <w:r w:rsidRPr="0097554A">
        <w:rPr>
          <w:color w:val="0000FF"/>
          <w:lang w:val="ru-RU"/>
        </w:rPr>
        <w:t>，</w:t>
      </w:r>
      <w:r w:rsidRPr="004C59BB">
        <w:rPr>
          <w:color w:val="0000FF"/>
        </w:rPr>
        <w:t>第</w:t>
      </w:r>
      <w:r w:rsidRPr="0097554A">
        <w:rPr>
          <w:color w:val="0000FF"/>
          <w:lang w:val="ru-RU"/>
        </w:rPr>
        <w:t>8</w:t>
      </w:r>
      <w:r w:rsidRPr="004C59BB">
        <w:rPr>
          <w:color w:val="0000FF"/>
        </w:rPr>
        <w:t>节。</w:t>
      </w:r>
    </w:p>
  </w:footnote>
  <w:footnote w:id="1770">
    <w:p w14:paraId="3DA08206" w14:textId="70C50C9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《诗篇》第十八篇</w:t>
      </w:r>
      <w:r w:rsidRPr="0097554A">
        <w:rPr>
          <w:color w:val="0000FF"/>
          <w:lang w:val="ru-RU"/>
        </w:rPr>
        <w:t>，</w:t>
      </w:r>
      <w:r w:rsidRPr="004C59BB">
        <w:rPr>
          <w:color w:val="0000FF"/>
        </w:rPr>
        <w:t>第</w:t>
      </w:r>
      <w:r w:rsidRPr="0097554A">
        <w:rPr>
          <w:color w:val="0000FF"/>
          <w:lang w:val="ru-RU"/>
        </w:rPr>
        <w:t>8</w:t>
      </w:r>
      <w:r w:rsidRPr="004C59BB">
        <w:rPr>
          <w:color w:val="0000FF"/>
        </w:rPr>
        <w:t>节。</w:t>
      </w:r>
    </w:p>
  </w:footnote>
  <w:footnote w:id="1771">
    <w:p w14:paraId="5D2F7EA6" w14:textId="674FECE7"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倘若使徒和殉道者尚在尘世时</w:t>
      </w:r>
      <w:r w:rsidRPr="0097554A">
        <w:rPr>
          <w:color w:val="0000FF"/>
          <w:lang w:val="ru-RU"/>
        </w:rPr>
        <w:t>，</w:t>
      </w:r>
      <w:r w:rsidRPr="004C59BB">
        <w:rPr>
          <w:color w:val="0000FF"/>
        </w:rPr>
        <w:t>即便还需为自身操心</w:t>
      </w:r>
      <w:r w:rsidRPr="0097554A">
        <w:rPr>
          <w:color w:val="0000FF"/>
          <w:lang w:val="ru-RU"/>
        </w:rPr>
        <w:t>，</w:t>
      </w:r>
      <w:r w:rsidRPr="004C59BB">
        <w:rPr>
          <w:color w:val="0000FF"/>
        </w:rPr>
        <w:t>仍能为他人祈祷</w:t>
      </w:r>
      <w:r w:rsidRPr="0097554A">
        <w:rPr>
          <w:color w:val="0000FF"/>
          <w:lang w:val="ru-RU"/>
        </w:rPr>
        <w:t>；</w:t>
      </w:r>
      <w:r w:rsidRPr="004C59BB">
        <w:rPr>
          <w:color w:val="0000FF"/>
        </w:rPr>
        <w:t>那么在获得冠冕、胜利与凯旋之后</w:t>
      </w:r>
      <w:r w:rsidRPr="0097554A">
        <w:rPr>
          <w:color w:val="0000FF"/>
          <w:lang w:val="ru-RU"/>
        </w:rPr>
        <w:t>，</w:t>
      </w:r>
      <w:r w:rsidRPr="004C59BB">
        <w:rPr>
          <w:color w:val="0000FF"/>
        </w:rPr>
        <w:t>岂不更应如此吗</w:t>
      </w:r>
      <w:r w:rsidRPr="0097554A">
        <w:rPr>
          <w:color w:val="0000FF"/>
          <w:lang w:val="ru-RU"/>
        </w:rPr>
        <w:t>？……”</w:t>
      </w:r>
      <w:r w:rsidRPr="004C59BB">
        <w:rPr>
          <w:color w:val="0000FF"/>
          <w:lang w:val="ru-RU"/>
        </w:rPr>
        <w:t>（《</w:t>
      </w:r>
      <w:r w:rsidRPr="004C59BB">
        <w:rPr>
          <w:color w:val="0000FF"/>
        </w:rPr>
        <w:t>反维吉兰特</w:t>
      </w:r>
      <w:r w:rsidRPr="004C59BB">
        <w:rPr>
          <w:color w:val="0000FF"/>
          <w:lang w:val="ru-RU"/>
        </w:rPr>
        <w:t>》，</w:t>
      </w:r>
      <w:r w:rsidRPr="004C59BB">
        <w:rPr>
          <w:color w:val="0000FF"/>
        </w:rPr>
        <w:t>第IV</w:t>
      </w:r>
      <w:r w:rsidRPr="004C59BB">
        <w:rPr>
          <w:color w:val="0000FF"/>
          <w:lang w:val="ru-RU"/>
        </w:rPr>
        <w:t>卷，</w:t>
      </w:r>
      <w:r w:rsidRPr="004C59BB">
        <w:rPr>
          <w:color w:val="0000FF"/>
        </w:rPr>
        <w:t>第II</w:t>
      </w:r>
      <w:r w:rsidRPr="004C59BB">
        <w:rPr>
          <w:color w:val="0000FF"/>
          <w:lang w:val="ru-RU"/>
        </w:rPr>
        <w:t>部分，第285页，</w:t>
      </w:r>
      <w:r w:rsidRPr="004C59BB">
        <w:rPr>
          <w:color w:val="0000FF"/>
        </w:rPr>
        <w:t>马蒂亚纳</w:t>
      </w:r>
      <w:r w:rsidRPr="004C59BB">
        <w:rPr>
          <w:color w:val="0000FF"/>
          <w:lang w:val="ru-RU"/>
        </w:rPr>
        <w:t>版）。</w:t>
      </w:r>
    </w:p>
  </w:footnote>
  <w:footnote w:id="1772">
    <w:p w14:paraId="7C06075C" w14:textId="39CEF9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“胜利殉道者的圣殿宏伟壮丽……我们经常在那里聚会……身体健康的人祈求保佑健康，病人则祈求早日康复。无子者祈求子嗣，不孕者则祈求成为母亲的幸福。 即将启程者祈求圣殉道者成为他们的同行者与守护者，而平安归来者则在他们面前倾吐感恩之情。 我们并非将他们视为神明；而是仅将他们视为圣人，恳求他们作为我们在上帝面前的代祷者」（</w:t>
      </w:r>
      <w:r w:rsidRPr="004C59BB">
        <w:rPr>
          <w:color w:val="0000FF"/>
        </w:rPr>
        <w:t>《论殉道者</w:t>
      </w:r>
      <w:r w:rsidRPr="004C59BB">
        <w:rPr>
          <w:color w:val="0000FF"/>
          <w:lang w:val="ru-RU"/>
        </w:rPr>
        <w:t>》，</w:t>
      </w:r>
      <w:r w:rsidRPr="004C59BB">
        <w:rPr>
          <w:color w:val="0000FF"/>
        </w:rPr>
        <w:t>第八篇</w:t>
      </w:r>
      <w:r w:rsidRPr="004C59BB">
        <w:rPr>
          <w:color w:val="0000FF"/>
          <w:lang w:val="ru-RU"/>
        </w:rPr>
        <w:t>讲</w:t>
      </w:r>
      <w:r w:rsidRPr="004C59BB">
        <w:rPr>
          <w:color w:val="0000FF"/>
        </w:rPr>
        <w:t>道</w:t>
      </w:r>
      <w:r w:rsidRPr="0097554A">
        <w:rPr>
          <w:color w:val="0000FF"/>
          <w:lang w:val="ru-RU"/>
        </w:rPr>
        <w:t>，</w:t>
      </w:r>
      <w:r w:rsidRPr="004C59BB">
        <w:rPr>
          <w:color w:val="0000FF"/>
        </w:rPr>
        <w:t>载于</w:t>
      </w:r>
      <w:r w:rsidRPr="004C59BB">
        <w:rPr>
          <w:color w:val="0000FF"/>
          <w:lang w:val="ru-RU"/>
        </w:rPr>
        <w:t>《著作集》</w:t>
      </w:r>
      <w:r w:rsidRPr="004C59BB">
        <w:rPr>
          <w:color w:val="0000FF"/>
        </w:rPr>
        <w:t>第四</w:t>
      </w:r>
      <w:r w:rsidRPr="004C59BB">
        <w:rPr>
          <w:color w:val="0000FF"/>
          <w:lang w:val="ru-RU"/>
        </w:rPr>
        <w:t>卷，第605页，</w:t>
      </w:r>
      <w:r w:rsidRPr="004C59BB">
        <w:rPr>
          <w:color w:val="0000FF"/>
        </w:rPr>
        <w:t>克拉莫伊版</w:t>
      </w:r>
      <w:r w:rsidRPr="004C59BB">
        <w:rPr>
          <w:color w:val="0000FF"/>
          <w:lang w:val="ru-RU"/>
        </w:rPr>
        <w:t>）。</w:t>
      </w:r>
    </w:p>
  </w:footnote>
  <w:footnote w:id="1773">
    <w:p w14:paraId="28BE98C7" w14:textId="728DA500"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“在主的圣餐中，我们纪念圣殉道者，并非为了像为其他已安息在主怀中的人那样为他们祈祷，而是为了让他们</w:t>
      </w:r>
      <w:r w:rsidRPr="004C59BB">
        <w:rPr>
          <w:color w:val="0000FF"/>
        </w:rPr>
        <w:t>为我们</w:t>
      </w:r>
      <w:r w:rsidRPr="004C59BB">
        <w:rPr>
          <w:color w:val="0000FF"/>
          <w:lang w:val="ru-RU"/>
        </w:rPr>
        <w:t>祈祷”（</w:t>
      </w:r>
      <w:r w:rsidRPr="004C59BB">
        <w:rPr>
          <w:color w:val="0000FF"/>
        </w:rPr>
        <w:t>《约翰</w:t>
      </w:r>
      <w:r w:rsidRPr="004C59BB">
        <w:rPr>
          <w:color w:val="0000FF"/>
          <w:lang w:val="ru-RU"/>
        </w:rPr>
        <w:t>福音</w:t>
      </w:r>
      <w:r w:rsidRPr="004C59BB">
        <w:rPr>
          <w:color w:val="0000FF"/>
        </w:rPr>
        <w:t>讲道集</w:t>
      </w:r>
      <w:r w:rsidRPr="004C59BB">
        <w:rPr>
          <w:color w:val="0000FF"/>
          <w:lang w:val="ru-RU"/>
        </w:rPr>
        <w:t>》</w:t>
      </w:r>
      <w:r w:rsidRPr="004C59BB">
        <w:rPr>
          <w:color w:val="0000FF"/>
        </w:rPr>
        <w:t>第八十四篇</w:t>
      </w:r>
      <w:r w:rsidRPr="0097554A">
        <w:rPr>
          <w:color w:val="0000FF"/>
          <w:lang w:val="ru-RU"/>
        </w:rPr>
        <w:t>，</w:t>
      </w:r>
      <w:r w:rsidRPr="004C59BB">
        <w:rPr>
          <w:color w:val="0000FF"/>
        </w:rPr>
        <w:t>载于《教父全集》第XXXV卷</w:t>
      </w:r>
      <w:r w:rsidRPr="0097554A">
        <w:rPr>
          <w:color w:val="0000FF"/>
          <w:lang w:val="ru-RU"/>
        </w:rPr>
        <w:t>，</w:t>
      </w:r>
      <w:r w:rsidRPr="004C59BB">
        <w:rPr>
          <w:color w:val="0000FF"/>
        </w:rPr>
        <w:t>第</w:t>
      </w:r>
      <w:r w:rsidRPr="0097554A">
        <w:rPr>
          <w:color w:val="0000FF"/>
          <w:lang w:val="ru-RU"/>
        </w:rPr>
        <w:t>1847</w:t>
      </w:r>
      <w:r w:rsidRPr="004C59BB">
        <w:rPr>
          <w:color w:val="0000FF"/>
        </w:rPr>
        <w:t>页</w:t>
      </w:r>
      <w:r w:rsidRPr="0097554A">
        <w:rPr>
          <w:color w:val="0000FF"/>
          <w:lang w:val="ru-RU"/>
        </w:rPr>
        <w:t>）</w:t>
      </w:r>
      <w:r w:rsidRPr="004C59BB">
        <w:rPr>
          <w:color w:val="0000FF"/>
        </w:rPr>
        <w:t>。</w:t>
      </w:r>
    </w:p>
  </w:footnote>
  <w:footnote w:id="1774">
    <w:p w14:paraId="7A37B8F7" w14:textId="03E3A75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大莱昂</w:t>
      </w:r>
      <w:r w:rsidRPr="0097554A">
        <w:rPr>
          <w:color w:val="0000FF"/>
          <w:lang w:val="ru-RU"/>
        </w:rPr>
        <w:t>，</w:t>
      </w:r>
      <w:r w:rsidRPr="004C59BB">
        <w:rPr>
          <w:color w:val="0000FF"/>
        </w:rPr>
        <w:t>《讲道集》第四篇</w:t>
      </w:r>
      <w:r w:rsidRPr="0097554A">
        <w:rPr>
          <w:color w:val="0000FF"/>
          <w:lang w:val="ru-RU"/>
        </w:rPr>
        <w:t>，</w:t>
      </w:r>
      <w:r w:rsidRPr="004C59BB">
        <w:rPr>
          <w:color w:val="0000FF"/>
        </w:rPr>
        <w:t>第</w:t>
      </w:r>
      <w:r w:rsidRPr="0097554A">
        <w:rPr>
          <w:color w:val="0000FF"/>
          <w:lang w:val="ru-RU"/>
        </w:rPr>
        <w:t>6</w:t>
      </w:r>
      <w:r w:rsidRPr="004C59BB">
        <w:rPr>
          <w:color w:val="0000FF"/>
        </w:rPr>
        <w:t>章</w:t>
      </w:r>
      <w:r w:rsidRPr="0097554A">
        <w:rPr>
          <w:color w:val="0000FF"/>
          <w:lang w:val="ru-RU"/>
        </w:rPr>
        <w:t>；</w:t>
      </w:r>
      <w:r w:rsidRPr="004C59BB">
        <w:rPr>
          <w:color w:val="0000FF"/>
        </w:rPr>
        <w:t>《讲道集》第十八篇</w:t>
      </w:r>
      <w:r w:rsidRPr="0097554A">
        <w:rPr>
          <w:color w:val="0000FF"/>
          <w:lang w:val="ru-RU"/>
        </w:rPr>
        <w:t>，</w:t>
      </w:r>
      <w:r w:rsidRPr="004C59BB">
        <w:rPr>
          <w:color w:val="0000FF"/>
        </w:rPr>
        <w:t>第</w:t>
      </w:r>
      <w:r w:rsidRPr="0097554A">
        <w:rPr>
          <w:color w:val="0000FF"/>
          <w:lang w:val="ru-RU"/>
        </w:rPr>
        <w:t>3</w:t>
      </w:r>
      <w:r w:rsidRPr="004C59BB">
        <w:rPr>
          <w:color w:val="0000FF"/>
        </w:rPr>
        <w:t>章</w:t>
      </w:r>
      <w:r w:rsidRPr="0097554A">
        <w:rPr>
          <w:color w:val="0000FF"/>
          <w:lang w:val="ru-RU"/>
        </w:rPr>
        <w:t>；</w:t>
      </w:r>
      <w:r w:rsidRPr="004C59BB">
        <w:rPr>
          <w:color w:val="0000FF"/>
        </w:rPr>
        <w:t>大格里高利</w:t>
      </w:r>
      <w:r w:rsidRPr="0097554A">
        <w:rPr>
          <w:color w:val="0000FF"/>
          <w:lang w:val="ru-RU"/>
        </w:rPr>
        <w:t>，</w:t>
      </w:r>
      <w:r w:rsidRPr="004C59BB">
        <w:rPr>
          <w:color w:val="0000FF"/>
        </w:rPr>
        <w:t>《福音注释》第二卷</w:t>
      </w:r>
      <w:r w:rsidRPr="0097554A">
        <w:rPr>
          <w:color w:val="0000FF"/>
          <w:lang w:val="ru-RU"/>
        </w:rPr>
        <w:t>，</w:t>
      </w:r>
      <w:r w:rsidRPr="004C59BB">
        <w:rPr>
          <w:color w:val="0000FF"/>
        </w:rPr>
        <w:t>第三十二篇讲道</w:t>
      </w:r>
      <w:r w:rsidRPr="0097554A">
        <w:rPr>
          <w:color w:val="0000FF"/>
          <w:lang w:val="ru-RU"/>
        </w:rPr>
        <w:t>，</w:t>
      </w:r>
      <w:r w:rsidRPr="004C59BB">
        <w:rPr>
          <w:color w:val="0000FF"/>
        </w:rPr>
        <w:t>第</w:t>
      </w:r>
      <w:r w:rsidRPr="0097554A">
        <w:rPr>
          <w:color w:val="0000FF"/>
          <w:lang w:val="ru-RU"/>
        </w:rPr>
        <w:t>8</w:t>
      </w:r>
      <w:r w:rsidRPr="004C59BB">
        <w:rPr>
          <w:color w:val="0000FF"/>
        </w:rPr>
        <w:t>节。</w:t>
      </w:r>
    </w:p>
  </w:footnote>
  <w:footnote w:id="1775">
    <w:p w14:paraId="13D1A51C" w14:textId="069249AE"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迦克墩大公会议《会议记录》X。</w:t>
      </w:r>
    </w:p>
  </w:footnote>
  <w:footnote w:id="1776">
    <w:p w14:paraId="4698D930" w14:textId="5B10BAB7"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尼西亚大公会议《会议记录》第六卷。参见注释1743。</w:t>
      </w:r>
    </w:p>
  </w:footnote>
  <w:footnote w:id="1777">
    <w:p w14:paraId="027C1D3B" w14:textId="31DEC6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雷诺多，《东方礼仪文集》，第II卷，第646–647页。</w:t>
      </w:r>
    </w:p>
  </w:footnote>
  <w:footnote w:id="1778">
    <w:p w14:paraId="15325ED6" w14:textId="0A0629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布鲁斯，《尼罗河源头之旅》，伦敦 1730 年，第 VIII 卷，第 113 页。</w:t>
      </w:r>
    </w:p>
  </w:footnote>
  <w:footnote w:id="1779">
    <w:p w14:paraId="038BEE2E" w14:textId="2CECD4F3"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雷诺多，同上，第1卷，第41、</w:t>
      </w:r>
      <w:r w:rsidRPr="0097554A">
        <w:rPr>
          <w:color w:val="0000FF"/>
        </w:rPr>
        <w:t>42</w:t>
      </w:r>
      <w:r w:rsidRPr="004C59BB">
        <w:rPr>
          <w:color w:val="0000FF"/>
        </w:rPr>
        <w:t>页</w:t>
      </w:r>
      <w:r w:rsidRPr="004C59BB">
        <w:rPr>
          <w:color w:val="0000FF"/>
          <w:lang w:val="ru-RU"/>
        </w:rPr>
        <w:t>。</w:t>
      </w:r>
    </w:p>
  </w:footnote>
  <w:footnote w:id="1780">
    <w:p w14:paraId="4A0401DF" w14:textId="7A5D302B"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胡多巴舍夫</w:t>
      </w:r>
      <w:r w:rsidRPr="0097554A">
        <w:rPr>
          <w:color w:val="0000FF"/>
        </w:rPr>
        <w:t>，</w:t>
      </w:r>
      <w:r w:rsidRPr="004C59BB">
        <w:rPr>
          <w:color w:val="0000FF"/>
          <w:lang w:val="ru-RU"/>
        </w:rPr>
        <w:t>《亚美尼亚教义与教会纪要》</w:t>
      </w:r>
      <w:r w:rsidRPr="0097554A">
        <w:rPr>
          <w:color w:val="0000FF"/>
        </w:rPr>
        <w:t>，</w:t>
      </w:r>
      <w:r w:rsidRPr="004C59BB">
        <w:rPr>
          <w:color w:val="0000FF"/>
          <w:lang w:val="ru-RU"/>
        </w:rPr>
        <w:t>第</w:t>
      </w:r>
      <w:r w:rsidRPr="0097554A">
        <w:rPr>
          <w:color w:val="0000FF"/>
        </w:rPr>
        <w:t>141</w:t>
      </w:r>
      <w:r w:rsidRPr="004C59BB">
        <w:rPr>
          <w:color w:val="0000FF"/>
          <w:lang w:val="ru-RU"/>
        </w:rPr>
        <w:t>、</w:t>
      </w:r>
      <w:r w:rsidRPr="0097554A">
        <w:rPr>
          <w:color w:val="0000FF"/>
        </w:rPr>
        <w:t>245</w:t>
      </w:r>
      <w:r w:rsidRPr="004C59BB">
        <w:rPr>
          <w:color w:val="0000FF"/>
          <w:lang w:val="ru-RU"/>
        </w:rPr>
        <w:t>页。圣彼得堡，1847年。</w:t>
      </w:r>
    </w:p>
  </w:footnote>
  <w:footnote w:id="1781">
    <w:p w14:paraId="4389324E" w14:textId="5D6853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新教徒对这一教义的异议在《信仰之基》（关于圣徒的呼求，</w:t>
      </w:r>
      <w:r w:rsidRPr="004C59BB">
        <w:rPr>
          <w:color w:val="0000FF"/>
        </w:rPr>
        <w:t>第二</w:t>
      </w:r>
      <w:r w:rsidRPr="004C59BB">
        <w:rPr>
          <w:color w:val="0000FF"/>
          <w:lang w:val="ru-RU"/>
        </w:rPr>
        <w:t>部分，第1、2章，载于</w:t>
      </w:r>
      <w:r w:rsidRPr="004C59BB">
        <w:rPr>
          <w:color w:val="0000FF"/>
        </w:rPr>
        <w:t>第二</w:t>
      </w:r>
      <w:r w:rsidRPr="004C59BB">
        <w:rPr>
          <w:color w:val="0000FF"/>
          <w:lang w:val="ru-RU"/>
        </w:rPr>
        <w:t>卷，第248–338页）中得到了详尽的探讨。</w:t>
      </w:r>
    </w:p>
  </w:footnote>
  <w:footnote w:id="1782">
    <w:p w14:paraId="35DCC6FC" w14:textId="4F9708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他（以利沙）在世时，曾凭自己的灵魂行过复活的神迹。不过，为了不仅使义人的灵魂受到尊崇，更让人相信义人的身体也具有这种力量：因此，那个已死并被放入以利沙棺中的死人，一接触先知那具已死的身体，便复活了。 先知的尸体代替灵魂完成了这一神迹。当时，它虽然已经死亡并躺在棺材里，却赋予了死者生命；而在赋予生命之后，它本身依然保持着死亡的状态。 这是为什么呢？是为了避免当以利沙复活时，这件奇事被归功于灵魂本身；而是为了表明，即使灵魂已不在躯体之中，圣人的躯体中仍蕴含着某种神迹般的力量，因为多年来，那义人的灵魂曾居住其中，而躯体始终顺服于那灵魂”（圣基里尔·耶路撒冷。 《公开讲道集》</w:t>
      </w:r>
      <w:r w:rsidRPr="004C59BB">
        <w:rPr>
          <w:color w:val="0000FF"/>
        </w:rPr>
        <w:t>第XVIII卷</w:t>
      </w:r>
      <w:r w:rsidRPr="004C59BB">
        <w:rPr>
          <w:color w:val="0000FF"/>
          <w:lang w:val="ru-RU"/>
        </w:rPr>
        <w:t>，第16节，第420页）。</w:t>
      </w:r>
    </w:p>
  </w:footnote>
  <w:footnote w:id="1783">
    <w:p w14:paraId="43CDC944" w14:textId="712C23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见《圣教父著作集》第11卷，第262页。</w:t>
      </w:r>
    </w:p>
  </w:footnote>
  <w:footnote w:id="1784">
    <w:p w14:paraId="5CCD7B18" w14:textId="4A0444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《针对尤利安的第一篇控诉》，同上，1，125。</w:t>
      </w:r>
    </w:p>
  </w:footnote>
  <w:footnote w:id="1785">
    <w:p w14:paraId="45FADC97" w14:textId="41B505FB"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《书信集》第XXII卷</w:t>
      </w:r>
      <w:r w:rsidRPr="0097554A">
        <w:rPr>
          <w:color w:val="0000FF"/>
          <w:lang w:val="ru-RU"/>
        </w:rPr>
        <w:t>，</w:t>
      </w:r>
      <w:r w:rsidRPr="004C59BB">
        <w:rPr>
          <w:color w:val="0000FF"/>
        </w:rPr>
        <w:t>第</w:t>
      </w:r>
      <w:r w:rsidRPr="0097554A">
        <w:rPr>
          <w:color w:val="0000FF"/>
          <w:lang w:val="ru-RU"/>
        </w:rPr>
        <w:t>9</w:t>
      </w:r>
      <w:r w:rsidRPr="004C59BB">
        <w:rPr>
          <w:color w:val="0000FF"/>
        </w:rPr>
        <w:t>号</w:t>
      </w:r>
      <w:r w:rsidRPr="0097554A">
        <w:rPr>
          <w:color w:val="0000FF"/>
          <w:lang w:val="ru-RU"/>
        </w:rPr>
        <w:t>，</w:t>
      </w:r>
      <w:r w:rsidRPr="004C59BB">
        <w:rPr>
          <w:color w:val="0000FF"/>
        </w:rPr>
        <w:t>载于《教父全集》第XV</w:t>
      </w:r>
      <w:r w:rsidRPr="004C59BB">
        <w:rPr>
          <w:color w:val="0000FF"/>
          <w:lang w:val="ru-RU"/>
        </w:rPr>
        <w:t>卷，第1022页。 关于上述殉道者圣髑所显的奇迹，</w:t>
      </w:r>
      <w:r w:rsidRPr="004C59BB">
        <w:rPr>
          <w:color w:val="0000FF"/>
        </w:rPr>
        <w:t>圣奥古斯丁作为目击者</w:t>
      </w:r>
      <w:r w:rsidRPr="004C59BB">
        <w:rPr>
          <w:color w:val="0000FF"/>
          <w:lang w:val="ru-RU"/>
        </w:rPr>
        <w:t>也作了见证</w:t>
      </w:r>
      <w:r w:rsidRPr="0097554A">
        <w:rPr>
          <w:color w:val="0000FF"/>
          <w:lang w:val="ru-RU"/>
        </w:rPr>
        <w:t>（</w:t>
      </w:r>
      <w:r w:rsidRPr="004C59BB">
        <w:rPr>
          <w:color w:val="0000FF"/>
        </w:rPr>
        <w:t>《忏悔录》第九卷</w:t>
      </w:r>
      <w:r w:rsidRPr="0097554A">
        <w:rPr>
          <w:color w:val="0000FF"/>
          <w:lang w:val="ru-RU"/>
        </w:rPr>
        <w:t>，</w:t>
      </w:r>
      <w:r w:rsidRPr="004C59BB">
        <w:rPr>
          <w:color w:val="0000FF"/>
        </w:rPr>
        <w:t>第</w:t>
      </w:r>
      <w:r w:rsidRPr="0097554A">
        <w:rPr>
          <w:color w:val="0000FF"/>
          <w:lang w:val="ru-RU"/>
        </w:rPr>
        <w:t>7</w:t>
      </w:r>
      <w:r w:rsidRPr="004C59BB">
        <w:rPr>
          <w:color w:val="0000FF"/>
        </w:rPr>
        <w:t>页</w:t>
      </w:r>
      <w:r w:rsidRPr="0097554A">
        <w:rPr>
          <w:color w:val="0000FF"/>
          <w:lang w:val="ru-RU"/>
        </w:rPr>
        <w:t>；</w:t>
      </w:r>
      <w:r w:rsidRPr="004C59BB">
        <w:rPr>
          <w:color w:val="0000FF"/>
        </w:rPr>
        <w:t>《论上帝之城》第二十二卷</w:t>
      </w:r>
      <w:r w:rsidRPr="0097554A">
        <w:rPr>
          <w:color w:val="0000FF"/>
          <w:lang w:val="ru-RU"/>
        </w:rPr>
        <w:t>，</w:t>
      </w:r>
      <w:r w:rsidRPr="004C59BB">
        <w:rPr>
          <w:color w:val="0000FF"/>
        </w:rPr>
        <w:t>第</w:t>
      </w:r>
      <w:r w:rsidRPr="0097554A">
        <w:rPr>
          <w:color w:val="0000FF"/>
          <w:lang w:val="ru-RU"/>
        </w:rPr>
        <w:t>9</w:t>
      </w:r>
      <w:r w:rsidRPr="004C59BB">
        <w:rPr>
          <w:color w:val="0000FF"/>
        </w:rPr>
        <w:t>章</w:t>
      </w:r>
      <w:r w:rsidRPr="0097554A">
        <w:rPr>
          <w:color w:val="0000FF"/>
          <w:lang w:val="ru-RU"/>
        </w:rPr>
        <w:t>；</w:t>
      </w:r>
      <w:r w:rsidRPr="004C59BB">
        <w:rPr>
          <w:color w:val="0000FF"/>
        </w:rPr>
        <w:t>《撤回论》</w:t>
      </w:r>
      <w:r w:rsidRPr="004C59BB">
        <w:rPr>
          <w:color w:val="0000FF"/>
          <w:lang w:val="ru-RU"/>
        </w:rPr>
        <w:t>第一卷，第13章，第7节）。</w:t>
      </w:r>
    </w:p>
  </w:footnote>
  <w:footnote w:id="1786">
    <w:p w14:paraId="544F0BC7" w14:textId="515A46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《圣殉道者颂词》，载于《圣教父著作集》</w:t>
      </w:r>
      <w:r w:rsidRPr="004C59BB">
        <w:rPr>
          <w:color w:val="0000FF"/>
        </w:rPr>
        <w:t>第十四卷</w:t>
      </w:r>
      <w:r w:rsidRPr="004C59BB">
        <w:rPr>
          <w:color w:val="0000FF"/>
          <w:lang w:val="ru-RU"/>
        </w:rPr>
        <w:t>，第128页。</w:t>
      </w:r>
    </w:p>
  </w:footnote>
  <w:footnote w:id="1787">
    <w:p w14:paraId="0D31E4F4" w14:textId="28ADA5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《圣伊格纳提乌斯·神载者颂词》第5段，载于《基督教读本》1835年版，</w:t>
      </w:r>
      <w:r w:rsidRPr="004C59BB">
        <w:rPr>
          <w:color w:val="0000FF"/>
        </w:rPr>
        <w:t>第三卷</w:t>
      </w:r>
      <w:r w:rsidRPr="004C59BB">
        <w:rPr>
          <w:color w:val="0000FF"/>
          <w:lang w:val="ru-RU"/>
        </w:rPr>
        <w:t>，第255–256页。</w:t>
      </w:r>
    </w:p>
  </w:footnote>
  <w:footnote w:id="1788">
    <w:p w14:paraId="43421F81" w14:textId="1AF6A3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《哥林多后书讲道集》</w:t>
      </w:r>
      <w:r w:rsidRPr="004C59BB">
        <w:rPr>
          <w:color w:val="0000FF"/>
        </w:rPr>
        <w:t>第XXVI篇</w:t>
      </w:r>
      <w:r w:rsidRPr="004C59BB">
        <w:rPr>
          <w:color w:val="0000FF"/>
          <w:lang w:val="ru-RU"/>
        </w:rPr>
        <w:t>，第532–533页，根据俄文译本。</w:t>
      </w:r>
    </w:p>
  </w:footnote>
  <w:footnote w:id="1789">
    <w:p w14:paraId="554335ED" w14:textId="1833AA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关于圣殉道者瓦维拉纪念日的讲道，载于《基督教读物》1842年，</w:t>
      </w:r>
      <w:r w:rsidRPr="004C59BB">
        <w:rPr>
          <w:color w:val="0000FF"/>
        </w:rPr>
        <w:t>第三卷</w:t>
      </w:r>
      <w:r w:rsidRPr="004C59BB">
        <w:rPr>
          <w:color w:val="0000FF"/>
          <w:lang w:val="ru-RU"/>
        </w:rPr>
        <w:t>，第309页。</w:t>
      </w:r>
    </w:p>
  </w:footnote>
  <w:footnote w:id="1790">
    <w:p w14:paraId="4AF12175" w14:textId="04C011C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《论上帝之名》</w:t>
      </w:r>
      <w:r w:rsidRPr="0097554A">
        <w:rPr>
          <w:color w:val="0000FF"/>
          <w:lang w:val="ru-RU"/>
        </w:rPr>
        <w:t>，</w:t>
      </w:r>
      <w:r w:rsidRPr="004C59BB">
        <w:rPr>
          <w:color w:val="0000FF"/>
        </w:rPr>
        <w:t>第XXII篇</w:t>
      </w:r>
      <w:r w:rsidRPr="0097554A">
        <w:rPr>
          <w:color w:val="0000FF"/>
          <w:lang w:val="ru-RU"/>
        </w:rPr>
        <w:t>，</w:t>
      </w:r>
      <w:r w:rsidRPr="004C59BB">
        <w:rPr>
          <w:color w:val="0000FF"/>
        </w:rPr>
        <w:t>第</w:t>
      </w:r>
      <w:r w:rsidRPr="0097554A">
        <w:rPr>
          <w:color w:val="0000FF"/>
          <w:lang w:val="ru-RU"/>
        </w:rPr>
        <w:t>8</w:t>
      </w:r>
      <w:r w:rsidRPr="004C59BB">
        <w:rPr>
          <w:color w:val="0000FF"/>
        </w:rPr>
        <w:t>页。</w:t>
      </w:r>
    </w:p>
  </w:footnote>
  <w:footnote w:id="1791">
    <w:p w14:paraId="416461C5" w14:textId="4EA317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利奥大帝，</w:t>
      </w:r>
      <w:r w:rsidRPr="004C59BB">
        <w:rPr>
          <w:color w:val="0000FF"/>
        </w:rPr>
        <w:t>《讲道</w:t>
      </w:r>
      <w:r w:rsidRPr="004C59BB">
        <w:rPr>
          <w:color w:val="0000FF"/>
          <w:lang w:val="ru-RU"/>
        </w:rPr>
        <w:t>集》</w:t>
      </w:r>
      <w:r w:rsidRPr="004C59BB">
        <w:rPr>
          <w:color w:val="0000FF"/>
        </w:rPr>
        <w:t>第四</w:t>
      </w:r>
      <w:r w:rsidRPr="004C59BB">
        <w:rPr>
          <w:color w:val="0000FF"/>
          <w:lang w:val="ru-RU"/>
        </w:rPr>
        <w:t>篇，第4页；格里高利大帝，《对话录》</w:t>
      </w:r>
      <w:r w:rsidRPr="004C59BB">
        <w:rPr>
          <w:color w:val="0000FF"/>
        </w:rPr>
        <w:t>第四</w:t>
      </w:r>
      <w:r w:rsidRPr="004C59BB">
        <w:rPr>
          <w:color w:val="0000FF"/>
          <w:lang w:val="ru-RU"/>
        </w:rPr>
        <w:t>卷，第40章；约翰·达马斯库斯，《正统信仰精确阐述》</w:t>
      </w:r>
      <w:r w:rsidRPr="004C59BB">
        <w:rPr>
          <w:color w:val="0000FF"/>
        </w:rPr>
        <w:t>第四</w:t>
      </w:r>
      <w:r w:rsidRPr="004C59BB">
        <w:rPr>
          <w:color w:val="0000FF"/>
          <w:lang w:val="ru-RU"/>
        </w:rPr>
        <w:t>卷，第15章。 “主基督赐予我们圣徒的圣髑，如同救赎之泉，从中涌流着形形色色的恩惠：既倾注芬芳的香膏（出埃及记 17, 6），对此无人应存疑…… 那些怀着复活的盼望、凭着对祂（上帝）的信心安息的人，我们不再称他们为死人。况且，一具死尸又怎能行神迹呢？ 圣徒的圣髑究竟是如何——驱逐恶魔、抵御疾病、医治病弱、使盲者重见光明、洁净麻风病人、止息试探与悲伤，并使诸光之父的一切美善恩赐降临在那些怀着坚定信心祈求的人身上（雅各书 1: 17）的呢？」 （第263–264页）。</w:t>
      </w:r>
    </w:p>
  </w:footnote>
  <w:footnote w:id="1792">
    <w:p w14:paraId="14905AA9" w14:textId="608F06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埃瓦格里乌斯，《教会史》</w:t>
      </w:r>
      <w:r w:rsidRPr="004C59BB">
        <w:rPr>
          <w:color w:val="0000FF"/>
        </w:rPr>
        <w:t>第二</w:t>
      </w:r>
      <w:r w:rsidRPr="004C59BB">
        <w:rPr>
          <w:color w:val="0000FF"/>
          <w:lang w:val="ru-RU"/>
        </w:rPr>
        <w:t>卷，第3章；尼基弗鲁斯·卡利斯托斯，《教会史》</w:t>
      </w:r>
      <w:r w:rsidRPr="004C59BB">
        <w:rPr>
          <w:color w:val="0000FF"/>
        </w:rPr>
        <w:t>第十五</w:t>
      </w:r>
      <w:r w:rsidRPr="004C59BB">
        <w:rPr>
          <w:color w:val="0000FF"/>
          <w:lang w:val="ru-RU"/>
        </w:rPr>
        <w:t>卷，第26章。此处记载了关于圣母袍和</w:t>
      </w:r>
      <w:r w:rsidRPr="004C59BB">
        <w:rPr>
          <w:color w:val="0000FF"/>
        </w:rPr>
        <w:t>圣母</w:t>
      </w:r>
      <w:r w:rsidRPr="004C59BB">
        <w:rPr>
          <w:color w:val="0000FF"/>
          <w:lang w:val="ru-RU"/>
        </w:rPr>
        <w:t>腰带行神迹的传说。</w:t>
      </w:r>
    </w:p>
  </w:footnote>
  <w:footnote w:id="1793">
    <w:p w14:paraId="45A85625" w14:textId="60C7766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参见，例如，《圣徒日课》1月7日；10月26日；6月9日；8月2日、25日，以及许多其他日期。</w:t>
      </w:r>
    </w:p>
  </w:footnote>
  <w:footnote w:id="1794">
    <w:p w14:paraId="5B628AD0" w14:textId="4460E0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参见关于圣髑奇迹治愈的报道，载于《基督读本》1833年第1期，第401页；1834年第1期，第112页；1839年第1期，第414页等。</w:t>
      </w:r>
    </w:p>
  </w:footnote>
  <w:footnote w:id="1795">
    <w:p w14:paraId="1B064449" w14:textId="26A606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关于古代相关记载，参见</w:t>
      </w:r>
      <w:r w:rsidRPr="004C59BB">
        <w:rPr>
          <w:color w:val="0000FF"/>
        </w:rPr>
        <w:t>圣格里高利</w:t>
      </w:r>
      <w:r w:rsidRPr="0097554A">
        <w:rPr>
          <w:color w:val="0000FF"/>
          <w:lang w:val="ru-RU"/>
        </w:rPr>
        <w:t>·</w:t>
      </w:r>
      <w:r w:rsidRPr="004C59BB">
        <w:rPr>
          <w:color w:val="0000FF"/>
        </w:rPr>
        <w:t>尼萨的《</w:t>
      </w:r>
      <w:r w:rsidRPr="004C59BB">
        <w:rPr>
          <w:color w:val="0000FF"/>
          <w:lang w:val="ru-RU"/>
        </w:rPr>
        <w:t>论殉道者圣西奥多尔的讲道</w:t>
      </w:r>
      <w:r w:rsidRPr="004C59BB">
        <w:rPr>
          <w:color w:val="0000FF"/>
        </w:rPr>
        <w:t>》</w:t>
      </w:r>
      <w:r w:rsidRPr="0097554A">
        <w:rPr>
          <w:color w:val="0000FF"/>
          <w:lang w:val="ru-RU"/>
        </w:rPr>
        <w:t>（</w:t>
      </w:r>
      <w:r w:rsidRPr="004C59BB">
        <w:rPr>
          <w:color w:val="0000FF"/>
        </w:rPr>
        <w:t>Orat</w:t>
      </w:r>
      <w:r w:rsidRPr="0097554A">
        <w:rPr>
          <w:color w:val="0000FF"/>
          <w:lang w:val="ru-RU"/>
        </w:rPr>
        <w:t xml:space="preserve">. </w:t>
      </w:r>
      <w:r w:rsidRPr="004C59BB">
        <w:rPr>
          <w:color w:val="0000FF"/>
        </w:rPr>
        <w:t>de</w:t>
      </w:r>
      <w:r w:rsidRPr="0097554A">
        <w:rPr>
          <w:color w:val="0000FF"/>
          <w:lang w:val="ru-RU"/>
        </w:rPr>
        <w:t xml:space="preserve"> </w:t>
      </w:r>
      <w:r w:rsidRPr="004C59BB">
        <w:rPr>
          <w:color w:val="0000FF"/>
        </w:rPr>
        <w:t>s</w:t>
      </w:r>
      <w:r w:rsidRPr="0097554A">
        <w:rPr>
          <w:color w:val="0000FF"/>
          <w:lang w:val="ru-RU"/>
        </w:rPr>
        <w:t xml:space="preserve">. </w:t>
      </w:r>
      <w:r w:rsidRPr="004C59BB">
        <w:rPr>
          <w:color w:val="0000FF"/>
        </w:rPr>
        <w:t>Theodoro</w:t>
      </w:r>
      <w:r w:rsidRPr="0097554A">
        <w:rPr>
          <w:color w:val="0000FF"/>
          <w:lang w:val="ru-RU"/>
        </w:rPr>
        <w:t xml:space="preserve"> </w:t>
      </w:r>
      <w:r w:rsidRPr="004C59BB">
        <w:rPr>
          <w:color w:val="0000FF"/>
        </w:rPr>
        <w:t>martyre</w:t>
      </w:r>
      <w:r w:rsidRPr="0097554A">
        <w:rPr>
          <w:color w:val="0000FF"/>
          <w:lang w:val="ru-RU"/>
        </w:rPr>
        <w:t>），</w:t>
      </w:r>
      <w:r w:rsidRPr="004C59BB">
        <w:rPr>
          <w:color w:val="0000FF"/>
        </w:rPr>
        <w:t>载于《文集》</w:t>
      </w:r>
      <w:r w:rsidRPr="0097554A">
        <w:rPr>
          <w:color w:val="0000FF"/>
          <w:lang w:val="ru-RU"/>
        </w:rPr>
        <w:t>（</w:t>
      </w:r>
      <w:r w:rsidRPr="004C59BB">
        <w:rPr>
          <w:color w:val="0000FF"/>
        </w:rPr>
        <w:t>Opp</w:t>
      </w:r>
      <w:r w:rsidRPr="0097554A">
        <w:rPr>
          <w:color w:val="0000FF"/>
          <w:lang w:val="ru-RU"/>
        </w:rPr>
        <w:t>.）</w:t>
      </w:r>
      <w:r w:rsidRPr="004C59BB">
        <w:rPr>
          <w:color w:val="0000FF"/>
        </w:rPr>
        <w:t>第III卷</w:t>
      </w:r>
      <w:r w:rsidRPr="0097554A">
        <w:rPr>
          <w:color w:val="0000FF"/>
          <w:lang w:val="ru-RU"/>
        </w:rPr>
        <w:t>，</w:t>
      </w:r>
      <w:r w:rsidRPr="004C59BB">
        <w:rPr>
          <w:color w:val="0000FF"/>
        </w:rPr>
        <w:t>第</w:t>
      </w:r>
      <w:r w:rsidRPr="0097554A">
        <w:rPr>
          <w:color w:val="0000FF"/>
          <w:lang w:val="ru-RU"/>
        </w:rPr>
        <w:t>579–580</w:t>
      </w:r>
      <w:r w:rsidRPr="004C59BB">
        <w:rPr>
          <w:color w:val="0000FF"/>
        </w:rPr>
        <w:t>页</w:t>
      </w:r>
      <w:r w:rsidRPr="0097554A">
        <w:rPr>
          <w:color w:val="0000FF"/>
          <w:lang w:val="ru-RU"/>
        </w:rPr>
        <w:t>，</w:t>
      </w:r>
      <w:r w:rsidRPr="004C59BB">
        <w:rPr>
          <w:color w:val="0000FF"/>
        </w:rPr>
        <w:t>莫雷尔</w:t>
      </w:r>
      <w:r w:rsidRPr="0097554A">
        <w:rPr>
          <w:color w:val="0000FF"/>
          <w:lang w:val="ru-RU"/>
        </w:rPr>
        <w:t>（</w:t>
      </w:r>
      <w:r w:rsidRPr="004C59BB">
        <w:rPr>
          <w:color w:val="0000FF"/>
        </w:rPr>
        <w:t>Morel</w:t>
      </w:r>
      <w:r w:rsidRPr="0097554A">
        <w:rPr>
          <w:color w:val="0000FF"/>
          <w:lang w:val="ru-RU"/>
        </w:rPr>
        <w:t>）</w:t>
      </w:r>
      <w:r w:rsidRPr="004C59BB">
        <w:rPr>
          <w:color w:val="0000FF"/>
        </w:rPr>
        <w:t>校注</w:t>
      </w:r>
      <w:r w:rsidRPr="004C59BB">
        <w:rPr>
          <w:color w:val="0000FF"/>
          <w:lang w:val="ru-RU"/>
        </w:rPr>
        <w:t>。</w:t>
      </w:r>
    </w:p>
  </w:footnote>
  <w:footnote w:id="1796">
    <w:p w14:paraId="547105A2" w14:textId="0422D0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(1786) 参见莫斯科大主教菲拉雷特阁下关于圣髑不腐的讲道，</w:t>
      </w:r>
      <w:r w:rsidRPr="004C59BB">
        <w:rPr>
          <w:color w:val="0000FF"/>
        </w:rPr>
        <w:t>第二</w:t>
      </w:r>
      <w:r w:rsidRPr="004C59BB">
        <w:rPr>
          <w:color w:val="0000FF"/>
          <w:lang w:val="ru-RU"/>
        </w:rPr>
        <w:t>卷，第174页，莫斯科，1844年。 在此，我们读到如下内容：“正如长期盛放香膏的器皿会从香膏中汲取芬芳之力一样：基督徒的身体，因始终居住着基督的恩典之力，其整个躯体都浸透了这种力量，甚至能向他人散发出这种芬芳。 既然基督的力量是不朽的：那么，它进入（《哥林多后书》12:9）那些属于基督的人（《加拉太书》5:24）的体内，并使他们的身体也获得不朽，这自然是理所当然的； 既然基督的大能是全能的，那么它通过他们行神迹——当主看为美善之时——也符合</w:t>
      </w:r>
      <w:r w:rsidRPr="004C59BB">
        <w:rPr>
          <w:color w:val="0000FF"/>
        </w:rPr>
        <w:t>其</w:t>
      </w:r>
      <w:r w:rsidRPr="004C59BB">
        <w:rPr>
          <w:color w:val="0000FF"/>
          <w:lang w:val="ru-RU"/>
        </w:rPr>
        <w:t>本性，正如昔日曾通过圣使徒保罗身上所戴的头巾和手帕行神迹，这些物品曾吸纳了他的汗水（使徒行传9: 12），以及圣使徒彼得的影子一经投下便显神迹（《使徒行传》5:15）」（——第182页）。 接着又说：“直至今日，已故圣徒的遗体依然完好无损，具有行神迹和赐予生命的力量，是为了向我们这些活着的人作见证——倘若在当今这个可耻的时代，我们当中还有不信者，</w:t>
      </w:r>
      <w:r w:rsidRPr="0097554A">
        <w:rPr>
          <w:color w:val="0000FF"/>
          <w:lang w:val="ru-RU"/>
        </w:rPr>
        <w:t xml:space="preserve"> </w:t>
      </w:r>
      <w:r w:rsidRPr="004C59BB">
        <w:rPr>
          <w:color w:val="0000FF"/>
          <w:lang w:val="ru-RU"/>
        </w:rPr>
        <w:t>——以此为证，证明基督的复活以及我们未来的复活，以坚固软弱者在对抗罪恶与死亡的奋斗中，并激励那些疏忽大意者关注虔诚的善行」（第184页）。</w:t>
      </w:r>
    </w:p>
  </w:footnote>
  <w:footnote w:id="1797">
    <w:p w14:paraId="0D6DAE98" w14:textId="49C22BA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关于这一主题的更多详情，请参阅索斯尼娜：《论圣髑的不朽》。</w:t>
      </w:r>
    </w:p>
  </w:footnote>
  <w:footnote w:id="1798">
    <w:p w14:paraId="0FC7344D" w14:textId="772A23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“圣殉道者伊格纳提乌斯的愿望得以实现，即不愿因收集他的遗骸而给弟兄们增添负担，因为他此前在信中就曾表示希望以这种方式结束生命。 因为只剩下他身体中最坚硬的部分，这些被运往安提阿，并被包裹在布中，如同无价之宝一般——这全赖栖息于这位殉道者身上的恩典，作为留给圣教会的遗产”（关于圣伊格纳提乌斯的殉道，载于《基督教读物》1822年，</w:t>
      </w:r>
      <w:r w:rsidRPr="004C59BB">
        <w:rPr>
          <w:color w:val="0000FF"/>
        </w:rPr>
        <w:t>第八卷</w:t>
      </w:r>
      <w:r w:rsidRPr="004C59BB">
        <w:rPr>
          <w:color w:val="0000FF"/>
          <w:lang w:val="ru-RU"/>
        </w:rPr>
        <w:t>，第355页）。</w:t>
      </w:r>
    </w:p>
  </w:footnote>
  <w:footnote w:id="1799">
    <w:p w14:paraId="1D4BC774" w14:textId="63C684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“后来，我们收集了他的遗骨——这比珍贵的宝石更宝贵、比黄金更纯净的珍宝——并将它们安放在应有的地方”（《士米尔纳教会书信：论圣波利卡普的殉道》，载于《优西比乌教会史》</w:t>
      </w:r>
      <w:r w:rsidRPr="004C59BB">
        <w:rPr>
          <w:color w:val="0000FF"/>
        </w:rPr>
        <w:t>第IV卷</w:t>
      </w:r>
      <w:r w:rsidRPr="004C59BB">
        <w:rPr>
          <w:color w:val="0000FF"/>
          <w:lang w:val="ru-RU"/>
        </w:rPr>
        <w:t>，第15章，第217页）。</w:t>
      </w:r>
    </w:p>
  </w:footnote>
  <w:footnote w:id="1800">
    <w:p w14:paraId="03A434EC" w14:textId="6D1D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约翰·金口。《赞美圣殉道者尤文提努斯和马克西姆的讲道》，载于《基督教读本》1842年版，</w:t>
      </w:r>
      <w:r w:rsidRPr="004C59BB">
        <w:rPr>
          <w:color w:val="0000FF"/>
        </w:rPr>
        <w:t>第三</w:t>
      </w:r>
      <w:r w:rsidRPr="004C59BB">
        <w:rPr>
          <w:color w:val="0000FF"/>
          <w:lang w:val="ru-RU"/>
        </w:rPr>
        <w:t>卷，第336页。</w:t>
      </w:r>
    </w:p>
  </w:footnote>
  <w:footnote w:id="1801">
    <w:p w14:paraId="0921368C" w14:textId="21D940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安布罗斯。</w:t>
      </w:r>
      <w:r w:rsidRPr="004C59BB">
        <w:rPr>
          <w:color w:val="0000FF"/>
        </w:rPr>
        <w:t>《劝</w:t>
      </w:r>
      <w:r w:rsidRPr="004C59BB">
        <w:rPr>
          <w:color w:val="0000FF"/>
          <w:lang w:val="ru-RU"/>
        </w:rPr>
        <w:t>诫</w:t>
      </w:r>
      <w:r w:rsidRPr="004C59BB">
        <w:rPr>
          <w:color w:val="0000FF"/>
        </w:rPr>
        <w:t>童贞女</w:t>
      </w:r>
      <w:r w:rsidRPr="004C59BB">
        <w:rPr>
          <w:color w:val="0000FF"/>
          <w:lang w:val="ru-RU"/>
        </w:rPr>
        <w:t>》第一卷，</w:t>
      </w:r>
      <w:r w:rsidRPr="004C59BB">
        <w:rPr>
          <w:color w:val="0000FF"/>
        </w:rPr>
        <w:t>第一章</w:t>
      </w:r>
      <w:r w:rsidRPr="004C59BB">
        <w:rPr>
          <w:color w:val="0000FF"/>
          <w:lang w:val="ru-RU"/>
        </w:rPr>
        <w:t>，第1节；金口若望。《赞美圣伊格纳提乌斯·神载者》讲道，载于《基督教读本》1835年版，</w:t>
      </w:r>
      <w:r w:rsidRPr="004C59BB">
        <w:rPr>
          <w:color w:val="0000FF"/>
        </w:rPr>
        <w:t>第三</w:t>
      </w:r>
      <w:r w:rsidRPr="004C59BB">
        <w:rPr>
          <w:color w:val="0000FF"/>
          <w:lang w:val="ru-RU"/>
        </w:rPr>
        <w:t>卷，第254页：“你们（安提阿的居民）送走了主教，却迎来了殉道者； 你们曾以祈祷送他离去，如今却以冠冕迎接他归来：不仅你们如此，沿途所有城市的居民亦是如此。试想，当他的圣髑归来时，他们心中该是何等感受？他们品尝到了怎样的喜乐？又沉浸在怎样的欣喜之中？各方又以何等赞美之词颂扬这位戴冠者？ 正如一位勇猛的战士，战胜了所有对手，在凯旋中离开竞技场，观众们会满怀激情地迎接他，甚至不让他脚踏实地，而是将他托起，用双手抬进家中，并倾泻无数赞美之词： 同样地，从罗马开始，所有城市的居民也接连不断地将这位圣人扛在肩上，护送至我们的城市，颂扬这位加冕者，赞美这位苦行者…… 在此期间，这位圣殉道者将恩典赐予了所有这些城市，使它们坚守虔诚；从那时起直至今日，他一直使贵城日益富足。”</w:t>
      </w:r>
    </w:p>
  </w:footnote>
  <w:footnote w:id="1802">
    <w:p w14:paraId="120DA31D" w14:textId="6BCC88B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格里高利</w:t>
      </w:r>
      <w:r w:rsidRPr="0097554A">
        <w:rPr>
          <w:color w:val="0000FF"/>
          <w:lang w:val="ru-RU"/>
        </w:rPr>
        <w:t>·</w:t>
      </w:r>
      <w:r w:rsidRPr="004C59BB">
        <w:rPr>
          <w:color w:val="0000FF"/>
        </w:rPr>
        <w:t>尼萨的《论圣西奥多尔的讲道集》</w:t>
      </w:r>
      <w:r w:rsidRPr="0097554A">
        <w:rPr>
          <w:color w:val="0000FF"/>
          <w:lang w:val="ru-RU"/>
        </w:rPr>
        <w:t>，</w:t>
      </w:r>
      <w:r w:rsidRPr="004C59BB">
        <w:rPr>
          <w:color w:val="0000FF"/>
        </w:rPr>
        <w:t>《文集》第III卷</w:t>
      </w:r>
      <w:r w:rsidRPr="0097554A">
        <w:rPr>
          <w:color w:val="0000FF"/>
          <w:lang w:val="ru-RU"/>
        </w:rPr>
        <w:t>，</w:t>
      </w:r>
      <w:r w:rsidRPr="004C59BB">
        <w:rPr>
          <w:color w:val="0000FF"/>
        </w:rPr>
        <w:t>第</w:t>
      </w:r>
      <w:r w:rsidRPr="0097554A">
        <w:rPr>
          <w:color w:val="0000FF"/>
          <w:lang w:val="ru-RU"/>
        </w:rPr>
        <w:t>579</w:t>
      </w:r>
      <w:r w:rsidRPr="004C59BB">
        <w:rPr>
          <w:color w:val="0000FF"/>
        </w:rPr>
        <w:t>页</w:t>
      </w:r>
      <w:r w:rsidRPr="0097554A">
        <w:rPr>
          <w:color w:val="0000FF"/>
          <w:lang w:val="ru-RU"/>
        </w:rPr>
        <w:t>，</w:t>
      </w:r>
      <w:r w:rsidRPr="004C59BB">
        <w:rPr>
          <w:color w:val="0000FF"/>
        </w:rPr>
        <w:t>莫雷尔版</w:t>
      </w:r>
      <w:r w:rsidRPr="0097554A">
        <w:rPr>
          <w:color w:val="0000FF"/>
          <w:lang w:val="ru-RU"/>
        </w:rPr>
        <w:t>；</w:t>
      </w:r>
      <w:r w:rsidRPr="004C59BB">
        <w:rPr>
          <w:color w:val="0000FF"/>
        </w:rPr>
        <w:t>菲洛斯托尔格斯</w:t>
      </w:r>
      <w:r w:rsidRPr="0097554A">
        <w:rPr>
          <w:color w:val="0000FF"/>
          <w:lang w:val="ru-RU"/>
        </w:rPr>
        <w:t>，</w:t>
      </w:r>
      <w:r w:rsidRPr="004C59BB">
        <w:rPr>
          <w:color w:val="0000FF"/>
        </w:rPr>
        <w:t>《教会史》第III卷</w:t>
      </w:r>
      <w:r w:rsidRPr="0097554A">
        <w:rPr>
          <w:color w:val="0000FF"/>
          <w:lang w:val="ru-RU"/>
        </w:rPr>
        <w:t>，</w:t>
      </w:r>
      <w:r w:rsidRPr="004C59BB">
        <w:rPr>
          <w:color w:val="0000FF"/>
        </w:rPr>
        <w:t>第</w:t>
      </w:r>
      <w:r w:rsidRPr="0097554A">
        <w:rPr>
          <w:color w:val="0000FF"/>
          <w:lang w:val="ru-RU"/>
        </w:rPr>
        <w:t>2</w:t>
      </w:r>
      <w:r w:rsidRPr="004C59BB">
        <w:rPr>
          <w:color w:val="0000FF"/>
        </w:rPr>
        <w:t>章</w:t>
      </w:r>
      <w:r w:rsidRPr="0097554A">
        <w:rPr>
          <w:color w:val="0000FF"/>
          <w:lang w:val="ru-RU"/>
        </w:rPr>
        <w:t>；</w:t>
      </w:r>
      <w:r w:rsidRPr="004C59BB">
        <w:rPr>
          <w:color w:val="0000FF"/>
        </w:rPr>
        <w:t>狄奥多里特</w:t>
      </w:r>
      <w:r w:rsidRPr="0097554A">
        <w:rPr>
          <w:color w:val="0000FF"/>
          <w:lang w:val="ru-RU"/>
        </w:rPr>
        <w:t>，</w:t>
      </w:r>
      <w:r w:rsidRPr="004C59BB">
        <w:rPr>
          <w:color w:val="0000FF"/>
        </w:rPr>
        <w:t>《宗教史》第</w:t>
      </w:r>
      <w:r w:rsidRPr="0097554A">
        <w:rPr>
          <w:color w:val="0000FF"/>
          <w:lang w:val="ru-RU"/>
        </w:rPr>
        <w:t>10</w:t>
      </w:r>
      <w:r w:rsidRPr="004C59BB">
        <w:rPr>
          <w:color w:val="0000FF"/>
        </w:rPr>
        <w:t>、</w:t>
      </w:r>
      <w:r w:rsidRPr="0097554A">
        <w:rPr>
          <w:color w:val="0000FF"/>
          <w:lang w:val="ru-RU"/>
        </w:rPr>
        <w:t>13</w:t>
      </w:r>
      <w:r w:rsidRPr="004C59BB">
        <w:rPr>
          <w:color w:val="0000FF"/>
        </w:rPr>
        <w:t>、</w:t>
      </w:r>
      <w:r w:rsidRPr="0097554A">
        <w:rPr>
          <w:color w:val="0000FF"/>
          <w:lang w:val="ru-RU"/>
        </w:rPr>
        <w:t>16</w:t>
      </w:r>
      <w:r w:rsidRPr="004C59BB">
        <w:rPr>
          <w:color w:val="0000FF"/>
        </w:rPr>
        <w:t>章</w:t>
      </w:r>
      <w:r w:rsidRPr="0097554A">
        <w:rPr>
          <w:color w:val="0000FF"/>
          <w:lang w:val="ru-RU"/>
        </w:rPr>
        <w:t>；</w:t>
      </w:r>
      <w:r w:rsidRPr="004C59BB">
        <w:rPr>
          <w:color w:val="0000FF"/>
        </w:rPr>
        <w:t>大莱昂</w:t>
      </w:r>
      <w:r w:rsidRPr="0097554A">
        <w:rPr>
          <w:color w:val="0000FF"/>
          <w:lang w:val="ru-RU"/>
        </w:rPr>
        <w:t>，</w:t>
      </w:r>
      <w:r w:rsidRPr="004C59BB">
        <w:rPr>
          <w:color w:val="0000FF"/>
        </w:rPr>
        <w:t>《书信集》第LX封</w:t>
      </w:r>
      <w:r w:rsidRPr="0097554A">
        <w:rPr>
          <w:color w:val="0000FF"/>
          <w:lang w:val="ru-RU"/>
        </w:rPr>
        <w:t>；</w:t>
      </w:r>
      <w:r w:rsidRPr="004C59BB">
        <w:rPr>
          <w:color w:val="0000FF"/>
        </w:rPr>
        <w:t>帕夫林。</w:t>
      </w:r>
      <w:r w:rsidRPr="0097554A">
        <w:rPr>
          <w:color w:val="0000FF"/>
          <w:lang w:val="ru-RU"/>
        </w:rPr>
        <w:t xml:space="preserve"> </w:t>
      </w:r>
      <w:r w:rsidRPr="004C59BB">
        <w:rPr>
          <w:color w:val="0000FF"/>
        </w:rPr>
        <w:t>《书信集》第XXII卷</w:t>
      </w:r>
      <w:r w:rsidRPr="0097554A">
        <w:rPr>
          <w:color w:val="0000FF"/>
          <w:lang w:val="ru-RU"/>
        </w:rPr>
        <w:t>，</w:t>
      </w:r>
      <w:r w:rsidRPr="004C59BB">
        <w:rPr>
          <w:color w:val="0000FF"/>
        </w:rPr>
        <w:t>第</w:t>
      </w:r>
      <w:r w:rsidRPr="0097554A">
        <w:rPr>
          <w:color w:val="0000FF"/>
          <w:lang w:val="ru-RU"/>
        </w:rPr>
        <w:t>17</w:t>
      </w:r>
      <w:r w:rsidRPr="004C59BB">
        <w:rPr>
          <w:color w:val="0000FF"/>
        </w:rPr>
        <w:t>号。</w:t>
      </w:r>
    </w:p>
  </w:footnote>
  <w:footnote w:id="1803">
    <w:p w14:paraId="6C45A5A3" w14:textId="13BC0936" w:rsidR="00254F25" w:rsidRPr="0097554A"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尼西亚的格里高利。《圣格里高利·神迹者传》，第27节；大巴西勒。《书信集》第143、282封（见《圣教父文集》第X卷，第309页；第XI卷，第281页）；杰罗姆。 致朱利叶斯的书信 XCII；阿克梅普斯关于圣殉道者</w:t>
      </w:r>
      <w:r w:rsidRPr="004C59BB">
        <w:rPr>
          <w:color w:val="0000FF"/>
          <w:lang w:val="ru-RU"/>
        </w:rPr>
        <w:t>尤菲米娅</w:t>
      </w:r>
      <w:r w:rsidRPr="004C59BB">
        <w:rPr>
          <w:color w:val="0000FF"/>
        </w:rPr>
        <w:t>圣像的词条</w:t>
      </w:r>
      <w:r w:rsidRPr="0097554A">
        <w:rPr>
          <w:color w:val="0000FF"/>
        </w:rPr>
        <w:t>，</w:t>
      </w:r>
      <w:r w:rsidRPr="004C59BB">
        <w:rPr>
          <w:color w:val="0000FF"/>
          <w:lang w:val="ru-RU"/>
        </w:rPr>
        <w:t>载于《基督教读物》</w:t>
      </w:r>
      <w:r w:rsidRPr="0097554A">
        <w:rPr>
          <w:color w:val="0000FF"/>
        </w:rPr>
        <w:t>1827</w:t>
      </w:r>
      <w:r w:rsidRPr="004C59BB">
        <w:rPr>
          <w:color w:val="0000FF"/>
          <w:lang w:val="ru-RU"/>
        </w:rPr>
        <w:t>年</w:t>
      </w:r>
      <w:r w:rsidRPr="0097554A">
        <w:rPr>
          <w:color w:val="0000FF"/>
        </w:rPr>
        <w:t>，</w:t>
      </w:r>
      <w:r w:rsidRPr="004C59BB">
        <w:rPr>
          <w:color w:val="0000FF"/>
        </w:rPr>
        <w:t>XXVII</w:t>
      </w:r>
      <w:r w:rsidRPr="0097554A">
        <w:rPr>
          <w:color w:val="0000FF"/>
        </w:rPr>
        <w:t>，37–38</w:t>
      </w:r>
      <w:r w:rsidRPr="004C59BB">
        <w:rPr>
          <w:color w:val="0000FF"/>
          <w:lang w:val="ru-RU"/>
        </w:rPr>
        <w:t>。</w:t>
      </w:r>
    </w:p>
  </w:footnote>
  <w:footnote w:id="1804">
    <w:p w14:paraId="1C3258E3" w14:textId="29B238C8"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1740</w:t>
      </w:r>
      <w:r w:rsidRPr="004C59BB">
        <w:rPr>
          <w:color w:val="0000FF"/>
          <w:lang w:val="ru-RU"/>
        </w:rPr>
        <w:t>及其所指的原文。</w:t>
      </w:r>
    </w:p>
  </w:footnote>
  <w:footnote w:id="1805">
    <w:p w14:paraId="67145D2B" w14:textId="0A7D67B8"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迦太基大公会议条例第</w:t>
      </w:r>
      <w:r w:rsidRPr="0097554A">
        <w:rPr>
          <w:color w:val="0000FF"/>
        </w:rPr>
        <w:t>94</w:t>
      </w:r>
      <w:r w:rsidRPr="004C59BB">
        <w:rPr>
          <w:color w:val="0000FF"/>
          <w:lang w:val="ru-RU"/>
        </w:rPr>
        <w:t>条</w:t>
      </w:r>
      <w:r w:rsidRPr="0097554A">
        <w:rPr>
          <w:color w:val="0000FF"/>
        </w:rPr>
        <w:t>；</w:t>
      </w:r>
      <w:r w:rsidRPr="004C59BB">
        <w:rPr>
          <w:color w:val="0000FF"/>
          <w:lang w:val="ru-RU"/>
        </w:rPr>
        <w:t>尼西亚大公会议条例</w:t>
      </w:r>
      <w:r w:rsidRPr="004C59BB">
        <w:rPr>
          <w:color w:val="0000FF"/>
        </w:rPr>
        <w:t>第II卷第7条。</w:t>
      </w:r>
    </w:p>
  </w:footnote>
  <w:footnote w:id="1806">
    <w:p w14:paraId="5509CE02" w14:textId="4D4BD0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我们诵读殉道者的钉子，而且数量众多，以致伤口比肢体还要多……我们收集凯旋的鲜血，以及十字架的木头……（安布罗斯，《劝诫贞洁》第二章，第3、10节）。 既然连刑具都已转化为荣耀的象征，你的智慧还能为胜利者的荣耀发现什么呢？（大莱昂，《圣劳伦斯诞辰讲道》）。</w:t>
      </w:r>
    </w:p>
  </w:footnote>
  <w:footnote w:id="1807">
    <w:p w14:paraId="0E1169FF" w14:textId="5246AA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《教会史》第VII卷，第19章，第425页。</w:t>
      </w:r>
    </w:p>
  </w:footnote>
  <w:footnote w:id="1808">
    <w:p w14:paraId="69D37AAB" w14:textId="2BFE4B96"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《基督教读本》</w:t>
      </w:r>
      <w:r w:rsidRPr="0097554A">
        <w:rPr>
          <w:color w:val="0000FF"/>
        </w:rPr>
        <w:t>1835</w:t>
      </w:r>
      <w:r w:rsidRPr="004C59BB">
        <w:rPr>
          <w:color w:val="0000FF"/>
          <w:lang w:val="ru-RU"/>
        </w:rPr>
        <w:t>年</w:t>
      </w:r>
      <w:r w:rsidRPr="0097554A">
        <w:rPr>
          <w:color w:val="0000FF"/>
        </w:rPr>
        <w:t>，</w:t>
      </w:r>
      <w:r w:rsidRPr="004C59BB">
        <w:rPr>
          <w:color w:val="0000FF"/>
        </w:rPr>
        <w:t>第III卷</w:t>
      </w:r>
      <w:r w:rsidRPr="0097554A">
        <w:rPr>
          <w:color w:val="0000FF"/>
        </w:rPr>
        <w:t>，</w:t>
      </w:r>
      <w:r w:rsidRPr="004C59BB">
        <w:rPr>
          <w:color w:val="0000FF"/>
          <w:lang w:val="ru-RU"/>
        </w:rPr>
        <w:t>第</w:t>
      </w:r>
      <w:r w:rsidRPr="0097554A">
        <w:rPr>
          <w:color w:val="0000FF"/>
        </w:rPr>
        <w:t>255–257</w:t>
      </w:r>
      <w:r w:rsidRPr="004C59BB">
        <w:rPr>
          <w:color w:val="0000FF"/>
          <w:lang w:val="ru-RU"/>
        </w:rPr>
        <w:t>页。</w:t>
      </w:r>
    </w:p>
  </w:footnote>
  <w:footnote w:id="1809">
    <w:p w14:paraId="2495678F" w14:textId="786F42B7"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载于《基督教读物》</w:t>
      </w:r>
      <w:r w:rsidRPr="0097554A">
        <w:rPr>
          <w:color w:val="0000FF"/>
        </w:rPr>
        <w:t>1842</w:t>
      </w:r>
      <w:r w:rsidRPr="004C59BB">
        <w:rPr>
          <w:color w:val="0000FF"/>
          <w:lang w:val="ru-RU"/>
        </w:rPr>
        <w:t>年</w:t>
      </w:r>
      <w:r w:rsidRPr="0097554A">
        <w:rPr>
          <w:color w:val="0000FF"/>
        </w:rPr>
        <w:t>，</w:t>
      </w:r>
      <w:r w:rsidRPr="004C59BB">
        <w:rPr>
          <w:color w:val="0000FF"/>
        </w:rPr>
        <w:t>第III卷</w:t>
      </w:r>
      <w:r w:rsidRPr="0097554A">
        <w:rPr>
          <w:color w:val="0000FF"/>
        </w:rPr>
        <w:t>，</w:t>
      </w:r>
      <w:r w:rsidRPr="004C59BB">
        <w:rPr>
          <w:color w:val="0000FF"/>
          <w:lang w:val="ru-RU"/>
        </w:rPr>
        <w:t>第</w:t>
      </w:r>
      <w:r w:rsidRPr="0097554A">
        <w:rPr>
          <w:color w:val="0000FF"/>
        </w:rPr>
        <w:t>337–338</w:t>
      </w:r>
      <w:r w:rsidRPr="004C59BB">
        <w:rPr>
          <w:color w:val="0000FF"/>
          <w:lang w:val="ru-RU"/>
        </w:rPr>
        <w:t>页。</w:t>
      </w:r>
    </w:p>
  </w:footnote>
  <w:footnote w:id="1810">
    <w:p w14:paraId="57589297" w14:textId="01F9713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同上</w:t>
      </w:r>
      <w:r w:rsidRPr="0097554A">
        <w:rPr>
          <w:color w:val="0000FF"/>
        </w:rPr>
        <w:t>，1835</w:t>
      </w:r>
      <w:r w:rsidRPr="004C59BB">
        <w:rPr>
          <w:color w:val="0000FF"/>
          <w:lang w:val="ru-RU"/>
        </w:rPr>
        <w:t>年</w:t>
      </w:r>
      <w:r w:rsidRPr="0097554A">
        <w:rPr>
          <w:color w:val="0000FF"/>
        </w:rPr>
        <w:t>，</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27</w:t>
      </w:r>
      <w:r w:rsidRPr="004C59BB">
        <w:rPr>
          <w:color w:val="0000FF"/>
          <w:lang w:val="ru-RU"/>
        </w:rPr>
        <w:t>页。</w:t>
      </w:r>
    </w:p>
  </w:footnote>
  <w:footnote w:id="1811">
    <w:p w14:paraId="1CB11F80" w14:textId="4FEE43BA" w:rsidR="00254F25" w:rsidRPr="0097554A"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书信</w:t>
      </w:r>
      <w:r w:rsidRPr="004C59BB">
        <w:rPr>
          <w:color w:val="0000FF"/>
          <w:lang w:val="ru-RU"/>
        </w:rPr>
        <w:t>集》</w:t>
      </w:r>
      <w:r w:rsidRPr="004C59BB">
        <w:rPr>
          <w:color w:val="0000FF"/>
        </w:rPr>
        <w:t>第XXXVII封</w:t>
      </w:r>
      <w:r w:rsidRPr="0097554A">
        <w:rPr>
          <w:color w:val="0000FF"/>
        </w:rPr>
        <w:t>（</w:t>
      </w:r>
      <w:r w:rsidRPr="004C59BB">
        <w:rPr>
          <w:color w:val="0000FF"/>
          <w:lang w:val="ru-RU"/>
        </w:rPr>
        <w:t>另见《圣教文集》</w:t>
      </w:r>
      <w:r w:rsidRPr="0097554A">
        <w:rPr>
          <w:color w:val="0000FF"/>
        </w:rPr>
        <w:t>），</w:t>
      </w:r>
      <w:r w:rsidRPr="004C59BB">
        <w:rPr>
          <w:color w:val="0000FF"/>
          <w:lang w:val="ru-RU"/>
        </w:rPr>
        <w:t>第</w:t>
      </w:r>
      <w:r w:rsidRPr="0097554A">
        <w:rPr>
          <w:color w:val="0000FF"/>
        </w:rPr>
        <w:t>1</w:t>
      </w:r>
      <w:r w:rsidRPr="004C59BB">
        <w:rPr>
          <w:color w:val="0000FF"/>
          <w:lang w:val="ru-RU"/>
        </w:rPr>
        <w:t>号。而在反对维吉兰提乌斯的著作中，他写道：</w:t>
      </w:r>
      <w:r w:rsidRPr="004C59BB">
        <w:rPr>
          <w:color w:val="0000FF"/>
        </w:rPr>
        <w:t>dolet</w:t>
      </w:r>
      <w:r w:rsidRPr="004C59BB">
        <w:rPr>
          <w:color w:val="0000FF"/>
          <w:lang w:val="ru-RU"/>
        </w:rPr>
        <w:t>（</w:t>
      </w:r>
      <w:r w:rsidRPr="004C59BB">
        <w:rPr>
          <w:color w:val="0000FF"/>
        </w:rPr>
        <w:t>维吉兰提乌斯</w:t>
      </w:r>
      <w:r w:rsidRPr="004C59BB">
        <w:rPr>
          <w:color w:val="0000FF"/>
          <w:lang w:val="ru-RU"/>
        </w:rPr>
        <w:t>）</w:t>
      </w:r>
      <w:r w:rsidRPr="004C59BB">
        <w:rPr>
          <w:color w:val="0000FF"/>
        </w:rPr>
        <w:t>用珍贵的帷幕遮盖殉道者的圣髑</w:t>
      </w:r>
      <w:r w:rsidRPr="0097554A">
        <w:rPr>
          <w:color w:val="0000FF"/>
          <w:lang w:val="ru-RU"/>
        </w:rPr>
        <w:t>……</w:t>
      </w:r>
      <w:r w:rsidRPr="004C59BB">
        <w:rPr>
          <w:color w:val="0000FF"/>
        </w:rPr>
        <w:t>那么</w:t>
      </w:r>
      <w:r w:rsidRPr="0097554A">
        <w:rPr>
          <w:color w:val="0000FF"/>
          <w:lang w:val="ru-RU"/>
        </w:rPr>
        <w:t>，</w:t>
      </w:r>
      <w:r w:rsidRPr="004C59BB">
        <w:rPr>
          <w:color w:val="0000FF"/>
        </w:rPr>
        <w:t>当我们进入使徒大教堂时</w:t>
      </w:r>
      <w:r w:rsidRPr="0097554A">
        <w:rPr>
          <w:color w:val="0000FF"/>
          <w:lang w:val="ru-RU"/>
        </w:rPr>
        <w:t>，</w:t>
      </w:r>
      <w:r w:rsidRPr="004C59BB">
        <w:rPr>
          <w:color w:val="0000FF"/>
        </w:rPr>
        <w:t>难道就成了亵渎者吗</w:t>
      </w:r>
      <w:r w:rsidRPr="0097554A">
        <w:rPr>
          <w:color w:val="0000FF"/>
          <w:lang w:val="ru-RU"/>
        </w:rPr>
        <w:t xml:space="preserve">？ </w:t>
      </w:r>
      <w:r w:rsidRPr="004C59BB">
        <w:rPr>
          <w:color w:val="0000FF"/>
        </w:rPr>
        <w:t>君士坦丁皇帝将圣安德鲁、圣路加和圣提摩太的圣髑移至君士坦丁堡</w:t>
      </w:r>
      <w:r w:rsidRPr="0097554A">
        <w:rPr>
          <w:color w:val="0000FF"/>
          <w:lang w:val="ru-RU"/>
        </w:rPr>
        <w:t>，</w:t>
      </w:r>
      <w:r w:rsidRPr="004C59BB">
        <w:rPr>
          <w:color w:val="0000FF"/>
        </w:rPr>
        <w:t>难道不是亵渎神明吗</w:t>
      </w:r>
      <w:r w:rsidRPr="0097554A">
        <w:rPr>
          <w:color w:val="0000FF"/>
          <w:lang w:val="ru-RU"/>
        </w:rPr>
        <w:t>？……</w:t>
      </w:r>
      <w:r w:rsidRPr="004C59BB">
        <w:rPr>
          <w:color w:val="0000FF"/>
        </w:rPr>
        <w:t>还有</w:t>
      </w:r>
      <w:r w:rsidRPr="0097554A">
        <w:rPr>
          <w:color w:val="0000FF"/>
          <w:lang w:val="ru-RU"/>
        </w:rPr>
        <w:t>：</w:t>
      </w:r>
      <w:r w:rsidRPr="004C59BB">
        <w:rPr>
          <w:color w:val="0000FF"/>
        </w:rPr>
        <w:t>哦</w:t>
      </w:r>
      <w:r w:rsidRPr="0097554A">
        <w:rPr>
          <w:color w:val="0000FF"/>
          <w:lang w:val="ru-RU"/>
        </w:rPr>
        <w:t>，</w:t>
      </w:r>
      <w:r w:rsidRPr="004C59BB">
        <w:rPr>
          <w:color w:val="0000FF"/>
        </w:rPr>
        <w:t>这疯狂的头脑啊</w:t>
      </w:r>
      <w:r w:rsidRPr="0097554A">
        <w:rPr>
          <w:color w:val="0000FF"/>
          <w:lang w:val="ru-RU"/>
        </w:rPr>
        <w:t>，</w:t>
      </w:r>
      <w:r w:rsidRPr="004C59BB">
        <w:rPr>
          <w:color w:val="0000FF"/>
        </w:rPr>
        <w:t>究竟是谁曾经崇拜过殉道者</w:t>
      </w:r>
      <w:r w:rsidRPr="0097554A">
        <w:rPr>
          <w:color w:val="0000FF"/>
          <w:lang w:val="ru-RU"/>
        </w:rPr>
        <w:t>？</w:t>
      </w:r>
      <w:r w:rsidRPr="004C59BB">
        <w:rPr>
          <w:color w:val="0000FF"/>
        </w:rPr>
        <w:t>谁曾把人当作神</w:t>
      </w:r>
      <w:r w:rsidRPr="0097554A">
        <w:rPr>
          <w:color w:val="0000FF"/>
          <w:lang w:val="ru-RU"/>
        </w:rPr>
        <w:t>？（</w:t>
      </w:r>
      <w:r w:rsidRPr="004C59BB">
        <w:rPr>
          <w:color w:val="0000FF"/>
        </w:rPr>
        <w:t>《反维吉兰提乌斯》</w:t>
      </w:r>
      <w:r w:rsidRPr="0097554A">
        <w:rPr>
          <w:color w:val="0000FF"/>
          <w:lang w:val="ru-RU"/>
        </w:rPr>
        <w:t>，</w:t>
      </w:r>
      <w:r w:rsidRPr="004C59BB">
        <w:rPr>
          <w:color w:val="0000FF"/>
        </w:rPr>
        <w:t>第</w:t>
      </w:r>
      <w:r w:rsidRPr="0097554A">
        <w:rPr>
          <w:color w:val="0000FF"/>
          <w:lang w:val="ru-RU"/>
        </w:rPr>
        <w:t>5</w:t>
      </w:r>
      <w:r w:rsidRPr="004C59BB">
        <w:rPr>
          <w:color w:val="0000FF"/>
        </w:rPr>
        <w:t>条</w:t>
      </w:r>
      <w:r w:rsidRPr="0097554A">
        <w:rPr>
          <w:color w:val="0000FF"/>
          <w:lang w:val="ru-RU"/>
        </w:rPr>
        <w:t>）</w:t>
      </w:r>
      <w:r w:rsidRPr="004C59BB">
        <w:rPr>
          <w:color w:val="0000FF"/>
        </w:rPr>
        <w:t>。</w:t>
      </w:r>
    </w:p>
  </w:footnote>
  <w:footnote w:id="1812">
    <w:p w14:paraId="578D303B" w14:textId="67827EDB"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尼西亚大公会议第十一届</w:t>
      </w:r>
      <w:r w:rsidRPr="0097554A">
        <w:rPr>
          <w:color w:val="0000FF"/>
          <w:lang w:val="ru-RU"/>
        </w:rPr>
        <w:t>，</w:t>
      </w:r>
      <w:r w:rsidRPr="004C59BB">
        <w:rPr>
          <w:color w:val="0000FF"/>
        </w:rPr>
        <w:t>会议记录第六卷</w:t>
      </w:r>
      <w:r w:rsidRPr="004C59BB">
        <w:rPr>
          <w:color w:val="0000FF"/>
          <w:lang w:val="ru-RU"/>
        </w:rPr>
        <w:t>。关于新教徒反对敬礼圣髑的异议的详尽答复，参见《信仰之基》第一卷，第343–360页（关于圣髑的教义，</w:t>
      </w:r>
      <w:r w:rsidRPr="004C59BB">
        <w:rPr>
          <w:color w:val="0000FF"/>
        </w:rPr>
        <w:t>第二</w:t>
      </w:r>
      <w:r w:rsidRPr="004C59BB">
        <w:rPr>
          <w:color w:val="0000FF"/>
          <w:lang w:val="ru-RU"/>
        </w:rPr>
        <w:t>部分，第一、二章）。</w:t>
      </w:r>
    </w:p>
  </w:footnote>
  <w:footnote w:id="1813">
    <w:p w14:paraId="232582EB" w14:textId="7C1876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第七次大公会议的教父们在致诸帝的书信中更明确地表达了这一观点： “自古以来，圣公会便沿袭这一传统，并经由我们信仰的圣先贤及其继任者——我们尊贵的教父们——予以确立：向圣像行礼（</w:t>
      </w:r>
      <w:r w:rsidRPr="004C59BB">
        <w:rPr>
          <w:color w:val="0000FF"/>
        </w:rPr>
        <w:t>προσκονεΐν</w:t>
      </w:r>
      <w:r w:rsidRPr="004C59BB">
        <w:rPr>
          <w:color w:val="0000FF"/>
          <w:lang w:val="ru-RU"/>
        </w:rPr>
        <w:t>）并敬奉（</w:t>
      </w:r>
      <w:r w:rsidRPr="004C59BB">
        <w:rPr>
          <w:color w:val="0000FF"/>
        </w:rPr>
        <w:t>άσπάζεσθαι</w:t>
      </w:r>
      <w:r w:rsidRPr="004C59BB">
        <w:rPr>
          <w:color w:val="0000FF"/>
          <w:lang w:val="ru-RU"/>
        </w:rPr>
        <w:t>）它们——这两者实为同一之事。 但敬拜与侍奉并非同一回事。格里高利·神学家曾说：‘敬礼伯利恒，并向马槽下拜。’哪个头脑清醒的人会认为这里所说的是一种属灵的侍奉（</w:t>
      </w:r>
      <w:r w:rsidRPr="004C59BB">
        <w:rPr>
          <w:color w:val="0000FF"/>
        </w:rPr>
        <w:t>περί</w:t>
      </w:r>
      <w:r w:rsidRPr="0097554A">
        <w:rPr>
          <w:color w:val="0000FF"/>
          <w:lang w:val="ru-RU"/>
        </w:rPr>
        <w:t xml:space="preserve"> </w:t>
      </w:r>
      <w:r w:rsidRPr="004C59BB">
        <w:rPr>
          <w:color w:val="0000FF"/>
        </w:rPr>
        <w:t>τής</w:t>
      </w:r>
      <w:r w:rsidRPr="0097554A">
        <w:rPr>
          <w:color w:val="0000FF"/>
          <w:lang w:val="ru-RU"/>
        </w:rPr>
        <w:t xml:space="preserve"> </w:t>
      </w:r>
      <w:r w:rsidRPr="004C59BB">
        <w:rPr>
          <w:color w:val="0000FF"/>
        </w:rPr>
        <w:t>έν</w:t>
      </w:r>
      <w:r w:rsidRPr="0097554A">
        <w:rPr>
          <w:color w:val="0000FF"/>
          <w:lang w:val="ru-RU"/>
        </w:rPr>
        <w:t xml:space="preserve"> </w:t>
      </w:r>
      <w:r w:rsidRPr="004C59BB">
        <w:rPr>
          <w:color w:val="0000FF"/>
        </w:rPr>
        <w:t>πνεύματι</w:t>
      </w:r>
      <w:r w:rsidRPr="0097554A">
        <w:rPr>
          <w:color w:val="0000FF"/>
          <w:lang w:val="ru-RU"/>
        </w:rPr>
        <w:t xml:space="preserve"> </w:t>
      </w:r>
      <w:r w:rsidRPr="004C59BB">
        <w:rPr>
          <w:color w:val="0000FF"/>
        </w:rPr>
        <w:t>λατρείας</w:t>
      </w:r>
      <w:r w:rsidRPr="004C59BB">
        <w:rPr>
          <w:color w:val="0000FF"/>
          <w:lang w:val="ru-RU"/>
        </w:rPr>
        <w:t>）呢？ 难道圣格里高利是在呼吁我们侍奉（</w:t>
      </w:r>
      <w:r w:rsidRPr="004C59BB">
        <w:rPr>
          <w:color w:val="0000FF"/>
        </w:rPr>
        <w:t>λατρεύειν</w:t>
      </w:r>
      <w:r w:rsidRPr="004C59BB">
        <w:rPr>
          <w:color w:val="0000FF"/>
          <w:lang w:val="ru-RU"/>
        </w:rPr>
        <w:t>）马槽吗？敬拜（</w:t>
      </w:r>
      <w:r w:rsidRPr="004C59BB">
        <w:rPr>
          <w:color w:val="0000FF"/>
        </w:rPr>
        <w:t>προσκύνησις</w:t>
      </w:r>
      <w:r w:rsidRPr="004C59BB">
        <w:rPr>
          <w:color w:val="0000FF"/>
          <w:lang w:val="ru-RU"/>
        </w:rPr>
        <w:t>）表达的是对某人的爱与尊敬。因此，圣经教导我们：“你要敬拜你的主上帝，并侍奉那一位”（路加福音4:8）。 此处“当敬拜”一词未附加“唯一”二字：因为敬拜可以献给许多人。但随后又说：“当侍奉那一位”，因为唯有上帝才配得侍奉（</w:t>
      </w:r>
      <w:r w:rsidRPr="004C59BB">
        <w:rPr>
          <w:color w:val="0000FF"/>
        </w:rPr>
        <w:t>λατρεία</w:t>
      </w:r>
      <w:r w:rsidRPr="004C59BB">
        <w:rPr>
          <w:color w:val="0000FF"/>
          <w:lang w:val="ru-RU"/>
        </w:rPr>
        <w:t>）”（</w:t>
      </w:r>
      <w:r w:rsidRPr="004C59BB">
        <w:rPr>
          <w:color w:val="0000FF"/>
        </w:rPr>
        <w:t>引自拉布</w:t>
      </w:r>
      <w:r w:rsidRPr="004C59BB">
        <w:rPr>
          <w:color w:val="0000FF"/>
          <w:lang w:val="ru-RU"/>
        </w:rPr>
        <w:t>《</w:t>
      </w:r>
      <w:r w:rsidRPr="004C59BB">
        <w:rPr>
          <w:color w:val="0000FF"/>
        </w:rPr>
        <w:t>教会</w:t>
      </w:r>
      <w:r w:rsidRPr="004C59BB">
        <w:rPr>
          <w:color w:val="0000FF"/>
          <w:lang w:val="ru-RU"/>
        </w:rPr>
        <w:t>会议集》</w:t>
      </w:r>
      <w:r w:rsidRPr="004C59BB">
        <w:rPr>
          <w:color w:val="0000FF"/>
        </w:rPr>
        <w:t>第七</w:t>
      </w:r>
      <w:r w:rsidRPr="004C59BB">
        <w:rPr>
          <w:color w:val="0000FF"/>
          <w:lang w:val="ru-RU"/>
        </w:rPr>
        <w:t>卷）。</w:t>
      </w:r>
    </w:p>
  </w:footnote>
  <w:footnote w:id="1814">
    <w:p w14:paraId="7CAFFB8A" w14:textId="0598AE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《教会史纲要》，圣因诺肯提著，</w:t>
      </w:r>
      <w:r w:rsidRPr="0097554A">
        <w:rPr>
          <w:color w:val="0000FF"/>
          <w:lang w:val="ru-RU"/>
        </w:rPr>
        <w:t>8</w:t>
      </w:r>
      <w:r w:rsidRPr="004C59BB">
        <w:rPr>
          <w:color w:val="0000FF"/>
        </w:rPr>
        <w:t>世纪</w:t>
      </w:r>
      <w:r w:rsidRPr="004C59BB">
        <w:rPr>
          <w:color w:val="0000FF"/>
          <w:lang w:val="ru-RU"/>
        </w:rPr>
        <w:t>，</w:t>
      </w:r>
      <w:r w:rsidRPr="004C59BB">
        <w:rPr>
          <w:color w:val="0000FF"/>
        </w:rPr>
        <w:t>第二</w:t>
      </w:r>
      <w:r w:rsidRPr="004C59BB">
        <w:rPr>
          <w:color w:val="0000FF"/>
          <w:lang w:val="ru-RU"/>
        </w:rPr>
        <w:t>、</w:t>
      </w:r>
      <w:r w:rsidRPr="004C59BB">
        <w:rPr>
          <w:color w:val="0000FF"/>
        </w:rPr>
        <w:t>五卷</w:t>
      </w:r>
      <w:r w:rsidRPr="004C59BB">
        <w:rPr>
          <w:color w:val="0000FF"/>
          <w:lang w:val="ru-RU"/>
        </w:rPr>
        <w:t>，</w:t>
      </w:r>
      <w:r w:rsidRPr="004C59BB">
        <w:rPr>
          <w:color w:val="0000FF"/>
        </w:rPr>
        <w:t>第一</w:t>
      </w:r>
      <w:r w:rsidRPr="004C59BB">
        <w:rPr>
          <w:color w:val="0000FF"/>
          <w:lang w:val="ru-RU"/>
        </w:rPr>
        <w:t>册，第395页及第420–425页，第4版。</w:t>
      </w:r>
    </w:p>
  </w:footnote>
  <w:footnote w:id="1815">
    <w:p w14:paraId="15DB807C" w14:textId="237DB2FD"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《瑞士信条》第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4</w:t>
      </w:r>
      <w:r w:rsidRPr="004C59BB">
        <w:rPr>
          <w:color w:val="0000FF"/>
        </w:rPr>
        <w:t>章</w:t>
      </w:r>
      <w:r w:rsidRPr="0097554A">
        <w:rPr>
          <w:color w:val="0000FF"/>
          <w:lang w:val="ru-RU"/>
        </w:rPr>
        <w:t>；</w:t>
      </w:r>
      <w:r w:rsidRPr="004C59BB">
        <w:rPr>
          <w:color w:val="0000FF"/>
        </w:rPr>
        <w:t>《海德堡教理问答》第XCVIII问</w:t>
      </w:r>
      <w:r w:rsidRPr="0097554A">
        <w:rPr>
          <w:color w:val="0000FF"/>
          <w:lang w:val="ru-RU"/>
        </w:rPr>
        <w:t>；</w:t>
      </w:r>
      <w:r w:rsidRPr="004C59BB">
        <w:rPr>
          <w:color w:val="0000FF"/>
        </w:rPr>
        <w:t>《拉科夫教理问答》第CCLI问及后续。</w:t>
      </w:r>
    </w:p>
  </w:footnote>
  <w:footnote w:id="1816">
    <w:p w14:paraId="4748DF2F" w14:textId="3FB510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“鉴于此次（</w:t>
      </w:r>
      <w:r w:rsidRPr="004C59BB">
        <w:rPr>
          <w:color w:val="0000FF"/>
        </w:rPr>
        <w:t>第七次</w:t>
      </w:r>
      <w:r w:rsidRPr="004C59BB">
        <w:rPr>
          <w:color w:val="0000FF"/>
          <w:lang w:val="ru-RU"/>
        </w:rPr>
        <w:t>大公） 大公会议以最明确的方式阐明了应当如何敬拜圣像，当它将那些向圣像献上神性敬拜的人，或将敬拜圣像的东正教徒称为偶像崇拜者的人，予以诅咒和绝罚时：那么，我们也与他们一同将那些向圣人、天使、 或圣像、或十字架、或圣髑、或圣器、或《福音书》，抑或天上、地上及海中其他任何事物，给予本应仅归于三位一体之独一真神的那种尊崇的人，我们也同样予以诅咒。」 （《东方教父论正统信仰书信集》对第3个问题的回答，第37–38页，圣彼得堡，1845年）。</w:t>
      </w:r>
    </w:p>
  </w:footnote>
  <w:footnote w:id="1817">
    <w:p w14:paraId="28E59B67" w14:textId="54A196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参见神父与莫洛卡人关于敬拜圣像的对话——载于《基督教读本》1841年，</w:t>
      </w:r>
      <w:r w:rsidRPr="004C59BB">
        <w:rPr>
          <w:color w:val="0000FF"/>
        </w:rPr>
        <w:t>第三卷</w:t>
      </w:r>
      <w:r w:rsidRPr="004C59BB">
        <w:rPr>
          <w:color w:val="0000FF"/>
          <w:lang w:val="ru-RU"/>
        </w:rPr>
        <w:t>，第81–113页。</w:t>
      </w:r>
    </w:p>
  </w:footnote>
  <w:footnote w:id="1818">
    <w:p w14:paraId="4C95D7C0" w14:textId="448B2A56"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lang w:val="el-GR"/>
        </w:rPr>
        <w:t>因此</w:t>
      </w:r>
      <w:r w:rsidRPr="0097554A">
        <w:rPr>
          <w:color w:val="0000FF"/>
          <w:lang w:val="ru-RU"/>
        </w:rPr>
        <w:t>，</w:t>
      </w:r>
      <w:r w:rsidRPr="004C59BB">
        <w:rPr>
          <w:color w:val="0000FF"/>
          <w:lang w:val="el-GR"/>
        </w:rPr>
        <w:t>我尊崇并敬拜这些圣像</w:t>
      </w:r>
      <w:r w:rsidRPr="0097554A">
        <w:rPr>
          <w:color w:val="0000FF"/>
          <w:lang w:val="ru-RU"/>
        </w:rPr>
        <w:t>，</w:t>
      </w:r>
      <w:r w:rsidRPr="004C59BB">
        <w:rPr>
          <w:color w:val="0000FF"/>
          <w:lang w:val="el-GR"/>
        </w:rPr>
        <w:t>因为它们是圣使徒们传承下来的</w:t>
      </w:r>
      <w:r w:rsidRPr="0097554A">
        <w:rPr>
          <w:color w:val="0000FF"/>
          <w:lang w:val="ru-RU"/>
        </w:rPr>
        <w:t>，</w:t>
      </w:r>
      <w:r w:rsidRPr="004C59BB">
        <w:rPr>
          <w:color w:val="0000FF"/>
          <w:lang w:val="el-GR"/>
        </w:rPr>
        <w:t>并未被禁止</w:t>
      </w:r>
      <w:r w:rsidRPr="0097554A">
        <w:rPr>
          <w:color w:val="0000FF"/>
          <w:lang w:val="ru-RU"/>
        </w:rPr>
        <w:t>，</w:t>
      </w:r>
      <w:r w:rsidRPr="004C59BB">
        <w:rPr>
          <w:color w:val="0000FF"/>
          <w:lang w:val="el-GR"/>
        </w:rPr>
        <w:t>反而在我们所有的教堂中都被供奉</w:t>
      </w:r>
      <w:r w:rsidRPr="004C59BB">
        <w:rPr>
          <w:color w:val="0000FF"/>
        </w:rPr>
        <w:t>。书信 CCCLX致背教者朱利安书，载于《著作集》第三卷，第463页，毛里茨校注。</w:t>
      </w:r>
    </w:p>
  </w:footnote>
  <w:footnote w:id="1819">
    <w:p w14:paraId="6BCDA956" w14:textId="529DA4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埃瓦格里乌斯，《教会史》第四卷，第27章；约翰·达马斯库斯，《正统信仰的精确阐述》第四卷，第16章，第268页； 《致皇帝西奥菲勒的书信》，第5号，载于《著作集》第1卷，第631页，勒-奎恩版；凯德伦，《历史》第1卷，第175页，载于《基督教读本》1834年版，第III卷，第154–163页。</w:t>
      </w:r>
    </w:p>
  </w:footnote>
  <w:footnote w:id="1820">
    <w:p w14:paraId="22FB53FF" w14:textId="167690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《行传》第四卷，见于拉布（Labb）所编第七卷。</w:t>
      </w:r>
    </w:p>
  </w:footnote>
  <w:footnote w:id="1821">
    <w:p w14:paraId="6DDA5A4D" w14:textId="18B6573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狄奥多尔·雷克特，《教会史》第1卷，第1节；约翰·达马斯库斯，《致皇帝西奥菲勒的书信》，第4号，第631页；《反对卡巴林·君士坦丁的演说</w:t>
      </w:r>
      <w:r w:rsidRPr="004C59BB">
        <w:rPr>
          <w:color w:val="0000FF"/>
          <w:lang w:val="ru-RU"/>
        </w:rPr>
        <w:t>》</w:t>
      </w:r>
      <w:r w:rsidRPr="0097554A">
        <w:rPr>
          <w:color w:val="0000FF"/>
        </w:rPr>
        <w:t>，</w:t>
      </w:r>
      <w:r w:rsidRPr="004C59BB">
        <w:rPr>
          <w:color w:val="0000FF"/>
          <w:lang w:val="ru-RU"/>
        </w:rPr>
        <w:t>第</w:t>
      </w:r>
      <w:r w:rsidRPr="0097554A">
        <w:rPr>
          <w:color w:val="0000FF"/>
        </w:rPr>
        <w:t>6</w:t>
      </w:r>
      <w:r w:rsidRPr="004C59BB">
        <w:rPr>
          <w:color w:val="0000FF"/>
          <w:lang w:val="ru-RU"/>
        </w:rPr>
        <w:t>号</w:t>
      </w:r>
      <w:r w:rsidRPr="0097554A">
        <w:rPr>
          <w:color w:val="0000FF"/>
        </w:rPr>
        <w:t>，</w:t>
      </w:r>
      <w:r w:rsidRPr="004C59BB">
        <w:rPr>
          <w:color w:val="0000FF"/>
          <w:lang w:val="ru-RU"/>
        </w:rPr>
        <w:t>第</w:t>
      </w:r>
      <w:r w:rsidRPr="0097554A">
        <w:rPr>
          <w:color w:val="0000FF"/>
        </w:rPr>
        <w:t>618</w:t>
      </w:r>
      <w:r w:rsidRPr="004C59BB">
        <w:rPr>
          <w:color w:val="0000FF"/>
        </w:rPr>
        <w:t>页</w:t>
      </w:r>
      <w:r w:rsidRPr="004C59BB">
        <w:rPr>
          <w:color w:val="0000FF"/>
          <w:lang w:val="ru-RU"/>
        </w:rPr>
        <w:t>。第1卷，</w:t>
      </w:r>
      <w:r w:rsidRPr="004C59BB">
        <w:rPr>
          <w:color w:val="0000FF"/>
        </w:rPr>
        <w:t>同上版</w:t>
      </w:r>
      <w:r w:rsidRPr="004C59BB">
        <w:rPr>
          <w:color w:val="0000FF"/>
          <w:lang w:val="ru-RU"/>
        </w:rPr>
        <w:t>。</w:t>
      </w:r>
    </w:p>
  </w:footnote>
  <w:footnote w:id="1822">
    <w:p w14:paraId="09F2587B" w14:textId="190488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其中一些圣像如今保存在我国境内，据传说包括：弗拉基米尔圣母像、斯摩棱斯克圣母像、以弗所圣母像（参见萨哈罗娃，《俄罗斯圣像画研究》</w:t>
      </w:r>
      <w:r w:rsidRPr="004C59BB">
        <w:rPr>
          <w:color w:val="0000FF"/>
        </w:rPr>
        <w:t>第II</w:t>
      </w:r>
      <w:r w:rsidRPr="004C59BB">
        <w:rPr>
          <w:color w:val="0000FF"/>
          <w:lang w:val="ru-RU"/>
        </w:rPr>
        <w:t>卷，第20–23页， 圣彼得堡，1849年）</w:t>
      </w:r>
    </w:p>
  </w:footnote>
  <w:footnote w:id="1823">
    <w:p w14:paraId="19EF8C31" w14:textId="71DA16B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97554A">
        <w:rPr>
          <w:color w:val="0000FF"/>
          <w:lang w:val="ru-RU"/>
        </w:rPr>
        <w:t>“</w:t>
      </w:r>
      <w:r w:rsidRPr="004C59BB">
        <w:rPr>
          <w:color w:val="0000FF"/>
        </w:rPr>
        <w:t>倘若那位被你描绘在圣杯中的牧者受到庇护</w:t>
      </w:r>
      <w:r w:rsidRPr="004C59BB">
        <w:rPr>
          <w:color w:val="0000FF"/>
          <w:lang w:val="ru-RU"/>
        </w:rPr>
        <w:t>……”</w:t>
      </w:r>
      <w:r w:rsidRPr="0097554A">
        <w:rPr>
          <w:color w:val="0000FF"/>
          <w:lang w:val="ru-RU"/>
        </w:rPr>
        <w:t>（</w:t>
      </w:r>
      <w:r w:rsidRPr="004C59BB">
        <w:rPr>
          <w:color w:val="0000FF"/>
        </w:rPr>
        <w:t>《论贞洁者》</w:t>
      </w:r>
      <w:r w:rsidRPr="0097554A">
        <w:rPr>
          <w:color w:val="0000FF"/>
          <w:lang w:val="ru-RU"/>
        </w:rPr>
        <w:t>，</w:t>
      </w:r>
      <w:r w:rsidRPr="004C59BB">
        <w:rPr>
          <w:color w:val="0000FF"/>
        </w:rPr>
        <w:t>第十章</w:t>
      </w:r>
      <w:r w:rsidRPr="0097554A">
        <w:rPr>
          <w:color w:val="0000FF"/>
          <w:lang w:val="ru-RU"/>
        </w:rPr>
        <w:t>）</w:t>
      </w:r>
      <w:r w:rsidRPr="004C59BB">
        <w:rPr>
          <w:color w:val="0000FF"/>
        </w:rPr>
        <w:t>。还有：“让你们圣杯上的绘画显现出来吧，倘若那头牲畜的寓意甚至能在其中闪现”（同上，第七章）。</w:t>
      </w:r>
    </w:p>
  </w:footnote>
  <w:footnote w:id="1824">
    <w:p w14:paraId="7016DEDD" w14:textId="0FEA410F"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特土良指出，正因如此，异教徒才讥讽地称基督徒为“十字架的信徒”（《护教辞》第十六章），以及“十字架的祭司”（《致异教徒书》1, 12）； 米努提乌斯</w:t>
      </w:r>
      <w:r w:rsidRPr="0097554A">
        <w:rPr>
          <w:color w:val="0000FF"/>
        </w:rPr>
        <w:t>·</w:t>
      </w:r>
      <w:r w:rsidRPr="004C59BB">
        <w:rPr>
          <w:color w:val="0000FF"/>
          <w:lang w:val="ru-RU"/>
        </w:rPr>
        <w:t>费利克斯</w:t>
      </w:r>
      <w:r w:rsidRPr="004C59BB">
        <w:rPr>
          <w:color w:val="0000FF"/>
        </w:rPr>
        <w:t>在</w:t>
      </w:r>
      <w:r w:rsidRPr="004C59BB">
        <w:rPr>
          <w:color w:val="0000FF"/>
          <w:lang w:val="ru-RU"/>
        </w:rPr>
        <w:t>提及异教徒的这一指责时</w:t>
      </w:r>
      <w:r w:rsidRPr="0097554A">
        <w:rPr>
          <w:color w:val="0000FF"/>
        </w:rPr>
        <w:t>（</w:t>
      </w:r>
      <w:r w:rsidRPr="004C59BB">
        <w:rPr>
          <w:color w:val="0000FF"/>
          <w:lang w:val="ru-RU"/>
        </w:rPr>
        <w:t>《</w:t>
      </w:r>
      <w:r w:rsidRPr="004C59BB">
        <w:rPr>
          <w:color w:val="0000FF"/>
        </w:rPr>
        <w:t>八日</w:t>
      </w:r>
      <w:r w:rsidRPr="004C59BB">
        <w:rPr>
          <w:color w:val="0000FF"/>
          <w:lang w:val="ru-RU"/>
        </w:rPr>
        <w:t>论》</w:t>
      </w:r>
      <w:r w:rsidRPr="004C59BB">
        <w:rPr>
          <w:color w:val="0000FF"/>
        </w:rPr>
        <w:t>第九</w:t>
      </w:r>
      <w:r w:rsidRPr="004C59BB">
        <w:rPr>
          <w:color w:val="0000FF"/>
          <w:lang w:val="ru-RU"/>
        </w:rPr>
        <w:t>、</w:t>
      </w:r>
      <w:r w:rsidRPr="004C59BB">
        <w:rPr>
          <w:color w:val="0000FF"/>
        </w:rPr>
        <w:t>十二</w:t>
      </w:r>
      <w:r w:rsidRPr="004C59BB">
        <w:rPr>
          <w:color w:val="0000FF"/>
          <w:lang w:val="ru-RU"/>
        </w:rPr>
        <w:t>、</w:t>
      </w:r>
      <w:r w:rsidRPr="004C59BB">
        <w:rPr>
          <w:color w:val="0000FF"/>
        </w:rPr>
        <w:t>二十九章），指出：“我们并不崇拜十字架”（同上，第二十九章）；奥利金，《反塞尔苏斯》第二卷</w:t>
      </w:r>
      <w:r w:rsidRPr="0097554A">
        <w:rPr>
          <w:color w:val="0000FF"/>
        </w:rPr>
        <w:t>，</w:t>
      </w:r>
      <w:r w:rsidRPr="004C59BB">
        <w:rPr>
          <w:color w:val="0000FF"/>
          <w:lang w:val="ru-RU"/>
        </w:rPr>
        <w:t>第</w:t>
      </w:r>
      <w:r w:rsidRPr="0097554A">
        <w:rPr>
          <w:color w:val="0000FF"/>
        </w:rPr>
        <w:t>47</w:t>
      </w:r>
      <w:r w:rsidRPr="004C59BB">
        <w:rPr>
          <w:color w:val="0000FF"/>
          <w:lang w:val="ru-RU"/>
        </w:rPr>
        <w:t>节。</w:t>
      </w:r>
    </w:p>
  </w:footnote>
  <w:footnote w:id="1825">
    <w:p w14:paraId="2C04093A" w14:textId="341E843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《教会史》</w:t>
      </w:r>
      <w:r w:rsidRPr="004C59BB">
        <w:rPr>
          <w:color w:val="0000FF"/>
        </w:rPr>
        <w:t>第七</w:t>
      </w:r>
      <w:r w:rsidRPr="004C59BB">
        <w:rPr>
          <w:color w:val="0000FF"/>
          <w:lang w:val="ru-RU"/>
        </w:rPr>
        <w:t>卷</w:t>
      </w:r>
      <w:r w:rsidRPr="0097554A">
        <w:rPr>
          <w:color w:val="0000FF"/>
        </w:rPr>
        <w:t>，</w:t>
      </w:r>
      <w:r w:rsidRPr="004C59BB">
        <w:rPr>
          <w:color w:val="0000FF"/>
          <w:lang w:val="ru-RU"/>
        </w:rPr>
        <w:t>第</w:t>
      </w:r>
      <w:r w:rsidRPr="0097554A">
        <w:rPr>
          <w:color w:val="0000FF"/>
        </w:rPr>
        <w:t>18</w:t>
      </w:r>
      <w:r w:rsidRPr="004C59BB">
        <w:rPr>
          <w:color w:val="0000FF"/>
          <w:lang w:val="ru-RU"/>
        </w:rPr>
        <w:t>章</w:t>
      </w:r>
      <w:r w:rsidRPr="0097554A">
        <w:rPr>
          <w:color w:val="0000FF"/>
        </w:rPr>
        <w:t>，</w:t>
      </w:r>
      <w:r w:rsidRPr="004C59BB">
        <w:rPr>
          <w:color w:val="0000FF"/>
          <w:lang w:val="ru-RU"/>
        </w:rPr>
        <w:t>第</w:t>
      </w:r>
      <w:r w:rsidRPr="0097554A">
        <w:rPr>
          <w:color w:val="0000FF"/>
        </w:rPr>
        <w:t>425</w:t>
      </w:r>
      <w:r w:rsidRPr="004C59BB">
        <w:rPr>
          <w:color w:val="0000FF"/>
          <w:lang w:val="ru-RU"/>
        </w:rPr>
        <w:t>页。</w:t>
      </w:r>
    </w:p>
  </w:footnote>
  <w:footnote w:id="1826">
    <w:p w14:paraId="6945B628" w14:textId="518DE64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这一证词见于圣约翰</w:t>
      </w:r>
      <w:r w:rsidRPr="0097554A">
        <w:rPr>
          <w:color w:val="0000FF"/>
        </w:rPr>
        <w:t>·</w:t>
      </w:r>
      <w:r w:rsidRPr="004C59BB">
        <w:rPr>
          <w:color w:val="0000FF"/>
          <w:lang w:val="ru-RU"/>
        </w:rPr>
        <w:t>达马斯库斯在《论圣像》</w:t>
      </w:r>
      <w:r w:rsidRPr="004C59BB">
        <w:rPr>
          <w:color w:val="0000FF"/>
        </w:rPr>
        <w:t>第三篇中的论述</w:t>
      </w:r>
      <w:r w:rsidRPr="0097554A">
        <w:rPr>
          <w:color w:val="0000FF"/>
        </w:rPr>
        <w:t>，</w:t>
      </w:r>
      <w:r w:rsidRPr="004C59BB">
        <w:rPr>
          <w:color w:val="0000FF"/>
        </w:rPr>
        <w:t>见</w:t>
      </w:r>
      <w:r w:rsidRPr="004C59BB">
        <w:rPr>
          <w:color w:val="0000FF"/>
          <w:lang w:val="ru-RU"/>
        </w:rPr>
        <w:t>《</w:t>
      </w:r>
      <w:r w:rsidRPr="004C59BB">
        <w:rPr>
          <w:color w:val="0000FF"/>
        </w:rPr>
        <w:t>全集</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382</w:t>
      </w:r>
      <w:r w:rsidRPr="004C59BB">
        <w:rPr>
          <w:color w:val="0000FF"/>
          <w:lang w:val="ru-RU"/>
        </w:rPr>
        <w:t>页</w:t>
      </w:r>
      <w:r w:rsidRPr="0097554A">
        <w:rPr>
          <w:color w:val="0000FF"/>
        </w:rPr>
        <w:t>，</w:t>
      </w:r>
      <w:r w:rsidRPr="004C59BB">
        <w:rPr>
          <w:color w:val="0000FF"/>
          <w:lang w:val="ru-RU"/>
        </w:rPr>
        <w:t>载于《基督教读本》</w:t>
      </w:r>
      <w:r w:rsidRPr="0097554A">
        <w:rPr>
          <w:color w:val="0000FF"/>
        </w:rPr>
        <w:t>1828</w:t>
      </w:r>
      <w:r w:rsidRPr="004C59BB">
        <w:rPr>
          <w:color w:val="0000FF"/>
          <w:lang w:val="ru-RU"/>
        </w:rPr>
        <w:t>年版</w:t>
      </w:r>
      <w:r w:rsidRPr="0097554A">
        <w:rPr>
          <w:color w:val="0000FF"/>
        </w:rPr>
        <w:t>，</w:t>
      </w:r>
      <w:r w:rsidRPr="004C59BB">
        <w:rPr>
          <w:color w:val="0000FF"/>
        </w:rPr>
        <w:t>第XXX</w:t>
      </w:r>
      <w:r w:rsidRPr="004C59BB">
        <w:rPr>
          <w:color w:val="0000FF"/>
          <w:lang w:val="ru-RU"/>
        </w:rPr>
        <w:t>卷</w:t>
      </w:r>
      <w:r w:rsidRPr="0097554A">
        <w:rPr>
          <w:color w:val="0000FF"/>
        </w:rPr>
        <w:t>，</w:t>
      </w:r>
      <w:r w:rsidRPr="004C59BB">
        <w:rPr>
          <w:color w:val="0000FF"/>
          <w:lang w:val="ru-RU"/>
        </w:rPr>
        <w:t>第</w:t>
      </w:r>
      <w:r w:rsidRPr="0097554A">
        <w:rPr>
          <w:color w:val="0000FF"/>
        </w:rPr>
        <w:t>46</w:t>
      </w:r>
      <w:r w:rsidRPr="004C59BB">
        <w:rPr>
          <w:color w:val="0000FF"/>
          <w:lang w:val="ru-RU"/>
        </w:rPr>
        <w:t>页。</w:t>
      </w:r>
    </w:p>
  </w:footnote>
  <w:footnote w:id="1827">
    <w:p w14:paraId="4B8CA110" w14:textId="52AF5FA9"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达马斯库斯也引用了这一记载</w:t>
      </w:r>
      <w:r w:rsidRPr="0097554A">
        <w:rPr>
          <w:color w:val="0000FF"/>
        </w:rPr>
        <w:t>（</w:t>
      </w:r>
      <w:r w:rsidRPr="004C59BB">
        <w:rPr>
          <w:color w:val="0000FF"/>
        </w:rPr>
        <w:t>同上</w:t>
      </w:r>
      <w:r w:rsidRPr="0097554A">
        <w:rPr>
          <w:color w:val="0000FF"/>
        </w:rPr>
        <w:t>，</w:t>
      </w:r>
      <w:r w:rsidRPr="004C59BB">
        <w:rPr>
          <w:color w:val="0000FF"/>
          <w:lang w:val="ru-RU"/>
        </w:rPr>
        <w:t>全集第</w:t>
      </w:r>
      <w:r w:rsidRPr="0097554A">
        <w:rPr>
          <w:color w:val="0000FF"/>
        </w:rPr>
        <w:t>390</w:t>
      </w:r>
      <w:r w:rsidRPr="004C59BB">
        <w:rPr>
          <w:color w:val="0000FF"/>
          <w:lang w:val="ru-RU"/>
        </w:rPr>
        <w:t>页及《基督教读本》第</w:t>
      </w:r>
      <w:r w:rsidRPr="0097554A">
        <w:rPr>
          <w:color w:val="0000FF"/>
        </w:rPr>
        <w:t>61</w:t>
      </w:r>
      <w:r w:rsidRPr="004C59BB">
        <w:rPr>
          <w:color w:val="0000FF"/>
          <w:lang w:val="ru-RU"/>
        </w:rPr>
        <w:t>页</w:t>
      </w:r>
      <w:r w:rsidRPr="0097554A">
        <w:rPr>
          <w:color w:val="0000FF"/>
        </w:rPr>
        <w:t>；</w:t>
      </w:r>
      <w:r w:rsidRPr="004C59BB">
        <w:rPr>
          <w:color w:val="0000FF"/>
        </w:rPr>
        <w:t>参见加兰德《书目》第III卷，第781页）。</w:t>
      </w:r>
    </w:p>
  </w:footnote>
  <w:footnote w:id="1828">
    <w:p w14:paraId="515B0E6F" w14:textId="01FD9B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拉乌尔-罗谢特，《关于基督教古迹的第一篇论文：地下墓穴的绘画》，第185页，巴黎1836年；马里奥·卢皮，《论文集》第1卷，第VIII篇，第243页及以下；阿林吉乌斯，《最新地下罗马》第III卷。</w:t>
      </w:r>
    </w:p>
  </w:footnote>
  <w:footnote w:id="1829">
    <w:p w14:paraId="106F320B" w14:textId="23DD6B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达金库尔，《艺术史及古迹》，普拉托1826年，第IV卷，第69页及以下；马里奥·卢皮，第I卷，论述第八篇，第213页及以下。</w:t>
      </w:r>
    </w:p>
  </w:footnote>
  <w:footnote w:id="1830">
    <w:p w14:paraId="69C851E6" w14:textId="3701DB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马马基乌斯，《基督教起源与古迹》，罗马，1751年，第1卷，第1章，第8节及以下。</w:t>
      </w:r>
    </w:p>
  </w:footnote>
  <w:footnote w:id="1831">
    <w:p w14:paraId="2749E279" w14:textId="50E67B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恰姆皮尼乌斯，《古代文献》，第14章，罗马，1690年。</w:t>
      </w:r>
    </w:p>
  </w:footnote>
  <w:footnote w:id="1832">
    <w:p w14:paraId="1BA0C116" w14:textId="02DF05FD"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为何他们没有祭坛？没有神庙？也没有任何著名的偶像？（见Minut. Felic. in Octav. 第XXXII章，参见奥利金《反塞尔苏斯</w:t>
      </w:r>
      <w:r w:rsidRPr="004C59BB">
        <w:rPr>
          <w:color w:val="0000FF"/>
          <w:lang w:val="ru-RU"/>
        </w:rPr>
        <w:t>》</w:t>
      </w:r>
      <w:r w:rsidRPr="004C59BB">
        <w:rPr>
          <w:color w:val="0000FF"/>
        </w:rPr>
        <w:t>第八卷</w:t>
      </w:r>
      <w:r w:rsidRPr="0097554A">
        <w:rPr>
          <w:color w:val="0000FF"/>
        </w:rPr>
        <w:t>，</w:t>
      </w:r>
      <w:r w:rsidRPr="004C59BB">
        <w:rPr>
          <w:color w:val="0000FF"/>
          <w:lang w:val="ru-RU"/>
        </w:rPr>
        <w:t>第</w:t>
      </w:r>
      <w:r w:rsidRPr="0097554A">
        <w:rPr>
          <w:color w:val="0000FF"/>
        </w:rPr>
        <w:t>17</w:t>
      </w:r>
      <w:r w:rsidRPr="004C59BB">
        <w:rPr>
          <w:color w:val="0000FF"/>
          <w:lang w:val="ru-RU"/>
        </w:rPr>
        <w:t>节</w:t>
      </w:r>
      <w:r w:rsidRPr="0097554A">
        <w:rPr>
          <w:color w:val="0000FF"/>
        </w:rPr>
        <w:t>）</w:t>
      </w:r>
      <w:r w:rsidRPr="004C59BB">
        <w:rPr>
          <w:color w:val="0000FF"/>
          <w:lang w:val="ru-RU"/>
        </w:rPr>
        <w:t>。</w:t>
      </w:r>
    </w:p>
  </w:footnote>
  <w:footnote w:id="1833">
    <w:p w14:paraId="289FAC54" w14:textId="7F1EDB0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1818</w:t>
      </w:r>
      <w:r w:rsidRPr="004C59BB">
        <w:rPr>
          <w:color w:val="0000FF"/>
          <w:lang w:val="ru-RU"/>
        </w:rPr>
        <w:t>。</w:t>
      </w:r>
    </w:p>
  </w:footnote>
  <w:footnote w:id="1834">
    <w:p w14:paraId="5383F962" w14:textId="69826BAB"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《赞美圣父之词》</w:t>
      </w:r>
      <w:r w:rsidRPr="0097554A">
        <w:rPr>
          <w:color w:val="0000FF"/>
        </w:rPr>
        <w:t>，</w:t>
      </w:r>
      <w:r w:rsidRPr="004C59BB">
        <w:rPr>
          <w:color w:val="0000FF"/>
          <w:lang w:val="ru-RU"/>
        </w:rPr>
        <w:t>《</w:t>
      </w:r>
      <w:r w:rsidRPr="004C59BB">
        <w:rPr>
          <w:color w:val="0000FF"/>
        </w:rPr>
        <w:t>圣父著作集</w:t>
      </w:r>
      <w:r w:rsidRPr="004C59BB">
        <w:rPr>
          <w:color w:val="0000FF"/>
          <w:lang w:val="ru-RU"/>
        </w:rPr>
        <w:t>》</w:t>
      </w:r>
      <w:r w:rsidRPr="004C59BB">
        <w:rPr>
          <w:color w:val="0000FF"/>
        </w:rPr>
        <w:t>第11卷，第142页。</w:t>
      </w:r>
    </w:p>
  </w:footnote>
  <w:footnote w:id="1835">
    <w:p w14:paraId="55F9064D" w14:textId="6BFBF9C3"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《论圣西奥多尔的讲道》，载于《文集》第III卷，第579页，莫雷尔版</w:t>
      </w:r>
      <w:r w:rsidRPr="004C59BB">
        <w:rPr>
          <w:color w:val="0000FF"/>
          <w:lang w:val="ru-RU"/>
        </w:rPr>
        <w:t>。</w:t>
      </w:r>
    </w:p>
  </w:footnote>
  <w:footnote w:id="1836">
    <w:p w14:paraId="4F050657" w14:textId="4294B61D"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关于圣殉道者尤菲米娅圣像的讲道</w:t>
      </w:r>
      <w:r w:rsidRPr="0097554A">
        <w:rPr>
          <w:color w:val="0000FF"/>
        </w:rPr>
        <w:t>，</w:t>
      </w:r>
      <w:r w:rsidRPr="004C59BB">
        <w:rPr>
          <w:color w:val="0000FF"/>
          <w:lang w:val="ru-RU"/>
        </w:rPr>
        <w:t>载于《基督教读本》</w:t>
      </w:r>
      <w:r w:rsidRPr="0097554A">
        <w:rPr>
          <w:color w:val="0000FF"/>
        </w:rPr>
        <w:t>1827</w:t>
      </w:r>
      <w:r w:rsidRPr="004C59BB">
        <w:rPr>
          <w:color w:val="0000FF"/>
          <w:lang w:val="ru-RU"/>
        </w:rPr>
        <w:t>年</w:t>
      </w:r>
      <w:r w:rsidRPr="0097554A">
        <w:rPr>
          <w:color w:val="0000FF"/>
        </w:rPr>
        <w:t>，</w:t>
      </w:r>
      <w:r w:rsidRPr="004C59BB">
        <w:rPr>
          <w:color w:val="0000FF"/>
        </w:rPr>
        <w:t>第XXVII卷</w:t>
      </w:r>
      <w:r w:rsidRPr="0097554A">
        <w:rPr>
          <w:color w:val="0000FF"/>
        </w:rPr>
        <w:t>，</w:t>
      </w:r>
      <w:r w:rsidRPr="004C59BB">
        <w:rPr>
          <w:color w:val="0000FF"/>
          <w:lang w:val="ru-RU"/>
        </w:rPr>
        <w:t>第</w:t>
      </w:r>
      <w:r w:rsidRPr="0097554A">
        <w:rPr>
          <w:color w:val="0000FF"/>
        </w:rPr>
        <w:t>33–42</w:t>
      </w:r>
      <w:r w:rsidRPr="004C59BB">
        <w:rPr>
          <w:color w:val="0000FF"/>
          <w:lang w:val="ru-RU"/>
        </w:rPr>
        <w:t>页。</w:t>
      </w:r>
    </w:p>
  </w:footnote>
  <w:footnote w:id="1837">
    <w:p w14:paraId="0D6A6245" w14:textId="5277CD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帕夫林。《致苏尔皮西乌斯的书信》第XXII卷，第2、5号。</w:t>
      </w:r>
    </w:p>
  </w:footnote>
  <w:footnote w:id="1838">
    <w:p w14:paraId="680C68F7" w14:textId="17B219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《书信集》第IV卷，第LXI、LXII封书信。</w:t>
      </w:r>
    </w:p>
  </w:footnote>
  <w:footnote w:id="1839">
    <w:p w14:paraId="61D97400" w14:textId="590A4FF7"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《福音论证》第五卷，引自圣</w:t>
      </w:r>
      <w:r w:rsidRPr="004C59BB">
        <w:rPr>
          <w:color w:val="0000FF"/>
          <w:lang w:val="ru-RU"/>
        </w:rPr>
        <w:t>约翰</w:t>
      </w:r>
      <w:r w:rsidRPr="0097554A">
        <w:rPr>
          <w:color w:val="0000FF"/>
        </w:rPr>
        <w:t>·</w:t>
      </w:r>
      <w:r w:rsidRPr="004C59BB">
        <w:rPr>
          <w:color w:val="0000FF"/>
          <w:lang w:val="ru-RU"/>
        </w:rPr>
        <w:t>达马斯库斯在《关于圣像的词条》</w:t>
      </w:r>
      <w:r w:rsidRPr="004C59BB">
        <w:rPr>
          <w:color w:val="0000FF"/>
        </w:rPr>
        <w:t>第三篇</w:t>
      </w:r>
      <w:r w:rsidRPr="004C59BB">
        <w:rPr>
          <w:color w:val="0000FF"/>
          <w:lang w:val="ru-RU"/>
        </w:rPr>
        <w:t>中</w:t>
      </w:r>
      <w:r w:rsidRPr="0097554A">
        <w:rPr>
          <w:color w:val="0000FF"/>
        </w:rPr>
        <w:t>，</w:t>
      </w:r>
      <w:r w:rsidRPr="004C59BB">
        <w:rPr>
          <w:color w:val="0000FF"/>
          <w:lang w:val="ru-RU"/>
        </w:rPr>
        <w:t>《基督教读物》</w:t>
      </w:r>
      <w:r w:rsidRPr="0097554A">
        <w:rPr>
          <w:color w:val="0000FF"/>
        </w:rPr>
        <w:t>1828</w:t>
      </w:r>
      <w:r w:rsidRPr="004C59BB">
        <w:rPr>
          <w:color w:val="0000FF"/>
          <w:lang w:val="ru-RU"/>
        </w:rPr>
        <w:t>年</w:t>
      </w:r>
      <w:r w:rsidRPr="0097554A">
        <w:rPr>
          <w:color w:val="0000FF"/>
        </w:rPr>
        <w:t>，</w:t>
      </w:r>
      <w:r w:rsidRPr="004C59BB">
        <w:rPr>
          <w:color w:val="0000FF"/>
        </w:rPr>
        <w:t>第XXX</w:t>
      </w:r>
      <w:r w:rsidRPr="004C59BB">
        <w:rPr>
          <w:color w:val="0000FF"/>
          <w:lang w:val="ru-RU"/>
        </w:rPr>
        <w:t>卷</w:t>
      </w:r>
      <w:r w:rsidRPr="0097554A">
        <w:rPr>
          <w:color w:val="0000FF"/>
        </w:rPr>
        <w:t>，</w:t>
      </w:r>
      <w:r w:rsidRPr="004C59BB">
        <w:rPr>
          <w:color w:val="0000FF"/>
          <w:lang w:val="ru-RU"/>
        </w:rPr>
        <w:t>第</w:t>
      </w:r>
      <w:r w:rsidRPr="0097554A">
        <w:rPr>
          <w:color w:val="0000FF"/>
        </w:rPr>
        <w:t>15</w:t>
      </w:r>
      <w:r w:rsidRPr="004C59BB">
        <w:rPr>
          <w:color w:val="0000FF"/>
          <w:lang w:val="ru-RU"/>
        </w:rPr>
        <w:t>页。</w:t>
      </w:r>
    </w:p>
  </w:footnote>
  <w:footnote w:id="1840">
    <w:p w14:paraId="7DCF516B" w14:textId="5EAFE91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《关于福者君王君士坦丁生平》</w:t>
      </w:r>
      <w:r w:rsidRPr="004C59BB">
        <w:rPr>
          <w:color w:val="0000FF"/>
        </w:rPr>
        <w:t>第IV卷</w:t>
      </w:r>
      <w:r w:rsidRPr="0097554A">
        <w:rPr>
          <w:color w:val="0000FF"/>
        </w:rPr>
        <w:t>，</w:t>
      </w:r>
      <w:r w:rsidRPr="004C59BB">
        <w:rPr>
          <w:color w:val="0000FF"/>
          <w:lang w:val="ru-RU"/>
        </w:rPr>
        <w:t>第</w:t>
      </w:r>
      <w:r w:rsidRPr="0097554A">
        <w:rPr>
          <w:color w:val="0000FF"/>
        </w:rPr>
        <w:t>69</w:t>
      </w:r>
      <w:r w:rsidRPr="004C59BB">
        <w:rPr>
          <w:color w:val="0000FF"/>
          <w:lang w:val="ru-RU"/>
        </w:rPr>
        <w:t>、</w:t>
      </w:r>
      <w:r w:rsidRPr="0097554A">
        <w:rPr>
          <w:color w:val="0000FF"/>
        </w:rPr>
        <w:t>72</w:t>
      </w:r>
      <w:r w:rsidRPr="004C59BB">
        <w:rPr>
          <w:color w:val="0000FF"/>
          <w:lang w:val="ru-RU"/>
        </w:rPr>
        <w:t>章</w:t>
      </w:r>
      <w:r w:rsidRPr="0097554A">
        <w:rPr>
          <w:color w:val="0000FF"/>
        </w:rPr>
        <w:t>，</w:t>
      </w:r>
      <w:r w:rsidRPr="004C59BB">
        <w:rPr>
          <w:color w:val="0000FF"/>
          <w:lang w:val="ru-RU"/>
        </w:rPr>
        <w:t>第</w:t>
      </w:r>
      <w:r w:rsidRPr="0097554A">
        <w:rPr>
          <w:color w:val="0000FF"/>
        </w:rPr>
        <w:t>281</w:t>
      </w:r>
      <w:r w:rsidRPr="004C59BB">
        <w:rPr>
          <w:color w:val="0000FF"/>
          <w:lang w:val="ru-RU"/>
        </w:rPr>
        <w:t>、</w:t>
      </w:r>
      <w:r w:rsidRPr="0097554A">
        <w:rPr>
          <w:color w:val="0000FF"/>
        </w:rPr>
        <w:t>283</w:t>
      </w:r>
      <w:r w:rsidRPr="004C59BB">
        <w:rPr>
          <w:color w:val="0000FF"/>
          <w:lang w:val="ru-RU"/>
        </w:rPr>
        <w:t>页</w:t>
      </w:r>
      <w:r w:rsidRPr="0097554A">
        <w:rPr>
          <w:color w:val="0000FF"/>
        </w:rPr>
        <w:t>（</w:t>
      </w:r>
      <w:r w:rsidRPr="004C59BB">
        <w:rPr>
          <w:color w:val="0000FF"/>
          <w:lang w:val="ru-RU"/>
        </w:rPr>
        <w:t>根据俄文译本</w:t>
      </w:r>
      <w:r w:rsidRPr="0097554A">
        <w:rPr>
          <w:color w:val="0000FF"/>
        </w:rPr>
        <w:t>）</w:t>
      </w:r>
      <w:r w:rsidRPr="004C59BB">
        <w:rPr>
          <w:color w:val="0000FF"/>
          <w:lang w:val="ru-RU"/>
        </w:rPr>
        <w:t>。</w:t>
      </w:r>
    </w:p>
  </w:footnote>
  <w:footnote w:id="1841">
    <w:p w14:paraId="5A5F7C43" w14:textId="590B949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引自圣约翰</w:t>
      </w:r>
      <w:r w:rsidRPr="0097554A">
        <w:rPr>
          <w:color w:val="0000FF"/>
        </w:rPr>
        <w:t>·</w:t>
      </w:r>
      <w:r w:rsidRPr="004C59BB">
        <w:rPr>
          <w:color w:val="0000FF"/>
          <w:lang w:val="ru-RU"/>
        </w:rPr>
        <w:t>达马斯库斯在《论圣像》</w:t>
      </w:r>
      <w:r w:rsidRPr="004C59BB">
        <w:rPr>
          <w:color w:val="0000FF"/>
        </w:rPr>
        <w:t>第三卷</w:t>
      </w:r>
      <w:r w:rsidRPr="004C59BB">
        <w:rPr>
          <w:color w:val="0000FF"/>
          <w:lang w:val="ru-RU"/>
        </w:rPr>
        <w:t>中的论述</w:t>
      </w:r>
      <w:r w:rsidRPr="0097554A">
        <w:rPr>
          <w:color w:val="0000FF"/>
        </w:rPr>
        <w:t>，</w:t>
      </w:r>
      <w:r w:rsidRPr="004C59BB">
        <w:rPr>
          <w:color w:val="0000FF"/>
          <w:lang w:val="ru-RU"/>
        </w:rPr>
        <w:t>《基督教读物》</w:t>
      </w:r>
      <w:r w:rsidRPr="0097554A">
        <w:rPr>
          <w:color w:val="0000FF"/>
        </w:rPr>
        <w:t>1828</w:t>
      </w:r>
      <w:r w:rsidRPr="004C59BB">
        <w:rPr>
          <w:color w:val="0000FF"/>
          <w:lang w:val="ru-RU"/>
        </w:rPr>
        <w:t>年</w:t>
      </w:r>
      <w:r w:rsidRPr="0097554A">
        <w:rPr>
          <w:color w:val="0000FF"/>
        </w:rPr>
        <w:t>，</w:t>
      </w:r>
      <w:r w:rsidRPr="004C59BB">
        <w:rPr>
          <w:color w:val="0000FF"/>
        </w:rPr>
        <w:t>第XXX</w:t>
      </w:r>
      <w:r w:rsidRPr="004C59BB">
        <w:rPr>
          <w:color w:val="0000FF"/>
          <w:lang w:val="ru-RU"/>
        </w:rPr>
        <w:t>卷</w:t>
      </w:r>
      <w:r w:rsidRPr="0097554A">
        <w:rPr>
          <w:color w:val="0000FF"/>
        </w:rPr>
        <w:t>，</w:t>
      </w:r>
      <w:r w:rsidRPr="004C59BB">
        <w:rPr>
          <w:color w:val="0000FF"/>
          <w:lang w:val="ru-RU"/>
        </w:rPr>
        <w:t>第</w:t>
      </w:r>
      <w:r w:rsidRPr="0097554A">
        <w:rPr>
          <w:color w:val="0000FF"/>
        </w:rPr>
        <w:t>45</w:t>
      </w:r>
      <w:r w:rsidRPr="004C59BB">
        <w:rPr>
          <w:color w:val="0000FF"/>
          <w:lang w:val="ru-RU"/>
        </w:rPr>
        <w:t>页。</w:t>
      </w:r>
    </w:p>
  </w:footnote>
  <w:footnote w:id="1842">
    <w:p w14:paraId="7094DC9E" w14:textId="3A91779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同上</w:t>
      </w:r>
      <w:r w:rsidRPr="0097554A">
        <w:rPr>
          <w:color w:val="0000FF"/>
        </w:rPr>
        <w:t>，</w:t>
      </w:r>
      <w:r w:rsidRPr="004C59BB">
        <w:rPr>
          <w:color w:val="0000FF"/>
          <w:lang w:val="ru-RU"/>
        </w:rPr>
        <w:t>第</w:t>
      </w:r>
      <w:r w:rsidRPr="0097554A">
        <w:rPr>
          <w:color w:val="0000FF"/>
        </w:rPr>
        <w:t>7</w:t>
      </w:r>
      <w:r w:rsidRPr="004C59BB">
        <w:rPr>
          <w:color w:val="0000FF"/>
          <w:lang w:val="ru-RU"/>
        </w:rPr>
        <w:t>页。</w:t>
      </w:r>
    </w:p>
  </w:footnote>
  <w:footnote w:id="1843">
    <w:p w14:paraId="5CF34CBB" w14:textId="7BEE441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他谈及</w:t>
      </w:r>
      <w:r w:rsidRPr="004C59BB">
        <w:rPr>
          <w:color w:val="0000FF"/>
        </w:rPr>
        <w:t>圣格尔瓦西乌斯和普罗塔西乌斯时</w:t>
      </w:r>
      <w:r w:rsidRPr="004C59BB">
        <w:rPr>
          <w:color w:val="0000FF"/>
          <w:lang w:val="ru-RU"/>
        </w:rPr>
        <w:t>说</w:t>
      </w:r>
      <w:r w:rsidRPr="004C59BB">
        <w:rPr>
          <w:color w:val="0000FF"/>
        </w:rPr>
        <w:t>：cum quadam mihi tertia apparuerunt persona, quae similis esse beato Paulo Apostolo videbatur, cujus me vultum pictura docuerat（《书信集</w:t>
      </w:r>
      <w:r w:rsidRPr="004C59BB">
        <w:rPr>
          <w:color w:val="0000FF"/>
          <w:lang w:val="ru-RU"/>
        </w:rPr>
        <w:t>》</w:t>
      </w:r>
      <w:r w:rsidRPr="004C59BB">
        <w:rPr>
          <w:color w:val="0000FF"/>
        </w:rPr>
        <w:t>第LIII封</w:t>
      </w:r>
      <w:r w:rsidRPr="0097554A">
        <w:rPr>
          <w:color w:val="0000FF"/>
        </w:rPr>
        <w:t>）</w:t>
      </w:r>
      <w:r w:rsidRPr="004C59BB">
        <w:rPr>
          <w:color w:val="0000FF"/>
          <w:lang w:val="ru-RU"/>
        </w:rPr>
        <w:t>。</w:t>
      </w:r>
    </w:p>
  </w:footnote>
  <w:footnote w:id="1844">
    <w:p w14:paraId="697C0C52" w14:textId="4BCEF677"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无论是出生</w:t>
      </w:r>
      <w:r w:rsidRPr="0097554A">
        <w:rPr>
          <w:color w:val="0000FF"/>
        </w:rPr>
        <w:t>，</w:t>
      </w:r>
      <w:r w:rsidRPr="004C59BB">
        <w:rPr>
          <w:color w:val="0000FF"/>
          <w:lang w:val="ru-RU"/>
        </w:rPr>
        <w:t>还是接受圣餐</w:t>
      </w:r>
      <w:r w:rsidRPr="0097554A">
        <w:rPr>
          <w:color w:val="0000FF"/>
        </w:rPr>
        <w:t>，</w:t>
      </w:r>
      <w:r w:rsidRPr="004C59BB">
        <w:rPr>
          <w:color w:val="0000FF"/>
          <w:lang w:val="ru-RU"/>
        </w:rPr>
        <w:t>无论是接受按立</w:t>
      </w:r>
      <w:r w:rsidRPr="0097554A">
        <w:rPr>
          <w:color w:val="0000FF"/>
        </w:rPr>
        <w:t>，</w:t>
      </w:r>
      <w:r w:rsidRPr="004C59BB">
        <w:rPr>
          <w:color w:val="0000FF"/>
          <w:lang w:val="ru-RU"/>
        </w:rPr>
        <w:t>还是做其他任何事</w:t>
      </w:r>
      <w:r w:rsidRPr="0097554A">
        <w:rPr>
          <w:color w:val="0000FF"/>
        </w:rPr>
        <w:t>——</w:t>
      </w:r>
      <w:r w:rsidRPr="004C59BB">
        <w:rPr>
          <w:color w:val="0000FF"/>
          <w:lang w:val="ru-RU"/>
        </w:rPr>
        <w:t>无处不在地</w:t>
      </w:r>
      <w:r w:rsidRPr="0097554A">
        <w:rPr>
          <w:color w:val="0000FF"/>
        </w:rPr>
        <w:t>，</w:t>
      </w:r>
      <w:r w:rsidRPr="004C59BB">
        <w:rPr>
          <w:color w:val="0000FF"/>
          <w:lang w:val="ru-RU"/>
        </w:rPr>
        <w:t>我们都要面对这个胜利的标志。</w:t>
      </w:r>
      <w:r w:rsidRPr="0097554A">
        <w:rPr>
          <w:color w:val="0000FF"/>
        </w:rPr>
        <w:t xml:space="preserve"> </w:t>
      </w:r>
      <w:r w:rsidRPr="004C59BB">
        <w:rPr>
          <w:color w:val="0000FF"/>
          <w:lang w:val="ru-RU"/>
        </w:rPr>
        <w:t>正因如此</w:t>
      </w:r>
      <w:r w:rsidRPr="0097554A">
        <w:rPr>
          <w:color w:val="0000FF"/>
        </w:rPr>
        <w:t>，</w:t>
      </w:r>
      <w:r w:rsidRPr="004C59BB">
        <w:rPr>
          <w:color w:val="0000FF"/>
          <w:lang w:val="ru-RU"/>
        </w:rPr>
        <w:t>我们才竭尽全力将其绘制在房屋、墙壁、门扉、额头以及心中</w:t>
      </w:r>
      <w:r w:rsidRPr="0097554A">
        <w:rPr>
          <w:color w:val="0000FF"/>
        </w:rPr>
        <w:t>”（</w:t>
      </w:r>
      <w:r w:rsidRPr="004C59BB">
        <w:rPr>
          <w:color w:val="0000FF"/>
          <w:lang w:val="ru-RU"/>
        </w:rPr>
        <w:t>《马太福音讲道集》</w:t>
      </w:r>
      <w:r w:rsidRPr="004C59BB">
        <w:rPr>
          <w:color w:val="0000FF"/>
        </w:rPr>
        <w:t>第LIV</w:t>
      </w:r>
      <w:r w:rsidRPr="004C59BB">
        <w:rPr>
          <w:color w:val="0000FF"/>
          <w:lang w:val="ru-RU"/>
        </w:rPr>
        <w:t>篇</w:t>
      </w:r>
      <w:r w:rsidRPr="0097554A">
        <w:rPr>
          <w:color w:val="0000FF"/>
        </w:rPr>
        <w:t>，</w:t>
      </w:r>
      <w:r w:rsidRPr="004C59BB">
        <w:rPr>
          <w:color w:val="0000FF"/>
        </w:rPr>
        <w:t>第二</w:t>
      </w:r>
      <w:r w:rsidRPr="004C59BB">
        <w:rPr>
          <w:color w:val="0000FF"/>
          <w:lang w:val="ru-RU"/>
        </w:rPr>
        <w:t>卷</w:t>
      </w:r>
      <w:r w:rsidRPr="0097554A">
        <w:rPr>
          <w:color w:val="0000FF"/>
        </w:rPr>
        <w:t>，</w:t>
      </w:r>
      <w:r w:rsidRPr="004C59BB">
        <w:rPr>
          <w:color w:val="0000FF"/>
          <w:lang w:val="ru-RU"/>
        </w:rPr>
        <w:t>第</w:t>
      </w:r>
      <w:r w:rsidRPr="0097554A">
        <w:rPr>
          <w:color w:val="0000FF"/>
        </w:rPr>
        <w:t>426</w:t>
      </w:r>
      <w:r w:rsidRPr="004C59BB">
        <w:rPr>
          <w:color w:val="0000FF"/>
          <w:lang w:val="ru-RU"/>
        </w:rPr>
        <w:t>页</w:t>
      </w:r>
      <w:r w:rsidRPr="0097554A">
        <w:rPr>
          <w:color w:val="0000FF"/>
        </w:rPr>
        <w:t>）</w:t>
      </w:r>
      <w:r w:rsidRPr="004C59BB">
        <w:rPr>
          <w:color w:val="0000FF"/>
          <w:lang w:val="ru-RU"/>
        </w:rPr>
        <w:t>。</w:t>
      </w:r>
    </w:p>
  </w:footnote>
  <w:footnote w:id="1845">
    <w:p w14:paraId="54316ABF" w14:textId="4C9EA78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《反</w:t>
      </w:r>
      <w:r w:rsidRPr="004C59BB">
        <w:rPr>
          <w:color w:val="0000FF"/>
        </w:rPr>
        <w:t>犹太人与外邦人</w:t>
      </w:r>
      <w:r w:rsidRPr="004C59BB">
        <w:rPr>
          <w:color w:val="0000FF"/>
          <w:lang w:val="ru-RU"/>
        </w:rPr>
        <w:t>演说》第</w:t>
      </w:r>
      <w:r w:rsidRPr="0097554A">
        <w:rPr>
          <w:color w:val="0000FF"/>
        </w:rPr>
        <w:t>9</w:t>
      </w:r>
      <w:r w:rsidRPr="004C59BB">
        <w:rPr>
          <w:color w:val="0000FF"/>
          <w:lang w:val="ru-RU"/>
        </w:rPr>
        <w:t>章</w:t>
      </w:r>
      <w:r w:rsidRPr="0097554A">
        <w:rPr>
          <w:color w:val="0000FF"/>
        </w:rPr>
        <w:t>，</w:t>
      </w:r>
      <w:r w:rsidRPr="004C59BB">
        <w:rPr>
          <w:color w:val="0000FF"/>
          <w:lang w:val="ru-RU"/>
        </w:rPr>
        <w:t>载于《基督教读本》</w:t>
      </w:r>
      <w:r w:rsidRPr="0097554A">
        <w:rPr>
          <w:color w:val="0000FF"/>
        </w:rPr>
        <w:t>1832</w:t>
      </w:r>
      <w:r w:rsidRPr="004C59BB">
        <w:rPr>
          <w:color w:val="0000FF"/>
          <w:lang w:val="ru-RU"/>
        </w:rPr>
        <w:t>年版</w:t>
      </w:r>
      <w:r w:rsidRPr="0097554A">
        <w:rPr>
          <w:color w:val="0000FF"/>
        </w:rPr>
        <w:t>，</w:t>
      </w:r>
      <w:r w:rsidRPr="004C59BB">
        <w:rPr>
          <w:color w:val="0000FF"/>
        </w:rPr>
        <w:t>第XLVII</w:t>
      </w:r>
      <w:r w:rsidRPr="004C59BB">
        <w:rPr>
          <w:color w:val="0000FF"/>
          <w:lang w:val="ru-RU"/>
        </w:rPr>
        <w:t>卷</w:t>
      </w:r>
      <w:r w:rsidRPr="0097554A">
        <w:rPr>
          <w:color w:val="0000FF"/>
        </w:rPr>
        <w:t>，</w:t>
      </w:r>
      <w:r w:rsidRPr="004C59BB">
        <w:rPr>
          <w:color w:val="0000FF"/>
          <w:lang w:val="ru-RU"/>
        </w:rPr>
        <w:t>第</w:t>
      </w:r>
      <w:r w:rsidRPr="0097554A">
        <w:rPr>
          <w:color w:val="0000FF"/>
        </w:rPr>
        <w:t>46–47</w:t>
      </w:r>
      <w:r w:rsidRPr="004C59BB">
        <w:rPr>
          <w:color w:val="0000FF"/>
          <w:lang w:val="ru-RU"/>
        </w:rPr>
        <w:t>页。</w:t>
      </w:r>
    </w:p>
  </w:footnote>
  <w:footnote w:id="1846">
    <w:p w14:paraId="5B798A53" w14:textId="1AF77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“我相信，人们曾在多处同时看到他们（彼得和保罗）与祂（基督）一同被描绘的形象”（《论福音的一致性》第1卷，第10章）。</w:t>
      </w:r>
    </w:p>
  </w:footnote>
  <w:footnote w:id="1847">
    <w:p w14:paraId="5A06847F" w14:textId="20CED2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《反法乌斯图斯》第XXII卷，第73章。</w:t>
      </w:r>
    </w:p>
  </w:footnote>
  <w:footnote w:id="1848">
    <w:p w14:paraId="0971225F" w14:textId="7E7B64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《宗教史》第XXVI章。</w:t>
      </w:r>
    </w:p>
  </w:footnote>
  <w:footnote w:id="1849">
    <w:p w14:paraId="5E4942D8" w14:textId="744B17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《教会史片段》第581页，瓦莱斯校注，载于《基督教读本》1828年，第XXX卷，第43–44页。</w:t>
      </w:r>
    </w:p>
  </w:footnote>
  <w:footnote w:id="1850">
    <w:p w14:paraId="562245B1" w14:textId="3767BBFB"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参见上文注释</w:t>
      </w:r>
      <w:r w:rsidRPr="0097554A">
        <w:rPr>
          <w:color w:val="0000FF"/>
        </w:rPr>
        <w:t>1818</w:t>
      </w:r>
      <w:r w:rsidRPr="004C59BB">
        <w:rPr>
          <w:color w:val="0000FF"/>
          <w:lang w:val="ru-RU"/>
        </w:rPr>
        <w:t>。</w:t>
      </w:r>
    </w:p>
  </w:footnote>
  <w:footnote w:id="1851">
    <w:p w14:paraId="57FD769D" w14:textId="203A6458"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见达马斯库斯《圣像词典》</w:t>
      </w:r>
      <w:r w:rsidRPr="0097554A">
        <w:rPr>
          <w:color w:val="0000FF"/>
        </w:rPr>
        <w:t>，</w:t>
      </w:r>
      <w:r w:rsidRPr="004C59BB">
        <w:rPr>
          <w:color w:val="0000FF"/>
          <w:lang w:val="ru-RU"/>
        </w:rPr>
        <w:t>载于《基督教读物》</w:t>
      </w:r>
      <w:r w:rsidRPr="0097554A">
        <w:rPr>
          <w:color w:val="0000FF"/>
        </w:rPr>
        <w:t>1828</w:t>
      </w:r>
      <w:r w:rsidRPr="004C59BB">
        <w:rPr>
          <w:color w:val="0000FF"/>
          <w:lang w:val="ru-RU"/>
        </w:rPr>
        <w:t>年</w:t>
      </w:r>
      <w:r w:rsidRPr="0097554A">
        <w:rPr>
          <w:color w:val="0000FF"/>
        </w:rPr>
        <w:t>，</w:t>
      </w:r>
      <w:r w:rsidRPr="004C59BB">
        <w:rPr>
          <w:color w:val="0000FF"/>
        </w:rPr>
        <w:t>第XXX</w:t>
      </w:r>
      <w:r w:rsidRPr="004C59BB">
        <w:rPr>
          <w:color w:val="0000FF"/>
          <w:lang w:val="ru-RU"/>
        </w:rPr>
        <w:t>卷</w:t>
      </w:r>
      <w:r w:rsidRPr="0097554A">
        <w:rPr>
          <w:color w:val="0000FF"/>
        </w:rPr>
        <w:t>，</w:t>
      </w:r>
      <w:r w:rsidRPr="004C59BB">
        <w:rPr>
          <w:color w:val="0000FF"/>
          <w:lang w:val="ru-RU"/>
        </w:rPr>
        <w:t>第</w:t>
      </w:r>
      <w:r w:rsidRPr="0097554A">
        <w:rPr>
          <w:color w:val="0000FF"/>
        </w:rPr>
        <w:t>10</w:t>
      </w:r>
      <w:r w:rsidRPr="004C59BB">
        <w:rPr>
          <w:color w:val="0000FF"/>
          <w:lang w:val="ru-RU"/>
        </w:rPr>
        <w:t>页。</w:t>
      </w:r>
    </w:p>
  </w:footnote>
  <w:footnote w:id="1852">
    <w:p w14:paraId="0468FC6D" w14:textId="41D78515"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你们向十字架的木头下拜</w:t>
      </w:r>
      <w:r w:rsidRPr="0097554A">
        <w:rPr>
          <w:color w:val="0000FF"/>
        </w:rPr>
        <w:t>”（</w:t>
      </w:r>
      <w:r w:rsidRPr="004C59BB">
        <w:rPr>
          <w:color w:val="0000FF"/>
        </w:rPr>
        <w:t>见圣西里尔·亚历山大《反尤利安论》第六卷，载于《文集》第六卷，第二部分，第194页，奥贝尔版）。</w:t>
      </w:r>
    </w:p>
  </w:footnote>
  <w:footnote w:id="1853">
    <w:p w14:paraId="3B1A1D37" w14:textId="7CA7BC6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见《</w:t>
      </w:r>
      <w:r w:rsidRPr="004C59BB">
        <w:rPr>
          <w:color w:val="0000FF"/>
        </w:rPr>
        <w:t>Xp</w:t>
      </w:r>
      <w:r w:rsidRPr="0097554A">
        <w:rPr>
          <w:color w:val="0000FF"/>
        </w:rPr>
        <w:t xml:space="preserve">. </w:t>
      </w:r>
      <w:r w:rsidRPr="004C59BB">
        <w:rPr>
          <w:color w:val="0000FF"/>
          <w:lang w:val="ru-RU"/>
        </w:rPr>
        <w:t>周四》</w:t>
      </w:r>
      <w:r w:rsidRPr="0097554A">
        <w:rPr>
          <w:color w:val="0000FF"/>
        </w:rPr>
        <w:t>1827</w:t>
      </w:r>
      <w:r w:rsidRPr="004C59BB">
        <w:rPr>
          <w:color w:val="0000FF"/>
          <w:lang w:val="ru-RU"/>
        </w:rPr>
        <w:t>年</w:t>
      </w:r>
      <w:r w:rsidRPr="0097554A">
        <w:rPr>
          <w:color w:val="0000FF"/>
        </w:rPr>
        <w:t>，</w:t>
      </w:r>
      <w:r w:rsidRPr="004C59BB">
        <w:rPr>
          <w:color w:val="0000FF"/>
        </w:rPr>
        <w:t>第XXVII卷</w:t>
      </w:r>
      <w:r w:rsidRPr="0097554A">
        <w:rPr>
          <w:color w:val="0000FF"/>
        </w:rPr>
        <w:t>，</w:t>
      </w:r>
      <w:r w:rsidRPr="004C59BB">
        <w:rPr>
          <w:color w:val="0000FF"/>
          <w:lang w:val="ru-RU"/>
        </w:rPr>
        <w:t>第</w:t>
      </w:r>
      <w:r w:rsidRPr="0097554A">
        <w:rPr>
          <w:color w:val="0000FF"/>
        </w:rPr>
        <w:t>41</w:t>
      </w:r>
      <w:r w:rsidRPr="004C59BB">
        <w:rPr>
          <w:color w:val="0000FF"/>
          <w:lang w:val="ru-RU"/>
        </w:rPr>
        <w:t>页。</w:t>
      </w:r>
    </w:p>
  </w:footnote>
  <w:footnote w:id="1854">
    <w:p w14:paraId="34AEC8DB" w14:textId="44E30B84"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狄奥多里特</w:t>
      </w:r>
      <w:r w:rsidRPr="004C59BB">
        <w:rPr>
          <w:color w:val="0000FF"/>
        </w:rPr>
        <w:t>，《教会史》第1卷，第34章，第66页，瓦莱斯版；菲洛斯托尔格，《教会史》第2卷，第17节，第176页，同上版。</w:t>
      </w:r>
    </w:p>
  </w:footnote>
  <w:footnote w:id="1855">
    <w:p w14:paraId="55636D64" w14:textId="2EC4FE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加尔文，《基督教要义》第1卷，第II章。</w:t>
      </w:r>
    </w:p>
  </w:footnote>
  <w:footnote w:id="1856">
    <w:p w14:paraId="4018C648" w14:textId="3D21940D"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不过</w:t>
      </w:r>
      <w:r w:rsidRPr="0097554A">
        <w:rPr>
          <w:color w:val="0000FF"/>
        </w:rPr>
        <w:t>，</w:t>
      </w:r>
      <w:r w:rsidRPr="004C59BB">
        <w:rPr>
          <w:color w:val="0000FF"/>
          <w:lang w:val="ru-RU"/>
        </w:rPr>
        <w:t>此类证据大量可见于第七次大公会议的《议事录》</w:t>
      </w:r>
      <w:r w:rsidRPr="0097554A">
        <w:rPr>
          <w:color w:val="0000FF"/>
        </w:rPr>
        <w:t>（</w:t>
      </w:r>
      <w:r w:rsidRPr="004C59BB">
        <w:rPr>
          <w:color w:val="0000FF"/>
        </w:rPr>
        <w:t>见拉布编</w:t>
      </w:r>
      <w:r w:rsidRPr="0097554A">
        <w:rPr>
          <w:color w:val="0000FF"/>
        </w:rPr>
        <w:t>，</w:t>
      </w:r>
      <w:r w:rsidRPr="004C59BB">
        <w:rPr>
          <w:color w:val="0000FF"/>
        </w:rPr>
        <w:t>第VII卷</w:t>
      </w:r>
      <w:r w:rsidRPr="0097554A">
        <w:rPr>
          <w:color w:val="0000FF"/>
        </w:rPr>
        <w:t>），</w:t>
      </w:r>
      <w:r w:rsidRPr="004C59BB">
        <w:rPr>
          <w:color w:val="0000FF"/>
          <w:lang w:val="ru-RU"/>
        </w:rPr>
        <w:t>尤其是圣约翰</w:t>
      </w:r>
      <w:r w:rsidRPr="0097554A">
        <w:rPr>
          <w:color w:val="0000FF"/>
        </w:rPr>
        <w:t>·</w:t>
      </w:r>
      <w:r w:rsidRPr="004C59BB">
        <w:rPr>
          <w:color w:val="0000FF"/>
          <w:lang w:val="ru-RU"/>
        </w:rPr>
        <w:t>达马斯库斯在《论圣像》</w:t>
      </w:r>
      <w:r w:rsidRPr="004C59BB">
        <w:rPr>
          <w:color w:val="0000FF"/>
        </w:rPr>
        <w:t>第三篇</w:t>
      </w:r>
      <w:r w:rsidRPr="004C59BB">
        <w:rPr>
          <w:color w:val="0000FF"/>
          <w:lang w:val="ru-RU"/>
        </w:rPr>
        <w:t>讲道中</w:t>
      </w:r>
      <w:r w:rsidRPr="0097554A">
        <w:rPr>
          <w:color w:val="0000FF"/>
        </w:rPr>
        <w:t>（</w:t>
      </w:r>
      <w:r w:rsidRPr="004C59BB">
        <w:rPr>
          <w:color w:val="0000FF"/>
          <w:lang w:val="ru-RU"/>
        </w:rPr>
        <w:t>《基督教周报》</w:t>
      </w:r>
      <w:r w:rsidRPr="0097554A">
        <w:rPr>
          <w:color w:val="0000FF"/>
        </w:rPr>
        <w:t>1828</w:t>
      </w:r>
      <w:r w:rsidRPr="004C59BB">
        <w:rPr>
          <w:color w:val="0000FF"/>
          <w:lang w:val="ru-RU"/>
        </w:rPr>
        <w:t>年</w:t>
      </w:r>
      <w:r w:rsidRPr="0097554A">
        <w:rPr>
          <w:color w:val="0000FF"/>
        </w:rPr>
        <w:t>，</w:t>
      </w:r>
      <w:r w:rsidRPr="004C59BB">
        <w:rPr>
          <w:color w:val="0000FF"/>
        </w:rPr>
        <w:t>第XXX期</w:t>
      </w:r>
      <w:r w:rsidRPr="0097554A">
        <w:rPr>
          <w:color w:val="0000FF"/>
        </w:rPr>
        <w:t>）</w:t>
      </w:r>
      <w:r w:rsidRPr="004C59BB">
        <w:rPr>
          <w:color w:val="0000FF"/>
          <w:lang w:val="ru-RU"/>
        </w:rPr>
        <w:t>。</w:t>
      </w:r>
    </w:p>
  </w:footnote>
  <w:footnote w:id="1857">
    <w:p w14:paraId="4A43C2A7" w14:textId="6327ABDB"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参见</w:t>
      </w:r>
      <w:r w:rsidRPr="0097554A">
        <w:rPr>
          <w:color w:val="0000FF"/>
        </w:rPr>
        <w:t>，</w:t>
      </w:r>
      <w:r w:rsidRPr="004C59BB">
        <w:rPr>
          <w:color w:val="0000FF"/>
          <w:lang w:val="ru-RU"/>
        </w:rPr>
        <w:t>例如</w:t>
      </w:r>
      <w:r w:rsidRPr="0097554A">
        <w:rPr>
          <w:color w:val="0000FF"/>
        </w:rPr>
        <w:t>，</w:t>
      </w:r>
      <w:r w:rsidRPr="004C59BB">
        <w:rPr>
          <w:color w:val="0000FF"/>
          <w:lang w:val="ru-RU"/>
        </w:rPr>
        <w:t>《序言》</w:t>
      </w:r>
      <w:r w:rsidRPr="0097554A">
        <w:rPr>
          <w:color w:val="0000FF"/>
        </w:rPr>
        <w:t>10</w:t>
      </w:r>
      <w:r w:rsidRPr="004C59BB">
        <w:rPr>
          <w:color w:val="0000FF"/>
          <w:lang w:val="ru-RU"/>
        </w:rPr>
        <w:t>月</w:t>
      </w:r>
      <w:r w:rsidRPr="0097554A">
        <w:rPr>
          <w:color w:val="0000FF"/>
        </w:rPr>
        <w:t>11</w:t>
      </w:r>
      <w:r w:rsidRPr="004C59BB">
        <w:rPr>
          <w:color w:val="0000FF"/>
          <w:lang w:val="ru-RU"/>
        </w:rPr>
        <w:t>日、</w:t>
      </w:r>
      <w:r w:rsidRPr="0097554A">
        <w:rPr>
          <w:color w:val="0000FF"/>
        </w:rPr>
        <w:t>8</w:t>
      </w:r>
      <w:r w:rsidRPr="004C59BB">
        <w:rPr>
          <w:color w:val="0000FF"/>
          <w:lang w:val="ru-RU"/>
        </w:rPr>
        <w:t>月</w:t>
      </w:r>
      <w:r w:rsidRPr="0097554A">
        <w:rPr>
          <w:color w:val="0000FF"/>
        </w:rPr>
        <w:t>16</w:t>
      </w:r>
      <w:r w:rsidRPr="004C59BB">
        <w:rPr>
          <w:color w:val="0000FF"/>
          <w:lang w:val="ru-RU"/>
        </w:rPr>
        <w:t>日、</w:t>
      </w:r>
      <w:r w:rsidRPr="0097554A">
        <w:rPr>
          <w:color w:val="0000FF"/>
        </w:rPr>
        <w:t>22</w:t>
      </w:r>
      <w:r w:rsidRPr="004C59BB">
        <w:rPr>
          <w:color w:val="0000FF"/>
          <w:lang w:val="ru-RU"/>
        </w:rPr>
        <w:t>日及许多其他篇章。其中一些传说曾在第七次大公会议上被引用（</w:t>
      </w:r>
      <w:r w:rsidRPr="004C59BB">
        <w:rPr>
          <w:color w:val="0000FF"/>
        </w:rPr>
        <w:t>见Labb</w:t>
      </w:r>
      <w:r w:rsidRPr="004C59BB">
        <w:rPr>
          <w:color w:val="0000FF"/>
          <w:lang w:val="ru-RU"/>
        </w:rPr>
        <w:t xml:space="preserve">. </w:t>
      </w:r>
      <w:r w:rsidRPr="004C59BB">
        <w:rPr>
          <w:color w:val="0000FF"/>
        </w:rPr>
        <w:t>第VII卷</w:t>
      </w:r>
      <w:r w:rsidRPr="004C59BB">
        <w:rPr>
          <w:color w:val="0000FF"/>
          <w:lang w:val="ru-RU"/>
        </w:rPr>
        <w:t>，第251–282页）。</w:t>
      </w:r>
    </w:p>
  </w:footnote>
  <w:footnote w:id="1858">
    <w:p w14:paraId="6BF6A9BC" w14:textId="06E73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参见，例如，《基督教读本》1829年，</w:t>
      </w:r>
      <w:r w:rsidRPr="004C59BB">
        <w:rPr>
          <w:color w:val="0000FF"/>
        </w:rPr>
        <w:t>第XXXVI</w:t>
      </w:r>
      <w:r w:rsidRPr="004C59BB">
        <w:rPr>
          <w:color w:val="0000FF"/>
          <w:lang w:val="ru-RU"/>
        </w:rPr>
        <w:t>卷，第357页；1830年，</w:t>
      </w:r>
      <w:r w:rsidRPr="004C59BB">
        <w:rPr>
          <w:color w:val="0000FF"/>
        </w:rPr>
        <w:t>第XXXVII</w:t>
      </w:r>
      <w:r w:rsidRPr="004C59BB">
        <w:rPr>
          <w:color w:val="0000FF"/>
          <w:lang w:val="ru-RU"/>
        </w:rPr>
        <w:t>卷，第235页等。</w:t>
      </w:r>
    </w:p>
  </w:footnote>
  <w:footnote w:id="1859">
    <w:p w14:paraId="6DA7B51E" w14:textId="7D746F3C"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尼禄</w:t>
      </w:r>
      <w:r w:rsidRPr="0097554A">
        <w:rPr>
          <w:color w:val="0000FF"/>
          <w:lang w:val="ru-RU"/>
        </w:rPr>
        <w:t>，</w:t>
      </w:r>
      <w:r w:rsidRPr="004C59BB">
        <w:rPr>
          <w:color w:val="0000FF"/>
        </w:rPr>
        <w:t>《书信集》第IV卷</w:t>
      </w:r>
      <w:r w:rsidRPr="0097554A">
        <w:rPr>
          <w:color w:val="0000FF"/>
          <w:lang w:val="ru-RU"/>
        </w:rPr>
        <w:t>，</w:t>
      </w:r>
      <w:r w:rsidRPr="004C59BB">
        <w:rPr>
          <w:color w:val="0000FF"/>
        </w:rPr>
        <w:t>第LXI、LXII封信</w:t>
      </w:r>
      <w:r w:rsidRPr="0097554A">
        <w:rPr>
          <w:color w:val="0000FF"/>
          <w:lang w:val="ru-RU"/>
        </w:rPr>
        <w:t>；</w:t>
      </w:r>
      <w:r w:rsidRPr="004C59BB">
        <w:rPr>
          <w:color w:val="0000FF"/>
        </w:rPr>
        <w:t>大格里高利</w:t>
      </w:r>
      <w:r w:rsidRPr="0097554A">
        <w:rPr>
          <w:color w:val="0000FF"/>
          <w:lang w:val="ru-RU"/>
        </w:rPr>
        <w:t>，</w:t>
      </w:r>
      <w:r w:rsidRPr="004C59BB">
        <w:rPr>
          <w:color w:val="0000FF"/>
        </w:rPr>
        <w:t>《书信集》第IX卷</w:t>
      </w:r>
      <w:r w:rsidRPr="0097554A">
        <w:rPr>
          <w:color w:val="0000FF"/>
          <w:lang w:val="ru-RU"/>
        </w:rPr>
        <w:t>，</w:t>
      </w:r>
      <w:r w:rsidRPr="004C59BB">
        <w:rPr>
          <w:color w:val="0000FF"/>
        </w:rPr>
        <w:t>第IX封信</w:t>
      </w:r>
      <w:r w:rsidRPr="0097554A">
        <w:rPr>
          <w:color w:val="0000FF"/>
          <w:lang w:val="ru-RU"/>
        </w:rPr>
        <w:t>，</w:t>
      </w:r>
      <w:r w:rsidRPr="004C59BB">
        <w:rPr>
          <w:color w:val="0000FF"/>
        </w:rPr>
        <w:t>致塞雷尼乌斯</w:t>
      </w:r>
      <w:r w:rsidRPr="004C59BB">
        <w:rPr>
          <w:color w:val="0000FF"/>
          <w:lang w:val="ru-RU"/>
        </w:rPr>
        <w:t>。</w:t>
      </w:r>
    </w:p>
  </w:footnote>
  <w:footnote w:id="1860">
    <w:p w14:paraId="043F6472" w14:textId="710786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参见《埃及的玛利亚传》，4月1日，以及《俄罗斯教会年鉴》全集第1卷，第46页。</w:t>
      </w:r>
    </w:p>
  </w:footnote>
  <w:footnote w:id="1861">
    <w:p w14:paraId="55A5BC15" w14:textId="5EC5B1B4"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参见上文注释1832中的原文</w:t>
      </w:r>
      <w:r w:rsidRPr="004C59BB">
        <w:rPr>
          <w:color w:val="0000FF"/>
        </w:rPr>
        <w:t>。</w:t>
      </w:r>
    </w:p>
  </w:footnote>
  <w:footnote w:id="1862">
    <w:p w14:paraId="5C2D3F64" w14:textId="10FE518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奥利金</w:t>
      </w:r>
      <w:r w:rsidRPr="0097554A">
        <w:rPr>
          <w:color w:val="0000FF"/>
          <w:lang w:val="ru-RU"/>
        </w:rPr>
        <w:t>，</w:t>
      </w:r>
      <w:r w:rsidRPr="004C59BB">
        <w:rPr>
          <w:color w:val="0000FF"/>
        </w:rPr>
        <w:t>《马太福音讲义》第XXVIII篇</w:t>
      </w:r>
      <w:r w:rsidRPr="0097554A">
        <w:rPr>
          <w:color w:val="0000FF"/>
          <w:lang w:val="ru-RU"/>
        </w:rPr>
        <w:t>，</w:t>
      </w:r>
      <w:r w:rsidRPr="004C59BB">
        <w:rPr>
          <w:color w:val="0000FF"/>
        </w:rPr>
        <w:t>第</w:t>
      </w:r>
      <w:r w:rsidRPr="0097554A">
        <w:rPr>
          <w:color w:val="0000FF"/>
          <w:lang w:val="ru-RU"/>
        </w:rPr>
        <w:t>38</w:t>
      </w:r>
      <w:r w:rsidRPr="004C59BB">
        <w:rPr>
          <w:color w:val="0000FF"/>
        </w:rPr>
        <w:t>节</w:t>
      </w:r>
      <w:r w:rsidRPr="0097554A">
        <w:rPr>
          <w:color w:val="0000FF"/>
          <w:lang w:val="ru-RU"/>
        </w:rPr>
        <w:t>；</w:t>
      </w:r>
      <w:r w:rsidRPr="004C59BB">
        <w:rPr>
          <w:color w:val="0000FF"/>
        </w:rPr>
        <w:t>《以赛亚书讲道集》第X篇</w:t>
      </w:r>
      <w:r w:rsidRPr="0097554A">
        <w:rPr>
          <w:color w:val="0000FF"/>
          <w:lang w:val="ru-RU"/>
        </w:rPr>
        <w:t>，</w:t>
      </w:r>
      <w:r w:rsidRPr="004C59BB">
        <w:rPr>
          <w:color w:val="0000FF"/>
        </w:rPr>
        <w:t>第</w:t>
      </w:r>
      <w:r w:rsidRPr="0097554A">
        <w:rPr>
          <w:color w:val="0000FF"/>
          <w:lang w:val="ru-RU"/>
        </w:rPr>
        <w:t>3</w:t>
      </w:r>
      <w:r w:rsidRPr="004C59BB">
        <w:rPr>
          <w:color w:val="0000FF"/>
        </w:rPr>
        <w:t>节</w:t>
      </w:r>
      <w:r w:rsidRPr="0097554A">
        <w:rPr>
          <w:color w:val="0000FF"/>
          <w:lang w:val="ru-RU"/>
        </w:rPr>
        <w:t>；</w:t>
      </w:r>
      <w:r w:rsidRPr="004C59BB">
        <w:rPr>
          <w:color w:val="0000FF"/>
        </w:rPr>
        <w:t>阿波罗尼乌斯</w:t>
      </w:r>
      <w:r w:rsidRPr="0097554A">
        <w:rPr>
          <w:color w:val="0000FF"/>
          <w:lang w:val="ru-RU"/>
        </w:rPr>
        <w:t>，</w:t>
      </w:r>
      <w:r w:rsidRPr="004C59BB">
        <w:rPr>
          <w:color w:val="0000FF"/>
        </w:rPr>
        <w:t>《反异教论》第IV卷末尾</w:t>
      </w:r>
      <w:r w:rsidRPr="0097554A">
        <w:rPr>
          <w:color w:val="0000FF"/>
          <w:lang w:val="ru-RU"/>
        </w:rPr>
        <w:t>；</w:t>
      </w:r>
      <w:r w:rsidRPr="004C59BB">
        <w:rPr>
          <w:color w:val="0000FF"/>
        </w:rPr>
        <w:t>优西比乌</w:t>
      </w:r>
      <w:r w:rsidRPr="0097554A">
        <w:rPr>
          <w:color w:val="0000FF"/>
          <w:lang w:val="ru-RU"/>
        </w:rPr>
        <w:t>，</w:t>
      </w:r>
      <w:r w:rsidRPr="004C59BB">
        <w:rPr>
          <w:color w:val="0000FF"/>
        </w:rPr>
        <w:t>《教会史》第VIII卷</w:t>
      </w:r>
      <w:r w:rsidRPr="0097554A">
        <w:rPr>
          <w:color w:val="0000FF"/>
          <w:lang w:val="ru-RU"/>
        </w:rPr>
        <w:t>，</w:t>
      </w:r>
      <w:r w:rsidRPr="004C59BB">
        <w:rPr>
          <w:color w:val="0000FF"/>
        </w:rPr>
        <w:t>第</w:t>
      </w:r>
      <w:r w:rsidRPr="0097554A">
        <w:rPr>
          <w:color w:val="0000FF"/>
          <w:lang w:val="ru-RU"/>
        </w:rPr>
        <w:t>13</w:t>
      </w:r>
      <w:r w:rsidRPr="004C59BB">
        <w:rPr>
          <w:color w:val="0000FF"/>
        </w:rPr>
        <w:t>章</w:t>
      </w:r>
      <w:r w:rsidRPr="0097554A">
        <w:rPr>
          <w:color w:val="0000FF"/>
          <w:lang w:val="ru-RU"/>
        </w:rPr>
        <w:t>；</w:t>
      </w:r>
      <w:r w:rsidRPr="004C59BB">
        <w:rPr>
          <w:color w:val="0000FF"/>
        </w:rPr>
        <w:t>拉克坦提乌斯</w:t>
      </w:r>
      <w:r w:rsidRPr="0097554A">
        <w:rPr>
          <w:color w:val="0000FF"/>
          <w:lang w:val="ru-RU"/>
        </w:rPr>
        <w:t>，</w:t>
      </w:r>
      <w:r w:rsidRPr="004C59BB">
        <w:rPr>
          <w:color w:val="0000FF"/>
        </w:rPr>
        <w:t>《论迫害之死》第</w:t>
      </w:r>
      <w:r w:rsidRPr="0097554A">
        <w:rPr>
          <w:color w:val="0000FF"/>
          <w:lang w:val="ru-RU"/>
        </w:rPr>
        <w:t>13</w:t>
      </w:r>
      <w:r w:rsidRPr="004C59BB">
        <w:rPr>
          <w:color w:val="0000FF"/>
        </w:rPr>
        <w:t>章等。</w:t>
      </w:r>
    </w:p>
  </w:footnote>
  <w:footnote w:id="1863">
    <w:p w14:paraId="71777D74" w14:textId="48B3BB5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伊里内斯</w:t>
      </w:r>
      <w:r w:rsidRPr="0097554A">
        <w:rPr>
          <w:color w:val="0000FF"/>
          <w:lang w:val="ru-RU"/>
        </w:rPr>
        <w:t>，</w:t>
      </w:r>
      <w:r w:rsidRPr="004C59BB">
        <w:rPr>
          <w:color w:val="0000FF"/>
        </w:rPr>
        <w:t>《反异端》</w:t>
      </w:r>
      <w:r w:rsidRPr="0097554A">
        <w:rPr>
          <w:color w:val="0000FF"/>
          <w:lang w:val="ru-RU"/>
        </w:rPr>
        <w:t>，</w:t>
      </w:r>
      <w:r w:rsidRPr="004C59BB">
        <w:rPr>
          <w:color w:val="0000FF"/>
        </w:rPr>
        <w:t>第</w:t>
      </w:r>
      <w:r w:rsidRPr="0097554A">
        <w:rPr>
          <w:color w:val="0000FF"/>
          <w:lang w:val="ru-RU"/>
        </w:rPr>
        <w:t>25</w:t>
      </w:r>
      <w:r w:rsidRPr="004C59BB">
        <w:rPr>
          <w:color w:val="0000FF"/>
        </w:rPr>
        <w:t>卷</w:t>
      </w:r>
      <w:r w:rsidRPr="0097554A">
        <w:rPr>
          <w:color w:val="0000FF"/>
          <w:lang w:val="ru-RU"/>
        </w:rPr>
        <w:t>，</w:t>
      </w:r>
      <w:r w:rsidRPr="004C59BB">
        <w:rPr>
          <w:color w:val="0000FF"/>
        </w:rPr>
        <w:t>注</w:t>
      </w:r>
      <w:r w:rsidRPr="0097554A">
        <w:rPr>
          <w:color w:val="0000FF"/>
          <w:lang w:val="ru-RU"/>
        </w:rPr>
        <w:t>6；</w:t>
      </w:r>
      <w:r w:rsidRPr="004C59BB">
        <w:rPr>
          <w:color w:val="0000FF"/>
        </w:rPr>
        <w:t>埃皮法尼乌斯</w:t>
      </w:r>
      <w:r w:rsidRPr="0097554A">
        <w:rPr>
          <w:color w:val="0000FF"/>
          <w:lang w:val="ru-RU"/>
        </w:rPr>
        <w:t>，</w:t>
      </w:r>
      <w:r w:rsidRPr="004C59BB">
        <w:rPr>
          <w:color w:val="0000FF"/>
        </w:rPr>
        <w:t>《异端论》</w:t>
      </w:r>
      <w:r w:rsidRPr="0097554A">
        <w:rPr>
          <w:color w:val="0000FF"/>
          <w:lang w:val="ru-RU"/>
        </w:rPr>
        <w:t>，</w:t>
      </w:r>
      <w:r w:rsidRPr="004C59BB">
        <w:rPr>
          <w:color w:val="0000FF"/>
        </w:rPr>
        <w:t>第</w:t>
      </w:r>
      <w:r w:rsidRPr="0097554A">
        <w:rPr>
          <w:color w:val="0000FF"/>
          <w:lang w:val="ru-RU"/>
        </w:rPr>
        <w:t>27</w:t>
      </w:r>
      <w:r w:rsidRPr="004C59BB">
        <w:rPr>
          <w:color w:val="0000FF"/>
        </w:rPr>
        <w:t>卷</w:t>
      </w:r>
      <w:r w:rsidRPr="0097554A">
        <w:rPr>
          <w:color w:val="0000FF"/>
          <w:lang w:val="ru-RU"/>
        </w:rPr>
        <w:t>；</w:t>
      </w:r>
      <w:r w:rsidRPr="004C59BB">
        <w:rPr>
          <w:color w:val="0000FF"/>
        </w:rPr>
        <w:t>奥古斯丁</w:t>
      </w:r>
      <w:r w:rsidRPr="0097554A">
        <w:rPr>
          <w:color w:val="0000FF"/>
          <w:lang w:val="ru-RU"/>
        </w:rPr>
        <w:t>，</w:t>
      </w:r>
      <w:r w:rsidRPr="004C59BB">
        <w:rPr>
          <w:color w:val="0000FF"/>
        </w:rPr>
        <w:t>《论异端》</w:t>
      </w:r>
      <w:r w:rsidRPr="0097554A">
        <w:rPr>
          <w:color w:val="0000FF"/>
          <w:lang w:val="ru-RU"/>
        </w:rPr>
        <w:t>，</w:t>
      </w:r>
      <w:r w:rsidRPr="004C59BB">
        <w:rPr>
          <w:color w:val="0000FF"/>
        </w:rPr>
        <w:t>第</w:t>
      </w:r>
      <w:r w:rsidRPr="0097554A">
        <w:rPr>
          <w:color w:val="0000FF"/>
          <w:lang w:val="ru-RU"/>
        </w:rPr>
        <w:t>7</w:t>
      </w:r>
      <w:r w:rsidRPr="004C59BB">
        <w:rPr>
          <w:color w:val="0000FF"/>
        </w:rPr>
        <w:t>章。</w:t>
      </w:r>
    </w:p>
  </w:footnote>
  <w:footnote w:id="1864">
    <w:p w14:paraId="2365C1B1" w14:textId="0FA75A1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伊里内斯</w:t>
      </w:r>
      <w:r w:rsidRPr="0097554A">
        <w:rPr>
          <w:color w:val="0000FF"/>
          <w:lang w:val="ru-RU"/>
        </w:rPr>
        <w:t>，</w:t>
      </w:r>
      <w:r w:rsidRPr="004C59BB">
        <w:rPr>
          <w:color w:val="0000FF"/>
        </w:rPr>
        <w:t>同上</w:t>
      </w:r>
      <w:r w:rsidRPr="0097554A">
        <w:rPr>
          <w:color w:val="0000FF"/>
          <w:lang w:val="ru-RU"/>
        </w:rPr>
        <w:t>；</w:t>
      </w:r>
      <w:r w:rsidRPr="004C59BB">
        <w:rPr>
          <w:color w:val="0000FF"/>
        </w:rPr>
        <w:t>埃皮法尼乌斯</w:t>
      </w:r>
      <w:r w:rsidRPr="0097554A">
        <w:rPr>
          <w:color w:val="0000FF"/>
          <w:lang w:val="ru-RU"/>
        </w:rPr>
        <w:t>，</w:t>
      </w:r>
      <w:r w:rsidRPr="004C59BB">
        <w:rPr>
          <w:color w:val="0000FF"/>
        </w:rPr>
        <w:t>《反异端》第XXVII卷</w:t>
      </w:r>
      <w:r w:rsidRPr="0097554A">
        <w:rPr>
          <w:color w:val="0000FF"/>
          <w:lang w:val="ru-RU"/>
        </w:rPr>
        <w:t>，</w:t>
      </w:r>
      <w:r w:rsidRPr="004C59BB">
        <w:rPr>
          <w:color w:val="0000FF"/>
        </w:rPr>
        <w:t>注</w:t>
      </w:r>
      <w:r w:rsidRPr="0097554A">
        <w:rPr>
          <w:color w:val="0000FF"/>
          <w:lang w:val="ru-RU"/>
        </w:rPr>
        <w:t>6；</w:t>
      </w:r>
      <w:r w:rsidRPr="004C59BB">
        <w:rPr>
          <w:color w:val="0000FF"/>
        </w:rPr>
        <w:t>狄奥多里特</w:t>
      </w:r>
      <w:r w:rsidRPr="0097554A">
        <w:rPr>
          <w:color w:val="0000FF"/>
          <w:lang w:val="ru-RU"/>
        </w:rPr>
        <w:t>，</w:t>
      </w:r>
      <w:r w:rsidRPr="004C59BB">
        <w:rPr>
          <w:color w:val="0000FF"/>
        </w:rPr>
        <w:t>《异端与虚构》第VII卷。</w:t>
      </w:r>
    </w:p>
  </w:footnote>
  <w:footnote w:id="1865">
    <w:p w14:paraId="33793D0C" w14:textId="769027AA"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会议决定</w:t>
      </w:r>
      <w:r w:rsidRPr="0097554A">
        <w:rPr>
          <w:color w:val="0000FF"/>
          <w:lang w:val="ru-RU"/>
        </w:rPr>
        <w:t>，</w:t>
      </w:r>
      <w:r w:rsidRPr="004C59BB">
        <w:rPr>
          <w:color w:val="0000FF"/>
        </w:rPr>
        <w:t>教堂内不应有绘画</w:t>
      </w:r>
      <w:r w:rsidRPr="0097554A">
        <w:rPr>
          <w:color w:val="0000FF"/>
          <w:lang w:val="ru-RU"/>
        </w:rPr>
        <w:t>，</w:t>
      </w:r>
      <w:r w:rsidRPr="004C59BB">
        <w:rPr>
          <w:color w:val="0000FF"/>
        </w:rPr>
        <w:t>以免被崇拜和敬拜的对象被绘制在墙上。”</w:t>
      </w:r>
    </w:p>
  </w:footnote>
  <w:footnote w:id="1866">
    <w:p w14:paraId="5215EC7E" w14:textId="31F16B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德·阿吉雷，《西班牙大公会议文集》，罗马，1693年，第1卷，第502页及后续。</w:t>
      </w:r>
    </w:p>
  </w:footnote>
  <w:footnote w:id="1867">
    <w:p w14:paraId="22582888" w14:textId="2025D1F0"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关于反对敬礼圣像的其他异议及其回应</w:t>
      </w:r>
      <w:r w:rsidRPr="0097554A">
        <w:rPr>
          <w:color w:val="0000FF"/>
        </w:rPr>
        <w:t>，</w:t>
      </w:r>
      <w:r w:rsidRPr="004C59BB">
        <w:rPr>
          <w:color w:val="0000FF"/>
          <w:lang w:val="ru-RU"/>
        </w:rPr>
        <w:t>参见《信仰之基》</w:t>
      </w:r>
      <w:r w:rsidRPr="0097554A">
        <w:rPr>
          <w:color w:val="0000FF"/>
        </w:rPr>
        <w:t>，</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115–200</w:t>
      </w:r>
      <w:r w:rsidRPr="004C59BB">
        <w:rPr>
          <w:color w:val="0000FF"/>
          <w:lang w:val="ru-RU"/>
        </w:rPr>
        <w:t>页</w:t>
      </w:r>
      <w:r w:rsidRPr="0097554A">
        <w:rPr>
          <w:color w:val="0000FF"/>
        </w:rPr>
        <w:t>（</w:t>
      </w:r>
      <w:r w:rsidRPr="004C59BB">
        <w:rPr>
          <w:color w:val="0000FF"/>
          <w:lang w:val="ru-RU"/>
        </w:rPr>
        <w:t>关于圣像的教义</w:t>
      </w:r>
      <w:r w:rsidRPr="0097554A">
        <w:rPr>
          <w:color w:val="0000FF"/>
        </w:rPr>
        <w:t>，</w:t>
      </w:r>
      <w:r w:rsidRPr="004C59BB">
        <w:rPr>
          <w:color w:val="0000FF"/>
        </w:rPr>
        <w:t>第XI</w:t>
      </w:r>
      <w:r w:rsidRPr="004C59BB">
        <w:rPr>
          <w:color w:val="0000FF"/>
          <w:lang w:val="ru-RU"/>
        </w:rPr>
        <w:t>部分</w:t>
      </w:r>
      <w:r w:rsidRPr="0097554A">
        <w:rPr>
          <w:color w:val="0000FF"/>
        </w:rPr>
        <w:t>，</w:t>
      </w:r>
      <w:r w:rsidRPr="004C59BB">
        <w:rPr>
          <w:color w:val="0000FF"/>
        </w:rPr>
        <w:t>第I</w:t>
      </w:r>
      <w:r w:rsidRPr="004C59BB">
        <w:rPr>
          <w:color w:val="0000FF"/>
          <w:lang w:val="ru-RU"/>
        </w:rPr>
        <w:t>章</w:t>
      </w:r>
      <w:r w:rsidRPr="004C59BB">
        <w:rPr>
          <w:color w:val="0000FF"/>
        </w:rPr>
        <w:t>）。</w:t>
      </w:r>
    </w:p>
  </w:footnote>
  <w:footnote w:id="1868">
    <w:p w14:paraId="3F64A85A" w14:textId="57FAAC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《希腊教义集》第XXXV章；参见《致正统派问答》第LXXV题。</w:t>
      </w:r>
    </w:p>
  </w:footnote>
  <w:footnote w:id="1869">
    <w:p w14:paraId="3CF2C5A6" w14:textId="2C1922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《论死亡》，第466页，Baluz版。</w:t>
      </w:r>
    </w:p>
  </w:footnote>
  <w:footnote w:id="1870">
    <w:p w14:paraId="2673B8A7" w14:textId="3BE769AF"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《诗篇讲义》第二卷，第48条；参见《诗篇讲义》第五十七卷</w:t>
      </w:r>
      <w:r w:rsidRPr="0097554A">
        <w:rPr>
          <w:color w:val="0000FF"/>
        </w:rPr>
        <w:t>，</w:t>
      </w:r>
      <w:r w:rsidRPr="004C59BB">
        <w:rPr>
          <w:color w:val="0000FF"/>
          <w:lang w:val="ru-RU"/>
        </w:rPr>
        <w:t>第</w:t>
      </w:r>
      <w:r w:rsidRPr="0097554A">
        <w:rPr>
          <w:color w:val="0000FF"/>
        </w:rPr>
        <w:t>5</w:t>
      </w:r>
      <w:r w:rsidRPr="004C59BB">
        <w:rPr>
          <w:color w:val="0000FF"/>
          <w:lang w:val="ru-RU"/>
        </w:rPr>
        <w:t>、</w:t>
      </w:r>
      <w:r w:rsidRPr="0097554A">
        <w:rPr>
          <w:color w:val="0000FF"/>
        </w:rPr>
        <w:t>6</w:t>
      </w:r>
      <w:r w:rsidRPr="004C59BB">
        <w:rPr>
          <w:color w:val="0000FF"/>
          <w:lang w:val="ru-RU"/>
        </w:rPr>
        <w:t>条。</w:t>
      </w:r>
    </w:p>
  </w:footnote>
  <w:footnote w:id="1871">
    <w:p w14:paraId="31034CC6" w14:textId="72958AE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w:t>
      </w:r>
      <w:r w:rsidRPr="0097554A">
        <w:rPr>
          <w:color w:val="0000FF"/>
        </w:rPr>
        <w:t>“</w:t>
      </w:r>
      <w:r w:rsidRPr="004C59BB">
        <w:rPr>
          <w:color w:val="0000FF"/>
          <w:lang w:val="ru-RU"/>
        </w:rPr>
        <w:t>没有复活</w:t>
      </w:r>
      <w:r w:rsidRPr="0097554A">
        <w:rPr>
          <w:color w:val="0000FF"/>
        </w:rPr>
        <w:t>”</w:t>
      </w:r>
      <w:r w:rsidRPr="004C59BB">
        <w:rPr>
          <w:color w:val="0000FF"/>
          <w:lang w:val="ru-RU"/>
        </w:rPr>
        <w:t>这一主张的论述</w:t>
      </w:r>
      <w:r w:rsidRPr="0097554A">
        <w:rPr>
          <w:color w:val="0000FF"/>
        </w:rPr>
        <w:t>，</w:t>
      </w:r>
      <w:r w:rsidRPr="004C59BB">
        <w:rPr>
          <w:color w:val="0000FF"/>
          <w:lang w:val="ru-RU"/>
        </w:rPr>
        <w:t>见《圣父著作集》</w:t>
      </w:r>
      <w:r w:rsidRPr="004C59BB">
        <w:rPr>
          <w:color w:val="0000FF"/>
        </w:rPr>
        <w:t>第十五卷</w:t>
      </w:r>
      <w:r w:rsidRPr="0097554A">
        <w:rPr>
          <w:color w:val="0000FF"/>
        </w:rPr>
        <w:t>，</w:t>
      </w:r>
      <w:r w:rsidRPr="004C59BB">
        <w:rPr>
          <w:color w:val="0000FF"/>
          <w:lang w:val="ru-RU"/>
        </w:rPr>
        <w:t>第</w:t>
      </w:r>
      <w:r w:rsidRPr="0097554A">
        <w:rPr>
          <w:color w:val="0000FF"/>
        </w:rPr>
        <w:t>115–118</w:t>
      </w:r>
      <w:r w:rsidRPr="004C59BB">
        <w:rPr>
          <w:color w:val="0000FF"/>
          <w:lang w:val="ru-RU"/>
        </w:rPr>
        <w:t>页。</w:t>
      </w:r>
    </w:p>
  </w:footnote>
  <w:footnote w:id="1872">
    <w:p w14:paraId="127C512C" w14:textId="5DE2947D"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关于死人复活的讲道</w:t>
      </w:r>
      <w:r w:rsidRPr="0097554A">
        <w:rPr>
          <w:color w:val="0000FF"/>
        </w:rPr>
        <w:t>，</w:t>
      </w:r>
      <w:r w:rsidRPr="004C59BB">
        <w:rPr>
          <w:color w:val="0000FF"/>
          <w:lang w:val="ru-RU"/>
        </w:rPr>
        <w:t>载于《基督教读物》</w:t>
      </w:r>
      <w:r w:rsidRPr="0097554A">
        <w:rPr>
          <w:color w:val="0000FF"/>
        </w:rPr>
        <w:t>1837</w:t>
      </w:r>
      <w:r w:rsidRPr="004C59BB">
        <w:rPr>
          <w:color w:val="0000FF"/>
          <w:lang w:val="ru-RU"/>
        </w:rPr>
        <w:t>年</w:t>
      </w:r>
      <w:r w:rsidRPr="0097554A">
        <w:rPr>
          <w:color w:val="0000FF"/>
        </w:rPr>
        <w:t>，</w:t>
      </w:r>
      <w:r w:rsidRPr="004C59BB">
        <w:rPr>
          <w:color w:val="0000FF"/>
        </w:rPr>
        <w:t>第三卷</w:t>
      </w:r>
      <w:r w:rsidRPr="0097554A">
        <w:rPr>
          <w:color w:val="0000FF"/>
        </w:rPr>
        <w:t>，</w:t>
      </w:r>
      <w:r w:rsidRPr="004C59BB">
        <w:rPr>
          <w:color w:val="0000FF"/>
          <w:lang w:val="ru-RU"/>
        </w:rPr>
        <w:t>第</w:t>
      </w:r>
      <w:r w:rsidRPr="0097554A">
        <w:rPr>
          <w:color w:val="0000FF"/>
        </w:rPr>
        <w:t>49</w:t>
      </w:r>
      <w:r w:rsidRPr="004C59BB">
        <w:rPr>
          <w:color w:val="0000FF"/>
          <w:lang w:val="ru-RU"/>
        </w:rPr>
        <w:t>页。</w:t>
      </w:r>
    </w:p>
  </w:footnote>
  <w:footnote w:id="1873">
    <w:p w14:paraId="2ACA07C1" w14:textId="258708A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(1878) </w:t>
      </w:r>
      <w:r w:rsidRPr="004C59BB">
        <w:rPr>
          <w:color w:val="0000FF"/>
          <w:lang w:val="ru-RU"/>
        </w:rPr>
        <w:t>《论上帝并非邪恶之源的讲道》</w:t>
      </w:r>
      <w:r w:rsidRPr="0097554A">
        <w:rPr>
          <w:color w:val="0000FF"/>
        </w:rPr>
        <w:t>，</w:t>
      </w:r>
      <w:r w:rsidRPr="004C59BB">
        <w:rPr>
          <w:color w:val="0000FF"/>
          <w:lang w:val="ru-RU"/>
        </w:rPr>
        <w:t>载于《圣父文集》</w:t>
      </w:r>
      <w:r w:rsidRPr="004C59BB">
        <w:rPr>
          <w:color w:val="0000FF"/>
        </w:rPr>
        <w:t>第八卷</w:t>
      </w:r>
      <w:r w:rsidRPr="0097554A">
        <w:rPr>
          <w:color w:val="0000FF"/>
        </w:rPr>
        <w:t>，</w:t>
      </w:r>
      <w:r w:rsidRPr="004C59BB">
        <w:rPr>
          <w:color w:val="0000FF"/>
          <w:lang w:val="ru-RU"/>
        </w:rPr>
        <w:t>第</w:t>
      </w:r>
      <w:r w:rsidRPr="0097554A">
        <w:rPr>
          <w:color w:val="0000FF"/>
        </w:rPr>
        <w:t>145</w:t>
      </w:r>
      <w:r w:rsidRPr="004C59BB">
        <w:rPr>
          <w:color w:val="0000FF"/>
          <w:lang w:val="ru-RU"/>
        </w:rPr>
        <w:t>页。</w:t>
      </w:r>
    </w:p>
  </w:footnote>
  <w:footnote w:id="1874">
    <w:p w14:paraId="765C5263" w14:textId="511A43A8"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《关于受洗动机的讲道》</w:t>
      </w:r>
      <w:r w:rsidRPr="0097554A">
        <w:rPr>
          <w:color w:val="0000FF"/>
        </w:rPr>
        <w:t>，</w:t>
      </w:r>
      <w:r w:rsidRPr="004C59BB">
        <w:rPr>
          <w:color w:val="0000FF"/>
          <w:lang w:val="ru-RU"/>
        </w:rPr>
        <w:t>同上</w:t>
      </w:r>
      <w:r w:rsidRPr="0097554A">
        <w:rPr>
          <w:color w:val="0000FF"/>
        </w:rPr>
        <w:t>，</w:t>
      </w:r>
      <w:r w:rsidRPr="004C59BB">
        <w:rPr>
          <w:color w:val="0000FF"/>
          <w:lang w:val="ru-RU"/>
        </w:rPr>
        <w:t>第</w:t>
      </w:r>
      <w:r w:rsidRPr="0097554A">
        <w:rPr>
          <w:color w:val="0000FF"/>
        </w:rPr>
        <w:t>241</w:t>
      </w:r>
      <w:r w:rsidRPr="004C59BB">
        <w:rPr>
          <w:color w:val="0000FF"/>
          <w:lang w:val="ru-RU"/>
        </w:rPr>
        <w:t>页。</w:t>
      </w:r>
    </w:p>
  </w:footnote>
  <w:footnote w:id="1875">
    <w:p w14:paraId="5C6A8FAA" w14:textId="05D59D6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特土良《论灵魂》，第2页；克利门特·亚历山大《认信》，第四卷，第14章；格里高利·尼萨《论那些推迟受洗者之讲道》，文集第二卷，第220页，莫雷尔版。</w:t>
      </w:r>
    </w:p>
  </w:footnote>
  <w:footnote w:id="1876">
    <w:p w14:paraId="5CD16208" w14:textId="768A69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“凡在世时未得罪孽赦免，便如此离世者，在神面前便灭亡，不再存在，只能在刑罚中受苦”（《以赛亚书注释》LXV）。</w:t>
      </w:r>
    </w:p>
  </w:footnote>
  <w:footnote w:id="1877">
    <w:p w14:paraId="24526E86" w14:textId="233B1B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义人的灵魂脱离肉体后便安息，而恶人则在受苦中消亡（《上帝之城》第XIII卷，第3章）。</w:t>
      </w:r>
    </w:p>
  </w:footnote>
  <w:footnote w:id="1878">
    <w:p w14:paraId="6F5A24CD" w14:textId="5E2785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格里高利大帝，《对话录》第四卷，第28章。</w:t>
      </w:r>
    </w:p>
  </w:footnote>
  <w:footnote w:id="1879">
    <w:p w14:paraId="3F79D3D2" w14:textId="2E2BA7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伊里内斯，《反异端》第四卷，12章，注1；特土良，《论灵魂》第55章；克利门特·亚历山大，</w:t>
      </w:r>
      <w:r w:rsidRPr="004C59BB">
        <w:rPr>
          <w:color w:val="0000FF"/>
          <w:lang w:val="ru-RU"/>
        </w:rPr>
        <w:t>《杂论》</w:t>
      </w:r>
      <w:r w:rsidRPr="004C59BB">
        <w:rPr>
          <w:color w:val="0000FF"/>
        </w:rPr>
        <w:t>第六</w:t>
      </w:r>
      <w:r w:rsidRPr="004C59BB">
        <w:rPr>
          <w:color w:val="0000FF"/>
          <w:lang w:val="ru-RU"/>
        </w:rPr>
        <w:t>卷</w:t>
      </w:r>
      <w:r w:rsidRPr="0097554A">
        <w:rPr>
          <w:color w:val="0000FF"/>
        </w:rPr>
        <w:t>，6</w:t>
      </w:r>
      <w:r w:rsidRPr="004C59BB">
        <w:rPr>
          <w:color w:val="0000FF"/>
          <w:lang w:val="ru-RU"/>
        </w:rPr>
        <w:t>章</w:t>
      </w:r>
      <w:r w:rsidRPr="0097554A">
        <w:rPr>
          <w:color w:val="0000FF"/>
        </w:rPr>
        <w:t>；</w:t>
      </w:r>
      <w:r w:rsidRPr="004C59BB">
        <w:rPr>
          <w:color w:val="0000FF"/>
          <w:lang w:val="ru-RU"/>
        </w:rPr>
        <w:t>大巴西勒</w:t>
      </w:r>
      <w:r w:rsidRPr="0097554A">
        <w:rPr>
          <w:color w:val="0000FF"/>
        </w:rPr>
        <w:t>，</w:t>
      </w:r>
      <w:r w:rsidRPr="004C59BB">
        <w:rPr>
          <w:color w:val="0000FF"/>
          <w:lang w:val="ru-RU"/>
        </w:rPr>
        <w:t>《诗篇》</w:t>
      </w:r>
      <w:r w:rsidRPr="004C59BB">
        <w:rPr>
          <w:color w:val="0000FF"/>
        </w:rPr>
        <w:t>第四十八篇</w:t>
      </w:r>
      <w:r w:rsidRPr="004C59BB">
        <w:rPr>
          <w:color w:val="0000FF"/>
          <w:lang w:val="ru-RU"/>
        </w:rPr>
        <w:t>讲道</w:t>
      </w:r>
      <w:r w:rsidRPr="0097554A">
        <w:rPr>
          <w:color w:val="0000FF"/>
        </w:rPr>
        <w:t>，</w:t>
      </w:r>
      <w:r w:rsidRPr="004C59BB">
        <w:rPr>
          <w:color w:val="0000FF"/>
          <w:lang w:val="ru-RU"/>
        </w:rPr>
        <w:t>载于《圣教父文集》</w:t>
      </w:r>
      <w:r w:rsidRPr="004C59BB">
        <w:rPr>
          <w:color w:val="0000FF"/>
        </w:rPr>
        <w:t>第五</w:t>
      </w:r>
      <w:r w:rsidRPr="004C59BB">
        <w:rPr>
          <w:color w:val="0000FF"/>
          <w:lang w:val="ru-RU"/>
        </w:rPr>
        <w:t>卷</w:t>
      </w:r>
      <w:r w:rsidRPr="0097554A">
        <w:rPr>
          <w:color w:val="0000FF"/>
        </w:rPr>
        <w:t>，371</w:t>
      </w:r>
      <w:r w:rsidRPr="004C59BB">
        <w:rPr>
          <w:color w:val="0000FF"/>
          <w:lang w:val="ru-RU"/>
        </w:rPr>
        <w:t>页</w:t>
      </w:r>
      <w:r w:rsidRPr="0097554A">
        <w:rPr>
          <w:color w:val="0000FF"/>
        </w:rPr>
        <w:t xml:space="preserve">； </w:t>
      </w:r>
      <w:r w:rsidRPr="004C59BB">
        <w:rPr>
          <w:color w:val="0000FF"/>
          <w:lang w:val="ru-RU"/>
        </w:rPr>
        <w:t>埃皮法尼乌斯</w:t>
      </w:r>
      <w:r w:rsidRPr="0097554A">
        <w:rPr>
          <w:color w:val="0000FF"/>
        </w:rPr>
        <w:t>，</w:t>
      </w:r>
      <w:r w:rsidRPr="004C59BB">
        <w:rPr>
          <w:color w:val="0000FF"/>
          <w:lang w:val="ru-RU"/>
        </w:rPr>
        <w:t>《</w:t>
      </w:r>
      <w:r w:rsidRPr="004C59BB">
        <w:rPr>
          <w:color w:val="0000FF"/>
        </w:rPr>
        <w:t>论异端</w:t>
      </w:r>
      <w:r w:rsidRPr="004C59BB">
        <w:rPr>
          <w:color w:val="0000FF"/>
          <w:lang w:val="ru-RU"/>
        </w:rPr>
        <w:t>》</w:t>
      </w:r>
      <w:r w:rsidRPr="004C59BB">
        <w:rPr>
          <w:color w:val="0000FF"/>
        </w:rPr>
        <w:t>第LXIX</w:t>
      </w:r>
      <w:r w:rsidRPr="004C59BB">
        <w:rPr>
          <w:color w:val="0000FF"/>
          <w:lang w:val="ru-RU"/>
        </w:rPr>
        <w:t>卷</w:t>
      </w:r>
      <w:r w:rsidRPr="0097554A">
        <w:rPr>
          <w:color w:val="0000FF"/>
        </w:rPr>
        <w:t>，</w:t>
      </w:r>
      <w:r w:rsidRPr="004C59BB">
        <w:rPr>
          <w:color w:val="0000FF"/>
          <w:lang w:val="ru-RU"/>
        </w:rPr>
        <w:t>第</w:t>
      </w:r>
      <w:r w:rsidRPr="0097554A">
        <w:rPr>
          <w:color w:val="0000FF"/>
        </w:rPr>
        <w:t>62</w:t>
      </w:r>
      <w:r w:rsidRPr="004C59BB">
        <w:rPr>
          <w:color w:val="0000FF"/>
          <w:lang w:val="ru-RU"/>
        </w:rPr>
        <w:t>节</w:t>
      </w:r>
      <w:r w:rsidRPr="0097554A">
        <w:rPr>
          <w:color w:val="0000FF"/>
        </w:rPr>
        <w:t>；</w:t>
      </w:r>
      <w:r w:rsidRPr="004C59BB">
        <w:rPr>
          <w:color w:val="0000FF"/>
          <w:lang w:val="ru-RU"/>
        </w:rPr>
        <w:t>伊拉里乌斯</w:t>
      </w:r>
      <w:r w:rsidRPr="0097554A">
        <w:rPr>
          <w:color w:val="0000FF"/>
        </w:rPr>
        <w:t>，</w:t>
      </w:r>
      <w:r w:rsidRPr="004C59BB">
        <w:rPr>
          <w:color w:val="0000FF"/>
        </w:rPr>
        <w:t>《诗篇注释</w:t>
      </w:r>
      <w:r w:rsidRPr="004C59BB">
        <w:rPr>
          <w:color w:val="0000FF"/>
          <w:lang w:val="ru-RU"/>
        </w:rPr>
        <w:t>》</w:t>
      </w:r>
      <w:r w:rsidRPr="004C59BB">
        <w:rPr>
          <w:color w:val="0000FF"/>
        </w:rPr>
        <w:t>第LIII</w:t>
      </w:r>
      <w:r w:rsidRPr="004C59BB">
        <w:rPr>
          <w:color w:val="0000FF"/>
          <w:lang w:val="ru-RU"/>
        </w:rPr>
        <w:t>篇</w:t>
      </w:r>
      <w:r w:rsidRPr="0097554A">
        <w:rPr>
          <w:color w:val="0000FF"/>
        </w:rPr>
        <w:t>，</w:t>
      </w:r>
      <w:r w:rsidRPr="004C59BB">
        <w:rPr>
          <w:color w:val="0000FF"/>
          <w:lang w:val="ru-RU"/>
        </w:rPr>
        <w:t>第</w:t>
      </w:r>
      <w:r w:rsidRPr="0097554A">
        <w:rPr>
          <w:color w:val="0000FF"/>
        </w:rPr>
        <w:t>14</w:t>
      </w:r>
      <w:r w:rsidRPr="004C59BB">
        <w:rPr>
          <w:color w:val="0000FF"/>
          <w:lang w:val="ru-RU"/>
        </w:rPr>
        <w:t>节</w:t>
      </w:r>
      <w:r w:rsidRPr="0097554A">
        <w:rPr>
          <w:color w:val="0000FF"/>
        </w:rPr>
        <w:t>；</w:t>
      </w:r>
      <w:r w:rsidRPr="004C59BB">
        <w:rPr>
          <w:color w:val="0000FF"/>
          <w:lang w:val="ru-RU"/>
        </w:rPr>
        <w:t>杰罗姆</w:t>
      </w:r>
      <w:r w:rsidRPr="0097554A">
        <w:rPr>
          <w:color w:val="0000FF"/>
        </w:rPr>
        <w:t>，</w:t>
      </w:r>
      <w:r w:rsidRPr="004C59BB">
        <w:rPr>
          <w:color w:val="0000FF"/>
          <w:lang w:val="ru-RU"/>
        </w:rPr>
        <w:t>《</w:t>
      </w:r>
      <w:r w:rsidRPr="004C59BB">
        <w:rPr>
          <w:color w:val="0000FF"/>
        </w:rPr>
        <w:t>以弗所书</w:t>
      </w:r>
      <w:r w:rsidRPr="004C59BB">
        <w:rPr>
          <w:color w:val="0000FF"/>
          <w:lang w:val="ru-RU"/>
        </w:rPr>
        <w:t>注释》</w:t>
      </w:r>
      <w:r w:rsidRPr="004C59BB">
        <w:rPr>
          <w:color w:val="0000FF"/>
        </w:rPr>
        <w:t>第IV</w:t>
      </w:r>
      <w:r w:rsidRPr="004C59BB">
        <w:rPr>
          <w:color w:val="0000FF"/>
          <w:lang w:val="ru-RU"/>
        </w:rPr>
        <w:t>章</w:t>
      </w:r>
      <w:r w:rsidRPr="0097554A">
        <w:rPr>
          <w:color w:val="0000FF"/>
        </w:rPr>
        <w:t>，</w:t>
      </w:r>
      <w:r w:rsidRPr="004C59BB">
        <w:rPr>
          <w:color w:val="0000FF"/>
          <w:lang w:val="ru-RU"/>
        </w:rPr>
        <w:t>第</w:t>
      </w:r>
      <w:r w:rsidRPr="0097554A">
        <w:rPr>
          <w:color w:val="0000FF"/>
        </w:rPr>
        <w:t>10</w:t>
      </w:r>
      <w:r w:rsidRPr="004C59BB">
        <w:rPr>
          <w:color w:val="0000FF"/>
          <w:lang w:val="ru-RU"/>
        </w:rPr>
        <w:t>节。另见上文注释1868、1871–1874。</w:t>
      </w:r>
    </w:p>
  </w:footnote>
  <w:footnote w:id="1880">
    <w:p w14:paraId="2E05490B" w14:textId="6A98B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瓦库尔大主教对《以赛亚书》</w:t>
      </w:r>
      <w:r w:rsidRPr="004C59BB">
        <w:rPr>
          <w:color w:val="0000FF"/>
        </w:rPr>
        <w:t>第五</w:t>
      </w:r>
      <w:r w:rsidRPr="004C59BB">
        <w:rPr>
          <w:color w:val="0000FF"/>
          <w:lang w:val="ru-RU"/>
        </w:rPr>
        <w:t>章第14节的注释，载于《圣父著作集》</w:t>
      </w:r>
      <w:r w:rsidRPr="004C59BB">
        <w:rPr>
          <w:color w:val="0000FF"/>
        </w:rPr>
        <w:t>第六</w:t>
      </w:r>
      <w:r w:rsidRPr="004C59BB">
        <w:rPr>
          <w:color w:val="0000FF"/>
          <w:lang w:val="ru-RU"/>
        </w:rPr>
        <w:t>卷，第222页；阿法纳西大主教致安提阿的书信，对第19个问题的回答，载于《基督教读本》1842年版，</w:t>
      </w:r>
      <w:r w:rsidRPr="004C59BB">
        <w:rPr>
          <w:color w:val="0000FF"/>
        </w:rPr>
        <w:t>第二</w:t>
      </w:r>
      <w:r w:rsidRPr="004C59BB">
        <w:rPr>
          <w:color w:val="0000FF"/>
          <w:lang w:val="ru-RU"/>
        </w:rPr>
        <w:t>卷，第224页。</w:t>
      </w:r>
    </w:p>
  </w:footnote>
  <w:footnote w:id="1881">
    <w:p w14:paraId="4E6D509D" w14:textId="1DFBB1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“你问：地狱将在何处？依我之见，是在这整个世界之外的某处。正如王室的牢狱和矿坑往往位于远方；地狱也将在这个宇宙之外的某处”（《罗马书讲道集》</w:t>
      </w:r>
      <w:r w:rsidRPr="004C59BB">
        <w:rPr>
          <w:color w:val="0000FF"/>
        </w:rPr>
        <w:t>第XXXI</w:t>
      </w:r>
      <w:r w:rsidRPr="004C59BB">
        <w:rPr>
          <w:color w:val="0000FF"/>
          <w:lang w:val="ru-RU"/>
        </w:rPr>
        <w:t>篇，第703页，据俄文译本）。</w:t>
      </w:r>
    </w:p>
  </w:footnote>
  <w:footnote w:id="1882">
    <w:p w14:paraId="087E2DB9" w14:textId="2F9EE4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同上，第702、703页。</w:t>
      </w:r>
      <w:r w:rsidRPr="004C59BB">
        <w:rPr>
          <w:color w:val="0000FF"/>
        </w:rPr>
        <w:t>参见</w:t>
      </w:r>
      <w:r w:rsidRPr="004C59BB">
        <w:rPr>
          <w:color w:val="0000FF"/>
          <w:lang w:val="ru-RU"/>
        </w:rPr>
        <w:t>奥古斯丁</w:t>
      </w:r>
      <w:r w:rsidRPr="004C59BB">
        <w:rPr>
          <w:color w:val="0000FF"/>
        </w:rPr>
        <w:t>《上帝之城</w:t>
      </w:r>
      <w:r w:rsidRPr="004C59BB">
        <w:rPr>
          <w:color w:val="0000FF"/>
          <w:lang w:val="ru-RU"/>
        </w:rPr>
        <w:t>》</w:t>
      </w:r>
      <w:r w:rsidRPr="004C59BB">
        <w:rPr>
          <w:color w:val="0000FF"/>
        </w:rPr>
        <w:t>第</w:t>
      </w:r>
      <w:r w:rsidRPr="0097554A">
        <w:rPr>
          <w:color w:val="0000FF"/>
          <w:lang w:val="ru-RU"/>
        </w:rPr>
        <w:t>20</w:t>
      </w:r>
      <w:r w:rsidRPr="004C59BB">
        <w:rPr>
          <w:color w:val="0000FF"/>
        </w:rPr>
        <w:t>卷</w:t>
      </w:r>
      <w:r w:rsidRPr="004C59BB">
        <w:rPr>
          <w:color w:val="0000FF"/>
          <w:lang w:val="ru-RU"/>
        </w:rPr>
        <w:t>，第16章。</w:t>
      </w:r>
    </w:p>
  </w:footnote>
  <w:footnote w:id="1883">
    <w:p w14:paraId="37CD4843" w14:textId="51A320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对我而言，他们未来的折磨以及等待罪人的刑罚更为令人痛心。我甚至还没提到最严厉的惩罚，即上帝对他们的弃绝将给他们带来何等巨大的痛苦”（《针对尤利安的谴责讲道》第1篇，载于《圣教父文集》第1卷，第115页）。</w:t>
      </w:r>
    </w:p>
  </w:footnote>
  <w:footnote w:id="1884">
    <w:p w14:paraId="2E4D609A" w14:textId="6F5042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难道没有特殊的折磨吗？有。是什么？是绝望，是感受到上帝的愤怒，是被剥夺永恒的福分，是身处黑暗而可怕的地方，是时刻看见魔鬼并与之共处，以及由此带来的灵魂折磨，是永不熄灭的烈火，是永不消亡的良心蛀虫”（圣迪米特里·罗斯托夫。 文集第1卷，第60页）。</w:t>
      </w:r>
    </w:p>
  </w:footnote>
  <w:footnote w:id="1885">
    <w:p w14:paraId="6D337430" w14:textId="4D5278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与特里丰的对话</w:t>
      </w:r>
      <w:r w:rsidRPr="004C59BB">
        <w:rPr>
          <w:color w:val="0000FF"/>
          <w:lang w:val="ru-RU"/>
        </w:rPr>
        <w:t>》，第5章。</w:t>
      </w:r>
    </w:p>
  </w:footnote>
  <w:footnote w:id="1886">
    <w:p w14:paraId="6C9C3E15" w14:textId="3631D6E1"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致安提阿的书信，对</w:t>
      </w:r>
      <w:r w:rsidRPr="004C59BB">
        <w:rPr>
          <w:color w:val="0000FF"/>
        </w:rPr>
        <w:t>第</w:t>
      </w:r>
      <w:r w:rsidRPr="0097554A">
        <w:rPr>
          <w:color w:val="0000FF"/>
          <w:lang w:val="ru-RU"/>
        </w:rPr>
        <w:t>20</w:t>
      </w:r>
      <w:r w:rsidRPr="004C59BB">
        <w:rPr>
          <w:color w:val="0000FF"/>
        </w:rPr>
        <w:t>个</w:t>
      </w:r>
      <w:r w:rsidRPr="004C59BB">
        <w:rPr>
          <w:color w:val="0000FF"/>
          <w:lang w:val="ru-RU"/>
        </w:rPr>
        <w:t>问题的回答</w:t>
      </w:r>
      <w:r w:rsidRPr="0097554A">
        <w:rPr>
          <w:color w:val="0000FF"/>
          <w:lang w:val="ru-RU"/>
        </w:rPr>
        <w:t>，</w:t>
      </w:r>
      <w:r w:rsidRPr="004C59BB">
        <w:rPr>
          <w:color w:val="0000FF"/>
        </w:rPr>
        <w:t>载于《基督教读物》</w:t>
      </w:r>
      <w:r w:rsidRPr="0097554A">
        <w:rPr>
          <w:color w:val="0000FF"/>
          <w:lang w:val="ru-RU"/>
        </w:rPr>
        <w:t>1842</w:t>
      </w:r>
      <w:r w:rsidRPr="004C59BB">
        <w:rPr>
          <w:color w:val="0000FF"/>
        </w:rPr>
        <w:t>年</w:t>
      </w:r>
      <w:r w:rsidRPr="0097554A">
        <w:rPr>
          <w:color w:val="0000FF"/>
          <w:lang w:val="ru-RU"/>
        </w:rPr>
        <w:t>，</w:t>
      </w:r>
      <w:r w:rsidRPr="004C59BB">
        <w:rPr>
          <w:color w:val="0000FF"/>
        </w:rPr>
        <w:t>第二卷</w:t>
      </w:r>
      <w:r w:rsidRPr="0097554A">
        <w:rPr>
          <w:color w:val="0000FF"/>
          <w:lang w:val="ru-RU"/>
        </w:rPr>
        <w:t>，</w:t>
      </w:r>
      <w:r w:rsidRPr="004C59BB">
        <w:rPr>
          <w:color w:val="0000FF"/>
        </w:rPr>
        <w:t>第</w:t>
      </w:r>
      <w:r w:rsidRPr="0097554A">
        <w:rPr>
          <w:color w:val="0000FF"/>
          <w:lang w:val="ru-RU"/>
        </w:rPr>
        <w:t>224</w:t>
      </w:r>
      <w:r w:rsidRPr="004C59BB">
        <w:rPr>
          <w:color w:val="0000FF"/>
        </w:rPr>
        <w:t>页。</w:t>
      </w:r>
    </w:p>
  </w:footnote>
  <w:footnote w:id="1887">
    <w:p w14:paraId="200795F4" w14:textId="0DBDA30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(1887) </w:t>
      </w:r>
      <w:r w:rsidRPr="004C59BB">
        <w:rPr>
          <w:color w:val="0000FF"/>
        </w:rPr>
        <w:t>《论死亡之善》第</w:t>
      </w:r>
      <w:r w:rsidRPr="0097554A">
        <w:rPr>
          <w:color w:val="0000FF"/>
          <w:lang w:val="ru-RU"/>
        </w:rPr>
        <w:t>10</w:t>
      </w:r>
      <w:r w:rsidRPr="004C59BB">
        <w:rPr>
          <w:color w:val="0000FF"/>
        </w:rPr>
        <w:t>章。</w:t>
      </w:r>
    </w:p>
  </w:footnote>
  <w:footnote w:id="1888">
    <w:p w14:paraId="039D9435" w14:textId="0E837F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w:t>
      </w:r>
      <w:r w:rsidRPr="004C59BB">
        <w:rPr>
          <w:color w:val="0000FF"/>
          <w:lang w:val="ru-RU"/>
        </w:rPr>
        <w:t>马太福音讲道集》</w:t>
      </w:r>
      <w:r w:rsidRPr="004C59BB">
        <w:rPr>
          <w:color w:val="0000FF"/>
        </w:rPr>
        <w:t>第XXVIII</w:t>
      </w:r>
      <w:r w:rsidRPr="004C59BB">
        <w:rPr>
          <w:color w:val="0000FF"/>
          <w:lang w:val="ru-RU"/>
        </w:rPr>
        <w:t>篇，第3节，载于</w:t>
      </w:r>
      <w:r w:rsidRPr="004C59BB">
        <w:rPr>
          <w:color w:val="0000FF"/>
        </w:rPr>
        <w:t>第I</w:t>
      </w:r>
      <w:r w:rsidRPr="004C59BB">
        <w:rPr>
          <w:color w:val="0000FF"/>
          <w:lang w:val="ru-RU"/>
        </w:rPr>
        <w:t>卷，第581页。</w:t>
      </w:r>
    </w:p>
  </w:footnote>
  <w:footnote w:id="1889">
    <w:p w14:paraId="099B749C" w14:textId="6866D83E" w:rsidR="00254F25" w:rsidRPr="004C59BB" w:rsidRDefault="00000000">
      <w:pPr>
        <w:pStyle w:val="FootnoteText"/>
        <w:rPr>
          <w:color w:val="0000FF"/>
        </w:rPr>
      </w:pPr>
      <w:r w:rsidRPr="004C59BB">
        <w:rPr>
          <w:rStyle w:val="FootnoteReference"/>
          <w:color w:val="0000FF"/>
        </w:rPr>
        <w:footnoteRef/>
      </w:r>
      <w:r w:rsidRPr="0097554A">
        <w:rPr>
          <w:color w:val="0000FF"/>
          <w:lang w:val="ru-RU"/>
        </w:rPr>
        <w:t xml:space="preserve"> </w:t>
      </w:r>
      <w:r w:rsidRPr="004C59BB">
        <w:rPr>
          <w:color w:val="0000FF"/>
        </w:rPr>
        <w:t>《约翰福音讲义》第</w:t>
      </w:r>
      <w:r w:rsidRPr="0097554A">
        <w:rPr>
          <w:color w:val="0000FF"/>
          <w:lang w:val="ru-RU"/>
        </w:rPr>
        <w:t>49</w:t>
      </w:r>
      <w:r w:rsidRPr="004C59BB">
        <w:rPr>
          <w:color w:val="0000FF"/>
        </w:rPr>
        <w:t>篇</w:t>
      </w:r>
      <w:r w:rsidRPr="0097554A">
        <w:rPr>
          <w:color w:val="0000FF"/>
          <w:lang w:val="ru-RU"/>
        </w:rPr>
        <w:t>；</w:t>
      </w:r>
      <w:r w:rsidRPr="004C59BB">
        <w:rPr>
          <w:color w:val="0000FF"/>
        </w:rPr>
        <w:t>参见《上帝之城》第</w:t>
      </w:r>
      <w:r w:rsidRPr="0097554A">
        <w:rPr>
          <w:color w:val="0000FF"/>
          <w:lang w:val="ru-RU"/>
        </w:rPr>
        <w:t>1</w:t>
      </w:r>
      <w:r w:rsidRPr="004C59BB">
        <w:rPr>
          <w:color w:val="0000FF"/>
        </w:rPr>
        <w:t>卷第</w:t>
      </w:r>
      <w:r w:rsidRPr="0097554A">
        <w:rPr>
          <w:color w:val="0000FF"/>
          <w:lang w:val="ru-RU"/>
        </w:rPr>
        <w:t>13</w:t>
      </w:r>
      <w:r w:rsidRPr="004C59BB">
        <w:rPr>
          <w:color w:val="0000FF"/>
        </w:rPr>
        <w:t>章</w:t>
      </w:r>
      <w:r w:rsidRPr="0097554A">
        <w:rPr>
          <w:color w:val="0000FF"/>
          <w:lang w:val="ru-RU"/>
        </w:rPr>
        <w:t>；</w:t>
      </w:r>
      <w:r w:rsidRPr="004C59BB">
        <w:rPr>
          <w:color w:val="0000FF"/>
        </w:rPr>
        <w:t>第</w:t>
      </w:r>
      <w:r w:rsidRPr="0097554A">
        <w:rPr>
          <w:color w:val="0000FF"/>
          <w:lang w:val="ru-RU"/>
        </w:rPr>
        <w:t>12</w:t>
      </w:r>
      <w:r w:rsidRPr="004C59BB">
        <w:rPr>
          <w:color w:val="0000FF"/>
        </w:rPr>
        <w:t>卷第</w:t>
      </w:r>
      <w:r w:rsidRPr="0097554A">
        <w:rPr>
          <w:color w:val="0000FF"/>
          <w:lang w:val="ru-RU"/>
        </w:rPr>
        <w:t>9</w:t>
      </w:r>
      <w:r w:rsidRPr="004C59BB">
        <w:rPr>
          <w:color w:val="0000FF"/>
        </w:rPr>
        <w:t>章</w:t>
      </w:r>
      <w:r w:rsidRPr="0097554A">
        <w:rPr>
          <w:color w:val="0000FF"/>
          <w:lang w:val="ru-RU"/>
        </w:rPr>
        <w:t>，</w:t>
      </w:r>
      <w:r w:rsidRPr="004C59BB">
        <w:rPr>
          <w:color w:val="0000FF"/>
        </w:rPr>
        <w:t>第</w:t>
      </w:r>
      <w:r w:rsidRPr="0097554A">
        <w:rPr>
          <w:color w:val="0000FF"/>
          <w:lang w:val="ru-RU"/>
        </w:rPr>
        <w:t>2</w:t>
      </w:r>
      <w:r w:rsidRPr="004C59BB">
        <w:rPr>
          <w:color w:val="0000FF"/>
        </w:rPr>
        <w:t>条</w:t>
      </w:r>
      <w:r w:rsidRPr="0097554A">
        <w:rPr>
          <w:color w:val="0000FF"/>
          <w:lang w:val="ru-RU"/>
        </w:rPr>
        <w:t>；</w:t>
      </w:r>
      <w:r w:rsidRPr="004C59BB">
        <w:rPr>
          <w:color w:val="0000FF"/>
        </w:rPr>
        <w:t>第</w:t>
      </w:r>
      <w:r w:rsidRPr="0097554A">
        <w:rPr>
          <w:color w:val="0000FF"/>
          <w:lang w:val="ru-RU"/>
        </w:rPr>
        <w:t>20</w:t>
      </w:r>
      <w:r w:rsidRPr="004C59BB">
        <w:rPr>
          <w:color w:val="0000FF"/>
        </w:rPr>
        <w:t>卷第</w:t>
      </w:r>
      <w:r w:rsidRPr="0097554A">
        <w:rPr>
          <w:color w:val="0000FF"/>
          <w:lang w:val="ru-RU"/>
        </w:rPr>
        <w:t>9</w:t>
      </w:r>
      <w:r w:rsidRPr="004C59BB">
        <w:rPr>
          <w:color w:val="0000FF"/>
        </w:rPr>
        <w:t>章</w:t>
      </w:r>
      <w:r w:rsidRPr="0097554A">
        <w:rPr>
          <w:color w:val="0000FF"/>
          <w:lang w:val="ru-RU"/>
        </w:rPr>
        <w:t>，</w:t>
      </w:r>
      <w:r w:rsidRPr="004C59BB">
        <w:rPr>
          <w:color w:val="0000FF"/>
        </w:rPr>
        <w:t>第</w:t>
      </w:r>
      <w:r w:rsidRPr="0097554A">
        <w:rPr>
          <w:color w:val="0000FF"/>
          <w:lang w:val="ru-RU"/>
        </w:rPr>
        <w:t>2</w:t>
      </w:r>
      <w:r w:rsidRPr="004C59BB">
        <w:rPr>
          <w:color w:val="0000FF"/>
        </w:rPr>
        <w:t>条。3.</w:t>
      </w:r>
    </w:p>
  </w:footnote>
  <w:footnote w:id="1890">
    <w:p w14:paraId="084C0FBB" w14:textId="4774B4FC"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关于某些人，若非他们——即使不是在今世，至少在来世——会得到宽恕，则不能确切地说他们既不会在今世也不会来世得到宽恕（奥古斯丁《上帝之城》第 XXI</w:t>
      </w:r>
      <w:r w:rsidRPr="0097554A">
        <w:rPr>
          <w:color w:val="0000FF"/>
        </w:rPr>
        <w:t xml:space="preserve"> </w:t>
      </w:r>
      <w:r w:rsidRPr="004C59BB">
        <w:rPr>
          <w:color w:val="0000FF"/>
          <w:lang w:val="ru-RU"/>
        </w:rPr>
        <w:t>卷</w:t>
      </w:r>
      <w:r w:rsidRPr="0097554A">
        <w:rPr>
          <w:color w:val="0000FF"/>
        </w:rPr>
        <w:t>，</w:t>
      </w:r>
      <w:r w:rsidRPr="004C59BB">
        <w:rPr>
          <w:color w:val="0000FF"/>
        </w:rPr>
        <w:t>第</w:t>
      </w:r>
      <w:r w:rsidRPr="0097554A">
        <w:rPr>
          <w:color w:val="0000FF"/>
        </w:rPr>
        <w:t xml:space="preserve"> 24</w:t>
      </w:r>
      <w:r w:rsidRPr="004C59BB">
        <w:rPr>
          <w:color w:val="0000FF"/>
        </w:rPr>
        <w:t xml:space="preserve"> 章</w:t>
      </w:r>
      <w:r w:rsidRPr="0097554A">
        <w:rPr>
          <w:color w:val="0000FF"/>
        </w:rPr>
        <w:t>，</w:t>
      </w:r>
      <w:r w:rsidRPr="004C59BB">
        <w:rPr>
          <w:color w:val="0000FF"/>
          <w:lang w:val="ru-RU"/>
        </w:rPr>
        <w:t>第</w:t>
      </w:r>
      <w:r w:rsidRPr="0097554A">
        <w:rPr>
          <w:color w:val="0000FF"/>
        </w:rPr>
        <w:t xml:space="preserve"> 2 </w:t>
      </w:r>
      <w:r w:rsidRPr="004C59BB">
        <w:rPr>
          <w:color w:val="0000FF"/>
          <w:lang w:val="ru-RU"/>
        </w:rPr>
        <w:t>节</w:t>
      </w:r>
      <w:r w:rsidRPr="0097554A">
        <w:rPr>
          <w:color w:val="0000FF"/>
        </w:rPr>
        <w:t>；</w:t>
      </w:r>
      <w:r w:rsidRPr="004C59BB">
        <w:rPr>
          <w:color w:val="0000FF"/>
        </w:rPr>
        <w:t>参见</w:t>
      </w:r>
      <w:r w:rsidRPr="004C59BB">
        <w:rPr>
          <w:color w:val="0000FF"/>
          <w:lang w:val="ru-RU"/>
        </w:rPr>
        <w:t>大格里高利《</w:t>
      </w:r>
      <w:r w:rsidRPr="004C59BB">
        <w:rPr>
          <w:color w:val="0000FF"/>
        </w:rPr>
        <w:t>对话录</w:t>
      </w:r>
      <w:r w:rsidRPr="004C59BB">
        <w:rPr>
          <w:color w:val="0000FF"/>
          <w:lang w:val="ru-RU"/>
        </w:rPr>
        <w:t>》</w:t>
      </w:r>
      <w:r w:rsidRPr="004C59BB">
        <w:rPr>
          <w:color w:val="0000FF"/>
        </w:rPr>
        <w:t>第 IV</w:t>
      </w:r>
      <w:r w:rsidRPr="0097554A">
        <w:rPr>
          <w:color w:val="0000FF"/>
        </w:rPr>
        <w:t xml:space="preserve"> </w:t>
      </w:r>
      <w:r w:rsidRPr="004C59BB">
        <w:rPr>
          <w:color w:val="0000FF"/>
          <w:lang w:val="ru-RU"/>
        </w:rPr>
        <w:t>卷</w:t>
      </w:r>
      <w:r w:rsidRPr="0097554A">
        <w:rPr>
          <w:color w:val="0000FF"/>
        </w:rPr>
        <w:t>，</w:t>
      </w:r>
      <w:r w:rsidRPr="004C59BB">
        <w:rPr>
          <w:color w:val="0000FF"/>
          <w:lang w:val="ru-RU"/>
        </w:rPr>
        <w:t>第</w:t>
      </w:r>
      <w:r w:rsidRPr="0097554A">
        <w:rPr>
          <w:color w:val="0000FF"/>
        </w:rPr>
        <w:t xml:space="preserve"> 4 </w:t>
      </w:r>
      <w:r w:rsidRPr="004C59BB">
        <w:rPr>
          <w:color w:val="0000FF"/>
          <w:lang w:val="ru-RU"/>
        </w:rPr>
        <w:t>章</w:t>
      </w:r>
      <w:r w:rsidRPr="0097554A">
        <w:rPr>
          <w:color w:val="0000FF"/>
        </w:rPr>
        <w:t>，</w:t>
      </w:r>
      <w:r w:rsidRPr="004C59BB">
        <w:rPr>
          <w:color w:val="0000FF"/>
          <w:lang w:val="ru-RU"/>
        </w:rPr>
        <w:t>第</w:t>
      </w:r>
      <w:r w:rsidRPr="0097554A">
        <w:rPr>
          <w:color w:val="0000FF"/>
        </w:rPr>
        <w:t xml:space="preserve"> 39 </w:t>
      </w:r>
      <w:r w:rsidRPr="004C59BB">
        <w:rPr>
          <w:color w:val="0000FF"/>
          <w:lang w:val="ru-RU"/>
        </w:rPr>
        <w:t>节</w:t>
      </w:r>
      <w:r w:rsidRPr="0097554A">
        <w:rPr>
          <w:color w:val="0000FF"/>
        </w:rPr>
        <w:t>）</w:t>
      </w:r>
      <w:r w:rsidRPr="004C59BB">
        <w:rPr>
          <w:color w:val="0000FF"/>
          <w:lang w:val="ru-RU"/>
        </w:rPr>
        <w:t>。</w:t>
      </w:r>
    </w:p>
  </w:footnote>
  <w:footnote w:id="1891">
    <w:p w14:paraId="42760E9B" w14:textId="1A8880C7"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其中包含以下为亡者</w:t>
      </w:r>
      <w:r w:rsidRPr="004C59BB">
        <w:rPr>
          <w:color w:val="0000FF"/>
        </w:rPr>
        <w:t>所作的</w:t>
      </w:r>
      <w:r w:rsidRPr="004C59BB">
        <w:rPr>
          <w:color w:val="0000FF"/>
          <w:lang w:val="ru-RU"/>
        </w:rPr>
        <w:t>祈祷</w:t>
      </w:r>
      <w:r w:rsidRPr="0097554A">
        <w:rPr>
          <w:color w:val="0000FF"/>
        </w:rPr>
        <w:t>：“</w:t>
      </w:r>
      <w:r w:rsidRPr="004C59BB">
        <w:rPr>
          <w:color w:val="0000FF"/>
          <w:lang w:val="ru-RU"/>
        </w:rPr>
        <w:t>主啊</w:t>
      </w:r>
      <w:r w:rsidRPr="0097554A">
        <w:rPr>
          <w:color w:val="0000FF"/>
        </w:rPr>
        <w:t>，</w:t>
      </w:r>
      <w:r w:rsidRPr="004C59BB">
        <w:rPr>
          <w:color w:val="0000FF"/>
          <w:lang w:val="ru-RU"/>
        </w:rPr>
        <w:t>万灵与万体的上帝</w:t>
      </w:r>
      <w:r w:rsidRPr="0097554A">
        <w:rPr>
          <w:color w:val="0000FF"/>
        </w:rPr>
        <w:t>，</w:t>
      </w:r>
      <w:r w:rsidRPr="004C59BB">
        <w:rPr>
          <w:color w:val="0000FF"/>
          <w:lang w:val="ru-RU"/>
        </w:rPr>
        <w:t>求祢记念那些我们曾记念的和未曾记念的正信者</w:t>
      </w:r>
      <w:r w:rsidRPr="0097554A">
        <w:rPr>
          <w:color w:val="0000FF"/>
        </w:rPr>
        <w:t>，</w:t>
      </w:r>
      <w:r w:rsidRPr="004C59BB">
        <w:rPr>
          <w:color w:val="0000FF"/>
          <w:lang w:val="ru-RU"/>
        </w:rPr>
        <w:t>从义人亚伯直到今日</w:t>
      </w:r>
      <w:r w:rsidRPr="0097554A">
        <w:rPr>
          <w:color w:val="0000FF"/>
        </w:rPr>
        <w:t xml:space="preserve">； </w:t>
      </w:r>
      <w:r w:rsidRPr="004C59BB">
        <w:rPr>
          <w:color w:val="0000FF"/>
          <w:lang w:val="ru-RU"/>
        </w:rPr>
        <w:t>求祢亲自将他们安息在生者之居所</w:t>
      </w:r>
      <w:r w:rsidRPr="0097554A">
        <w:rPr>
          <w:color w:val="0000FF"/>
        </w:rPr>
        <w:t>，</w:t>
      </w:r>
      <w:r w:rsidRPr="004C59BB">
        <w:rPr>
          <w:color w:val="0000FF"/>
          <w:lang w:val="ru-RU"/>
        </w:rPr>
        <w:t>在祢的国度里</w:t>
      </w:r>
      <w:r w:rsidRPr="0097554A">
        <w:rPr>
          <w:color w:val="0000FF"/>
        </w:rPr>
        <w:t>，</w:t>
      </w:r>
      <w:r w:rsidRPr="004C59BB">
        <w:rPr>
          <w:color w:val="0000FF"/>
          <w:lang w:val="ru-RU"/>
        </w:rPr>
        <w:t>在乐园的甘美之中</w:t>
      </w:r>
      <w:r w:rsidRPr="0097554A">
        <w:rPr>
          <w:color w:val="0000FF"/>
        </w:rPr>
        <w:t>，</w:t>
      </w:r>
      <w:r w:rsidRPr="004C59BB">
        <w:rPr>
          <w:color w:val="0000FF"/>
          <w:lang w:val="ru-RU"/>
        </w:rPr>
        <w:t>在我们圣父亚伯拉罕、以撒和雅各的怀抱里</w:t>
      </w:r>
      <w:r w:rsidRPr="0097554A">
        <w:rPr>
          <w:color w:val="0000FF"/>
        </w:rPr>
        <w:t>——</w:t>
      </w:r>
      <w:r w:rsidRPr="004C59BB">
        <w:rPr>
          <w:color w:val="0000FF"/>
          <w:lang w:val="ru-RU"/>
        </w:rPr>
        <w:t>那里已无疾病、悲伤与叹息</w:t>
      </w:r>
      <w:r w:rsidRPr="0097554A">
        <w:rPr>
          <w:color w:val="0000FF"/>
        </w:rPr>
        <w:t xml:space="preserve">； </w:t>
      </w:r>
      <w:r w:rsidRPr="004C59BB">
        <w:rPr>
          <w:color w:val="0000FF"/>
          <w:lang w:val="ru-RU"/>
        </w:rPr>
        <w:t>在那里</w:t>
      </w:r>
      <w:r w:rsidRPr="0097554A">
        <w:rPr>
          <w:color w:val="0000FF"/>
        </w:rPr>
        <w:t>，</w:t>
      </w:r>
      <w:r w:rsidRPr="004C59BB">
        <w:rPr>
          <w:color w:val="0000FF"/>
          <w:lang w:val="ru-RU"/>
        </w:rPr>
        <w:t>祢面容的光辉常驻</w:t>
      </w:r>
      <w:r w:rsidRPr="0097554A">
        <w:rPr>
          <w:color w:val="0000FF"/>
        </w:rPr>
        <w:t>，</w:t>
      </w:r>
      <w:r w:rsidRPr="004C59BB">
        <w:rPr>
          <w:color w:val="0000FF"/>
          <w:lang w:val="ru-RU"/>
        </w:rPr>
        <w:t>永恒照耀</w:t>
      </w:r>
      <w:r w:rsidRPr="0097554A">
        <w:rPr>
          <w:color w:val="0000FF"/>
        </w:rPr>
        <w:t>”（</w:t>
      </w:r>
      <w:r w:rsidRPr="004C59BB">
        <w:rPr>
          <w:color w:val="0000FF"/>
          <w:lang w:val="ru-RU"/>
        </w:rPr>
        <w:t>参见《</w:t>
      </w:r>
      <w:r w:rsidRPr="004C59BB">
        <w:rPr>
          <w:color w:val="0000FF"/>
        </w:rPr>
        <w:t>圣父礼仪集</w:t>
      </w:r>
      <w:r w:rsidRPr="0097554A">
        <w:rPr>
          <w:color w:val="0000FF"/>
        </w:rPr>
        <w:t>——</w:t>
      </w:r>
      <w:r w:rsidRPr="004C59BB">
        <w:rPr>
          <w:color w:val="0000FF"/>
          <w:lang w:val="ru-RU"/>
        </w:rPr>
        <w:t>雅各</w:t>
      </w:r>
      <w:r w:rsidRPr="0097554A">
        <w:rPr>
          <w:color w:val="0000FF"/>
        </w:rPr>
        <w:t>……</w:t>
      </w:r>
      <w:r w:rsidRPr="004C59BB">
        <w:rPr>
          <w:color w:val="0000FF"/>
          <w:lang w:val="ru-RU"/>
        </w:rPr>
        <w:t>》</w:t>
      </w:r>
      <w:r w:rsidRPr="004C59BB">
        <w:rPr>
          <w:color w:val="0000FF"/>
        </w:rPr>
        <w:t>巴黎</w:t>
      </w:r>
      <w:r w:rsidRPr="0097554A">
        <w:rPr>
          <w:color w:val="0000FF"/>
        </w:rPr>
        <w:t>，1560</w:t>
      </w:r>
      <w:r w:rsidRPr="004C59BB">
        <w:rPr>
          <w:color w:val="0000FF"/>
          <w:lang w:val="ru-RU"/>
        </w:rPr>
        <w:t>年</w:t>
      </w:r>
      <w:r w:rsidRPr="0097554A">
        <w:rPr>
          <w:color w:val="0000FF"/>
        </w:rPr>
        <w:t>）</w:t>
      </w:r>
      <w:r w:rsidRPr="004C59BB">
        <w:rPr>
          <w:color w:val="0000FF"/>
          <w:lang w:val="ru-RU"/>
        </w:rPr>
        <w:t>。</w:t>
      </w:r>
    </w:p>
  </w:footnote>
  <w:footnote w:id="1892">
    <w:p w14:paraId="1B525BB0" w14:textId="73507F1E"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博纳</w:t>
      </w:r>
      <w:r w:rsidRPr="0097554A">
        <w:rPr>
          <w:color w:val="0000FF"/>
        </w:rPr>
        <w:t>，</w:t>
      </w:r>
      <w:r w:rsidRPr="004C59BB">
        <w:rPr>
          <w:color w:val="0000FF"/>
        </w:rPr>
        <w:t>《论礼仪事务</w:t>
      </w:r>
      <w:r w:rsidRPr="004C59BB">
        <w:rPr>
          <w:color w:val="0000FF"/>
          <w:lang w:val="ru-RU"/>
        </w:rPr>
        <w:t>》</w:t>
      </w:r>
      <w:r w:rsidRPr="004C59BB">
        <w:rPr>
          <w:color w:val="0000FF"/>
        </w:rPr>
        <w:t>H卷，第1章，第7节；《论亡者礼仪》第2.3节；勒布伦，《弥撒解说》，论述X，第III卷，第300页，巴黎，1741年。</w:t>
      </w:r>
    </w:p>
  </w:footnote>
  <w:footnote w:id="1893">
    <w:p w14:paraId="4FE47B90" w14:textId="6B86FD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参见《宗座宪章》第八卷，第41、42章，载于科特勒编《宗座宪章集》第一卷，第419页；参见同上，注25。</w:t>
      </w:r>
    </w:p>
  </w:footnote>
  <w:footnote w:id="1894">
    <w:p w14:paraId="3CC23D73" w14:textId="02ABCDC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有必要阐述那些从我们神圣的导师那里传给我们的传统。</w:t>
      </w:r>
      <w:r w:rsidRPr="004C59BB">
        <w:rPr>
          <w:color w:val="0000FF"/>
        </w:rPr>
        <w:t>1144《教会层级论》第八章，第11节，第4、6节，载于《全集》第一卷，第411、</w:t>
      </w:r>
      <w:r w:rsidRPr="0097554A">
        <w:rPr>
          <w:color w:val="0000FF"/>
        </w:rPr>
        <w:t>413</w:t>
      </w:r>
      <w:r w:rsidRPr="004C59BB">
        <w:rPr>
          <w:color w:val="0000FF"/>
          <w:lang w:val="ru-RU"/>
        </w:rPr>
        <w:t>页</w:t>
      </w:r>
      <w:r w:rsidRPr="0097554A">
        <w:rPr>
          <w:color w:val="0000FF"/>
        </w:rPr>
        <w:t>，</w:t>
      </w:r>
      <w:r w:rsidRPr="004C59BB">
        <w:rPr>
          <w:color w:val="0000FF"/>
        </w:rPr>
        <w:t>安特卫普</w:t>
      </w:r>
      <w:r w:rsidRPr="0097554A">
        <w:rPr>
          <w:color w:val="0000FF"/>
        </w:rPr>
        <w:t>，1634</w:t>
      </w:r>
      <w:r w:rsidRPr="004C59BB">
        <w:rPr>
          <w:color w:val="0000FF"/>
          <w:lang w:val="ru-RU"/>
        </w:rPr>
        <w:t>年。</w:t>
      </w:r>
    </w:p>
  </w:footnote>
  <w:footnote w:id="1895">
    <w:p w14:paraId="313C58FB" w14:textId="4DF1BCD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引自圣约翰</w:t>
      </w:r>
      <w:r w:rsidRPr="0097554A">
        <w:rPr>
          <w:color w:val="0000FF"/>
        </w:rPr>
        <w:t>·</w:t>
      </w:r>
      <w:r w:rsidRPr="004C59BB">
        <w:rPr>
          <w:color w:val="0000FF"/>
          <w:lang w:val="ru-RU"/>
        </w:rPr>
        <w:t>达马斯库斯关于</w:t>
      </w:r>
      <w:r w:rsidRPr="0097554A">
        <w:rPr>
          <w:color w:val="0000FF"/>
        </w:rPr>
        <w:t>“</w:t>
      </w:r>
      <w:r w:rsidRPr="004C59BB">
        <w:rPr>
          <w:color w:val="0000FF"/>
          <w:lang w:val="ru-RU"/>
        </w:rPr>
        <w:t>在信仰中离世者</w:t>
      </w:r>
      <w:r w:rsidRPr="0097554A">
        <w:rPr>
          <w:color w:val="0000FF"/>
        </w:rPr>
        <w:t>”</w:t>
      </w:r>
      <w:r w:rsidRPr="004C59BB">
        <w:rPr>
          <w:color w:val="0000FF"/>
          <w:lang w:val="ru-RU"/>
        </w:rPr>
        <w:t>的讲</w:t>
      </w:r>
      <w:r w:rsidRPr="004C59BB">
        <w:rPr>
          <w:color w:val="0000FF"/>
        </w:rPr>
        <w:t>道，见</w:t>
      </w:r>
      <w:r w:rsidRPr="004C59BB">
        <w:rPr>
          <w:color w:val="0000FF"/>
          <w:lang w:val="ru-RU"/>
        </w:rPr>
        <w:t>《</w:t>
      </w:r>
      <w:r w:rsidRPr="004C59BB">
        <w:rPr>
          <w:color w:val="0000FF"/>
        </w:rPr>
        <w:t>全集</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592</w:t>
      </w:r>
      <w:r w:rsidRPr="004C59BB">
        <w:rPr>
          <w:color w:val="0000FF"/>
          <w:lang w:val="ru-RU"/>
        </w:rPr>
        <w:t>页</w:t>
      </w:r>
      <w:r w:rsidRPr="0097554A">
        <w:rPr>
          <w:color w:val="0000FF"/>
        </w:rPr>
        <w:t>，</w:t>
      </w:r>
      <w:r w:rsidRPr="004C59BB">
        <w:rPr>
          <w:color w:val="0000FF"/>
        </w:rPr>
        <w:t>Le-Quien校注版</w:t>
      </w:r>
      <w:r w:rsidRPr="0097554A">
        <w:rPr>
          <w:color w:val="0000FF"/>
        </w:rPr>
        <w:t>；</w:t>
      </w:r>
      <w:r w:rsidRPr="004C59BB">
        <w:rPr>
          <w:color w:val="0000FF"/>
          <w:lang w:val="ru-RU"/>
        </w:rPr>
        <w:t>《基督教读物》</w:t>
      </w:r>
      <w:r w:rsidRPr="0097554A">
        <w:rPr>
          <w:color w:val="0000FF"/>
        </w:rPr>
        <w:t>1827</w:t>
      </w:r>
      <w:r w:rsidRPr="004C59BB">
        <w:rPr>
          <w:color w:val="0000FF"/>
          <w:lang w:val="ru-RU"/>
        </w:rPr>
        <w:t>年</w:t>
      </w:r>
      <w:r w:rsidRPr="0097554A">
        <w:rPr>
          <w:color w:val="0000FF"/>
        </w:rPr>
        <w:t>，</w:t>
      </w:r>
      <w:r w:rsidRPr="004C59BB">
        <w:rPr>
          <w:color w:val="0000FF"/>
        </w:rPr>
        <w:t>第XXVI卷</w:t>
      </w:r>
      <w:r w:rsidRPr="0097554A">
        <w:rPr>
          <w:color w:val="0000FF"/>
        </w:rPr>
        <w:t>，</w:t>
      </w:r>
      <w:r w:rsidRPr="004C59BB">
        <w:rPr>
          <w:color w:val="0000FF"/>
          <w:lang w:val="ru-RU"/>
        </w:rPr>
        <w:t>第</w:t>
      </w:r>
      <w:r w:rsidRPr="0097554A">
        <w:rPr>
          <w:color w:val="0000FF"/>
        </w:rPr>
        <w:t>325</w:t>
      </w:r>
      <w:r w:rsidRPr="004C59BB">
        <w:rPr>
          <w:color w:val="0000FF"/>
          <w:lang w:val="ru-RU"/>
        </w:rPr>
        <w:t>页。</w:t>
      </w:r>
    </w:p>
  </w:footnote>
  <w:footnote w:id="1896">
    <w:p w14:paraId="539D4224" w14:textId="770A459D"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同上</w:t>
      </w:r>
      <w:r w:rsidRPr="0097554A">
        <w:rPr>
          <w:color w:val="0000FF"/>
        </w:rPr>
        <w:t>，</w:t>
      </w:r>
      <w:r w:rsidRPr="004C59BB">
        <w:rPr>
          <w:color w:val="0000FF"/>
          <w:lang w:val="ru-RU"/>
        </w:rPr>
        <w:t>达马斯库斯《</w:t>
      </w:r>
      <w:r w:rsidRPr="004C59BB">
        <w:rPr>
          <w:color w:val="0000FF"/>
        </w:rPr>
        <w:t>文集》第I卷</w:t>
      </w:r>
      <w:r w:rsidRPr="0097554A">
        <w:rPr>
          <w:color w:val="0000FF"/>
        </w:rPr>
        <w:t>，</w:t>
      </w:r>
      <w:r w:rsidRPr="004C59BB">
        <w:rPr>
          <w:color w:val="0000FF"/>
          <w:lang w:val="ru-RU"/>
        </w:rPr>
        <w:t>第</w:t>
      </w:r>
      <w:r w:rsidRPr="0097554A">
        <w:rPr>
          <w:color w:val="0000FF"/>
        </w:rPr>
        <w:t>584</w:t>
      </w:r>
      <w:r w:rsidRPr="004C59BB">
        <w:rPr>
          <w:color w:val="0000FF"/>
          <w:lang w:val="ru-RU"/>
        </w:rPr>
        <w:t>页</w:t>
      </w:r>
      <w:r w:rsidRPr="0097554A">
        <w:rPr>
          <w:color w:val="0000FF"/>
        </w:rPr>
        <w:t>，</w:t>
      </w:r>
      <w:r w:rsidRPr="004C59BB">
        <w:rPr>
          <w:color w:val="0000FF"/>
          <w:lang w:val="ru-RU"/>
        </w:rPr>
        <w:t>载于《基督教读物》</w:t>
      </w:r>
      <w:r w:rsidRPr="0097554A">
        <w:rPr>
          <w:color w:val="0000FF"/>
        </w:rPr>
        <w:t>1827</w:t>
      </w:r>
      <w:r w:rsidRPr="004C59BB">
        <w:rPr>
          <w:color w:val="0000FF"/>
          <w:lang w:val="ru-RU"/>
        </w:rPr>
        <w:t>年</w:t>
      </w:r>
      <w:r w:rsidRPr="0097554A">
        <w:rPr>
          <w:color w:val="0000FF"/>
        </w:rPr>
        <w:t>，</w:t>
      </w:r>
      <w:r w:rsidRPr="004C59BB">
        <w:rPr>
          <w:color w:val="0000FF"/>
          <w:lang w:val="ru-RU"/>
        </w:rPr>
        <w:t>第</w:t>
      </w:r>
      <w:r w:rsidRPr="0097554A">
        <w:rPr>
          <w:color w:val="0000FF"/>
        </w:rPr>
        <w:t>313</w:t>
      </w:r>
      <w:r w:rsidRPr="004C59BB">
        <w:rPr>
          <w:color w:val="0000FF"/>
          <w:lang w:val="ru-RU"/>
        </w:rPr>
        <w:t>页。</w:t>
      </w:r>
    </w:p>
  </w:footnote>
  <w:footnote w:id="1897">
    <w:p w14:paraId="2B0ADE58" w14:textId="3969BE6F"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使徒们并未规定在举行神圣圣礼时纪念已故者</w:t>
      </w:r>
      <w:r w:rsidRPr="004C59BB">
        <w:rPr>
          <w:color w:val="0000FF"/>
        </w:rPr>
        <w:t>……见《腓力讲道集》第三篇，第4段。</w:t>
      </w:r>
    </w:p>
  </w:footnote>
  <w:footnote w:id="1898">
    <w:p w14:paraId="07F0DA8A" w14:textId="2969826C"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……这一切都是圣灵所命定的……见《使徒行传讲道集》第 XXI 篇</w:t>
      </w:r>
      <w:r w:rsidRPr="0097554A">
        <w:rPr>
          <w:color w:val="0000FF"/>
        </w:rPr>
        <w:t>，</w:t>
      </w:r>
      <w:r w:rsidRPr="004C59BB">
        <w:rPr>
          <w:color w:val="0000FF"/>
          <w:lang w:val="ru-RU"/>
        </w:rPr>
        <w:t>第</w:t>
      </w:r>
      <w:r w:rsidRPr="0097554A">
        <w:rPr>
          <w:color w:val="0000FF"/>
        </w:rPr>
        <w:t xml:space="preserve"> 4 </w:t>
      </w:r>
      <w:r w:rsidRPr="004C59BB">
        <w:rPr>
          <w:color w:val="0000FF"/>
          <w:lang w:val="ru-RU"/>
        </w:rPr>
        <w:t>段。</w:t>
      </w:r>
    </w:p>
  </w:footnote>
  <w:footnote w:id="1899">
    <w:p w14:paraId="0477EF08" w14:textId="0744806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《论在信仰中离世的亡者》</w:t>
      </w:r>
      <w:r w:rsidRPr="0097554A">
        <w:rPr>
          <w:color w:val="0000FF"/>
        </w:rPr>
        <w:t>，</w:t>
      </w:r>
      <w:r w:rsidRPr="004C59BB">
        <w:rPr>
          <w:color w:val="0000FF"/>
          <w:lang w:val="ru-RU"/>
        </w:rPr>
        <w:t>《基督教周报》</w:t>
      </w:r>
      <w:r w:rsidRPr="0097554A">
        <w:rPr>
          <w:color w:val="0000FF"/>
        </w:rPr>
        <w:t>1827</w:t>
      </w:r>
      <w:r w:rsidRPr="004C59BB">
        <w:rPr>
          <w:color w:val="0000FF"/>
          <w:lang w:val="ru-RU"/>
        </w:rPr>
        <w:t>年</w:t>
      </w:r>
      <w:r w:rsidRPr="0097554A">
        <w:rPr>
          <w:color w:val="0000FF"/>
        </w:rPr>
        <w:t>，</w:t>
      </w:r>
      <w:r w:rsidRPr="004C59BB">
        <w:rPr>
          <w:color w:val="0000FF"/>
        </w:rPr>
        <w:t>第XXVI卷</w:t>
      </w:r>
      <w:r w:rsidRPr="0097554A">
        <w:rPr>
          <w:color w:val="0000FF"/>
        </w:rPr>
        <w:t>，</w:t>
      </w:r>
      <w:r w:rsidRPr="004C59BB">
        <w:rPr>
          <w:color w:val="0000FF"/>
          <w:lang w:val="ru-RU"/>
        </w:rPr>
        <w:t>第</w:t>
      </w:r>
      <w:r w:rsidRPr="0097554A">
        <w:rPr>
          <w:color w:val="0000FF"/>
        </w:rPr>
        <w:t>309</w:t>
      </w:r>
      <w:r w:rsidRPr="004C59BB">
        <w:rPr>
          <w:color w:val="0000FF"/>
          <w:lang w:val="ru-RU"/>
        </w:rPr>
        <w:t>页。</w:t>
      </w:r>
    </w:p>
  </w:footnote>
  <w:footnote w:id="1900">
    <w:p w14:paraId="70056617" w14:textId="3ED945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们每年在纪念日为逝者举行悼念仪式（《论军人加冕》第3章）。此外：他确实为逝者的灵魂祈祷，并祈求上帝赐予其暂时的慰藉，祈求其在第一次复活中得享团聚，并在逝者安息的周年纪念日献上祭品（《论一夫一妻制》第9章）。</w:t>
      </w:r>
    </w:p>
  </w:footnote>
  <w:footnote w:id="1901">
    <w:p w14:paraId="113B167A" w14:textId="6C23EF52"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致富尔尼塔神职人员及平信徒的第六十六封书信</w:t>
      </w:r>
      <w:r w:rsidRPr="004C59BB">
        <w:rPr>
          <w:color w:val="0000FF"/>
          <w:lang w:val="ru-RU"/>
        </w:rPr>
        <w:t>。</w:t>
      </w:r>
    </w:p>
  </w:footnote>
  <w:footnote w:id="1902">
    <w:p w14:paraId="3B6F19E7" w14:textId="39AF6CE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《关于福者君主君士坦丁的一生》</w:t>
      </w:r>
      <w:r w:rsidRPr="0097554A">
        <w:rPr>
          <w:color w:val="0000FF"/>
        </w:rPr>
        <w:t>，</w:t>
      </w:r>
      <w:r w:rsidRPr="004C59BB">
        <w:rPr>
          <w:color w:val="0000FF"/>
        </w:rPr>
        <w:t>第IV</w:t>
      </w:r>
      <w:r w:rsidRPr="004C59BB">
        <w:rPr>
          <w:color w:val="0000FF"/>
          <w:lang w:val="ru-RU"/>
        </w:rPr>
        <w:t>卷</w:t>
      </w:r>
      <w:r w:rsidRPr="0097554A">
        <w:rPr>
          <w:color w:val="0000FF"/>
        </w:rPr>
        <w:t>，</w:t>
      </w:r>
      <w:r w:rsidRPr="004C59BB">
        <w:rPr>
          <w:color w:val="0000FF"/>
          <w:lang w:val="ru-RU"/>
        </w:rPr>
        <w:t>第</w:t>
      </w:r>
      <w:r w:rsidRPr="0097554A">
        <w:rPr>
          <w:color w:val="0000FF"/>
        </w:rPr>
        <w:t>71</w:t>
      </w:r>
      <w:r w:rsidRPr="004C59BB">
        <w:rPr>
          <w:color w:val="0000FF"/>
          <w:lang w:val="ru-RU"/>
        </w:rPr>
        <w:t>章</w:t>
      </w:r>
      <w:r w:rsidRPr="0097554A">
        <w:rPr>
          <w:color w:val="0000FF"/>
        </w:rPr>
        <w:t>，</w:t>
      </w:r>
      <w:r w:rsidRPr="004C59BB">
        <w:rPr>
          <w:color w:val="0000FF"/>
          <w:lang w:val="ru-RU"/>
        </w:rPr>
        <w:t>第</w:t>
      </w:r>
      <w:r w:rsidRPr="0097554A">
        <w:rPr>
          <w:color w:val="0000FF"/>
        </w:rPr>
        <w:t>272</w:t>
      </w:r>
      <w:r w:rsidRPr="004C59BB">
        <w:rPr>
          <w:color w:val="0000FF"/>
          <w:lang w:val="ru-RU"/>
        </w:rPr>
        <w:t>页</w:t>
      </w:r>
      <w:r w:rsidRPr="0097554A">
        <w:rPr>
          <w:color w:val="0000FF"/>
        </w:rPr>
        <w:t>（</w:t>
      </w:r>
      <w:r w:rsidRPr="004C59BB">
        <w:rPr>
          <w:color w:val="0000FF"/>
          <w:lang w:val="ru-RU"/>
        </w:rPr>
        <w:t>俄文译本</w:t>
      </w:r>
      <w:r w:rsidRPr="0097554A">
        <w:rPr>
          <w:color w:val="0000FF"/>
        </w:rPr>
        <w:t>）</w:t>
      </w:r>
      <w:r w:rsidRPr="004C59BB">
        <w:rPr>
          <w:color w:val="0000FF"/>
          <w:lang w:val="ru-RU"/>
        </w:rPr>
        <w:t>。</w:t>
      </w:r>
    </w:p>
  </w:footnote>
  <w:footnote w:id="1903">
    <w:p w14:paraId="40CDDCD4" w14:textId="78E26E0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《秘传教义》</w:t>
      </w:r>
      <w:r w:rsidRPr="004C59BB">
        <w:rPr>
          <w:color w:val="0000FF"/>
        </w:rPr>
        <w:t>第五</w:t>
      </w:r>
      <w:r w:rsidRPr="004C59BB">
        <w:rPr>
          <w:color w:val="0000FF"/>
          <w:lang w:val="ru-RU"/>
        </w:rPr>
        <w:t>卷</w:t>
      </w:r>
      <w:r w:rsidRPr="0097554A">
        <w:rPr>
          <w:color w:val="0000FF"/>
        </w:rPr>
        <w:t>，</w:t>
      </w:r>
      <w:r w:rsidRPr="004C59BB">
        <w:rPr>
          <w:color w:val="0000FF"/>
          <w:lang w:val="ru-RU"/>
        </w:rPr>
        <w:t>第</w:t>
      </w:r>
      <w:r w:rsidRPr="0097554A">
        <w:rPr>
          <w:color w:val="0000FF"/>
        </w:rPr>
        <w:t>9</w:t>
      </w:r>
      <w:r w:rsidRPr="004C59BB">
        <w:rPr>
          <w:color w:val="0000FF"/>
          <w:lang w:val="ru-RU"/>
        </w:rPr>
        <w:t>节</w:t>
      </w:r>
      <w:r w:rsidRPr="0097554A">
        <w:rPr>
          <w:color w:val="0000FF"/>
        </w:rPr>
        <w:t>，</w:t>
      </w:r>
      <w:r w:rsidRPr="004C59BB">
        <w:rPr>
          <w:color w:val="0000FF"/>
          <w:lang w:val="ru-RU"/>
        </w:rPr>
        <w:t>第</w:t>
      </w:r>
      <w:r w:rsidRPr="0097554A">
        <w:rPr>
          <w:color w:val="0000FF"/>
        </w:rPr>
        <w:t>462–463</w:t>
      </w:r>
      <w:r w:rsidRPr="004C59BB">
        <w:rPr>
          <w:color w:val="0000FF"/>
          <w:lang w:val="ru-RU"/>
        </w:rPr>
        <w:t>页。</w:t>
      </w:r>
    </w:p>
  </w:footnote>
  <w:footnote w:id="1904">
    <w:p w14:paraId="0535B79E" w14:textId="2B6FB888"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《狄奥多西逝世纪念演说》。参见《论萨蒂鲁斯之逝》</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注</w:t>
      </w:r>
      <w:r w:rsidRPr="0097554A">
        <w:rPr>
          <w:color w:val="0000FF"/>
        </w:rPr>
        <w:t>80</w:t>
      </w:r>
      <w:r w:rsidRPr="004C59BB">
        <w:rPr>
          <w:color w:val="0000FF"/>
          <w:lang w:val="ru-RU"/>
        </w:rPr>
        <w:t>。</w:t>
      </w:r>
    </w:p>
  </w:footnote>
  <w:footnote w:id="1905">
    <w:p w14:paraId="1DA1DEFE" w14:textId="17DA0E2E"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《遗嘱》</w:t>
      </w:r>
      <w:r w:rsidRPr="0097554A">
        <w:rPr>
          <w:color w:val="0000FF"/>
        </w:rPr>
        <w:t>，</w:t>
      </w:r>
      <w:r w:rsidRPr="004C59BB">
        <w:rPr>
          <w:color w:val="0000FF"/>
          <w:lang w:val="ru-RU"/>
        </w:rPr>
        <w:t>载于《基督教读物》</w:t>
      </w:r>
      <w:r w:rsidRPr="0097554A">
        <w:rPr>
          <w:color w:val="0000FF"/>
        </w:rPr>
        <w:t>1827</w:t>
      </w:r>
      <w:r w:rsidRPr="004C59BB">
        <w:rPr>
          <w:color w:val="0000FF"/>
          <w:lang w:val="ru-RU"/>
        </w:rPr>
        <w:t>年</w:t>
      </w:r>
      <w:r w:rsidRPr="0097554A">
        <w:rPr>
          <w:color w:val="0000FF"/>
        </w:rPr>
        <w:t>，</w:t>
      </w:r>
      <w:r w:rsidRPr="004C59BB">
        <w:rPr>
          <w:color w:val="0000FF"/>
        </w:rPr>
        <w:t>第XXVII</w:t>
      </w:r>
      <w:r w:rsidRPr="004C59BB">
        <w:rPr>
          <w:color w:val="0000FF"/>
          <w:lang w:val="ru-RU"/>
        </w:rPr>
        <w:t>卷</w:t>
      </w:r>
      <w:r w:rsidRPr="0097554A">
        <w:rPr>
          <w:color w:val="0000FF"/>
        </w:rPr>
        <w:t>，</w:t>
      </w:r>
      <w:r w:rsidRPr="004C59BB">
        <w:rPr>
          <w:color w:val="0000FF"/>
          <w:lang w:val="ru-RU"/>
        </w:rPr>
        <w:t>第</w:t>
      </w:r>
      <w:r w:rsidRPr="0097554A">
        <w:rPr>
          <w:color w:val="0000FF"/>
        </w:rPr>
        <w:t>294</w:t>
      </w:r>
      <w:r w:rsidRPr="004C59BB">
        <w:rPr>
          <w:color w:val="0000FF"/>
          <w:lang w:val="ru-RU"/>
        </w:rPr>
        <w:t>页。另见：“我们将不懈地恳求祂（上帝），求祂赦免祂羊群的过犯——祂那蒙拣选且圣洁的教会之子民，并求祂洁净那些在对祂的盼望中安息之人的罪孽；（论忏悔，</w:t>
      </w:r>
      <w:r w:rsidRPr="004C59BB">
        <w:rPr>
          <w:color w:val="0000FF"/>
        </w:rPr>
        <w:t>第XXXVIΙΙ卷</w:t>
      </w:r>
      <w:r w:rsidRPr="004C59BB">
        <w:rPr>
          <w:color w:val="0000FF"/>
          <w:lang w:val="ru-RU"/>
        </w:rPr>
        <w:t>，载于《圣教父文集》</w:t>
      </w:r>
      <w:r w:rsidRPr="004C59BB">
        <w:rPr>
          <w:color w:val="0000FF"/>
        </w:rPr>
        <w:t>第XVI卷</w:t>
      </w:r>
      <w:r w:rsidRPr="004C59BB">
        <w:rPr>
          <w:color w:val="0000FF"/>
          <w:lang w:val="ru-RU"/>
        </w:rPr>
        <w:t>，第343页）。</w:t>
      </w:r>
    </w:p>
  </w:footnote>
  <w:footnote w:id="1906">
    <w:p w14:paraId="5423F0AE" w14:textId="353D9474"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阿诺德《</w:t>
      </w:r>
      <w:r w:rsidRPr="004C59BB">
        <w:rPr>
          <w:color w:val="0000FF"/>
        </w:rPr>
        <w:t>反异教论</w:t>
      </w:r>
      <w:r w:rsidRPr="004C59BB">
        <w:rPr>
          <w:color w:val="0000FF"/>
          <w:lang w:val="ru-RU"/>
        </w:rPr>
        <w:t>》</w:t>
      </w:r>
      <w:r w:rsidRPr="004C59BB">
        <w:rPr>
          <w:color w:val="0000FF"/>
        </w:rPr>
        <w:t>IV</w:t>
      </w:r>
      <w:r w:rsidRPr="004C59BB">
        <w:rPr>
          <w:color w:val="0000FF"/>
          <w:lang w:val="ru-RU"/>
        </w:rPr>
        <w:t>，36；埃皮法尼乌斯《</w:t>
      </w:r>
      <w:r w:rsidRPr="004C59BB">
        <w:rPr>
          <w:color w:val="0000FF"/>
        </w:rPr>
        <w:t>论异端</w:t>
      </w:r>
      <w:r w:rsidRPr="004C59BB">
        <w:rPr>
          <w:color w:val="0000FF"/>
          <w:lang w:val="ru-RU"/>
        </w:rPr>
        <w:t>》</w:t>
      </w:r>
      <w:r w:rsidRPr="004C59BB">
        <w:rPr>
          <w:color w:val="0000FF"/>
        </w:rPr>
        <w:t>LXXV</w:t>
      </w:r>
      <w:r w:rsidRPr="004C59BB">
        <w:rPr>
          <w:color w:val="0000FF"/>
          <w:lang w:val="ru-RU"/>
        </w:rPr>
        <w:t>，第7条；格里高利·神学家《凯撒利亚墓志词》，载于《圣教父文集》</w:t>
      </w:r>
      <w:r w:rsidRPr="004C59BB">
        <w:rPr>
          <w:color w:val="0000FF"/>
        </w:rPr>
        <w:t>I</w:t>
      </w:r>
      <w:r w:rsidRPr="004C59BB">
        <w:rPr>
          <w:color w:val="0000FF"/>
          <w:lang w:val="ru-RU"/>
        </w:rPr>
        <w:t>，258、267；奥古斯丁 《</w:t>
      </w:r>
      <w:r w:rsidRPr="004C59BB">
        <w:rPr>
          <w:color w:val="0000FF"/>
        </w:rPr>
        <w:t>忏悔录</w:t>
      </w:r>
      <w:r w:rsidRPr="004C59BB">
        <w:rPr>
          <w:color w:val="0000FF"/>
          <w:lang w:val="ru-RU"/>
        </w:rPr>
        <w:t>》</w:t>
      </w:r>
      <w:r w:rsidRPr="004C59BB">
        <w:rPr>
          <w:color w:val="0000FF"/>
        </w:rPr>
        <w:t>第九卷</w:t>
      </w:r>
      <w:r w:rsidRPr="004C59BB">
        <w:rPr>
          <w:color w:val="0000FF"/>
          <w:lang w:val="ru-RU"/>
        </w:rPr>
        <w:t>，第13章，注34、</w:t>
      </w:r>
      <w:r w:rsidRPr="0097554A">
        <w:rPr>
          <w:color w:val="0000FF"/>
          <w:lang w:val="ru-RU"/>
        </w:rPr>
        <w:t>37；</w:t>
      </w:r>
      <w:r w:rsidRPr="004C59BB">
        <w:rPr>
          <w:color w:val="0000FF"/>
        </w:rPr>
        <w:t>《上帝之城》第二十卷</w:t>
      </w:r>
      <w:r w:rsidRPr="0097554A">
        <w:rPr>
          <w:color w:val="0000FF"/>
          <w:lang w:val="ru-RU"/>
        </w:rPr>
        <w:t>，</w:t>
      </w:r>
      <w:r w:rsidRPr="004C59BB">
        <w:rPr>
          <w:color w:val="0000FF"/>
        </w:rPr>
        <w:t>第</w:t>
      </w:r>
      <w:r w:rsidRPr="0097554A">
        <w:rPr>
          <w:color w:val="0000FF"/>
          <w:lang w:val="ru-RU"/>
        </w:rPr>
        <w:t>9</w:t>
      </w:r>
      <w:r w:rsidRPr="004C59BB">
        <w:rPr>
          <w:color w:val="0000FF"/>
        </w:rPr>
        <w:t>章</w:t>
      </w:r>
      <w:r w:rsidRPr="0097554A">
        <w:rPr>
          <w:color w:val="0000FF"/>
          <w:lang w:val="ru-RU"/>
        </w:rPr>
        <w:t>，</w:t>
      </w:r>
      <w:r w:rsidRPr="004C59BB">
        <w:rPr>
          <w:color w:val="0000FF"/>
        </w:rPr>
        <w:t>注</w:t>
      </w:r>
      <w:r w:rsidRPr="0097554A">
        <w:rPr>
          <w:color w:val="0000FF"/>
          <w:lang w:val="ru-RU"/>
        </w:rPr>
        <w:t>2</w:t>
      </w:r>
      <w:r w:rsidRPr="004C59BB">
        <w:rPr>
          <w:color w:val="0000FF"/>
        </w:rPr>
        <w:t>。</w:t>
      </w:r>
    </w:p>
  </w:footnote>
  <w:footnote w:id="1907">
    <w:p w14:paraId="11EE56FE" w14:textId="253A1D90"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加尔文</w:t>
      </w:r>
      <w:r w:rsidRPr="0097554A">
        <w:rPr>
          <w:color w:val="0000FF"/>
          <w:lang w:val="ru-RU"/>
        </w:rPr>
        <w:t>，</w:t>
      </w:r>
      <w:r w:rsidRPr="004C59BB">
        <w:rPr>
          <w:color w:val="0000FF"/>
        </w:rPr>
        <w:t>《基督教要义》第三卷</w:t>
      </w:r>
      <w:r w:rsidRPr="0097554A">
        <w:rPr>
          <w:color w:val="0000FF"/>
          <w:lang w:val="ru-RU"/>
        </w:rPr>
        <w:t>，</w:t>
      </w:r>
      <w:r w:rsidRPr="004C59BB">
        <w:rPr>
          <w:color w:val="0000FF"/>
        </w:rPr>
        <w:t>第</w:t>
      </w:r>
      <w:r w:rsidRPr="0097554A">
        <w:rPr>
          <w:color w:val="0000FF"/>
          <w:lang w:val="ru-RU"/>
        </w:rPr>
        <w:t>10</w:t>
      </w:r>
      <w:r w:rsidRPr="004C59BB">
        <w:rPr>
          <w:color w:val="0000FF"/>
        </w:rPr>
        <w:t>章</w:t>
      </w:r>
      <w:r w:rsidRPr="0097554A">
        <w:rPr>
          <w:color w:val="0000FF"/>
          <w:lang w:val="ru-RU"/>
        </w:rPr>
        <w:t>；</w:t>
      </w:r>
      <w:r w:rsidRPr="004C59BB">
        <w:rPr>
          <w:color w:val="0000FF"/>
        </w:rPr>
        <w:t>宾厄姆</w:t>
      </w:r>
      <w:r w:rsidRPr="0097554A">
        <w:rPr>
          <w:color w:val="0000FF"/>
          <w:lang w:val="ru-RU"/>
        </w:rPr>
        <w:t>，</w:t>
      </w:r>
      <w:r w:rsidRPr="004C59BB">
        <w:rPr>
          <w:color w:val="0000FF"/>
          <w:lang w:val="ru-RU"/>
        </w:rPr>
        <w:t>《</w:t>
      </w:r>
      <w:r w:rsidRPr="004C59BB">
        <w:rPr>
          <w:color w:val="0000FF"/>
        </w:rPr>
        <w:t>教会起源</w:t>
      </w:r>
      <w:r w:rsidRPr="004C59BB">
        <w:rPr>
          <w:color w:val="0000FF"/>
          <w:lang w:val="ru-RU"/>
        </w:rPr>
        <w:t>》</w:t>
      </w:r>
      <w:r w:rsidRPr="004C59BB">
        <w:rPr>
          <w:color w:val="0000FF"/>
        </w:rPr>
        <w:t>第十五卷</w:t>
      </w:r>
      <w:r w:rsidRPr="004C59BB">
        <w:rPr>
          <w:color w:val="0000FF"/>
          <w:lang w:val="ru-RU"/>
        </w:rPr>
        <w:t>，第3章，第16节。</w:t>
      </w:r>
    </w:p>
  </w:footnote>
  <w:footnote w:id="1908">
    <w:p w14:paraId="31FF3165" w14:textId="1ED9FC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《圣礼教义》</w:t>
      </w:r>
      <w:r w:rsidRPr="004C59BB">
        <w:rPr>
          <w:color w:val="0000FF"/>
        </w:rPr>
        <w:t>第五</w:t>
      </w:r>
      <w:r w:rsidRPr="004C59BB">
        <w:rPr>
          <w:color w:val="0000FF"/>
          <w:lang w:val="ru-RU"/>
        </w:rPr>
        <w:t>卷，第10节，第463页。</w:t>
      </w:r>
    </w:p>
  </w:footnote>
  <w:footnote w:id="1909">
    <w:p w14:paraId="5749BB00" w14:textId="4F577407"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《腓力福音讲道集》第三卷</w:t>
      </w:r>
      <w:r w:rsidRPr="0097554A">
        <w:rPr>
          <w:color w:val="0000FF"/>
          <w:lang w:val="ru-RU"/>
        </w:rPr>
        <w:t>，</w:t>
      </w:r>
      <w:r w:rsidRPr="004C59BB">
        <w:rPr>
          <w:color w:val="0000FF"/>
        </w:rPr>
        <w:t>注</w:t>
      </w:r>
      <w:r w:rsidRPr="0097554A">
        <w:rPr>
          <w:color w:val="0000FF"/>
          <w:lang w:val="ru-RU"/>
        </w:rPr>
        <w:t>4</w:t>
      </w:r>
      <w:r w:rsidRPr="004C59BB">
        <w:rPr>
          <w:color w:val="0000FF"/>
        </w:rPr>
        <w:t>。</w:t>
      </w:r>
    </w:p>
  </w:footnote>
  <w:footnote w:id="1910">
    <w:p w14:paraId="4BDE80F3" w14:textId="1CC4447C"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lang w:val="el-GR"/>
        </w:rPr>
        <w:t>难道祂不会也为我们成就同样的事吗</w:t>
      </w:r>
      <w:r w:rsidRPr="0097554A">
        <w:rPr>
          <w:color w:val="0000FF"/>
          <w:lang w:val="ru-RU"/>
        </w:rPr>
        <w:t>……</w:t>
      </w:r>
      <w:r w:rsidRPr="004C59BB">
        <w:rPr>
          <w:color w:val="0000FF"/>
        </w:rPr>
        <w:t>《使徒行传讲道集》第</w:t>
      </w:r>
      <w:r w:rsidRPr="0097554A">
        <w:rPr>
          <w:color w:val="0000FF"/>
          <w:lang w:val="ru-RU"/>
        </w:rPr>
        <w:t xml:space="preserve"> </w:t>
      </w:r>
      <w:r w:rsidRPr="004C59BB">
        <w:rPr>
          <w:color w:val="0000FF"/>
        </w:rPr>
        <w:t>XXI</w:t>
      </w:r>
      <w:r w:rsidRPr="0097554A">
        <w:rPr>
          <w:color w:val="0000FF"/>
          <w:lang w:val="ru-RU"/>
        </w:rPr>
        <w:t xml:space="preserve"> </w:t>
      </w:r>
      <w:r w:rsidRPr="004C59BB">
        <w:rPr>
          <w:color w:val="0000FF"/>
        </w:rPr>
        <w:t>卷</w:t>
      </w:r>
      <w:r w:rsidRPr="0097554A">
        <w:rPr>
          <w:color w:val="0000FF"/>
          <w:lang w:val="ru-RU"/>
        </w:rPr>
        <w:t>，</w:t>
      </w:r>
      <w:r w:rsidRPr="004C59BB">
        <w:rPr>
          <w:color w:val="0000FF"/>
        </w:rPr>
        <w:t>第</w:t>
      </w:r>
      <w:r w:rsidRPr="0097554A">
        <w:rPr>
          <w:color w:val="0000FF"/>
          <w:lang w:val="ru-RU"/>
        </w:rPr>
        <w:t xml:space="preserve"> 3 </w:t>
      </w:r>
      <w:r w:rsidRPr="004C59BB">
        <w:rPr>
          <w:color w:val="0000FF"/>
        </w:rPr>
        <w:t>节。</w:t>
      </w:r>
    </w:p>
  </w:footnote>
  <w:footnote w:id="1911">
    <w:p w14:paraId="4A1ED882" w14:textId="120FBF1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因为整个教会都遵守着教父们传承下来的这一传统</w:t>
      </w:r>
      <w:r w:rsidRPr="0097554A">
        <w:rPr>
          <w:color w:val="0000FF"/>
          <w:lang w:val="ru-RU"/>
        </w:rPr>
        <w:t>，</w:t>
      </w:r>
      <w:r w:rsidRPr="004C59BB">
        <w:rPr>
          <w:color w:val="0000FF"/>
        </w:rPr>
        <w:t>即为那些在领受基督圣体圣血时离世的人祈祷</w:t>
      </w:r>
      <w:r w:rsidRPr="0097554A">
        <w:rPr>
          <w:color w:val="0000FF"/>
          <w:lang w:val="ru-RU"/>
        </w:rPr>
        <w:t>，</w:t>
      </w:r>
      <w:r w:rsidRPr="004C59BB">
        <w:rPr>
          <w:color w:val="0000FF"/>
        </w:rPr>
        <w:t>当他们在圣祭中被代为纪念时</w:t>
      </w:r>
      <w:r w:rsidRPr="0097554A">
        <w:rPr>
          <w:color w:val="0000FF"/>
          <w:lang w:val="ru-RU"/>
        </w:rPr>
        <w:t>……（</w:t>
      </w:r>
      <w:r w:rsidRPr="004C59BB">
        <w:rPr>
          <w:color w:val="0000FF"/>
        </w:rPr>
        <w:t>《讲道集》CLXXII</w:t>
      </w:r>
      <w:r w:rsidRPr="0097554A">
        <w:rPr>
          <w:color w:val="0000FF"/>
          <w:lang w:val="ru-RU"/>
        </w:rPr>
        <w:t>，</w:t>
      </w:r>
      <w:r w:rsidRPr="004C59BB">
        <w:rPr>
          <w:color w:val="0000FF"/>
        </w:rPr>
        <w:t>第</w:t>
      </w:r>
      <w:r w:rsidRPr="0097554A">
        <w:rPr>
          <w:color w:val="0000FF"/>
          <w:lang w:val="ru-RU"/>
        </w:rPr>
        <w:t>2</w:t>
      </w:r>
      <w:r w:rsidRPr="004C59BB">
        <w:rPr>
          <w:color w:val="0000FF"/>
        </w:rPr>
        <w:t>段</w:t>
      </w:r>
      <w:r w:rsidRPr="0097554A">
        <w:rPr>
          <w:color w:val="0000FF"/>
          <w:lang w:val="ru-RU"/>
        </w:rPr>
        <w:t>）</w:t>
      </w:r>
      <w:r w:rsidRPr="004C59BB">
        <w:rPr>
          <w:color w:val="0000FF"/>
        </w:rPr>
        <w:t>。</w:t>
      </w:r>
    </w:p>
  </w:footnote>
  <w:footnote w:id="1912">
    <w:p w14:paraId="3664BE2D" w14:textId="3EBB7416"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《反异端论》第LXX篇</w:t>
      </w:r>
      <w:r w:rsidRPr="0097554A">
        <w:rPr>
          <w:color w:val="0000FF"/>
          <w:lang w:val="ru-RU"/>
        </w:rPr>
        <w:t>，</w:t>
      </w:r>
      <w:r w:rsidRPr="004C59BB">
        <w:rPr>
          <w:color w:val="0000FF"/>
        </w:rPr>
        <w:t>第</w:t>
      </w:r>
      <w:r w:rsidRPr="0097554A">
        <w:rPr>
          <w:color w:val="0000FF"/>
          <w:lang w:val="ru-RU"/>
        </w:rPr>
        <w:t>3</w:t>
      </w:r>
      <w:r w:rsidRPr="004C59BB">
        <w:rPr>
          <w:color w:val="0000FF"/>
        </w:rPr>
        <w:t>节。</w:t>
      </w:r>
    </w:p>
  </w:footnote>
  <w:footnote w:id="1913">
    <w:p w14:paraId="42DCA69B" w14:textId="37E0D945"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引自约翰</w:t>
      </w:r>
      <w:r w:rsidRPr="004C59BB">
        <w:rPr>
          <w:color w:val="0000FF"/>
          <w:lang w:val="ru-RU"/>
        </w:rPr>
        <w:t>·达马斯库斯关于亡者的讲道，载于《基督教读本》1827年版，</w:t>
      </w:r>
      <w:r w:rsidRPr="004C59BB">
        <w:rPr>
          <w:color w:val="0000FF"/>
        </w:rPr>
        <w:t>第XVI</w:t>
      </w:r>
      <w:r w:rsidRPr="004C59BB">
        <w:rPr>
          <w:color w:val="0000FF"/>
          <w:lang w:val="ru-RU"/>
        </w:rPr>
        <w:t>卷，第345页。</w:t>
      </w:r>
    </w:p>
  </w:footnote>
  <w:footnote w:id="1914">
    <w:p w14:paraId="4BCC570F" w14:textId="03E0CD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《遗嘱》，载于《基督教读本》1827年版，</w:t>
      </w:r>
      <w:r w:rsidRPr="004C59BB">
        <w:rPr>
          <w:color w:val="0000FF"/>
        </w:rPr>
        <w:t>第XXVII卷</w:t>
      </w:r>
      <w:r w:rsidRPr="004C59BB">
        <w:rPr>
          <w:color w:val="0000FF"/>
          <w:lang w:val="ru-RU"/>
        </w:rPr>
        <w:t>，第293页。</w:t>
      </w:r>
    </w:p>
  </w:footnote>
  <w:footnote w:id="1915">
    <w:p w14:paraId="30CBC06B" w14:textId="43C75481"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亚法纳西乌斯《致安提阿人书》，对</w:t>
      </w:r>
      <w:r w:rsidRPr="004C59BB">
        <w:rPr>
          <w:color w:val="0000FF"/>
        </w:rPr>
        <w:t>第</w:t>
      </w:r>
      <w:r w:rsidRPr="0097554A">
        <w:rPr>
          <w:color w:val="0000FF"/>
          <w:lang w:val="ru-RU"/>
        </w:rPr>
        <w:t>34</w:t>
      </w:r>
      <w:r w:rsidRPr="004C59BB">
        <w:rPr>
          <w:color w:val="0000FF"/>
        </w:rPr>
        <w:t>个</w:t>
      </w:r>
      <w:r w:rsidRPr="004C59BB">
        <w:rPr>
          <w:color w:val="0000FF"/>
          <w:lang w:val="ru-RU"/>
        </w:rPr>
        <w:t>问题的回答</w:t>
      </w:r>
      <w:r w:rsidRPr="0097554A">
        <w:rPr>
          <w:color w:val="0000FF"/>
          <w:lang w:val="ru-RU"/>
        </w:rPr>
        <w:t>，</w:t>
      </w:r>
      <w:r w:rsidRPr="004C59BB">
        <w:rPr>
          <w:color w:val="0000FF"/>
        </w:rPr>
        <w:t>载于《基督教读本》</w:t>
      </w:r>
      <w:r w:rsidRPr="0097554A">
        <w:rPr>
          <w:color w:val="0000FF"/>
          <w:lang w:val="ru-RU"/>
        </w:rPr>
        <w:t>1842</w:t>
      </w:r>
      <w:r w:rsidRPr="004C59BB">
        <w:rPr>
          <w:color w:val="0000FF"/>
        </w:rPr>
        <w:t>年版</w:t>
      </w:r>
      <w:r w:rsidRPr="0097554A">
        <w:rPr>
          <w:color w:val="0000FF"/>
          <w:lang w:val="ru-RU"/>
        </w:rPr>
        <w:t>，</w:t>
      </w:r>
      <w:r w:rsidRPr="004C59BB">
        <w:rPr>
          <w:color w:val="0000FF"/>
        </w:rPr>
        <w:t>第II卷</w:t>
      </w:r>
      <w:r w:rsidRPr="0097554A">
        <w:rPr>
          <w:color w:val="0000FF"/>
          <w:lang w:val="ru-RU"/>
        </w:rPr>
        <w:t>，</w:t>
      </w:r>
      <w:r w:rsidRPr="004C59BB">
        <w:rPr>
          <w:color w:val="0000FF"/>
        </w:rPr>
        <w:t>第</w:t>
      </w:r>
      <w:r w:rsidRPr="0097554A">
        <w:rPr>
          <w:color w:val="0000FF"/>
          <w:lang w:val="ru-RU"/>
        </w:rPr>
        <w:t>328</w:t>
      </w:r>
      <w:r w:rsidRPr="004C59BB">
        <w:rPr>
          <w:color w:val="0000FF"/>
        </w:rPr>
        <w:t>页。</w:t>
      </w:r>
    </w:p>
  </w:footnote>
  <w:footnote w:id="1916">
    <w:p w14:paraId="5151F761" w14:textId="6C936794"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因此</w:t>
      </w:r>
      <w:r w:rsidRPr="0097554A">
        <w:rPr>
          <w:color w:val="0000FF"/>
          <w:lang w:val="ru-RU"/>
        </w:rPr>
        <w:t>，</w:t>
      </w:r>
      <w:r w:rsidRPr="004C59BB">
        <w:rPr>
          <w:color w:val="0000FF"/>
        </w:rPr>
        <w:t>死者并非因他人代其行善而获得新的功德</w:t>
      </w:r>
      <w:r w:rsidRPr="0097554A">
        <w:rPr>
          <w:color w:val="0000FF"/>
          <w:lang w:val="ru-RU"/>
        </w:rPr>
        <w:t>，</w:t>
      </w:r>
      <w:r w:rsidRPr="004C59BB">
        <w:rPr>
          <w:color w:val="0000FF"/>
        </w:rPr>
        <w:t>而是因他们生前的善行而获得这些果报</w:t>
      </w:r>
      <w:r w:rsidRPr="0097554A">
        <w:rPr>
          <w:color w:val="0000FF"/>
          <w:lang w:val="ru-RU"/>
        </w:rPr>
        <w:t>（</w:t>
      </w:r>
      <w:r w:rsidRPr="004C59BB">
        <w:rPr>
          <w:color w:val="0000FF"/>
        </w:rPr>
        <w:t>《讲道集》第CLXXII</w:t>
      </w:r>
      <w:r w:rsidRPr="004C59BB">
        <w:rPr>
          <w:color w:val="0000FF"/>
          <w:lang w:val="ru-RU"/>
        </w:rPr>
        <w:t>篇，第2段）。</w:t>
      </w:r>
    </w:p>
  </w:footnote>
  <w:footnote w:id="1917">
    <w:p w14:paraId="59674F89" w14:textId="7F6691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《关于在信仰中离世者的词汇》，《基督教读本》1827年，</w:t>
      </w:r>
      <w:r w:rsidRPr="004C59BB">
        <w:rPr>
          <w:color w:val="0000FF"/>
        </w:rPr>
        <w:t>第XXVI卷</w:t>
      </w:r>
      <w:r w:rsidRPr="004C59BB">
        <w:rPr>
          <w:color w:val="0000FF"/>
          <w:lang w:val="ru-RU"/>
        </w:rPr>
        <w:t>，第327–328页。</w:t>
      </w:r>
    </w:p>
  </w:footnote>
  <w:footnote w:id="1918">
    <w:p w14:paraId="792899DE" w14:textId="71CF887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教会这种为非自然死亡者所作的祈祷，其渊源可追溯至使徒们本人（参见“肉斋周”的圣人传）。</w:t>
      </w:r>
    </w:p>
  </w:footnote>
  <w:footnote w:id="1919">
    <w:p w14:paraId="59C856FF" w14:textId="3472E4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“诸如‘你必按各人的行为报应他’、‘各人必按所种的收割’等话语，无疑是指造物主的再来、届时将要举行的可怕审判，以及这个世界的终结；因为那时将无处可求助，一切祈祷都将无效。 因为当市集结束时，再做买卖就为时已晚。那时，穷人在哪里？神职人员在哪里？诗篇颂唱在哪里？施舍在哪里？善行在哪里？ 因此，在那时刻来临之前，让我们互相帮助，并向那爱弟兄、爱人如己、对灵魂充满怜悯的上帝，献上兄弟之爱的祭物”（约翰·达马斯库斯，《论在信仰中离世者之讲道》，《基督教读本》1827年版，</w:t>
      </w:r>
      <w:r w:rsidRPr="004C59BB">
        <w:rPr>
          <w:color w:val="0000FF"/>
        </w:rPr>
        <w:t>XXV</w:t>
      </w:r>
      <w:r w:rsidRPr="004C59BB">
        <w:rPr>
          <w:color w:val="0000FF"/>
          <w:lang w:val="ru-RU"/>
        </w:rPr>
        <w:t>卷，513页）。</w:t>
      </w:r>
    </w:p>
  </w:footnote>
  <w:footnote w:id="1920">
    <w:p w14:paraId="38B19969" w14:textId="68C05723"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《正统信条》</w:t>
      </w:r>
      <w:r w:rsidRPr="004C59BB">
        <w:rPr>
          <w:color w:val="0000FF"/>
        </w:rPr>
        <w:t>第一</w:t>
      </w:r>
      <w:r w:rsidRPr="004C59BB">
        <w:rPr>
          <w:color w:val="0000FF"/>
          <w:lang w:val="ru-RU"/>
        </w:rPr>
        <w:t>卷，对第64–66问的回答；《东方牧首论正统信仰》第18条。以弗所的马可、费城的加布里埃尔及其他东方正统教父亦曾如此教导（</w:t>
      </w:r>
      <w:r w:rsidRPr="004C59BB">
        <w:rPr>
          <w:color w:val="0000FF"/>
        </w:rPr>
        <w:t>参见Le</w:t>
      </w:r>
      <w:r w:rsidRPr="0097554A">
        <w:rPr>
          <w:color w:val="0000FF"/>
          <w:lang w:val="ru-RU"/>
        </w:rPr>
        <w:t>-</w:t>
      </w:r>
      <w:r w:rsidRPr="004C59BB">
        <w:rPr>
          <w:color w:val="0000FF"/>
        </w:rPr>
        <w:t>Quien所编</w:t>
      </w:r>
      <w:r w:rsidRPr="004C59BB">
        <w:rPr>
          <w:color w:val="0000FF"/>
          <w:lang w:val="ru-RU"/>
        </w:rPr>
        <w:t>，</w:t>
      </w:r>
      <w:r w:rsidRPr="004C59BB">
        <w:rPr>
          <w:color w:val="0000FF"/>
        </w:rPr>
        <w:t>《Damascen</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p</w:t>
      </w:r>
      <w:r w:rsidRPr="004C59BB">
        <w:rPr>
          <w:color w:val="0000FF"/>
          <w:lang w:val="ru-RU"/>
        </w:rPr>
        <w:t xml:space="preserve">. LXV-LXVIII》）。 </w:t>
      </w:r>
      <w:r w:rsidRPr="004C59BB">
        <w:rPr>
          <w:color w:val="0000FF"/>
        </w:rPr>
        <w:t>Damascen</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p</w:t>
      </w:r>
      <w:r w:rsidRPr="004C59BB">
        <w:rPr>
          <w:color w:val="0000FF"/>
          <w:lang w:val="ru-RU"/>
        </w:rPr>
        <w:t xml:space="preserve">. </w:t>
      </w:r>
      <w:r w:rsidRPr="004C59BB">
        <w:rPr>
          <w:color w:val="0000FF"/>
        </w:rPr>
        <w:t>LXV</w:t>
      </w:r>
      <w:r w:rsidRPr="0097554A">
        <w:rPr>
          <w:color w:val="0000FF"/>
          <w:lang w:val="ru-RU"/>
        </w:rPr>
        <w:t>-</w:t>
      </w:r>
      <w:r w:rsidRPr="004C59BB">
        <w:rPr>
          <w:color w:val="0000FF"/>
        </w:rPr>
        <w:t>LXVIII</w:t>
      </w:r>
      <w:r w:rsidRPr="004C59BB">
        <w:rPr>
          <w:color w:val="0000FF"/>
          <w:lang w:val="ru-RU"/>
        </w:rPr>
        <w:t>）。 因此，我们既不能认同那些声称灵魂因教会的祈祷而获得解脱，但并非从地狱中解脱，而是从“税关”中解脱的人——他们将“税关”视为天堂与地狱之间一种特殊的、中间的或第三种场所（参见《信仰之石》，</w:t>
      </w:r>
      <w:r w:rsidRPr="004C59BB">
        <w:rPr>
          <w:color w:val="0000FF"/>
        </w:rPr>
        <w:t>第二</w:t>
      </w:r>
      <w:r w:rsidRPr="004C59BB">
        <w:rPr>
          <w:color w:val="0000FF"/>
          <w:lang w:val="ru-RU"/>
        </w:rPr>
        <w:t>卷，第440页，关于“有益的离世”，</w:t>
      </w:r>
      <w:r w:rsidRPr="004C59BB">
        <w:rPr>
          <w:color w:val="0000FF"/>
        </w:rPr>
        <w:t>第二</w:t>
      </w:r>
      <w:r w:rsidRPr="004C59BB">
        <w:rPr>
          <w:color w:val="0000FF"/>
          <w:lang w:val="ru-RU"/>
        </w:rPr>
        <w:t>部分，第三章）；也不能认同那些虽然承认灵魂能从地狱中获救，却将地狱等同于炼狱，视其为天堂与火湖之间一种特殊的中间场所的人（尼科尔斯克神父《论为亡者祈祷》，第62–94页，圣彼得堡，1847年）。 对此无法认同：因为东正教会不承认灵魂死后存在中间状态，也不承认天堂与地狱（或称火湖）之间存在第三处所在（《</w:t>
      </w:r>
      <w:r w:rsidRPr="004C59BB">
        <w:rPr>
          <w:color w:val="0000FF"/>
        </w:rPr>
        <w:t>正统信条》第</w:t>
      </w:r>
      <w:r w:rsidRPr="0097554A">
        <w:rPr>
          <w:color w:val="0000FF"/>
          <w:lang w:val="ru-RU"/>
        </w:rPr>
        <w:t>1</w:t>
      </w:r>
      <w:r w:rsidRPr="004C59BB">
        <w:rPr>
          <w:color w:val="0000FF"/>
        </w:rPr>
        <w:t>卷</w:t>
      </w:r>
      <w:r w:rsidRPr="0097554A">
        <w:rPr>
          <w:color w:val="0000FF"/>
          <w:lang w:val="ru-RU"/>
        </w:rPr>
        <w:t>，</w:t>
      </w:r>
      <w:r w:rsidRPr="004C59BB">
        <w:rPr>
          <w:color w:val="0000FF"/>
        </w:rPr>
        <w:t>对第</w:t>
      </w:r>
      <w:r w:rsidRPr="0097554A">
        <w:rPr>
          <w:color w:val="0000FF"/>
          <w:lang w:val="ru-RU"/>
        </w:rPr>
        <w:t>64</w:t>
      </w:r>
      <w:r w:rsidRPr="004C59BB">
        <w:rPr>
          <w:color w:val="0000FF"/>
        </w:rPr>
        <w:t>、</w:t>
      </w:r>
      <w:r w:rsidRPr="0097554A">
        <w:rPr>
          <w:color w:val="0000FF"/>
          <w:lang w:val="ru-RU"/>
        </w:rPr>
        <w:t>67</w:t>
      </w:r>
      <w:r w:rsidRPr="004C59BB">
        <w:rPr>
          <w:color w:val="0000FF"/>
        </w:rPr>
        <w:t>、</w:t>
      </w:r>
      <w:r w:rsidRPr="0097554A">
        <w:rPr>
          <w:color w:val="0000FF"/>
          <w:lang w:val="ru-RU"/>
        </w:rPr>
        <w:t>68</w:t>
      </w:r>
      <w:r w:rsidRPr="004C59BB">
        <w:rPr>
          <w:color w:val="0000FF"/>
        </w:rPr>
        <w:t>问的回答</w:t>
      </w:r>
      <w:r w:rsidRPr="0097554A">
        <w:rPr>
          <w:color w:val="0000FF"/>
          <w:lang w:val="ru-RU"/>
        </w:rPr>
        <w:t>）</w:t>
      </w:r>
      <w:r w:rsidRPr="004C59BB">
        <w:rPr>
          <w:color w:val="0000FF"/>
        </w:rPr>
        <w:t>。</w:t>
      </w:r>
    </w:p>
  </w:footnote>
  <w:footnote w:id="1921">
    <w:p w14:paraId="47A2C87C" w14:textId="41E42696"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《使徒宪章》第八卷</w:t>
      </w:r>
      <w:r w:rsidRPr="0097554A">
        <w:rPr>
          <w:color w:val="0000FF"/>
          <w:lang w:val="ru-RU"/>
        </w:rPr>
        <w:t>，</w:t>
      </w:r>
      <w:r w:rsidRPr="004C59BB">
        <w:rPr>
          <w:color w:val="0000FF"/>
        </w:rPr>
        <w:t>第</w:t>
      </w:r>
      <w:r w:rsidRPr="0097554A">
        <w:rPr>
          <w:color w:val="0000FF"/>
          <w:lang w:val="ru-RU"/>
        </w:rPr>
        <w:t>42</w:t>
      </w:r>
      <w:r w:rsidRPr="004C59BB">
        <w:rPr>
          <w:color w:val="0000FF"/>
        </w:rPr>
        <w:t>页</w:t>
      </w:r>
      <w:r w:rsidRPr="0097554A">
        <w:rPr>
          <w:color w:val="0000FF"/>
          <w:lang w:val="ru-RU"/>
        </w:rPr>
        <w:t>，</w:t>
      </w:r>
      <w:r w:rsidRPr="004C59BB">
        <w:rPr>
          <w:color w:val="0000FF"/>
        </w:rPr>
        <w:t>引自科特勒《使徒教父集</w:t>
      </w:r>
      <w:r w:rsidRPr="004C59BB">
        <w:rPr>
          <w:color w:val="0000FF"/>
          <w:lang w:val="ru-RU"/>
        </w:rPr>
        <w:t>》第1卷，第424页。</w:t>
      </w:r>
    </w:p>
  </w:footnote>
  <w:footnote w:id="1922">
    <w:p w14:paraId="07D541A3" w14:textId="74710A73"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以弗所，遗嘱篇，载于</w:t>
      </w:r>
      <w:r w:rsidRPr="004C59BB">
        <w:rPr>
          <w:color w:val="0000FF"/>
        </w:rPr>
        <w:t>《基督教</w:t>
      </w:r>
      <w:r w:rsidRPr="004C59BB">
        <w:rPr>
          <w:color w:val="0000FF"/>
          <w:lang w:val="ru-RU"/>
        </w:rPr>
        <w:t>读本》1828年版，</w:t>
      </w:r>
      <w:r w:rsidRPr="004C59BB">
        <w:rPr>
          <w:color w:val="0000FF"/>
        </w:rPr>
        <w:t>第XXVII</w:t>
      </w:r>
      <w:r w:rsidRPr="004C59BB">
        <w:rPr>
          <w:color w:val="0000FF"/>
          <w:lang w:val="ru-RU"/>
        </w:rPr>
        <w:t>卷，第292页； 亚历山大的马卡尔关于灵魂离世的论述，载于《基督教读物》1831年，</w:t>
      </w:r>
      <w:r w:rsidRPr="004C59BB">
        <w:rPr>
          <w:color w:val="0000FF"/>
        </w:rPr>
        <w:t>第XLIII</w:t>
      </w:r>
      <w:r w:rsidRPr="004C59BB">
        <w:rPr>
          <w:color w:val="0000FF"/>
          <w:lang w:val="ru-RU"/>
        </w:rPr>
        <w:t>卷，第126–131页；安布罗斯</w:t>
      </w:r>
      <w:r w:rsidRPr="004C59BB">
        <w:rPr>
          <w:color w:val="0000FF"/>
        </w:rPr>
        <w:t>《论狄奥多西之逝的讲道》</w:t>
      </w:r>
      <w:r w:rsidRPr="0097554A">
        <w:rPr>
          <w:color w:val="0000FF"/>
          <w:lang w:val="ru-RU"/>
        </w:rPr>
        <w:t>；</w:t>
      </w:r>
      <w:r w:rsidRPr="004C59BB">
        <w:rPr>
          <w:color w:val="0000FF"/>
        </w:rPr>
        <w:t>帕拉迪乌斯《拉夫萨伊克》第</w:t>
      </w:r>
      <w:r w:rsidRPr="0097554A">
        <w:rPr>
          <w:color w:val="0000FF"/>
          <w:lang w:val="ru-RU"/>
        </w:rPr>
        <w:t>26</w:t>
      </w:r>
      <w:r w:rsidRPr="004C59BB">
        <w:rPr>
          <w:color w:val="0000FF"/>
        </w:rPr>
        <w:t>章</w:t>
      </w:r>
      <w:r w:rsidRPr="0097554A">
        <w:rPr>
          <w:color w:val="0000FF"/>
          <w:lang w:val="ru-RU"/>
        </w:rPr>
        <w:t>；</w:t>
      </w:r>
      <w:r w:rsidRPr="004C59BB">
        <w:rPr>
          <w:color w:val="0000FF"/>
        </w:rPr>
        <w:t>佩卢斯的伊西多尔《书信集》第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114</w:t>
      </w:r>
      <w:r w:rsidRPr="004C59BB">
        <w:rPr>
          <w:color w:val="0000FF"/>
        </w:rPr>
        <w:t>封书信。</w:t>
      </w:r>
    </w:p>
  </w:footnote>
  <w:footnote w:id="1923">
    <w:p w14:paraId="34E0D630" w14:textId="793A547B"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伊西蒙</w:t>
      </w:r>
      <w:r w:rsidRPr="0097554A">
        <w:rPr>
          <w:color w:val="0000FF"/>
          <w:lang w:val="ru-RU"/>
        </w:rPr>
        <w:t>，</w:t>
      </w:r>
      <w:r w:rsidRPr="004C59BB">
        <w:rPr>
          <w:color w:val="0000FF"/>
        </w:rPr>
        <w:t>《新编》第</w:t>
      </w:r>
      <w:r w:rsidRPr="0097554A">
        <w:rPr>
          <w:color w:val="0000FF"/>
          <w:lang w:val="ru-RU"/>
        </w:rPr>
        <w:t>133</w:t>
      </w:r>
      <w:r w:rsidRPr="004C59BB">
        <w:rPr>
          <w:color w:val="0000FF"/>
        </w:rPr>
        <w:t>条</w:t>
      </w:r>
      <w:r w:rsidRPr="0097554A">
        <w:rPr>
          <w:color w:val="0000FF"/>
          <w:lang w:val="ru-RU"/>
        </w:rPr>
        <w:t>；</w:t>
      </w:r>
      <w:r w:rsidRPr="004C59BB">
        <w:rPr>
          <w:color w:val="0000FF"/>
        </w:rPr>
        <w:t>埃夫斯特拉特</w:t>
      </w:r>
      <w:r w:rsidRPr="0097554A">
        <w:rPr>
          <w:color w:val="0000FF"/>
          <w:lang w:val="ru-RU"/>
        </w:rPr>
        <w:t>，</w:t>
      </w:r>
      <w:r w:rsidRPr="004C59BB">
        <w:rPr>
          <w:color w:val="0000FF"/>
        </w:rPr>
        <w:t>《引自福提乌斯〈图书馆〉》第CLXXI卷</w:t>
      </w:r>
      <w:r w:rsidRPr="0097554A">
        <w:rPr>
          <w:color w:val="0000FF"/>
          <w:lang w:val="ru-RU"/>
        </w:rPr>
        <w:t>；</w:t>
      </w:r>
      <w:r w:rsidRPr="004C59BB">
        <w:rPr>
          <w:color w:val="0000FF"/>
        </w:rPr>
        <w:t>大马士革</w:t>
      </w:r>
      <w:r w:rsidRPr="0097554A">
        <w:rPr>
          <w:color w:val="0000FF"/>
          <w:lang w:val="ru-RU"/>
        </w:rPr>
        <w:t>，</w:t>
      </w:r>
      <w:r w:rsidRPr="004C59BB">
        <w:rPr>
          <w:color w:val="0000FF"/>
        </w:rPr>
        <w:t>《论信仰冷淡的词汇》</w:t>
      </w:r>
      <w:r w:rsidRPr="0097554A">
        <w:rPr>
          <w:color w:val="0000FF"/>
          <w:lang w:val="ru-RU"/>
        </w:rPr>
        <w:t>，</w:t>
      </w:r>
      <w:r w:rsidRPr="004C59BB">
        <w:rPr>
          <w:color w:val="0000FF"/>
        </w:rPr>
        <w:t>载于《基督教读物》</w:t>
      </w:r>
      <w:r w:rsidRPr="0097554A">
        <w:rPr>
          <w:color w:val="0000FF"/>
          <w:lang w:val="ru-RU"/>
        </w:rPr>
        <w:t>1827</w:t>
      </w:r>
      <w:r w:rsidRPr="004C59BB">
        <w:rPr>
          <w:color w:val="0000FF"/>
        </w:rPr>
        <w:t>年版</w:t>
      </w:r>
      <w:r w:rsidRPr="0097554A">
        <w:rPr>
          <w:color w:val="0000FF"/>
          <w:lang w:val="ru-RU"/>
        </w:rPr>
        <w:t>，</w:t>
      </w:r>
      <w:r w:rsidRPr="004C59BB">
        <w:rPr>
          <w:color w:val="0000FF"/>
        </w:rPr>
        <w:t>第XXVI卷</w:t>
      </w:r>
      <w:r w:rsidRPr="0097554A">
        <w:rPr>
          <w:color w:val="0000FF"/>
          <w:lang w:val="ru-RU"/>
        </w:rPr>
        <w:t>，</w:t>
      </w:r>
      <w:r w:rsidRPr="004C59BB">
        <w:rPr>
          <w:color w:val="0000FF"/>
        </w:rPr>
        <w:t>第</w:t>
      </w:r>
      <w:r w:rsidRPr="0097554A">
        <w:rPr>
          <w:color w:val="0000FF"/>
          <w:lang w:val="ru-RU"/>
        </w:rPr>
        <w:t>322</w:t>
      </w:r>
      <w:r w:rsidRPr="004C59BB">
        <w:rPr>
          <w:color w:val="0000FF"/>
        </w:rPr>
        <w:t>页</w:t>
      </w:r>
      <w:r w:rsidRPr="0097554A">
        <w:rPr>
          <w:color w:val="0000FF"/>
          <w:lang w:val="ru-RU"/>
        </w:rPr>
        <w:t xml:space="preserve">； </w:t>
      </w:r>
      <w:r w:rsidRPr="004C59BB">
        <w:rPr>
          <w:color w:val="0000FF"/>
        </w:rPr>
        <w:t>菲利普</w:t>
      </w:r>
      <w:r w:rsidRPr="0097554A">
        <w:rPr>
          <w:color w:val="0000FF"/>
          <w:lang w:val="ru-RU"/>
        </w:rPr>
        <w:t>·</w:t>
      </w:r>
      <w:r w:rsidRPr="004C59BB">
        <w:rPr>
          <w:color w:val="0000FF"/>
        </w:rPr>
        <w:t>普斯托尼</w:t>
      </w:r>
      <w:r w:rsidRPr="0097554A">
        <w:rPr>
          <w:color w:val="0000FF"/>
          <w:lang w:val="ru-RU"/>
        </w:rPr>
        <w:t>，</w:t>
      </w:r>
      <w:r w:rsidRPr="004C59BB">
        <w:rPr>
          <w:color w:val="0000FF"/>
        </w:rPr>
        <w:t>引自科特勒《使徒教父</w:t>
      </w:r>
      <w:r w:rsidRPr="004C59BB">
        <w:rPr>
          <w:color w:val="0000FF"/>
          <w:lang w:val="ru-RU"/>
        </w:rPr>
        <w:t>集</w:t>
      </w:r>
      <w:r w:rsidRPr="004C59BB">
        <w:rPr>
          <w:color w:val="0000FF"/>
        </w:rPr>
        <w:t>》</w:t>
      </w:r>
      <w:r w:rsidRPr="004C59BB">
        <w:rPr>
          <w:color w:val="0000FF"/>
          <w:lang w:val="ru-RU"/>
        </w:rPr>
        <w:t>第1卷，</w:t>
      </w:r>
      <w:r w:rsidRPr="004C59BB">
        <w:rPr>
          <w:color w:val="0000FF"/>
        </w:rPr>
        <w:t>第</w:t>
      </w:r>
      <w:r w:rsidRPr="004C59BB">
        <w:rPr>
          <w:color w:val="0000FF"/>
          <w:lang w:val="ru-RU"/>
        </w:rPr>
        <w:t>424页，</w:t>
      </w:r>
      <w:r w:rsidRPr="004C59BB">
        <w:rPr>
          <w:color w:val="0000FF"/>
        </w:rPr>
        <w:t>注</w:t>
      </w:r>
      <w:r w:rsidRPr="004C59BB">
        <w:rPr>
          <w:color w:val="0000FF"/>
          <w:lang w:val="ru-RU"/>
        </w:rPr>
        <w:t>5。</w:t>
      </w:r>
    </w:p>
  </w:footnote>
  <w:footnote w:id="1924">
    <w:p w14:paraId="46B65F4E" w14:textId="673DCD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参见上文注释1921。</w:t>
      </w:r>
    </w:p>
  </w:footnote>
  <w:footnote w:id="1925">
    <w:p w14:paraId="0E0BF841" w14:textId="2E571F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参见注释1922。</w:t>
      </w:r>
    </w:p>
  </w:footnote>
  <w:footnote w:id="1926">
    <w:p w14:paraId="448DA98B" w14:textId="206D95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注1923。</w:t>
      </w:r>
    </w:p>
  </w:footnote>
  <w:footnote w:id="1927">
    <w:p w14:paraId="642C4F01" w14:textId="60BB1FF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《信仰之石》，论善终，第1卷，第5章，</w:t>
      </w:r>
      <w:r w:rsidRPr="004C59BB">
        <w:rPr>
          <w:color w:val="0000FF"/>
        </w:rPr>
        <w:t>第II</w:t>
      </w:r>
      <w:r w:rsidRPr="004C59BB">
        <w:rPr>
          <w:color w:val="0000FF"/>
          <w:lang w:val="ru-RU"/>
        </w:rPr>
        <w:t>节，第431–434页。</w:t>
      </w:r>
    </w:p>
  </w:footnote>
  <w:footnote w:id="1928">
    <w:p w14:paraId="2C9D58AA" w14:textId="16D72D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《关于在信仰中离世者的词典》，《基督教读物》1827年，</w:t>
      </w:r>
      <w:r w:rsidRPr="004C59BB">
        <w:rPr>
          <w:color w:val="0000FF"/>
        </w:rPr>
        <w:t>第XXVI卷</w:t>
      </w:r>
      <w:r w:rsidRPr="004C59BB">
        <w:rPr>
          <w:color w:val="0000FF"/>
          <w:lang w:val="ru-RU"/>
        </w:rPr>
        <w:t>，第324页。</w:t>
      </w:r>
    </w:p>
  </w:footnote>
  <w:footnote w:id="1929">
    <w:p w14:paraId="7E6F9E56" w14:textId="3B1B3A4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同上</w:t>
      </w:r>
      <w:r w:rsidRPr="0097554A">
        <w:rPr>
          <w:color w:val="0000FF"/>
          <w:lang w:val="ru-RU"/>
        </w:rPr>
        <w:t>，</w:t>
      </w:r>
      <w:r w:rsidRPr="004C59BB">
        <w:rPr>
          <w:color w:val="0000FF"/>
        </w:rPr>
        <w:t>第</w:t>
      </w:r>
      <w:r w:rsidRPr="0097554A">
        <w:rPr>
          <w:color w:val="0000FF"/>
          <w:lang w:val="ru-RU"/>
        </w:rPr>
        <w:t>326</w:t>
      </w:r>
      <w:r w:rsidRPr="004C59BB">
        <w:rPr>
          <w:color w:val="0000FF"/>
        </w:rPr>
        <w:t>页。</w:t>
      </w:r>
    </w:p>
  </w:footnote>
  <w:footnote w:id="1930">
    <w:p w14:paraId="6932828F" w14:textId="21B0418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佩罗内</w:t>
      </w:r>
      <w:r w:rsidRPr="0097554A">
        <w:rPr>
          <w:color w:val="0000FF"/>
          <w:lang w:val="ru-RU"/>
        </w:rPr>
        <w:t>，</w:t>
      </w:r>
      <w:r w:rsidRPr="004C59BB">
        <w:rPr>
          <w:color w:val="0000FF"/>
        </w:rPr>
        <w:t>《神学讲义》第III卷</w:t>
      </w:r>
      <w:r w:rsidRPr="0097554A">
        <w:rPr>
          <w:color w:val="0000FF"/>
          <w:lang w:val="ru-RU"/>
        </w:rPr>
        <w:t>，</w:t>
      </w:r>
      <w:r w:rsidRPr="004C59BB">
        <w:rPr>
          <w:color w:val="0000FF"/>
        </w:rPr>
        <w:t>第</w:t>
      </w:r>
      <w:r w:rsidRPr="0097554A">
        <w:rPr>
          <w:color w:val="0000FF"/>
          <w:lang w:val="ru-RU"/>
        </w:rPr>
        <w:t>308–310</w:t>
      </w:r>
      <w:r w:rsidRPr="004C59BB">
        <w:rPr>
          <w:color w:val="0000FF"/>
        </w:rPr>
        <w:t>页</w:t>
      </w:r>
      <w:r w:rsidRPr="0097554A">
        <w:rPr>
          <w:color w:val="0000FF"/>
          <w:lang w:val="ru-RU"/>
        </w:rPr>
        <w:t>，</w:t>
      </w:r>
      <w:r w:rsidRPr="004C59BB">
        <w:rPr>
          <w:color w:val="0000FF"/>
        </w:rPr>
        <w:t>洛桑</w:t>
      </w:r>
      <w:r w:rsidRPr="0097554A">
        <w:rPr>
          <w:color w:val="0000FF"/>
          <w:lang w:val="ru-RU"/>
        </w:rPr>
        <w:t>，1839</w:t>
      </w:r>
      <w:r w:rsidRPr="004C59BB">
        <w:rPr>
          <w:color w:val="0000FF"/>
        </w:rPr>
        <w:t>年</w:t>
      </w:r>
      <w:r w:rsidRPr="0097554A">
        <w:rPr>
          <w:color w:val="0000FF"/>
          <w:lang w:val="ru-RU"/>
        </w:rPr>
        <w:t>；</w:t>
      </w:r>
      <w:r w:rsidRPr="004C59BB">
        <w:rPr>
          <w:color w:val="0000FF"/>
        </w:rPr>
        <w:t>费尔</w:t>
      </w:r>
      <w:r w:rsidRPr="0097554A">
        <w:rPr>
          <w:color w:val="0000FF"/>
          <w:lang w:val="ru-RU"/>
        </w:rPr>
        <w:t>，</w:t>
      </w:r>
      <w:r w:rsidRPr="004C59BB">
        <w:rPr>
          <w:color w:val="0000FF"/>
        </w:rPr>
        <w:t>《教义神学纲要》第VII卷</w:t>
      </w:r>
      <w:r w:rsidRPr="0097554A">
        <w:rPr>
          <w:color w:val="0000FF"/>
          <w:lang w:val="ru-RU"/>
        </w:rPr>
        <w:t>，</w:t>
      </w:r>
      <w:r w:rsidRPr="004C59BB">
        <w:rPr>
          <w:color w:val="0000FF"/>
        </w:rPr>
        <w:t>第</w:t>
      </w:r>
      <w:r w:rsidRPr="0097554A">
        <w:rPr>
          <w:color w:val="0000FF"/>
          <w:lang w:val="ru-RU"/>
        </w:rPr>
        <w:t>41–47</w:t>
      </w:r>
      <w:r w:rsidRPr="004C59BB">
        <w:rPr>
          <w:color w:val="0000FF"/>
        </w:rPr>
        <w:t>页</w:t>
      </w:r>
      <w:r w:rsidRPr="0097554A">
        <w:rPr>
          <w:color w:val="0000FF"/>
          <w:lang w:val="ru-RU"/>
        </w:rPr>
        <w:t>；</w:t>
      </w:r>
      <w:r w:rsidRPr="004C59BB">
        <w:rPr>
          <w:color w:val="0000FF"/>
        </w:rPr>
        <w:t>《神学全集》第VII卷</w:t>
      </w:r>
      <w:r w:rsidRPr="0097554A">
        <w:rPr>
          <w:color w:val="0000FF"/>
          <w:lang w:val="ru-RU"/>
        </w:rPr>
        <w:t>，</w:t>
      </w:r>
      <w:r w:rsidRPr="004C59BB">
        <w:rPr>
          <w:color w:val="0000FF"/>
        </w:rPr>
        <w:t>第</w:t>
      </w:r>
      <w:r w:rsidRPr="0097554A">
        <w:rPr>
          <w:color w:val="0000FF"/>
          <w:lang w:val="ru-RU"/>
        </w:rPr>
        <w:t>1604</w:t>
      </w:r>
      <w:r w:rsidRPr="004C59BB">
        <w:rPr>
          <w:color w:val="0000FF"/>
        </w:rPr>
        <w:t>页及后续</w:t>
      </w:r>
      <w:r w:rsidRPr="0097554A">
        <w:rPr>
          <w:color w:val="0000FF"/>
          <w:lang w:val="ru-RU"/>
        </w:rPr>
        <w:t xml:space="preserve">； </w:t>
      </w:r>
      <w:r w:rsidRPr="004C59BB">
        <w:rPr>
          <w:color w:val="0000FF"/>
        </w:rPr>
        <w:t>利伯曼</w:t>
      </w:r>
      <w:r w:rsidRPr="0097554A">
        <w:rPr>
          <w:color w:val="0000FF"/>
          <w:lang w:val="ru-RU"/>
        </w:rPr>
        <w:t>，</w:t>
      </w:r>
      <w:r w:rsidRPr="004C59BB">
        <w:rPr>
          <w:color w:val="0000FF"/>
        </w:rPr>
        <w:t>《神学原理》第V卷</w:t>
      </w:r>
      <w:r w:rsidRPr="0097554A">
        <w:rPr>
          <w:color w:val="0000FF"/>
          <w:lang w:val="ru-RU"/>
        </w:rPr>
        <w:t>，</w:t>
      </w:r>
      <w:r w:rsidRPr="004C59BB">
        <w:rPr>
          <w:color w:val="0000FF"/>
        </w:rPr>
        <w:t>第</w:t>
      </w:r>
      <w:r w:rsidRPr="0097554A">
        <w:rPr>
          <w:color w:val="0000FF"/>
          <w:lang w:val="ru-RU"/>
        </w:rPr>
        <w:t>406–413</w:t>
      </w:r>
      <w:r w:rsidRPr="004C59BB">
        <w:rPr>
          <w:color w:val="0000FF"/>
        </w:rPr>
        <w:t>页</w:t>
      </w:r>
      <w:r w:rsidRPr="0097554A">
        <w:rPr>
          <w:color w:val="0000FF"/>
          <w:lang w:val="ru-RU"/>
        </w:rPr>
        <w:t>，</w:t>
      </w:r>
      <w:r w:rsidRPr="004C59BB">
        <w:rPr>
          <w:color w:val="0000FF"/>
        </w:rPr>
        <w:t>巴黎</w:t>
      </w:r>
      <w:r w:rsidRPr="0097554A">
        <w:rPr>
          <w:color w:val="0000FF"/>
          <w:lang w:val="ru-RU"/>
        </w:rPr>
        <w:t>，1839</w:t>
      </w:r>
      <w:r w:rsidRPr="004C59BB">
        <w:rPr>
          <w:color w:val="0000FF"/>
        </w:rPr>
        <w:t>年。</w:t>
      </w:r>
    </w:p>
  </w:footnote>
  <w:footnote w:id="1931">
    <w:p w14:paraId="761A1A92" w14:textId="1A750071"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在佛罗伦萨大公会议上</w:t>
      </w:r>
      <w:r w:rsidRPr="0097554A">
        <w:rPr>
          <w:color w:val="0000FF"/>
          <w:lang w:val="ru-RU"/>
        </w:rPr>
        <w:t>，</w:t>
      </w:r>
      <w:r w:rsidRPr="004C59BB">
        <w:rPr>
          <w:color w:val="0000FF"/>
        </w:rPr>
        <w:t>这一教义表述如下</w:t>
      </w:r>
      <w:r w:rsidRPr="0097554A">
        <w:rPr>
          <w:color w:val="0000FF"/>
          <w:lang w:val="ru-RU"/>
        </w:rPr>
        <w:t>：</w:t>
      </w:r>
      <w:r w:rsidRPr="004C59BB">
        <w:rPr>
          <w:color w:val="0000FF"/>
        </w:rPr>
        <w:t>若真正悔罪者怀着对上帝的爱离世</w:t>
      </w:r>
      <w:r w:rsidRPr="0097554A">
        <w:rPr>
          <w:color w:val="0000FF"/>
          <w:lang w:val="ru-RU"/>
        </w:rPr>
        <w:t>，</w:t>
      </w:r>
      <w:r w:rsidRPr="004C59BB">
        <w:rPr>
          <w:color w:val="0000FF"/>
        </w:rPr>
        <w:t>但在为所犯之罪及所缺之行作出应有的忏悔果实之前</w:t>
      </w:r>
      <w:r w:rsidRPr="0097554A">
        <w:rPr>
          <w:color w:val="0000FF"/>
          <w:lang w:val="ru-RU"/>
        </w:rPr>
        <w:t>：</w:t>
      </w:r>
      <w:r w:rsidRPr="004C59BB">
        <w:rPr>
          <w:color w:val="0000FF"/>
        </w:rPr>
        <w:t>他们的灵魂将在死后于炼狱中接受净化</w:t>
      </w:r>
      <w:r w:rsidRPr="0097554A">
        <w:rPr>
          <w:color w:val="0000FF"/>
          <w:lang w:val="ru-RU"/>
        </w:rPr>
        <w:t xml:space="preserve">， </w:t>
      </w:r>
      <w:r w:rsidRPr="004C59BB">
        <w:rPr>
          <w:color w:val="0000FF"/>
        </w:rPr>
        <w:t>且为使他们免于此类惩罚</w:t>
      </w:r>
      <w:r w:rsidRPr="0097554A">
        <w:rPr>
          <w:color w:val="0000FF"/>
          <w:lang w:val="ru-RU"/>
        </w:rPr>
        <w:t>，</w:t>
      </w:r>
      <w:r w:rsidRPr="004C59BB">
        <w:rPr>
          <w:color w:val="0000FF"/>
        </w:rPr>
        <w:t>信徒的代祷</w:t>
      </w:r>
      <w:r w:rsidRPr="0097554A">
        <w:rPr>
          <w:color w:val="0000FF"/>
          <w:lang w:val="ru-RU"/>
        </w:rPr>
        <w:t>——</w:t>
      </w:r>
      <w:r w:rsidRPr="004C59BB">
        <w:rPr>
          <w:color w:val="0000FF"/>
        </w:rPr>
        <w:t>即弥撒祭礼、祈祷等</w:t>
      </w:r>
      <w:r w:rsidRPr="0097554A">
        <w:rPr>
          <w:color w:val="0000FF"/>
          <w:lang w:val="ru-RU"/>
        </w:rPr>
        <w:t>——</w:t>
      </w:r>
      <w:r w:rsidRPr="004C59BB">
        <w:rPr>
          <w:color w:val="0000FF"/>
        </w:rPr>
        <w:t>将对他们有所裨益</w:t>
      </w:r>
      <w:r w:rsidRPr="0097554A">
        <w:rPr>
          <w:color w:val="0000FF"/>
          <w:lang w:val="ru-RU"/>
        </w:rPr>
        <w:t>……</w:t>
      </w:r>
      <w:r w:rsidRPr="004C59BB">
        <w:rPr>
          <w:color w:val="0000FF"/>
          <w:lang w:val="ru-RU"/>
        </w:rPr>
        <w:t>（</w:t>
      </w:r>
      <w:r w:rsidRPr="004C59BB">
        <w:rPr>
          <w:color w:val="0000FF"/>
        </w:rPr>
        <w:t>见</w:t>
      </w:r>
      <w:r w:rsidRPr="004C59BB">
        <w:rPr>
          <w:color w:val="0000FF"/>
          <w:lang w:val="ru-RU"/>
        </w:rPr>
        <w:t>《</w:t>
      </w:r>
      <w:r w:rsidRPr="004C59BB">
        <w:rPr>
          <w:color w:val="0000FF"/>
        </w:rPr>
        <w:t>信理定义</w:t>
      </w:r>
      <w:r w:rsidRPr="004C59BB">
        <w:rPr>
          <w:color w:val="0000FF"/>
          <w:lang w:val="ru-RU"/>
        </w:rPr>
        <w:t>》）。</w:t>
      </w:r>
    </w:p>
  </w:footnote>
  <w:footnote w:id="1932">
    <w:p w14:paraId="023AA663" w14:textId="34FB7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参见上文第226–228节；关于补赎和所谓的赎罪券。</w:t>
      </w:r>
    </w:p>
  </w:footnote>
  <w:footnote w:id="1933">
    <w:p w14:paraId="38CD3E81" w14:textId="74E6C91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在佛罗伦萨大公会议上</w:t>
      </w:r>
      <w:r w:rsidRPr="0097554A">
        <w:rPr>
          <w:color w:val="0000FF"/>
          <w:lang w:val="ru-RU"/>
        </w:rPr>
        <w:t>，</w:t>
      </w:r>
      <w:r w:rsidRPr="004C59BB">
        <w:rPr>
          <w:color w:val="0000FF"/>
        </w:rPr>
        <w:t>这一教义表述如下</w:t>
      </w:r>
      <w:r w:rsidRPr="0097554A">
        <w:rPr>
          <w:color w:val="0000FF"/>
          <w:lang w:val="ru-RU"/>
        </w:rPr>
        <w:t>：</w:t>
      </w:r>
      <w:r w:rsidRPr="004C59BB">
        <w:rPr>
          <w:color w:val="0000FF"/>
        </w:rPr>
        <w:t>若真正悔罪者怀着对天主的爱离世</w:t>
      </w:r>
      <w:r w:rsidRPr="0097554A">
        <w:rPr>
          <w:color w:val="0000FF"/>
          <w:lang w:val="ru-RU"/>
        </w:rPr>
        <w:t>，</w:t>
      </w:r>
      <w:r w:rsidRPr="004C59BB">
        <w:rPr>
          <w:color w:val="0000FF"/>
        </w:rPr>
        <w:t>但在尚未以应有的悔罪果实赎清所犯之罪及所缺之行之前</w:t>
      </w:r>
      <w:r w:rsidRPr="0097554A">
        <w:rPr>
          <w:color w:val="0000FF"/>
          <w:lang w:val="ru-RU"/>
        </w:rPr>
        <w:t>：</w:t>
      </w:r>
      <w:r w:rsidRPr="004C59BB">
        <w:rPr>
          <w:color w:val="0000FF"/>
        </w:rPr>
        <w:t>他们的灵魂死后将在炼狱之苦中得到净化</w:t>
      </w:r>
      <w:r w:rsidRPr="0097554A">
        <w:rPr>
          <w:color w:val="0000FF"/>
          <w:lang w:val="ru-RU"/>
        </w:rPr>
        <w:t xml:space="preserve">， </w:t>
      </w:r>
      <w:r w:rsidRPr="004C59BB">
        <w:rPr>
          <w:color w:val="0000FF"/>
        </w:rPr>
        <w:t>并且</w:t>
      </w:r>
      <w:r w:rsidRPr="0097554A">
        <w:rPr>
          <w:color w:val="0000FF"/>
          <w:lang w:val="ru-RU"/>
        </w:rPr>
        <w:t>，</w:t>
      </w:r>
      <w:r w:rsidRPr="004C59BB">
        <w:rPr>
          <w:color w:val="0000FF"/>
        </w:rPr>
        <w:t>为了使他们从这种惩罚中解脱出来</w:t>
      </w:r>
      <w:r w:rsidRPr="0097554A">
        <w:rPr>
          <w:color w:val="0000FF"/>
          <w:lang w:val="ru-RU"/>
        </w:rPr>
        <w:t>，</w:t>
      </w:r>
      <w:r w:rsidRPr="004C59BB">
        <w:rPr>
          <w:color w:val="0000FF"/>
        </w:rPr>
        <w:t>信徒的代祷</w:t>
      </w:r>
      <w:r w:rsidRPr="0097554A">
        <w:rPr>
          <w:color w:val="0000FF"/>
          <w:lang w:val="ru-RU"/>
        </w:rPr>
        <w:t>——</w:t>
      </w:r>
      <w:r w:rsidRPr="004C59BB">
        <w:rPr>
          <w:color w:val="0000FF"/>
        </w:rPr>
        <w:t>即弥撒的牺牲、祈祷等</w:t>
      </w:r>
      <w:r w:rsidRPr="0097554A">
        <w:rPr>
          <w:color w:val="0000FF"/>
          <w:lang w:val="ru-RU"/>
        </w:rPr>
        <w:t>——</w:t>
      </w:r>
      <w:r w:rsidRPr="004C59BB">
        <w:rPr>
          <w:color w:val="0000FF"/>
        </w:rPr>
        <w:t>将对他们有所裨益</w:t>
      </w:r>
      <w:r w:rsidRPr="0097554A">
        <w:rPr>
          <w:color w:val="0000FF"/>
          <w:lang w:val="ru-RU"/>
        </w:rPr>
        <w:t>……（</w:t>
      </w:r>
      <w:r w:rsidRPr="004C59BB">
        <w:rPr>
          <w:color w:val="0000FF"/>
        </w:rPr>
        <w:t>《信仰定义》</w:t>
      </w:r>
      <w:r w:rsidRPr="0097554A">
        <w:rPr>
          <w:color w:val="0000FF"/>
          <w:lang w:val="ru-RU"/>
        </w:rPr>
        <w:t>）</w:t>
      </w:r>
      <w:r w:rsidRPr="004C59BB">
        <w:rPr>
          <w:color w:val="0000FF"/>
        </w:rPr>
        <w:t>。</w:t>
      </w:r>
    </w:p>
  </w:footnote>
  <w:footnote w:id="1934">
    <w:p w14:paraId="6F805D88" w14:textId="3129B02A"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《神学课程》全集</w:t>
      </w:r>
      <w:r w:rsidRPr="0097554A">
        <w:rPr>
          <w:color w:val="0000FF"/>
          <w:lang w:val="ru-RU"/>
        </w:rPr>
        <w:t>，</w:t>
      </w:r>
      <w:r w:rsidRPr="004C59BB">
        <w:rPr>
          <w:color w:val="0000FF"/>
        </w:rPr>
        <w:t>同上。</w:t>
      </w:r>
    </w:p>
  </w:footnote>
  <w:footnote w:id="1935">
    <w:p w14:paraId="77054C50" w14:textId="541ED04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佩罗内</w:t>
      </w:r>
      <w:r w:rsidRPr="0097554A">
        <w:rPr>
          <w:color w:val="0000FF"/>
          <w:lang w:val="ru-RU"/>
        </w:rPr>
        <w:t>，</w:t>
      </w:r>
      <w:r w:rsidRPr="004C59BB">
        <w:rPr>
          <w:color w:val="0000FF"/>
        </w:rPr>
        <w:t>《神学导论》第III卷</w:t>
      </w:r>
      <w:r w:rsidRPr="0097554A">
        <w:rPr>
          <w:color w:val="0000FF"/>
          <w:lang w:val="ru-RU"/>
        </w:rPr>
        <w:t>，</w:t>
      </w:r>
      <w:r w:rsidRPr="004C59BB">
        <w:rPr>
          <w:color w:val="0000FF"/>
        </w:rPr>
        <w:t>第</w:t>
      </w:r>
      <w:r w:rsidRPr="0097554A">
        <w:rPr>
          <w:color w:val="0000FF"/>
          <w:lang w:val="ru-RU"/>
        </w:rPr>
        <w:t>310–318</w:t>
      </w:r>
      <w:r w:rsidRPr="004C59BB">
        <w:rPr>
          <w:color w:val="0000FF"/>
        </w:rPr>
        <w:t>页、第</w:t>
      </w:r>
      <w:r w:rsidRPr="0097554A">
        <w:rPr>
          <w:color w:val="0000FF"/>
          <w:lang w:val="ru-RU"/>
        </w:rPr>
        <w:t>325</w:t>
      </w:r>
      <w:r w:rsidRPr="004C59BB">
        <w:rPr>
          <w:color w:val="0000FF"/>
        </w:rPr>
        <w:t>页、第</w:t>
      </w:r>
      <w:r w:rsidRPr="0097554A">
        <w:rPr>
          <w:color w:val="0000FF"/>
          <w:lang w:val="ru-RU"/>
        </w:rPr>
        <w:t>327</w:t>
      </w:r>
      <w:r w:rsidRPr="004C59BB">
        <w:rPr>
          <w:color w:val="0000FF"/>
        </w:rPr>
        <w:t>页</w:t>
      </w:r>
      <w:r w:rsidRPr="0097554A">
        <w:rPr>
          <w:color w:val="0000FF"/>
          <w:lang w:val="ru-RU"/>
        </w:rPr>
        <w:t>；</w:t>
      </w:r>
      <w:r w:rsidRPr="004C59BB">
        <w:rPr>
          <w:color w:val="0000FF"/>
        </w:rPr>
        <w:t>克利</w:t>
      </w:r>
      <w:r w:rsidRPr="0097554A">
        <w:rPr>
          <w:color w:val="0000FF"/>
          <w:lang w:val="ru-RU"/>
        </w:rPr>
        <w:t>，</w:t>
      </w:r>
      <w:r w:rsidRPr="004C59BB">
        <w:rPr>
          <w:color w:val="0000FF"/>
        </w:rPr>
        <w:t>《教义史手册》第II卷</w:t>
      </w:r>
      <w:r w:rsidRPr="0097554A">
        <w:rPr>
          <w:color w:val="0000FF"/>
          <w:lang w:val="ru-RU"/>
        </w:rPr>
        <w:t>，</w:t>
      </w:r>
      <w:r w:rsidRPr="004C59BB">
        <w:rPr>
          <w:color w:val="0000FF"/>
        </w:rPr>
        <w:t>第</w:t>
      </w:r>
      <w:r w:rsidRPr="0097554A">
        <w:rPr>
          <w:color w:val="0000FF"/>
          <w:lang w:val="ru-RU"/>
        </w:rPr>
        <w:t>474</w:t>
      </w:r>
      <w:r w:rsidRPr="004C59BB">
        <w:rPr>
          <w:color w:val="0000FF"/>
        </w:rPr>
        <w:t>页</w:t>
      </w:r>
      <w:r w:rsidRPr="0097554A">
        <w:rPr>
          <w:color w:val="0000FF"/>
          <w:lang w:val="ru-RU"/>
        </w:rPr>
        <w:t>，</w:t>
      </w:r>
      <w:r w:rsidRPr="004C59BB">
        <w:rPr>
          <w:color w:val="0000FF"/>
        </w:rPr>
        <w:t>巴黎</w:t>
      </w:r>
      <w:r w:rsidRPr="0097554A">
        <w:rPr>
          <w:color w:val="0000FF"/>
          <w:lang w:val="ru-RU"/>
        </w:rPr>
        <w:t>，1848</w:t>
      </w:r>
      <w:r w:rsidRPr="004C59BB">
        <w:rPr>
          <w:color w:val="0000FF"/>
        </w:rPr>
        <w:t>年。</w:t>
      </w:r>
    </w:p>
  </w:footnote>
  <w:footnote w:id="1936">
    <w:p w14:paraId="0C2AFDEB" w14:textId="08C7482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贝拉明</w:t>
      </w:r>
      <w:r w:rsidRPr="0097554A">
        <w:rPr>
          <w:color w:val="0000FF"/>
          <w:lang w:val="ru-RU"/>
        </w:rPr>
        <w:t>，</w:t>
      </w:r>
      <w:r w:rsidRPr="004C59BB">
        <w:rPr>
          <w:color w:val="0000FF"/>
        </w:rPr>
        <w:t>《论炼狱》</w:t>
      </w:r>
      <w:r w:rsidRPr="0097554A">
        <w:rPr>
          <w:color w:val="0000FF"/>
          <w:lang w:val="ru-RU"/>
        </w:rPr>
        <w:t>，</w:t>
      </w:r>
      <w:r w:rsidRPr="004C59BB">
        <w:rPr>
          <w:color w:val="0000FF"/>
        </w:rPr>
        <w:t>第二卷</w:t>
      </w:r>
      <w:r w:rsidRPr="0097554A">
        <w:rPr>
          <w:color w:val="0000FF"/>
          <w:lang w:val="ru-RU"/>
        </w:rPr>
        <w:t>，</w:t>
      </w:r>
      <w:r w:rsidRPr="004C59BB">
        <w:rPr>
          <w:color w:val="0000FF"/>
        </w:rPr>
        <w:t>第</w:t>
      </w:r>
      <w:r w:rsidRPr="0097554A">
        <w:rPr>
          <w:color w:val="0000FF"/>
          <w:lang w:val="ru-RU"/>
        </w:rPr>
        <w:t>11</w:t>
      </w:r>
      <w:r w:rsidRPr="004C59BB">
        <w:rPr>
          <w:color w:val="0000FF"/>
        </w:rPr>
        <w:t>章。</w:t>
      </w:r>
    </w:p>
  </w:footnote>
  <w:footnote w:id="1937">
    <w:p w14:paraId="189283B8" w14:textId="5213487D"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费尔</w:t>
      </w:r>
      <w:r w:rsidRPr="0097554A">
        <w:rPr>
          <w:color w:val="0000FF"/>
          <w:lang w:val="ru-RU"/>
        </w:rPr>
        <w:t>，</w:t>
      </w:r>
      <w:r w:rsidRPr="004C59BB">
        <w:rPr>
          <w:color w:val="0000FF"/>
        </w:rPr>
        <w:t>《教义神学研究所》第七卷</w:t>
      </w:r>
      <w:r w:rsidRPr="0097554A">
        <w:rPr>
          <w:color w:val="0000FF"/>
          <w:lang w:val="ru-RU"/>
        </w:rPr>
        <w:t>，</w:t>
      </w:r>
      <w:r w:rsidRPr="004C59BB">
        <w:rPr>
          <w:color w:val="0000FF"/>
        </w:rPr>
        <w:t>第</w:t>
      </w:r>
      <w:r w:rsidRPr="0097554A">
        <w:rPr>
          <w:color w:val="0000FF"/>
          <w:lang w:val="ru-RU"/>
        </w:rPr>
        <w:t>42–43</w:t>
      </w:r>
      <w:r w:rsidRPr="004C59BB">
        <w:rPr>
          <w:color w:val="0000FF"/>
        </w:rPr>
        <w:t>页</w:t>
      </w:r>
      <w:r w:rsidRPr="0097554A">
        <w:rPr>
          <w:color w:val="0000FF"/>
          <w:lang w:val="ru-RU"/>
        </w:rPr>
        <w:t>；</w:t>
      </w:r>
      <w:r w:rsidRPr="004C59BB">
        <w:rPr>
          <w:color w:val="0000FF"/>
        </w:rPr>
        <w:t>《神学全集</w:t>
      </w:r>
      <w:r w:rsidRPr="004C59BB">
        <w:rPr>
          <w:color w:val="0000FF"/>
          <w:lang w:val="ru-RU"/>
        </w:rPr>
        <w:t>》</w:t>
      </w:r>
      <w:r w:rsidRPr="004C59BB">
        <w:rPr>
          <w:color w:val="0000FF"/>
        </w:rPr>
        <w:t>第七卷</w:t>
      </w:r>
      <w:r w:rsidRPr="004C59BB">
        <w:rPr>
          <w:color w:val="0000FF"/>
          <w:lang w:val="ru-RU"/>
        </w:rPr>
        <w:t>，第1068–1612页。</w:t>
      </w:r>
    </w:p>
  </w:footnote>
  <w:footnote w:id="1938">
    <w:p w14:paraId="0291A464" w14:textId="3AE0B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“使徒说：‘因此，神就任凭他们受迷惑（帖后2:11）。’ ‘差遣’的意思就是‘容许’发生，并非为了使他们因此得称义，而是为了使他们被定罪。为什么呢？因为他们不相信真理（-12），即不相信真正的基督，却喜悦不义，即喜悦敌基督。 上帝在迫害期间容许此事发生，并非因为祂无力阻止，而是为了像往常一样，因着忍耐而赐予祂的殉道者冠冕，如同祂的先知和使徒一样，使他们因短暂的苦难而承受永恒的天国，正如但以理所说： “那时，凡名字记在册上的人，都必得救”（但以理书12:1），显然是指生命册（基里尔，《耶路撒冷教义讲授》</w:t>
      </w:r>
      <w:r w:rsidRPr="004C59BB">
        <w:rPr>
          <w:color w:val="0000FF"/>
        </w:rPr>
        <w:t>第十五</w:t>
      </w:r>
      <w:r w:rsidRPr="004C59BB">
        <w:rPr>
          <w:color w:val="0000FF"/>
          <w:lang w:val="ru-RU"/>
        </w:rPr>
        <w:t>卷，第17节，第325页）。</w:t>
      </w:r>
    </w:p>
  </w:footnote>
  <w:footnote w:id="1939">
    <w:p w14:paraId="4ECBCD51" w14:textId="348A516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伊里内斯</w:t>
      </w:r>
      <w:r w:rsidRPr="0097554A">
        <w:rPr>
          <w:color w:val="0000FF"/>
          <w:lang w:val="ru-RU"/>
        </w:rPr>
        <w:t>，</w:t>
      </w:r>
      <w:r w:rsidRPr="004C59BB">
        <w:rPr>
          <w:color w:val="0000FF"/>
        </w:rPr>
        <w:t>《反异端》第五卷</w:t>
      </w:r>
      <w:r w:rsidRPr="0097554A">
        <w:rPr>
          <w:color w:val="0000FF"/>
          <w:lang w:val="ru-RU"/>
        </w:rPr>
        <w:t>，</w:t>
      </w:r>
      <w:r w:rsidRPr="004C59BB">
        <w:rPr>
          <w:color w:val="0000FF"/>
        </w:rPr>
        <w:t>第</w:t>
      </w:r>
      <w:r w:rsidRPr="0097554A">
        <w:rPr>
          <w:color w:val="0000FF"/>
          <w:lang w:val="ru-RU"/>
        </w:rPr>
        <w:t>25</w:t>
      </w:r>
      <w:r w:rsidRPr="004C59BB">
        <w:rPr>
          <w:color w:val="0000FF"/>
        </w:rPr>
        <w:t>章</w:t>
      </w:r>
      <w:r w:rsidRPr="0097554A">
        <w:rPr>
          <w:color w:val="0000FF"/>
          <w:lang w:val="ru-RU"/>
        </w:rPr>
        <w:t>，</w:t>
      </w:r>
      <w:r w:rsidRPr="004C59BB">
        <w:rPr>
          <w:color w:val="0000FF"/>
        </w:rPr>
        <w:t>第</w:t>
      </w:r>
      <w:r w:rsidRPr="0097554A">
        <w:rPr>
          <w:color w:val="0000FF"/>
          <w:lang w:val="ru-RU"/>
        </w:rPr>
        <w:t>1</w:t>
      </w:r>
      <w:r w:rsidRPr="004C59BB">
        <w:rPr>
          <w:color w:val="0000FF"/>
        </w:rPr>
        <w:t>注</w:t>
      </w:r>
      <w:r w:rsidRPr="0097554A">
        <w:rPr>
          <w:color w:val="0000FF"/>
          <w:lang w:val="ru-RU"/>
        </w:rPr>
        <w:t>，</w:t>
      </w:r>
      <w:r w:rsidRPr="004C59BB">
        <w:rPr>
          <w:color w:val="0000FF"/>
        </w:rPr>
        <w:t>同上</w:t>
      </w:r>
      <w:r w:rsidRPr="0097554A">
        <w:rPr>
          <w:color w:val="0000FF"/>
          <w:lang w:val="ru-RU"/>
        </w:rPr>
        <w:t>；</w:t>
      </w:r>
      <w:r w:rsidRPr="004C59BB">
        <w:rPr>
          <w:color w:val="0000FF"/>
        </w:rPr>
        <w:t>希波吕托斯</w:t>
      </w:r>
      <w:r w:rsidRPr="0097554A">
        <w:rPr>
          <w:color w:val="0000FF"/>
          <w:lang w:val="ru-RU"/>
        </w:rPr>
        <w:t>，</w:t>
      </w:r>
      <w:r w:rsidRPr="004C59BB">
        <w:rPr>
          <w:color w:val="0000FF"/>
        </w:rPr>
        <w:t>《论敌基督》第</w:t>
      </w:r>
      <w:r w:rsidRPr="0097554A">
        <w:rPr>
          <w:color w:val="0000FF"/>
          <w:lang w:val="ru-RU"/>
        </w:rPr>
        <w:t>14</w:t>
      </w:r>
      <w:r w:rsidRPr="004C59BB">
        <w:rPr>
          <w:color w:val="0000FF"/>
        </w:rPr>
        <w:t>、</w:t>
      </w:r>
      <w:r w:rsidRPr="0097554A">
        <w:rPr>
          <w:color w:val="0000FF"/>
          <w:lang w:val="ru-RU"/>
        </w:rPr>
        <w:t>15</w:t>
      </w:r>
      <w:r w:rsidRPr="004C59BB">
        <w:rPr>
          <w:color w:val="0000FF"/>
        </w:rPr>
        <w:t>章</w:t>
      </w:r>
      <w:r w:rsidRPr="0097554A">
        <w:rPr>
          <w:color w:val="0000FF"/>
          <w:lang w:val="ru-RU"/>
        </w:rPr>
        <w:t>；</w:t>
      </w:r>
      <w:r w:rsidRPr="004C59BB">
        <w:rPr>
          <w:color w:val="0000FF"/>
        </w:rPr>
        <w:t>特土良</w:t>
      </w:r>
      <w:r w:rsidRPr="0097554A">
        <w:rPr>
          <w:color w:val="0000FF"/>
          <w:lang w:val="ru-RU"/>
        </w:rPr>
        <w:t>，</w:t>
      </w:r>
      <w:r w:rsidRPr="004C59BB">
        <w:rPr>
          <w:color w:val="0000FF"/>
        </w:rPr>
        <w:t>《论异端预言》第</w:t>
      </w:r>
      <w:r w:rsidRPr="0097554A">
        <w:rPr>
          <w:color w:val="0000FF"/>
          <w:lang w:val="ru-RU"/>
        </w:rPr>
        <w:t>4</w:t>
      </w:r>
      <w:r w:rsidRPr="004C59BB">
        <w:rPr>
          <w:color w:val="0000FF"/>
        </w:rPr>
        <w:t>章</w:t>
      </w:r>
      <w:r w:rsidRPr="0097554A">
        <w:rPr>
          <w:color w:val="0000FF"/>
          <w:lang w:val="ru-RU"/>
        </w:rPr>
        <w:t xml:space="preserve">； </w:t>
      </w:r>
      <w:r w:rsidRPr="004C59BB">
        <w:rPr>
          <w:color w:val="0000FF"/>
        </w:rPr>
        <w:t>优西比乌《路加福音注释》第十七章</w:t>
      </w:r>
      <w:r w:rsidRPr="0097554A">
        <w:rPr>
          <w:color w:val="0000FF"/>
          <w:lang w:val="ru-RU"/>
        </w:rPr>
        <w:t>，</w:t>
      </w:r>
      <w:r w:rsidRPr="004C59BB">
        <w:rPr>
          <w:color w:val="0000FF"/>
        </w:rPr>
        <w:t>第</w:t>
      </w:r>
      <w:r w:rsidRPr="0097554A">
        <w:rPr>
          <w:color w:val="0000FF"/>
          <w:lang w:val="ru-RU"/>
        </w:rPr>
        <w:t>24</w:t>
      </w:r>
      <w:r w:rsidRPr="004C59BB">
        <w:rPr>
          <w:color w:val="0000FF"/>
        </w:rPr>
        <w:t>节</w:t>
      </w:r>
      <w:r w:rsidRPr="0097554A">
        <w:rPr>
          <w:color w:val="0000FF"/>
          <w:lang w:val="ru-RU"/>
        </w:rPr>
        <w:t>；</w:t>
      </w:r>
      <w:r w:rsidRPr="004C59BB">
        <w:rPr>
          <w:color w:val="0000FF"/>
        </w:rPr>
        <w:t>金口约翰《论十字架与强盗的讲道》第</w:t>
      </w:r>
      <w:r w:rsidRPr="0097554A">
        <w:rPr>
          <w:color w:val="0000FF"/>
          <w:lang w:val="ru-RU"/>
        </w:rPr>
        <w:t>1</w:t>
      </w:r>
      <w:r w:rsidRPr="004C59BB">
        <w:rPr>
          <w:color w:val="0000FF"/>
        </w:rPr>
        <w:t>篇</w:t>
      </w:r>
      <w:r w:rsidRPr="0097554A">
        <w:rPr>
          <w:color w:val="0000FF"/>
          <w:lang w:val="ru-RU"/>
        </w:rPr>
        <w:t>，</w:t>
      </w:r>
      <w:r w:rsidRPr="004C59BB">
        <w:rPr>
          <w:color w:val="0000FF"/>
        </w:rPr>
        <w:t>注</w:t>
      </w:r>
      <w:r w:rsidRPr="0097554A">
        <w:rPr>
          <w:color w:val="0000FF"/>
          <w:lang w:val="ru-RU"/>
        </w:rPr>
        <w:t>4；</w:t>
      </w:r>
      <w:r w:rsidRPr="004C59BB">
        <w:rPr>
          <w:color w:val="0000FF"/>
        </w:rPr>
        <w:t>第</w:t>
      </w:r>
      <w:r w:rsidRPr="0097554A">
        <w:rPr>
          <w:color w:val="0000FF"/>
          <w:lang w:val="ru-RU"/>
        </w:rPr>
        <w:t>2</w:t>
      </w:r>
      <w:r w:rsidRPr="004C59BB">
        <w:rPr>
          <w:color w:val="0000FF"/>
        </w:rPr>
        <w:t>篇</w:t>
      </w:r>
      <w:r w:rsidRPr="0097554A">
        <w:rPr>
          <w:color w:val="0000FF"/>
          <w:lang w:val="ru-RU"/>
        </w:rPr>
        <w:t>，</w:t>
      </w:r>
      <w:r w:rsidRPr="004C59BB">
        <w:rPr>
          <w:color w:val="0000FF"/>
        </w:rPr>
        <w:t>注</w:t>
      </w:r>
      <w:r w:rsidRPr="0097554A">
        <w:rPr>
          <w:color w:val="0000FF"/>
          <w:lang w:val="ru-RU"/>
        </w:rPr>
        <w:t>4；</w:t>
      </w:r>
      <w:r w:rsidRPr="004C59BB">
        <w:rPr>
          <w:color w:val="0000FF"/>
        </w:rPr>
        <w:t>安布罗斯《祝福宗主教》第</w:t>
      </w:r>
      <w:r w:rsidRPr="0097554A">
        <w:rPr>
          <w:color w:val="0000FF"/>
          <w:lang w:val="ru-RU"/>
        </w:rPr>
        <w:t>7</w:t>
      </w:r>
      <w:r w:rsidRPr="004C59BB">
        <w:rPr>
          <w:color w:val="0000FF"/>
        </w:rPr>
        <w:t>章</w:t>
      </w:r>
      <w:r w:rsidRPr="0097554A">
        <w:rPr>
          <w:color w:val="0000FF"/>
          <w:lang w:val="ru-RU"/>
        </w:rPr>
        <w:t>；</w:t>
      </w:r>
      <w:r w:rsidRPr="004C59BB">
        <w:rPr>
          <w:color w:val="0000FF"/>
        </w:rPr>
        <w:t>杰罗姆《诗篇注释》第LXXXIX篇</w:t>
      </w:r>
      <w:r w:rsidRPr="0097554A">
        <w:rPr>
          <w:color w:val="0000FF"/>
          <w:lang w:val="ru-RU"/>
        </w:rPr>
        <w:t>；</w:t>
      </w:r>
      <w:r w:rsidRPr="004C59BB">
        <w:rPr>
          <w:color w:val="0000FF"/>
        </w:rPr>
        <w:t>狄奥多里特《论名字的问答》第三篇。</w:t>
      </w:r>
    </w:p>
  </w:footnote>
  <w:footnote w:id="1940">
    <w:p w14:paraId="2CC95218" w14:textId="56309E4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拉克坦提乌斯</w:t>
      </w:r>
      <w:r w:rsidRPr="0097554A">
        <w:rPr>
          <w:color w:val="0000FF"/>
          <w:lang w:val="ru-RU"/>
        </w:rPr>
        <w:t>，</w:t>
      </w:r>
      <w:r w:rsidRPr="004C59BB">
        <w:rPr>
          <w:color w:val="0000FF"/>
        </w:rPr>
        <w:t>《神学原理》第七卷</w:t>
      </w:r>
      <w:r w:rsidRPr="0097554A">
        <w:rPr>
          <w:color w:val="0000FF"/>
          <w:lang w:val="ru-RU"/>
        </w:rPr>
        <w:t>，</w:t>
      </w:r>
      <w:r w:rsidRPr="004C59BB">
        <w:rPr>
          <w:color w:val="0000FF"/>
        </w:rPr>
        <w:t>第</w:t>
      </w:r>
      <w:r w:rsidRPr="0097554A">
        <w:rPr>
          <w:color w:val="0000FF"/>
          <w:lang w:val="ru-RU"/>
        </w:rPr>
        <w:t>17</w:t>
      </w:r>
      <w:r w:rsidRPr="004C59BB">
        <w:rPr>
          <w:color w:val="0000FF"/>
        </w:rPr>
        <w:t>章</w:t>
      </w:r>
      <w:r w:rsidRPr="0097554A">
        <w:rPr>
          <w:color w:val="0000FF"/>
          <w:lang w:val="ru-RU"/>
        </w:rPr>
        <w:t>；</w:t>
      </w:r>
      <w:r w:rsidRPr="004C59BB">
        <w:rPr>
          <w:color w:val="0000FF"/>
        </w:rPr>
        <w:t>耶路撒冷的盖西希乌斯</w:t>
      </w:r>
      <w:r w:rsidRPr="0097554A">
        <w:rPr>
          <w:color w:val="0000FF"/>
          <w:lang w:val="ru-RU"/>
        </w:rPr>
        <w:t>，</w:t>
      </w:r>
      <w:r w:rsidRPr="004C59BB">
        <w:rPr>
          <w:color w:val="0000FF"/>
        </w:rPr>
        <w:t>《问题集》第九卷</w:t>
      </w:r>
      <w:r w:rsidRPr="0097554A">
        <w:rPr>
          <w:color w:val="0000FF"/>
          <w:lang w:val="ru-RU"/>
        </w:rPr>
        <w:t>，</w:t>
      </w:r>
      <w:r w:rsidRPr="004C59BB">
        <w:rPr>
          <w:color w:val="0000FF"/>
        </w:rPr>
        <w:t>载于科特勒编《希腊教会文献集》第八卷</w:t>
      </w:r>
      <w:r w:rsidRPr="0097554A">
        <w:rPr>
          <w:color w:val="0000FF"/>
          <w:lang w:val="ru-RU"/>
        </w:rPr>
        <w:t>；</w:t>
      </w:r>
      <w:r w:rsidRPr="004C59BB">
        <w:rPr>
          <w:color w:val="0000FF"/>
        </w:rPr>
        <w:t>杰罗姆</w:t>
      </w:r>
      <w:r w:rsidRPr="0097554A">
        <w:rPr>
          <w:color w:val="0000FF"/>
          <w:lang w:val="ru-RU"/>
        </w:rPr>
        <w:t>，</w:t>
      </w:r>
      <w:r w:rsidRPr="004C59BB">
        <w:rPr>
          <w:color w:val="0000FF"/>
        </w:rPr>
        <w:t>《以赛亚书注释》第十六章、第十三章。</w:t>
      </w:r>
    </w:p>
  </w:footnote>
  <w:footnote w:id="1941">
    <w:p w14:paraId="485823C2" w14:textId="7B6BA6A0"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西里尔</w:t>
      </w:r>
      <w:r w:rsidRPr="0097554A">
        <w:rPr>
          <w:color w:val="0000FF"/>
          <w:lang w:val="ru-RU"/>
        </w:rPr>
        <w:t>，</w:t>
      </w:r>
      <w:r w:rsidRPr="004C59BB">
        <w:rPr>
          <w:color w:val="0000FF"/>
        </w:rPr>
        <w:t>《神学讲义》第V卷</w:t>
      </w:r>
      <w:r w:rsidRPr="004C59BB">
        <w:rPr>
          <w:color w:val="0000FF"/>
          <w:lang w:val="ru-RU"/>
        </w:rPr>
        <w:t>，第14节，第321页；约翰·达马斯库斯，《正统信仰的精确阐述》</w:t>
      </w:r>
      <w:r w:rsidRPr="004C59BB">
        <w:rPr>
          <w:color w:val="0000FF"/>
        </w:rPr>
        <w:t>第IV卷</w:t>
      </w:r>
      <w:r w:rsidRPr="004C59BB">
        <w:rPr>
          <w:color w:val="0000FF"/>
          <w:lang w:val="ru-RU"/>
        </w:rPr>
        <w:t>，第26章，第300–301页。</w:t>
      </w:r>
    </w:p>
  </w:footnote>
  <w:footnote w:id="1942">
    <w:p w14:paraId="1EFE0322" w14:textId="26BECB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“在基督降临之前，人类的仇敌、上帝的对立者——那个篡夺上帝之名的恶魔——将披着人性降临世间”（狄奥多里特，《神学教义简明论》第23章，载于《基督教读本》1844年版，</w:t>
      </w:r>
      <w:r w:rsidRPr="004C59BB">
        <w:rPr>
          <w:color w:val="0000FF"/>
        </w:rPr>
        <w:t>第IV</w:t>
      </w:r>
      <w:r w:rsidRPr="004C59BB">
        <w:rPr>
          <w:color w:val="0000FF"/>
          <w:lang w:val="ru-RU"/>
        </w:rPr>
        <w:t>卷，第355页）。</w:t>
      </w:r>
    </w:p>
  </w:footnote>
  <w:footnote w:id="1943">
    <w:p w14:paraId="342C8F52" w14:textId="21F5B6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“他深知在审判日已无赦免可言，便不会像往常那样通过其仆从，而是亲自以各种虚假的征兆和神迹，公开发动攻击。 作为谎言之父，他将通过虚假的行为迷惑人们的想象，以致民众会以为自己看见了复活的死人——其实他并未复活；以为看见瘸子行走、瞎子复明——其实并未发生任何医治。” （基里尔·耶路撒冷，《教义讲授》</w:t>
      </w:r>
      <w:r w:rsidRPr="004C59BB">
        <w:rPr>
          <w:color w:val="0000FF"/>
        </w:rPr>
        <w:t>第十五</w:t>
      </w:r>
      <w:r w:rsidRPr="004C59BB">
        <w:rPr>
          <w:color w:val="0000FF"/>
          <w:lang w:val="ru-RU"/>
        </w:rPr>
        <w:t>卷，第14节，第321页）。圣以弗所·西里尔在《论主再来与敌基督再来》一书中亦有相同论述（《圣教父著作集》</w:t>
      </w:r>
      <w:r w:rsidRPr="004C59BB">
        <w:rPr>
          <w:color w:val="0000FF"/>
        </w:rPr>
        <w:t>第十四</w:t>
      </w:r>
      <w:r w:rsidRPr="004C59BB">
        <w:rPr>
          <w:color w:val="0000FF"/>
          <w:lang w:val="ru-RU"/>
        </w:rPr>
        <w:t>卷，第31页）。</w:t>
      </w:r>
    </w:p>
  </w:footnote>
  <w:footnote w:id="1944">
    <w:p w14:paraId="39D5ADE6" w14:textId="33012D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伊里内斯《反</w:t>
      </w:r>
      <w:r w:rsidRPr="004C59BB">
        <w:rPr>
          <w:color w:val="0000FF"/>
        </w:rPr>
        <w:t>异端</w:t>
      </w:r>
      <w:r w:rsidRPr="004C59BB">
        <w:rPr>
          <w:color w:val="0000FF"/>
          <w:lang w:val="ru-RU"/>
        </w:rPr>
        <w:t>》</w:t>
      </w:r>
      <w:r w:rsidRPr="004C59BB">
        <w:rPr>
          <w:color w:val="0000FF"/>
        </w:rPr>
        <w:t>第五卷</w:t>
      </w:r>
      <w:r w:rsidRPr="0097554A">
        <w:rPr>
          <w:color w:val="0000FF"/>
          <w:lang w:val="ru-RU"/>
        </w:rPr>
        <w:t>，</w:t>
      </w:r>
      <w:r w:rsidRPr="004C59BB">
        <w:rPr>
          <w:color w:val="0000FF"/>
        </w:rPr>
        <w:t>第</w:t>
      </w:r>
      <w:r w:rsidRPr="0097554A">
        <w:rPr>
          <w:color w:val="0000FF"/>
          <w:lang w:val="ru-RU"/>
        </w:rPr>
        <w:t>30</w:t>
      </w:r>
      <w:r w:rsidRPr="004C59BB">
        <w:rPr>
          <w:color w:val="0000FF"/>
        </w:rPr>
        <w:t>章</w:t>
      </w:r>
      <w:r w:rsidRPr="0097554A">
        <w:rPr>
          <w:color w:val="0000FF"/>
          <w:lang w:val="ru-RU"/>
        </w:rPr>
        <w:t>；</w:t>
      </w:r>
      <w:r w:rsidRPr="004C59BB">
        <w:rPr>
          <w:color w:val="0000FF"/>
        </w:rPr>
        <w:t>希波吕托斯《论敌基督》第</w:t>
      </w:r>
      <w:r w:rsidRPr="0097554A">
        <w:rPr>
          <w:color w:val="0000FF"/>
          <w:lang w:val="ru-RU"/>
        </w:rPr>
        <w:t>14</w:t>
      </w:r>
      <w:r w:rsidRPr="004C59BB">
        <w:rPr>
          <w:color w:val="0000FF"/>
        </w:rPr>
        <w:t>、</w:t>
      </w:r>
      <w:r w:rsidRPr="0097554A">
        <w:rPr>
          <w:color w:val="0000FF"/>
          <w:lang w:val="ru-RU"/>
        </w:rPr>
        <w:t>15</w:t>
      </w:r>
      <w:r w:rsidRPr="004C59BB">
        <w:rPr>
          <w:color w:val="0000FF"/>
        </w:rPr>
        <w:t>章</w:t>
      </w:r>
      <w:r w:rsidRPr="0097554A">
        <w:rPr>
          <w:color w:val="0000FF"/>
          <w:lang w:val="ru-RU"/>
        </w:rPr>
        <w:t>；</w:t>
      </w:r>
      <w:r w:rsidRPr="004C59BB">
        <w:rPr>
          <w:color w:val="0000FF"/>
        </w:rPr>
        <w:t>伊拉里乌斯《马太福音注》第十七章</w:t>
      </w:r>
      <w:r w:rsidRPr="0097554A">
        <w:rPr>
          <w:color w:val="0000FF"/>
          <w:lang w:val="ru-RU"/>
        </w:rPr>
        <w:t>；</w:t>
      </w:r>
      <w:r w:rsidRPr="004C59BB">
        <w:rPr>
          <w:color w:val="0000FF"/>
        </w:rPr>
        <w:t>安布罗斯《宗主教祝福》第</w:t>
      </w:r>
      <w:r w:rsidRPr="0097554A">
        <w:rPr>
          <w:color w:val="0000FF"/>
          <w:lang w:val="ru-RU"/>
        </w:rPr>
        <w:t>7</w:t>
      </w:r>
      <w:r w:rsidRPr="004C59BB">
        <w:rPr>
          <w:color w:val="0000FF"/>
        </w:rPr>
        <w:t>章</w:t>
      </w:r>
      <w:r w:rsidRPr="0097554A">
        <w:rPr>
          <w:color w:val="0000FF"/>
          <w:lang w:val="ru-RU"/>
        </w:rPr>
        <w:t>；</w:t>
      </w:r>
      <w:r w:rsidRPr="004C59BB">
        <w:rPr>
          <w:color w:val="0000FF"/>
        </w:rPr>
        <w:t>杰罗姆《米迦书注》第四章</w:t>
      </w:r>
      <w:r w:rsidRPr="0097554A">
        <w:rPr>
          <w:color w:val="0000FF"/>
          <w:lang w:val="ru-RU"/>
        </w:rPr>
        <w:t>；</w:t>
      </w:r>
      <w:r w:rsidRPr="004C59BB">
        <w:rPr>
          <w:color w:val="0000FF"/>
        </w:rPr>
        <w:t>奥古斯丁《上帝之城》第二十</w:t>
      </w:r>
      <w:r w:rsidRPr="004C59BB">
        <w:rPr>
          <w:color w:val="0000FF"/>
          <w:lang w:val="ru-RU"/>
        </w:rPr>
        <w:t>卷，第7章。</w:t>
      </w:r>
    </w:p>
  </w:footnote>
  <w:footnote w:id="1945">
    <w:p w14:paraId="34FEBC16" w14:textId="5C999D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“那个亵渎上帝、违背律法之人，他并非从先祖那里继承王国，而是通过巫术篡夺权力”（基里尔·耶路撒冷，《教义讲义》</w:t>
      </w:r>
      <w:r w:rsidRPr="004C59BB">
        <w:rPr>
          <w:color w:val="0000FF"/>
        </w:rPr>
        <w:t>第十五</w:t>
      </w:r>
      <w:r w:rsidRPr="004C59BB">
        <w:rPr>
          <w:color w:val="0000FF"/>
          <w:lang w:val="ru-RU"/>
        </w:rPr>
        <w:t>卷，第13节，第320–321页。 斯内斯·大马士革，《正统信仰精确阐述》</w:t>
      </w:r>
      <w:r w:rsidRPr="004C59BB">
        <w:rPr>
          <w:color w:val="0000FF"/>
        </w:rPr>
        <w:t>第IV</w:t>
      </w:r>
      <w:r w:rsidRPr="004C59BB">
        <w:rPr>
          <w:color w:val="0000FF"/>
          <w:lang w:val="ru-RU"/>
        </w:rPr>
        <w:t>卷，第26章，第301页）。</w:t>
      </w:r>
    </w:p>
  </w:footnote>
  <w:footnote w:id="1946">
    <w:p w14:paraId="65AA5D4B" w14:textId="16544D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伊里内斯，《</w:t>
      </w:r>
      <w:r w:rsidRPr="004C59BB">
        <w:rPr>
          <w:color w:val="0000FF"/>
        </w:rPr>
        <w:t>反异端论</w:t>
      </w:r>
      <w:r w:rsidRPr="004C59BB">
        <w:rPr>
          <w:color w:val="0000FF"/>
          <w:lang w:val="ru-RU"/>
        </w:rPr>
        <w:t>》</w:t>
      </w:r>
      <w:r w:rsidRPr="004C59BB">
        <w:rPr>
          <w:color w:val="0000FF"/>
        </w:rPr>
        <w:t>第五</w:t>
      </w:r>
      <w:r w:rsidRPr="004C59BB">
        <w:rPr>
          <w:color w:val="0000FF"/>
          <w:lang w:val="ru-RU"/>
        </w:rPr>
        <w:t>卷，第25章，注1；第28章，第2节；西里尔，《耶路撒冷教义纲要》</w:t>
      </w:r>
      <w:r w:rsidRPr="004C59BB">
        <w:rPr>
          <w:color w:val="0000FF"/>
        </w:rPr>
        <w:t>第十五</w:t>
      </w:r>
      <w:r w:rsidRPr="004C59BB">
        <w:rPr>
          <w:color w:val="0000FF"/>
          <w:lang w:val="ru-RU"/>
        </w:rPr>
        <w:t>卷，第15节，第322页。</w:t>
      </w:r>
    </w:p>
  </w:footnote>
  <w:footnote w:id="1947">
    <w:p w14:paraId="6849F888" w14:textId="1285A1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叙利亚的以弗所，关于“主再来”与“敌基督者再来”的讲道，载于《圣教父文集》第十四卷，第33页；约翰·大马士革，《正统信仰精要》第四卷，第26章，第301页。 主再临与敌基督者，载于《圣教父文集》</w:t>
      </w:r>
      <w:r w:rsidRPr="004C59BB">
        <w:rPr>
          <w:color w:val="0000FF"/>
        </w:rPr>
        <w:t>第十四</w:t>
      </w:r>
      <w:r w:rsidRPr="004C59BB">
        <w:rPr>
          <w:color w:val="0000FF"/>
          <w:lang w:val="ru-RU"/>
        </w:rPr>
        <w:t>卷，第33页；约翰·达马斯库斯，《正统信仰精确阐述》</w:t>
      </w:r>
      <w:r w:rsidRPr="004C59BB">
        <w:rPr>
          <w:color w:val="0000FF"/>
        </w:rPr>
        <w:t>第四卷</w:t>
      </w:r>
      <w:r w:rsidRPr="004C59BB">
        <w:rPr>
          <w:color w:val="0000FF"/>
          <w:lang w:val="ru-RU"/>
        </w:rPr>
        <w:t>，第26章，第301页及其他。（参见</w:t>
      </w:r>
      <w:r w:rsidRPr="004C59BB">
        <w:rPr>
          <w:color w:val="0000FF"/>
        </w:rPr>
        <w:t>库策拉</w:t>
      </w:r>
      <w:r w:rsidRPr="004C59BB">
        <w:rPr>
          <w:color w:val="0000FF"/>
          <w:lang w:val="ru-RU"/>
        </w:rPr>
        <w:t>《教会词典》中</w:t>
      </w:r>
      <w:r w:rsidRPr="0097554A">
        <w:rPr>
          <w:color w:val="0000FF"/>
          <w:lang w:val="ru-RU"/>
        </w:rPr>
        <w:t>“</w:t>
      </w:r>
      <w:r w:rsidRPr="004C59BB">
        <w:rPr>
          <w:color w:val="0000FF"/>
        </w:rPr>
        <w:t>άντίχριστος</w:t>
      </w:r>
      <w:r w:rsidRPr="0097554A">
        <w:rPr>
          <w:color w:val="0000FF"/>
          <w:lang w:val="ru-RU"/>
        </w:rPr>
        <w:t>”</w:t>
      </w:r>
      <w:r w:rsidRPr="004C59BB">
        <w:rPr>
          <w:color w:val="0000FF"/>
          <w:lang w:val="ru-RU"/>
        </w:rPr>
        <w:t>条目）。</w:t>
      </w:r>
    </w:p>
  </w:footnote>
  <w:footnote w:id="1948">
    <w:p w14:paraId="54B4EA9D" w14:textId="5FA97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“敌基督者将只统治三年半。我们如此说，并非援引那些神启性未知的书籍，而是依据但以理书；他说道：‘他必被交在手中，直到一时间、两时间、半时间（但7:25）。’ ‘一时间’指他显现并壮大的那一年；‘两时间’指他随后两年违背律法的统治，加上第一年共计三年；而‘半时间’则指六个月。 此外，但以理在另一处也说：“他们要向永生者起誓，说：‘在‘一时间’、‘两时间’和‘半时间’内’（但以理书12:7）。”（基里尔·耶路撒冷，《教义讲义》</w:t>
      </w:r>
      <w:r w:rsidRPr="004C59BB">
        <w:rPr>
          <w:color w:val="0000FF"/>
        </w:rPr>
        <w:t>第十五</w:t>
      </w:r>
      <w:r w:rsidRPr="004C59BB">
        <w:rPr>
          <w:color w:val="0000FF"/>
          <w:lang w:val="ru-RU"/>
        </w:rPr>
        <w:t>卷，第16节，第323–324页）。</w:t>
      </w:r>
    </w:p>
  </w:footnote>
  <w:footnote w:id="1949">
    <w:p w14:paraId="3D2CAC87" w14:textId="52A7E6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总体而言，关于敌基督的更详细信息可参见斯捷潘·雅沃尔斯基主教的著作：《敌基督降临与世纪终结的征兆》。莫斯科，1703年。</w:t>
      </w:r>
    </w:p>
  </w:footnote>
  <w:footnote w:id="1950">
    <w:p w14:paraId="6EF27636" w14:textId="1DEF5A68"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《上帝之城</w:t>
      </w:r>
      <w:r w:rsidRPr="004C59BB">
        <w:rPr>
          <w:color w:val="0000FF"/>
          <w:lang w:val="ru-RU"/>
        </w:rPr>
        <w:t>》</w:t>
      </w:r>
      <w:r w:rsidRPr="004C59BB">
        <w:rPr>
          <w:color w:val="0000FF"/>
        </w:rPr>
        <w:t>第</w:t>
      </w:r>
      <w:r w:rsidRPr="0097554A">
        <w:rPr>
          <w:color w:val="0000FF"/>
          <w:lang w:val="ru-RU"/>
        </w:rPr>
        <w:t>20</w:t>
      </w:r>
      <w:r w:rsidRPr="004C59BB">
        <w:rPr>
          <w:color w:val="0000FF"/>
        </w:rPr>
        <w:t>卷</w:t>
      </w:r>
      <w:r w:rsidRPr="0097554A">
        <w:rPr>
          <w:color w:val="0000FF"/>
          <w:lang w:val="ru-RU"/>
        </w:rPr>
        <w:t>，</w:t>
      </w:r>
      <w:r w:rsidRPr="004C59BB">
        <w:rPr>
          <w:color w:val="0000FF"/>
        </w:rPr>
        <w:t>第</w:t>
      </w:r>
      <w:r w:rsidRPr="0097554A">
        <w:rPr>
          <w:color w:val="0000FF"/>
          <w:lang w:val="ru-RU"/>
        </w:rPr>
        <w:t>19</w:t>
      </w:r>
      <w:r w:rsidRPr="004C59BB">
        <w:rPr>
          <w:color w:val="0000FF"/>
        </w:rPr>
        <w:t>章</w:t>
      </w:r>
      <w:r w:rsidRPr="0097554A">
        <w:rPr>
          <w:color w:val="0000FF"/>
          <w:lang w:val="ru-RU"/>
        </w:rPr>
        <w:t>，</w:t>
      </w:r>
      <w:r w:rsidRPr="004C59BB">
        <w:rPr>
          <w:color w:val="0000FF"/>
        </w:rPr>
        <w:t>注</w:t>
      </w:r>
      <w:r w:rsidRPr="0097554A">
        <w:rPr>
          <w:color w:val="0000FF"/>
          <w:lang w:val="ru-RU"/>
        </w:rPr>
        <w:t>3</w:t>
      </w:r>
      <w:r w:rsidRPr="004C59BB">
        <w:rPr>
          <w:color w:val="0000FF"/>
        </w:rPr>
        <w:t>。</w:t>
      </w:r>
    </w:p>
  </w:footnote>
  <w:footnote w:id="1951">
    <w:p w14:paraId="43D30EEB" w14:textId="095C8485"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哈蒙德</w:t>
      </w:r>
      <w:r w:rsidRPr="0097554A">
        <w:rPr>
          <w:color w:val="0000FF"/>
          <w:lang w:val="ru-RU"/>
        </w:rPr>
        <w:t>，</w:t>
      </w:r>
      <w:r w:rsidRPr="004C59BB">
        <w:rPr>
          <w:color w:val="0000FF"/>
        </w:rPr>
        <w:t>《致帖撒罗尼迦后书》注释。</w:t>
      </w:r>
    </w:p>
  </w:footnote>
  <w:footnote w:id="1952">
    <w:p w14:paraId="1BE79D01" w14:textId="18F538B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克利</w:t>
      </w:r>
      <w:r w:rsidRPr="0097554A">
        <w:rPr>
          <w:color w:val="0000FF"/>
          <w:lang w:val="ru-RU"/>
        </w:rPr>
        <w:t>，</w:t>
      </w:r>
      <w:r w:rsidRPr="004C59BB">
        <w:rPr>
          <w:color w:val="0000FF"/>
        </w:rPr>
        <w:t>《基督教教义史手册》第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133</w:t>
      </w:r>
      <w:r w:rsidRPr="004C59BB">
        <w:rPr>
          <w:color w:val="0000FF"/>
        </w:rPr>
        <w:t>页</w:t>
      </w:r>
      <w:r w:rsidRPr="0097554A">
        <w:rPr>
          <w:color w:val="0000FF"/>
          <w:lang w:val="ru-RU"/>
        </w:rPr>
        <w:t>，</w:t>
      </w:r>
      <w:r w:rsidRPr="004C59BB">
        <w:rPr>
          <w:color w:val="0000FF"/>
        </w:rPr>
        <w:t>巴黎</w:t>
      </w:r>
      <w:r w:rsidRPr="0097554A">
        <w:rPr>
          <w:color w:val="0000FF"/>
          <w:lang w:val="ru-RU"/>
        </w:rPr>
        <w:t>，1848</w:t>
      </w:r>
      <w:r w:rsidRPr="004C59BB">
        <w:rPr>
          <w:color w:val="0000FF"/>
        </w:rPr>
        <w:t>年。</w:t>
      </w:r>
    </w:p>
  </w:footnote>
  <w:footnote w:id="1953">
    <w:p w14:paraId="4208179C" w14:textId="5DF3DC24"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路德</w:t>
      </w:r>
      <w:r w:rsidRPr="0097554A">
        <w:rPr>
          <w:color w:val="0000FF"/>
          <w:lang w:val="ru-RU"/>
        </w:rPr>
        <w:t>，</w:t>
      </w:r>
      <w:r w:rsidRPr="004C59BB">
        <w:rPr>
          <w:color w:val="0000FF"/>
        </w:rPr>
        <w:t>《被掳之民》</w:t>
      </w:r>
      <w:r w:rsidRPr="0097554A">
        <w:rPr>
          <w:color w:val="0000FF"/>
          <w:lang w:val="ru-RU"/>
        </w:rPr>
        <w:t>；</w:t>
      </w:r>
      <w:r w:rsidRPr="004C59BB">
        <w:rPr>
          <w:color w:val="0000FF"/>
        </w:rPr>
        <w:t>加尔文</w:t>
      </w:r>
      <w:r w:rsidRPr="0097554A">
        <w:rPr>
          <w:color w:val="0000FF"/>
          <w:lang w:val="ru-RU"/>
        </w:rPr>
        <w:t>，</w:t>
      </w:r>
      <w:r w:rsidRPr="004C59BB">
        <w:rPr>
          <w:color w:val="0000FF"/>
        </w:rPr>
        <w:t>《基督教要义》第四卷</w:t>
      </w:r>
      <w:r w:rsidRPr="0097554A">
        <w:rPr>
          <w:color w:val="0000FF"/>
          <w:lang w:val="ru-RU"/>
        </w:rPr>
        <w:t>，</w:t>
      </w:r>
      <w:r w:rsidRPr="004C59BB">
        <w:rPr>
          <w:color w:val="0000FF"/>
        </w:rPr>
        <w:t>第</w:t>
      </w:r>
      <w:r w:rsidRPr="0097554A">
        <w:rPr>
          <w:color w:val="0000FF"/>
          <w:lang w:val="ru-RU"/>
        </w:rPr>
        <w:t>8</w:t>
      </w:r>
      <w:r w:rsidRPr="004C59BB">
        <w:rPr>
          <w:color w:val="0000FF"/>
        </w:rPr>
        <w:t>章</w:t>
      </w:r>
      <w:r w:rsidRPr="0097554A">
        <w:rPr>
          <w:color w:val="0000FF"/>
          <w:lang w:val="ru-RU"/>
        </w:rPr>
        <w:t>，</w:t>
      </w:r>
      <w:r w:rsidRPr="004C59BB">
        <w:rPr>
          <w:color w:val="0000FF"/>
        </w:rPr>
        <w:t>注</w:t>
      </w:r>
      <w:r w:rsidRPr="0097554A">
        <w:rPr>
          <w:color w:val="0000FF"/>
          <w:lang w:val="ru-RU"/>
        </w:rPr>
        <w:t>10</w:t>
      </w:r>
      <w:r w:rsidRPr="004C59BB">
        <w:rPr>
          <w:color w:val="0000FF"/>
        </w:rPr>
        <w:t>。</w:t>
      </w:r>
    </w:p>
  </w:footnote>
  <w:footnote w:id="1954">
    <w:p w14:paraId="13A3AE17" w14:textId="7CBE50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新教徒与天主教徒之间关于这一问题的争论实质，在伊里内伊·法尔科夫斯基的《神学》</w:t>
      </w:r>
      <w:r w:rsidRPr="004C59BB">
        <w:rPr>
          <w:color w:val="0000FF"/>
        </w:rPr>
        <w:t>第十七</w:t>
      </w:r>
      <w:r w:rsidRPr="004C59BB">
        <w:rPr>
          <w:color w:val="0000FF"/>
          <w:lang w:val="ru-RU"/>
        </w:rPr>
        <w:t>卷第6页（</w:t>
      </w:r>
      <w:r w:rsidRPr="004C59BB">
        <w:rPr>
          <w:color w:val="0000FF"/>
        </w:rPr>
        <w:t>见第二</w:t>
      </w:r>
      <w:r w:rsidRPr="004C59BB">
        <w:rPr>
          <w:color w:val="0000FF"/>
          <w:lang w:val="ru-RU"/>
        </w:rPr>
        <w:t>卷第262–263页）中简要阐述。</w:t>
      </w:r>
    </w:p>
  </w:footnote>
  <w:footnote w:id="1955">
    <w:p w14:paraId="599F3FB2" w14:textId="2E5A3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“那时，人子在天上的兆头就要显现（第30节），即那比太阳更明亮的十字架；因为太阳会变暗并隐没，而十字架却显现出来；若非它比阳光明亮得多，便不会显现。但这兆头为何显现？ 是为了彻底羞辱犹太人的无耻行径。 “因为基督将带着最伟大的证明——十字架——降临审判，不仅显明祂的伤痕，更显明那蒙羞的死”（约翰·金口，《马太福音讲道集》第LXXVI篇，第3段，</w:t>
      </w:r>
      <w:r w:rsidRPr="004C59BB">
        <w:rPr>
          <w:color w:val="0000FF"/>
        </w:rPr>
        <w:t>第III</w:t>
      </w:r>
      <w:r w:rsidRPr="004C59BB">
        <w:rPr>
          <w:color w:val="0000FF"/>
          <w:lang w:val="ru-RU"/>
        </w:rPr>
        <w:t>卷，第309–310页）。 “在基督第二次降临之时，尊贵的十字架将再次显现，作为基督恩赐的尊贵、赐生命、值得敬拜且神圣的权杖，正如主所言，人子将从天上显现为征兆（马太福音24:30）” （以弗所·西里尔，《论圣十字架》，载于《圣教父著作集》</w:t>
      </w:r>
      <w:r w:rsidRPr="004C59BB">
        <w:rPr>
          <w:color w:val="0000FF"/>
        </w:rPr>
        <w:t>第十四</w:t>
      </w:r>
      <w:r w:rsidRPr="004C59BB">
        <w:rPr>
          <w:color w:val="0000FF"/>
          <w:lang w:val="ru-RU"/>
        </w:rPr>
        <w:t>卷，第41页）。参见基里尔神父，《总论教义》</w:t>
      </w:r>
      <w:r w:rsidRPr="004C59BB">
        <w:rPr>
          <w:color w:val="0000FF"/>
        </w:rPr>
        <w:t>第十五</w:t>
      </w:r>
      <w:r w:rsidRPr="004C59BB">
        <w:rPr>
          <w:color w:val="0000FF"/>
          <w:lang w:val="ru-RU"/>
        </w:rPr>
        <w:t>卷，第22章，第329页。</w:t>
      </w:r>
    </w:p>
  </w:footnote>
  <w:footnote w:id="1956">
    <w:p w14:paraId="7E6336E5" w14:textId="58B4FB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基里尔·耶路撒冷，《教义讲义》</w:t>
      </w:r>
      <w:r w:rsidRPr="004C59BB">
        <w:rPr>
          <w:color w:val="0000FF"/>
        </w:rPr>
        <w:t>第十五卷</w:t>
      </w:r>
      <w:r w:rsidRPr="004C59BB">
        <w:rPr>
          <w:color w:val="0000FF"/>
          <w:lang w:val="ru-RU"/>
        </w:rPr>
        <w:t>，第1节，第308–309页。</w:t>
      </w:r>
    </w:p>
  </w:footnote>
  <w:footnote w:id="1957">
    <w:p w14:paraId="45092343" w14:textId="699FF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参见信经：使徒信经、尼西亚-君士坦丁堡信经、亚他那修信经，另见圣爱任纽（《</w:t>
      </w:r>
      <w:r w:rsidRPr="004C59BB">
        <w:rPr>
          <w:color w:val="0000FF"/>
        </w:rPr>
        <w:t>反异端</w:t>
      </w:r>
      <w:r w:rsidRPr="004C59BB">
        <w:rPr>
          <w:color w:val="0000FF"/>
          <w:lang w:val="ru-RU"/>
        </w:rPr>
        <w:t>》1, 10）、特土良（</w:t>
      </w:r>
      <w:r w:rsidRPr="004C59BB">
        <w:rPr>
          <w:color w:val="0000FF"/>
        </w:rPr>
        <w:t>《论异端</w:t>
      </w:r>
      <w:r w:rsidRPr="004C59BB">
        <w:rPr>
          <w:color w:val="0000FF"/>
          <w:lang w:val="ru-RU"/>
        </w:rPr>
        <w:t>》第13章）等。</w:t>
      </w:r>
    </w:p>
  </w:footnote>
  <w:footnote w:id="1958">
    <w:p w14:paraId="61795B26" w14:textId="3FA8B6C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《士每拿教会关于波利卡普殉道之书》，第14节，载于《基督教读本》1821年版，</w:t>
      </w:r>
      <w:r w:rsidRPr="004C59BB">
        <w:rPr>
          <w:color w:val="0000FF"/>
        </w:rPr>
        <w:t>第I</w:t>
      </w:r>
      <w:r w:rsidRPr="004C59BB">
        <w:rPr>
          <w:color w:val="0000FF"/>
          <w:lang w:val="ru-RU"/>
        </w:rPr>
        <w:t>卷，第135页</w:t>
      </w:r>
      <w:r w:rsidRPr="004C59BB">
        <w:rPr>
          <w:color w:val="0000FF"/>
        </w:rPr>
        <w:t>。参见鲁伊纳尔特《殉道者行传》，第70、150、494页，阿姆斯特丹，1713年。</w:t>
      </w:r>
    </w:p>
  </w:footnote>
  <w:footnote w:id="1959">
    <w:p w14:paraId="55429228" w14:textId="7B0E8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尤斯丁，《护教辞》第1卷，第18章，第52节；塔西安，《反希腊人论》第6章；西奥菲勒斯，《致奥托利库斯书》。</w:t>
      </w:r>
    </w:p>
  </w:footnote>
  <w:footnote w:id="1960">
    <w:p w14:paraId="7D3A28DF" w14:textId="1D9235C0"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以下圣人留下了</w:t>
      </w:r>
      <w:r w:rsidRPr="004C59BB">
        <w:rPr>
          <w:color w:val="0000FF"/>
        </w:rPr>
        <w:t>关于</w:t>
      </w:r>
      <w:r w:rsidRPr="004C59BB">
        <w:rPr>
          <w:color w:val="0000FF"/>
          <w:lang w:val="ru-RU"/>
        </w:rPr>
        <w:t>死人复活的专门著作</w:t>
      </w:r>
      <w:r w:rsidRPr="0097554A">
        <w:rPr>
          <w:color w:val="0000FF"/>
        </w:rPr>
        <w:t>：</w:t>
      </w:r>
      <w:r w:rsidRPr="004C59BB">
        <w:rPr>
          <w:color w:val="0000FF"/>
          <w:lang w:val="ru-RU"/>
        </w:rPr>
        <w:t>圣殉道者尤斯丁、阿提纳戈尔、</w:t>
      </w:r>
      <w:r w:rsidRPr="0097554A">
        <w:rPr>
          <w:color w:val="0000FF"/>
        </w:rPr>
        <w:t xml:space="preserve"> </w:t>
      </w:r>
      <w:r w:rsidRPr="004C59BB">
        <w:rPr>
          <w:color w:val="0000FF"/>
          <w:lang w:val="ru-RU"/>
        </w:rPr>
        <w:t>特土良、亚历山大的克利门特、奥利金、圣梅福迪乌斯、优西比乌、圣格里高利</w:t>
      </w:r>
      <w:r w:rsidRPr="0097554A">
        <w:rPr>
          <w:color w:val="0000FF"/>
        </w:rPr>
        <w:t>·</w:t>
      </w:r>
      <w:r w:rsidRPr="004C59BB">
        <w:rPr>
          <w:color w:val="0000FF"/>
          <w:lang w:val="ru-RU"/>
        </w:rPr>
        <w:t>尼西亚、圣安布罗斯、圣以弗所的以弗所、圣泽农</w:t>
      </w:r>
      <w:r w:rsidRPr="0097554A">
        <w:rPr>
          <w:color w:val="0000FF"/>
        </w:rPr>
        <w:t>·</w:t>
      </w:r>
      <w:r w:rsidRPr="004C59BB">
        <w:rPr>
          <w:color w:val="0000FF"/>
          <w:lang w:val="ru-RU"/>
        </w:rPr>
        <w:t>维罗纳等人。</w:t>
      </w:r>
    </w:p>
  </w:footnote>
  <w:footnote w:id="1961">
    <w:p w14:paraId="7FB617A2" w14:textId="4FE410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贾斯汀，《与提福斯对话》第80章；特土良，《论死人复活》第1章；奥古斯丁，《上帝之城》第20卷第20章；亚历山大的西里尔，《约翰福音注释》第20章第24、25节。</w:t>
      </w:r>
    </w:p>
  </w:footnote>
  <w:footnote w:id="1962">
    <w:p w14:paraId="2574873A" w14:textId="6D4140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塔齐安，《反希腊人》，第6章；米努修斯·费利克斯，《致奥克塔维安书》，第16章；格里高利·尼撒，《论人的创造》，第26章；杰罗姆，《致帕马赫书信》，第XXXVIII封。</w:t>
      </w:r>
    </w:p>
  </w:footnote>
  <w:footnote w:id="1963">
    <w:p w14:paraId="142DFEFC" w14:textId="1FA8817D"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特土良，《论肉身的复活》第68章及后续。</w:t>
      </w:r>
      <w:r w:rsidRPr="0097554A">
        <w:rPr>
          <w:color w:val="0000FF"/>
        </w:rPr>
        <w:t>“</w:t>
      </w:r>
      <w:r w:rsidRPr="004C59BB">
        <w:rPr>
          <w:color w:val="0000FF"/>
          <w:lang w:val="ru-RU"/>
        </w:rPr>
        <w:t>假设将各种植物的种子混合在一起</w:t>
      </w:r>
      <w:r w:rsidRPr="0097554A">
        <w:rPr>
          <w:color w:val="0000FF"/>
        </w:rPr>
        <w:t>（</w:t>
      </w:r>
      <w:r w:rsidRPr="004C59BB">
        <w:rPr>
          <w:color w:val="0000FF"/>
          <w:lang w:val="ru-RU"/>
        </w:rPr>
        <w:t>鉴于你对信仰的薄弱</w:t>
      </w:r>
      <w:r w:rsidRPr="0097554A">
        <w:rPr>
          <w:color w:val="0000FF"/>
        </w:rPr>
        <w:t>，</w:t>
      </w:r>
      <w:r w:rsidRPr="004C59BB">
        <w:rPr>
          <w:color w:val="0000FF"/>
          <w:lang w:val="ru-RU"/>
        </w:rPr>
        <w:t>我举些简单的例子</w:t>
      </w:r>
      <w:r w:rsidRPr="0097554A">
        <w:rPr>
          <w:color w:val="0000FF"/>
        </w:rPr>
        <w:t>），</w:t>
      </w:r>
      <w:r w:rsidRPr="004C59BB">
        <w:rPr>
          <w:color w:val="0000FF"/>
          <w:lang w:val="ru-RU"/>
        </w:rPr>
        <w:t>而这些不同的植物种子都位于你的一把手中</w:t>
      </w:r>
      <w:r w:rsidRPr="0097554A">
        <w:rPr>
          <w:color w:val="0000FF"/>
        </w:rPr>
        <w:t xml:space="preserve">： </w:t>
      </w:r>
      <w:r w:rsidRPr="004C59BB">
        <w:rPr>
          <w:color w:val="0000FF"/>
          <w:lang w:val="ru-RU"/>
        </w:rPr>
        <w:t>对你这个人来说</w:t>
      </w:r>
      <w:r w:rsidRPr="0097554A">
        <w:rPr>
          <w:color w:val="0000FF"/>
        </w:rPr>
        <w:t>，</w:t>
      </w:r>
      <w:r w:rsidRPr="004C59BB">
        <w:rPr>
          <w:color w:val="0000FF"/>
          <w:lang w:val="ru-RU"/>
        </w:rPr>
        <w:t>要分辨掌中所含之物</w:t>
      </w:r>
      <w:r w:rsidRPr="0097554A">
        <w:rPr>
          <w:color w:val="0000FF"/>
        </w:rPr>
        <w:t>，</w:t>
      </w:r>
      <w:r w:rsidRPr="004C59BB">
        <w:rPr>
          <w:color w:val="0000FF"/>
          <w:lang w:val="ru-RU"/>
        </w:rPr>
        <w:t>并根据每种植物的特性将其种子分开</w:t>
      </w:r>
      <w:r w:rsidRPr="0097554A">
        <w:rPr>
          <w:color w:val="0000FF"/>
        </w:rPr>
        <w:t>，</w:t>
      </w:r>
      <w:r w:rsidRPr="004C59BB">
        <w:rPr>
          <w:color w:val="0000FF"/>
          <w:lang w:val="ru-RU"/>
        </w:rPr>
        <w:t>安排到各自的位置以便生长</w:t>
      </w:r>
      <w:r w:rsidRPr="0097554A">
        <w:rPr>
          <w:color w:val="0000FF"/>
        </w:rPr>
        <w:t>，</w:t>
      </w:r>
      <w:r w:rsidRPr="004C59BB">
        <w:rPr>
          <w:color w:val="0000FF"/>
          <w:lang w:val="ru-RU"/>
        </w:rPr>
        <w:t>是困难的</w:t>
      </w:r>
      <w:r w:rsidRPr="0097554A">
        <w:rPr>
          <w:color w:val="0000FF"/>
        </w:rPr>
        <w:t>，</w:t>
      </w:r>
      <w:r w:rsidRPr="004C59BB">
        <w:rPr>
          <w:color w:val="0000FF"/>
          <w:lang w:val="ru-RU"/>
        </w:rPr>
        <w:t>还是恰恰相反</w:t>
      </w:r>
      <w:r w:rsidRPr="0097554A">
        <w:rPr>
          <w:color w:val="0000FF"/>
        </w:rPr>
        <w:t>，</w:t>
      </w:r>
      <w:r w:rsidRPr="004C59BB">
        <w:rPr>
          <w:color w:val="0000FF"/>
          <w:lang w:val="ru-RU"/>
        </w:rPr>
        <w:t>是容易的</w:t>
      </w:r>
      <w:r w:rsidRPr="0097554A">
        <w:rPr>
          <w:color w:val="0000FF"/>
        </w:rPr>
        <w:t xml:space="preserve">？ </w:t>
      </w:r>
      <w:r w:rsidRPr="004C59BB">
        <w:rPr>
          <w:color w:val="0000FF"/>
          <w:lang w:val="ru-RU"/>
        </w:rPr>
        <w:t>既然你能辨别并使你手中所含之物恢复原状</w:t>
      </w:r>
      <w:r w:rsidRPr="0097554A">
        <w:rPr>
          <w:color w:val="0000FF"/>
        </w:rPr>
        <w:t>，</w:t>
      </w:r>
      <w:r w:rsidRPr="004C59BB">
        <w:rPr>
          <w:color w:val="0000FF"/>
          <w:lang w:val="ru-RU"/>
        </w:rPr>
        <w:t>那么上帝难道不能辨别并使祂掌中所含之物恢复原状吗</w:t>
      </w:r>
      <w:r w:rsidRPr="0097554A">
        <w:rPr>
          <w:color w:val="0000FF"/>
        </w:rPr>
        <w:t>？”（</w:t>
      </w:r>
      <w:r w:rsidRPr="004C59BB">
        <w:rPr>
          <w:color w:val="0000FF"/>
          <w:lang w:val="ru-RU"/>
        </w:rPr>
        <w:t>基里尔</w:t>
      </w:r>
      <w:r w:rsidRPr="0097554A">
        <w:rPr>
          <w:color w:val="0000FF"/>
        </w:rPr>
        <w:t>·</w:t>
      </w:r>
      <w:r w:rsidRPr="004C59BB">
        <w:rPr>
          <w:color w:val="0000FF"/>
          <w:lang w:val="ru-RU"/>
        </w:rPr>
        <w:t>耶路撒冷</w:t>
      </w:r>
      <w:r w:rsidRPr="0097554A">
        <w:rPr>
          <w:color w:val="0000FF"/>
        </w:rPr>
        <w:t>，</w:t>
      </w:r>
      <w:r w:rsidRPr="004C59BB">
        <w:rPr>
          <w:color w:val="0000FF"/>
          <w:lang w:val="ru-RU"/>
        </w:rPr>
        <w:t>《教义讲道集》</w:t>
      </w:r>
      <w:r w:rsidRPr="004C59BB">
        <w:rPr>
          <w:color w:val="0000FF"/>
        </w:rPr>
        <w:t>第十八</w:t>
      </w:r>
      <w:r w:rsidRPr="004C59BB">
        <w:rPr>
          <w:color w:val="0000FF"/>
          <w:lang w:val="ru-RU"/>
        </w:rPr>
        <w:t>卷</w:t>
      </w:r>
      <w:r w:rsidRPr="0097554A">
        <w:rPr>
          <w:color w:val="0000FF"/>
        </w:rPr>
        <w:t>，</w:t>
      </w:r>
      <w:r w:rsidRPr="004C59BB">
        <w:rPr>
          <w:color w:val="0000FF"/>
          <w:lang w:val="ru-RU"/>
        </w:rPr>
        <w:t>第</w:t>
      </w:r>
      <w:r w:rsidRPr="0097554A">
        <w:rPr>
          <w:color w:val="0000FF"/>
        </w:rPr>
        <w:t>3</w:t>
      </w:r>
      <w:r w:rsidRPr="004C59BB">
        <w:rPr>
          <w:color w:val="0000FF"/>
          <w:lang w:val="ru-RU"/>
        </w:rPr>
        <w:t>节</w:t>
      </w:r>
      <w:r w:rsidRPr="0097554A">
        <w:rPr>
          <w:color w:val="0000FF"/>
        </w:rPr>
        <w:t>，</w:t>
      </w:r>
      <w:r w:rsidRPr="004C59BB">
        <w:rPr>
          <w:color w:val="0000FF"/>
          <w:lang w:val="ru-RU"/>
        </w:rPr>
        <w:t>第</w:t>
      </w:r>
      <w:r w:rsidRPr="0097554A">
        <w:rPr>
          <w:color w:val="0000FF"/>
        </w:rPr>
        <w:t>407</w:t>
      </w:r>
      <w:r w:rsidRPr="004C59BB">
        <w:rPr>
          <w:color w:val="0000FF"/>
          <w:lang w:val="ru-RU"/>
        </w:rPr>
        <w:t>页</w:t>
      </w:r>
      <w:r w:rsidRPr="0097554A">
        <w:rPr>
          <w:color w:val="0000FF"/>
        </w:rPr>
        <w:t>）</w:t>
      </w:r>
      <w:r w:rsidRPr="004C59BB">
        <w:rPr>
          <w:color w:val="0000FF"/>
          <w:lang w:val="ru-RU"/>
        </w:rPr>
        <w:t>。</w:t>
      </w:r>
    </w:p>
  </w:footnote>
  <w:footnote w:id="1964">
    <w:p w14:paraId="327DAC1E" w14:textId="1C2EBB5A"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伊里内斯《反</w:t>
      </w:r>
      <w:r w:rsidRPr="004C59BB">
        <w:rPr>
          <w:color w:val="0000FF"/>
        </w:rPr>
        <w:t>异端</w:t>
      </w:r>
      <w:r w:rsidRPr="004C59BB">
        <w:rPr>
          <w:color w:val="0000FF"/>
          <w:lang w:val="ru-RU"/>
        </w:rPr>
        <w:t>》</w:t>
      </w:r>
      <w:r w:rsidRPr="004C59BB">
        <w:rPr>
          <w:color w:val="0000FF"/>
        </w:rPr>
        <w:t>第五</w:t>
      </w:r>
      <w:r w:rsidRPr="004C59BB">
        <w:rPr>
          <w:color w:val="0000FF"/>
          <w:lang w:val="ru-RU"/>
        </w:rPr>
        <w:t>卷</w:t>
      </w:r>
      <w:r w:rsidRPr="0097554A">
        <w:rPr>
          <w:color w:val="0000FF"/>
        </w:rPr>
        <w:t>，</w:t>
      </w:r>
      <w:r w:rsidRPr="004C59BB">
        <w:rPr>
          <w:color w:val="0000FF"/>
          <w:lang w:val="ru-RU"/>
        </w:rPr>
        <w:t>第</w:t>
      </w:r>
      <w:r w:rsidRPr="0097554A">
        <w:rPr>
          <w:color w:val="0000FF"/>
        </w:rPr>
        <w:t>12</w:t>
      </w:r>
      <w:r w:rsidRPr="004C59BB">
        <w:rPr>
          <w:color w:val="0000FF"/>
          <w:lang w:val="ru-RU"/>
        </w:rPr>
        <w:t>章</w:t>
      </w:r>
      <w:r w:rsidRPr="0097554A">
        <w:rPr>
          <w:color w:val="0000FF"/>
        </w:rPr>
        <w:t>，</w:t>
      </w:r>
      <w:r w:rsidRPr="004C59BB">
        <w:rPr>
          <w:color w:val="0000FF"/>
          <w:lang w:val="ru-RU"/>
        </w:rPr>
        <w:t>注</w:t>
      </w:r>
      <w:r w:rsidRPr="0097554A">
        <w:rPr>
          <w:color w:val="0000FF"/>
        </w:rPr>
        <w:t>6；</w:t>
      </w:r>
      <w:r w:rsidRPr="004C59BB">
        <w:rPr>
          <w:color w:val="0000FF"/>
          <w:lang w:val="ru-RU"/>
        </w:rPr>
        <w:t>格里高利</w:t>
      </w:r>
      <w:r w:rsidRPr="0097554A">
        <w:rPr>
          <w:color w:val="0000FF"/>
        </w:rPr>
        <w:t>·</w:t>
      </w:r>
      <w:r w:rsidRPr="004C59BB">
        <w:rPr>
          <w:color w:val="0000FF"/>
          <w:lang w:val="ru-RU"/>
        </w:rPr>
        <w:t>尼萨《</w:t>
      </w:r>
      <w:r w:rsidRPr="004C59BB">
        <w:rPr>
          <w:color w:val="0000FF"/>
        </w:rPr>
        <w:t>讲道</w:t>
      </w:r>
      <w:r w:rsidRPr="004C59BB">
        <w:rPr>
          <w:color w:val="0000FF"/>
          <w:lang w:val="ru-RU"/>
        </w:rPr>
        <w:t>集》</w:t>
      </w:r>
      <w:r w:rsidRPr="004C59BB">
        <w:rPr>
          <w:color w:val="0000FF"/>
        </w:rPr>
        <w:t>第三卷，论基督复活，全集第三卷，第425页，莫雷尔版。</w:t>
      </w:r>
    </w:p>
  </w:footnote>
  <w:footnote w:id="1965">
    <w:p w14:paraId="0557AA5C" w14:textId="20CF7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伊里内斯，《反异端》第五卷，第13章，注1；特土良，《论肉身的复活》第17章；《使徒宪章》第五卷，第7章；西里尔，《耶路撒冷教义讲义》第十八卷，注16，第419页。</w:t>
      </w:r>
    </w:p>
  </w:footnote>
  <w:footnote w:id="1966">
    <w:p w14:paraId="30D46776" w14:textId="6A4081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格纳提乌斯·博戈诺斯，《致士麦那书信》第1条；《致特拉勒书信》第9条；伊里内乌斯，《反异端》第五卷第7章第1条；贾斯汀，《与特里丰的对话》第69章；昆皮安，《书信》第LXXIII封；埃皮法尼乌斯，《异端论》第LXIV卷第67条； 亚历山大的库皮尔，《约翰福音注释》第X章，第10节。</w:t>
      </w:r>
    </w:p>
  </w:footnote>
  <w:footnote w:id="1967">
    <w:p w14:paraId="536F254E" w14:textId="786EE346" w:rsidR="00254F25" w:rsidRPr="0097554A" w:rsidRDefault="00000000">
      <w:pPr>
        <w:pStyle w:val="FootnoteText"/>
        <w:rPr>
          <w:color w:val="0000FF"/>
          <w:lang w:val="ru-RU"/>
        </w:rPr>
      </w:pPr>
      <w:r w:rsidRPr="004C59BB">
        <w:rPr>
          <w:rStyle w:val="FootnoteReference"/>
          <w:color w:val="0000FF"/>
        </w:rPr>
        <w:footnoteRef/>
      </w:r>
      <w:r w:rsidRPr="004C59BB">
        <w:rPr>
          <w:color w:val="0000FF"/>
        </w:rPr>
        <w:t xml:space="preserve"> 克利门特·罗马人，《致哥林多前书》第1封，注24；西奥菲勒斯，《致奥托利库斯书》</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13</w:t>
      </w:r>
      <w:r w:rsidRPr="004C59BB">
        <w:rPr>
          <w:color w:val="0000FF"/>
          <w:lang w:val="ru-RU"/>
        </w:rPr>
        <w:t>章</w:t>
      </w:r>
      <w:r w:rsidRPr="0097554A">
        <w:rPr>
          <w:color w:val="0000FF"/>
        </w:rPr>
        <w:t>；</w:t>
      </w:r>
      <w:r w:rsidRPr="004C59BB">
        <w:rPr>
          <w:color w:val="0000FF"/>
          <w:lang w:val="ru-RU"/>
        </w:rPr>
        <w:t>特土良</w:t>
      </w:r>
      <w:r w:rsidRPr="0097554A">
        <w:rPr>
          <w:color w:val="0000FF"/>
        </w:rPr>
        <w:t>，</w:t>
      </w:r>
      <w:r w:rsidRPr="004C59BB">
        <w:rPr>
          <w:color w:val="0000FF"/>
          <w:lang w:val="ru-RU"/>
        </w:rPr>
        <w:t>《辩护书》第</w:t>
      </w:r>
      <w:r w:rsidRPr="0097554A">
        <w:rPr>
          <w:color w:val="0000FF"/>
        </w:rPr>
        <w:t>48</w:t>
      </w:r>
      <w:r w:rsidRPr="004C59BB">
        <w:rPr>
          <w:color w:val="0000FF"/>
          <w:lang w:val="ru-RU"/>
        </w:rPr>
        <w:t>章</w:t>
      </w:r>
      <w:r w:rsidRPr="0097554A">
        <w:rPr>
          <w:color w:val="0000FF"/>
        </w:rPr>
        <w:t>；</w:t>
      </w:r>
      <w:r w:rsidRPr="004C59BB">
        <w:rPr>
          <w:color w:val="0000FF"/>
          <w:lang w:val="ru-RU"/>
        </w:rPr>
        <w:t>埃皮法尼乌斯</w:t>
      </w:r>
      <w:r w:rsidRPr="0097554A">
        <w:rPr>
          <w:color w:val="0000FF"/>
        </w:rPr>
        <w:t>，</w:t>
      </w:r>
      <w:r w:rsidRPr="004C59BB">
        <w:rPr>
          <w:color w:val="0000FF"/>
          <w:lang w:val="ru-RU"/>
        </w:rPr>
        <w:t>《</w:t>
      </w:r>
      <w:r w:rsidRPr="004C59BB">
        <w:rPr>
          <w:color w:val="0000FF"/>
        </w:rPr>
        <w:t>异端</w:t>
      </w:r>
      <w:r w:rsidRPr="004C59BB">
        <w:rPr>
          <w:color w:val="0000FF"/>
          <w:lang w:val="ru-RU"/>
        </w:rPr>
        <w:t>驳论》</w:t>
      </w:r>
      <w:r w:rsidRPr="004C59BB">
        <w:rPr>
          <w:color w:val="0000FF"/>
        </w:rPr>
        <w:t>第LXIV</w:t>
      </w:r>
      <w:r w:rsidRPr="004C59BB">
        <w:rPr>
          <w:color w:val="0000FF"/>
          <w:lang w:val="ru-RU"/>
        </w:rPr>
        <w:t>卷</w:t>
      </w:r>
      <w:r w:rsidRPr="0097554A">
        <w:rPr>
          <w:color w:val="0000FF"/>
        </w:rPr>
        <w:t>，</w:t>
      </w:r>
      <w:r w:rsidRPr="004C59BB">
        <w:rPr>
          <w:color w:val="0000FF"/>
          <w:lang w:val="ru-RU"/>
        </w:rPr>
        <w:t>注</w:t>
      </w:r>
      <w:r w:rsidRPr="0097554A">
        <w:rPr>
          <w:color w:val="0000FF"/>
        </w:rPr>
        <w:t>37</w:t>
      </w:r>
      <w:r w:rsidRPr="004C59BB">
        <w:rPr>
          <w:color w:val="0000FF"/>
          <w:lang w:val="ru-RU"/>
        </w:rPr>
        <w:t>、</w:t>
      </w:r>
      <w:r w:rsidRPr="0097554A">
        <w:rPr>
          <w:color w:val="0000FF"/>
        </w:rPr>
        <w:t xml:space="preserve">68； </w:t>
      </w:r>
      <w:r w:rsidRPr="004C59BB">
        <w:rPr>
          <w:color w:val="0000FF"/>
          <w:lang w:val="ru-RU"/>
        </w:rPr>
        <w:t>耶路撒冷的西里尔</w:t>
      </w:r>
      <w:r w:rsidRPr="0097554A">
        <w:rPr>
          <w:color w:val="0000FF"/>
        </w:rPr>
        <w:t>，</w:t>
      </w:r>
      <w:r w:rsidRPr="004C59BB">
        <w:rPr>
          <w:color w:val="0000FF"/>
          <w:lang w:val="ru-RU"/>
        </w:rPr>
        <w:t>《教义讲义》</w:t>
      </w:r>
      <w:r w:rsidRPr="004C59BB">
        <w:rPr>
          <w:color w:val="0000FF"/>
        </w:rPr>
        <w:t>第十</w:t>
      </w:r>
      <w:r w:rsidRPr="004C59BB">
        <w:rPr>
          <w:color w:val="0000FF"/>
          <w:lang w:val="ru-RU"/>
        </w:rPr>
        <w:t>八卷</w:t>
      </w:r>
      <w:r w:rsidRPr="0097554A">
        <w:rPr>
          <w:color w:val="0000FF"/>
        </w:rPr>
        <w:t>，</w:t>
      </w:r>
      <w:r w:rsidRPr="004C59BB">
        <w:rPr>
          <w:color w:val="0000FF"/>
          <w:lang w:val="ru-RU"/>
        </w:rPr>
        <w:t>第</w:t>
      </w:r>
      <w:r w:rsidRPr="0097554A">
        <w:rPr>
          <w:color w:val="0000FF"/>
        </w:rPr>
        <w:t>6</w:t>
      </w:r>
      <w:r w:rsidRPr="004C59BB">
        <w:rPr>
          <w:color w:val="0000FF"/>
          <w:lang w:val="ru-RU"/>
        </w:rPr>
        <w:t>节</w:t>
      </w:r>
      <w:r w:rsidRPr="0097554A">
        <w:rPr>
          <w:color w:val="0000FF"/>
        </w:rPr>
        <w:t>：“</w:t>
      </w:r>
      <w:r w:rsidRPr="004C59BB">
        <w:rPr>
          <w:color w:val="0000FF"/>
          <w:lang w:val="ru-RU"/>
        </w:rPr>
        <w:t>若播种了小麦</w:t>
      </w:r>
      <w:r w:rsidRPr="0097554A">
        <w:rPr>
          <w:color w:val="0000FF"/>
        </w:rPr>
        <w:t>，</w:t>
      </w:r>
      <w:r w:rsidRPr="004C59BB">
        <w:rPr>
          <w:color w:val="0000FF"/>
          <w:lang w:val="ru-RU"/>
        </w:rPr>
        <w:t>或其它种类的种子</w:t>
      </w:r>
      <w:r w:rsidRPr="0097554A">
        <w:rPr>
          <w:color w:val="0000FF"/>
        </w:rPr>
        <w:t>：</w:t>
      </w:r>
      <w:r w:rsidRPr="004C59BB">
        <w:rPr>
          <w:color w:val="0000FF"/>
          <w:lang w:val="ru-RU"/>
        </w:rPr>
        <w:t>种子落地后便会死亡、腐烂</w:t>
      </w:r>
      <w:r w:rsidRPr="0097554A">
        <w:rPr>
          <w:color w:val="0000FF"/>
        </w:rPr>
        <w:t>，</w:t>
      </w:r>
      <w:r w:rsidRPr="004C59BB">
        <w:rPr>
          <w:color w:val="0000FF"/>
          <w:lang w:val="ru-RU"/>
        </w:rPr>
        <w:t>变得无法食用。然而，它在生长过程中却能发芽，虽以微小形态落地，如今却呈现出美好的形态。 但小麦是为我们而造的。因为小麦和其他种子是为我们食用而造的，而非为它们自身而造。如此，为我们所造之物，虽曾死亡，却复活了；而我们——这些为之所造的人——既已死去，难道不会复活吗？”</w:t>
      </w:r>
      <w:r w:rsidRPr="0097554A">
        <w:rPr>
          <w:color w:val="0000FF"/>
          <w:lang w:val="ru-RU"/>
        </w:rPr>
        <w:t>（</w:t>
      </w:r>
      <w:r w:rsidRPr="004C59BB">
        <w:rPr>
          <w:color w:val="0000FF"/>
        </w:rPr>
        <w:t>第</w:t>
      </w:r>
      <w:r w:rsidRPr="0097554A">
        <w:rPr>
          <w:color w:val="0000FF"/>
          <w:lang w:val="ru-RU"/>
        </w:rPr>
        <w:t>410</w:t>
      </w:r>
      <w:r w:rsidRPr="004C59BB">
        <w:rPr>
          <w:color w:val="0000FF"/>
        </w:rPr>
        <w:t>页</w:t>
      </w:r>
      <w:r w:rsidRPr="0097554A">
        <w:rPr>
          <w:color w:val="0000FF"/>
          <w:lang w:val="ru-RU"/>
        </w:rPr>
        <w:t>）</w:t>
      </w:r>
      <w:r w:rsidRPr="004C59BB">
        <w:rPr>
          <w:color w:val="0000FF"/>
        </w:rPr>
        <w:t>。</w:t>
      </w:r>
    </w:p>
  </w:footnote>
  <w:footnote w:id="1968">
    <w:p w14:paraId="1F6542BC" w14:textId="17EDA133"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西奥菲勒斯《致奥托洛斯书》</w:t>
      </w:r>
      <w:r w:rsidRPr="0097554A">
        <w:rPr>
          <w:color w:val="0000FF"/>
          <w:lang w:val="ru-RU"/>
        </w:rPr>
        <w:t>1, 13；</w:t>
      </w:r>
      <w:r w:rsidRPr="004C59BB">
        <w:rPr>
          <w:color w:val="0000FF"/>
        </w:rPr>
        <w:t>特土良《论肉身的复活》第</w:t>
      </w:r>
      <w:r w:rsidRPr="0097554A">
        <w:rPr>
          <w:color w:val="0000FF"/>
          <w:lang w:val="ru-RU"/>
        </w:rPr>
        <w:t>12</w:t>
      </w:r>
      <w:r w:rsidRPr="004C59BB">
        <w:rPr>
          <w:color w:val="0000FF"/>
        </w:rPr>
        <w:t>章</w:t>
      </w:r>
      <w:r w:rsidRPr="0097554A">
        <w:rPr>
          <w:color w:val="0000FF"/>
          <w:lang w:val="ru-RU"/>
        </w:rPr>
        <w:t>；</w:t>
      </w:r>
      <w:r w:rsidRPr="004C59BB">
        <w:rPr>
          <w:color w:val="0000FF"/>
        </w:rPr>
        <w:t>米努修斯</w:t>
      </w:r>
      <w:r w:rsidRPr="0097554A">
        <w:rPr>
          <w:color w:val="0000FF"/>
          <w:lang w:val="ru-RU"/>
        </w:rPr>
        <w:t>·</w:t>
      </w:r>
      <w:r w:rsidRPr="004C59BB">
        <w:rPr>
          <w:color w:val="0000FF"/>
        </w:rPr>
        <w:t>费利克斯《致奥克塔维安书》第</w:t>
      </w:r>
      <w:r w:rsidRPr="0097554A">
        <w:rPr>
          <w:color w:val="0000FF"/>
          <w:lang w:val="ru-RU"/>
        </w:rPr>
        <w:t>31</w:t>
      </w:r>
      <w:r w:rsidRPr="004C59BB">
        <w:rPr>
          <w:color w:val="0000FF"/>
        </w:rPr>
        <w:t>章</w:t>
      </w:r>
      <w:r w:rsidRPr="0097554A">
        <w:rPr>
          <w:color w:val="0000FF"/>
          <w:lang w:val="ru-RU"/>
        </w:rPr>
        <w:t>；</w:t>
      </w:r>
      <w:r w:rsidRPr="004C59BB">
        <w:rPr>
          <w:color w:val="0000FF"/>
        </w:rPr>
        <w:t>耶路撒冷的西里尔《教义讲道集》第四卷</w:t>
      </w:r>
      <w:r w:rsidRPr="0097554A">
        <w:rPr>
          <w:color w:val="0000FF"/>
          <w:lang w:val="ru-RU"/>
        </w:rPr>
        <w:t>，</w:t>
      </w:r>
      <w:r w:rsidRPr="004C59BB">
        <w:rPr>
          <w:color w:val="0000FF"/>
        </w:rPr>
        <w:t>第</w:t>
      </w:r>
      <w:r w:rsidRPr="0097554A">
        <w:rPr>
          <w:color w:val="0000FF"/>
          <w:lang w:val="ru-RU"/>
        </w:rPr>
        <w:t>30</w:t>
      </w:r>
      <w:r w:rsidRPr="004C59BB">
        <w:rPr>
          <w:color w:val="0000FF"/>
        </w:rPr>
        <w:t>节</w:t>
      </w:r>
      <w:r w:rsidRPr="0097554A">
        <w:rPr>
          <w:color w:val="0000FF"/>
          <w:lang w:val="ru-RU"/>
        </w:rPr>
        <w:t>，</w:t>
      </w:r>
      <w:r w:rsidRPr="004C59BB">
        <w:rPr>
          <w:color w:val="0000FF"/>
        </w:rPr>
        <w:t>第</w:t>
      </w:r>
      <w:r w:rsidRPr="0097554A">
        <w:rPr>
          <w:color w:val="0000FF"/>
          <w:lang w:val="ru-RU"/>
        </w:rPr>
        <w:t>78</w:t>
      </w:r>
      <w:r w:rsidRPr="004C59BB">
        <w:rPr>
          <w:color w:val="0000FF"/>
        </w:rPr>
        <w:t>页</w:t>
      </w:r>
      <w:r w:rsidRPr="0097554A">
        <w:rPr>
          <w:color w:val="0000FF"/>
          <w:lang w:val="ru-RU"/>
        </w:rPr>
        <w:t>；</w:t>
      </w:r>
      <w:r w:rsidRPr="004C59BB">
        <w:rPr>
          <w:color w:val="0000FF"/>
        </w:rPr>
        <w:t>安布罗斯《论复活》第二卷</w:t>
      </w:r>
      <w:r w:rsidRPr="0097554A">
        <w:rPr>
          <w:color w:val="0000FF"/>
          <w:lang w:val="ru-RU"/>
        </w:rPr>
        <w:t>，</w:t>
      </w:r>
      <w:r w:rsidRPr="004C59BB">
        <w:rPr>
          <w:color w:val="0000FF"/>
        </w:rPr>
        <w:t>第</w:t>
      </w:r>
      <w:r w:rsidRPr="0097554A">
        <w:rPr>
          <w:color w:val="0000FF"/>
          <w:lang w:val="ru-RU"/>
        </w:rPr>
        <w:t>61</w:t>
      </w:r>
      <w:r w:rsidRPr="004C59BB">
        <w:rPr>
          <w:color w:val="0000FF"/>
        </w:rPr>
        <w:t>节。</w:t>
      </w:r>
    </w:p>
  </w:footnote>
  <w:footnote w:id="1969">
    <w:p w14:paraId="31405699" w14:textId="7366F37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西奥菲勒斯</w:t>
      </w:r>
      <w:r w:rsidRPr="0097554A">
        <w:rPr>
          <w:color w:val="0000FF"/>
          <w:lang w:val="ru-RU"/>
        </w:rPr>
        <w:t>，</w:t>
      </w:r>
      <w:r w:rsidRPr="004C59BB">
        <w:rPr>
          <w:color w:val="0000FF"/>
        </w:rPr>
        <w:t>《致奥托利乌斯书》</w:t>
      </w:r>
      <w:r w:rsidRPr="0097554A">
        <w:rPr>
          <w:color w:val="0000FF"/>
          <w:lang w:val="ru-RU"/>
        </w:rPr>
        <w:t>1，13；</w:t>
      </w:r>
      <w:r w:rsidRPr="004C59BB">
        <w:rPr>
          <w:color w:val="0000FF"/>
        </w:rPr>
        <w:t>埃皮法尼乌斯</w:t>
      </w:r>
      <w:r w:rsidRPr="0097554A">
        <w:rPr>
          <w:color w:val="0000FF"/>
          <w:lang w:val="ru-RU"/>
        </w:rPr>
        <w:t>，</w:t>
      </w:r>
      <w:r w:rsidRPr="004C59BB">
        <w:rPr>
          <w:color w:val="0000FF"/>
        </w:rPr>
        <w:t>《安科拉特》第</w:t>
      </w:r>
      <w:r w:rsidRPr="0097554A">
        <w:rPr>
          <w:color w:val="0000FF"/>
          <w:lang w:val="ru-RU"/>
        </w:rPr>
        <w:t>84</w:t>
      </w:r>
      <w:r w:rsidRPr="004C59BB">
        <w:rPr>
          <w:color w:val="0000FF"/>
        </w:rPr>
        <w:t>条</w:t>
      </w:r>
      <w:r w:rsidRPr="0097554A">
        <w:rPr>
          <w:color w:val="0000FF"/>
          <w:lang w:val="ru-RU"/>
        </w:rPr>
        <w:t>；</w:t>
      </w:r>
      <w:r w:rsidRPr="004C59BB">
        <w:rPr>
          <w:color w:val="0000FF"/>
        </w:rPr>
        <w:t>泽农</w:t>
      </w:r>
      <w:r w:rsidRPr="0097554A">
        <w:rPr>
          <w:color w:val="0000FF"/>
          <w:lang w:val="ru-RU"/>
        </w:rPr>
        <w:t>·</w:t>
      </w:r>
      <w:r w:rsidRPr="004C59BB">
        <w:rPr>
          <w:color w:val="0000FF"/>
        </w:rPr>
        <w:t>维罗纳</w:t>
      </w:r>
      <w:r w:rsidRPr="0097554A">
        <w:rPr>
          <w:color w:val="0000FF"/>
          <w:lang w:val="ru-RU"/>
        </w:rPr>
        <w:t>，</w:t>
      </w:r>
      <w:r w:rsidRPr="004C59BB">
        <w:rPr>
          <w:color w:val="0000FF"/>
        </w:rPr>
        <w:t>《论复活》第</w:t>
      </w:r>
      <w:r w:rsidRPr="0097554A">
        <w:rPr>
          <w:color w:val="0000FF"/>
          <w:lang w:val="ru-RU"/>
        </w:rPr>
        <w:t>8</w:t>
      </w:r>
      <w:r w:rsidRPr="004C59BB">
        <w:rPr>
          <w:color w:val="0000FF"/>
        </w:rPr>
        <w:t>条。</w:t>
      </w:r>
    </w:p>
  </w:footnote>
  <w:footnote w:id="1970">
    <w:p w14:paraId="582C3952" w14:textId="01097001"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特土良</w:t>
      </w:r>
      <w:r w:rsidRPr="0097554A">
        <w:rPr>
          <w:color w:val="0000FF"/>
          <w:lang w:val="ru-RU"/>
        </w:rPr>
        <w:t>，</w:t>
      </w:r>
      <w:r w:rsidRPr="004C59BB">
        <w:rPr>
          <w:color w:val="0000FF"/>
        </w:rPr>
        <w:t>《论灵魂》第</w:t>
      </w:r>
      <w:r w:rsidRPr="0097554A">
        <w:rPr>
          <w:color w:val="0000FF"/>
          <w:lang w:val="ru-RU"/>
        </w:rPr>
        <w:t>43</w:t>
      </w:r>
      <w:r w:rsidRPr="004C59BB">
        <w:rPr>
          <w:color w:val="0000FF"/>
        </w:rPr>
        <w:t>章</w:t>
      </w:r>
      <w:r w:rsidRPr="0097554A">
        <w:rPr>
          <w:color w:val="0000FF"/>
          <w:lang w:val="ru-RU"/>
        </w:rPr>
        <w:t>；</w:t>
      </w:r>
      <w:r w:rsidRPr="004C59BB">
        <w:rPr>
          <w:color w:val="0000FF"/>
        </w:rPr>
        <w:t>埃皮法尼乌斯</w:t>
      </w:r>
      <w:r w:rsidRPr="0097554A">
        <w:rPr>
          <w:color w:val="0000FF"/>
          <w:lang w:val="ru-RU"/>
        </w:rPr>
        <w:t>，</w:t>
      </w:r>
      <w:r w:rsidRPr="004C59BB">
        <w:rPr>
          <w:color w:val="0000FF"/>
        </w:rPr>
        <w:t>《异端驳论》第LXIV卷</w:t>
      </w:r>
      <w:r w:rsidRPr="0097554A">
        <w:rPr>
          <w:color w:val="0000FF"/>
          <w:lang w:val="ru-RU"/>
        </w:rPr>
        <w:t>，</w:t>
      </w:r>
      <w:r w:rsidRPr="004C59BB">
        <w:rPr>
          <w:color w:val="0000FF"/>
        </w:rPr>
        <w:t>第</w:t>
      </w:r>
      <w:r w:rsidRPr="0097554A">
        <w:rPr>
          <w:color w:val="0000FF"/>
          <w:lang w:val="ru-RU"/>
        </w:rPr>
        <w:t>37</w:t>
      </w:r>
      <w:r w:rsidRPr="004C59BB">
        <w:rPr>
          <w:color w:val="0000FF"/>
        </w:rPr>
        <w:t>条。</w:t>
      </w:r>
    </w:p>
  </w:footnote>
  <w:footnote w:id="1971">
    <w:p w14:paraId="4C3BC0E7" w14:textId="7D995085" w:rsidR="00254F25" w:rsidRPr="004C59BB" w:rsidRDefault="00000000">
      <w:pPr>
        <w:pStyle w:val="FootnoteText"/>
        <w:rPr>
          <w:color w:val="0000FF"/>
          <w:lang w:val="el-GR"/>
        </w:rPr>
      </w:pPr>
      <w:r w:rsidRPr="004C59BB">
        <w:rPr>
          <w:rStyle w:val="FootnoteReference"/>
          <w:color w:val="0000FF"/>
        </w:rPr>
        <w:footnoteRef/>
      </w:r>
      <w:r w:rsidRPr="0097554A">
        <w:rPr>
          <w:color w:val="0000FF"/>
          <w:lang w:val="ru-RU"/>
        </w:rPr>
        <w:t xml:space="preserve"> </w:t>
      </w:r>
      <w:r w:rsidRPr="004C59BB">
        <w:rPr>
          <w:color w:val="0000FF"/>
        </w:rPr>
        <w:t>伊里内斯</w:t>
      </w:r>
      <w:r w:rsidRPr="0097554A">
        <w:rPr>
          <w:color w:val="0000FF"/>
          <w:lang w:val="ru-RU"/>
        </w:rPr>
        <w:t>，</w:t>
      </w:r>
      <w:r w:rsidRPr="004C59BB">
        <w:rPr>
          <w:color w:val="0000FF"/>
        </w:rPr>
        <w:t>《反异端》第三卷</w:t>
      </w:r>
      <w:r w:rsidRPr="0097554A">
        <w:rPr>
          <w:color w:val="0000FF"/>
          <w:lang w:val="ru-RU"/>
        </w:rPr>
        <w:t>，17，</w:t>
      </w:r>
      <w:r w:rsidRPr="004C59BB">
        <w:rPr>
          <w:color w:val="0000FF"/>
        </w:rPr>
        <w:t>注</w:t>
      </w:r>
      <w:r w:rsidRPr="0097554A">
        <w:rPr>
          <w:color w:val="0000FF"/>
          <w:lang w:val="ru-RU"/>
        </w:rPr>
        <w:t>2；</w:t>
      </w:r>
      <w:r w:rsidRPr="004C59BB">
        <w:rPr>
          <w:color w:val="0000FF"/>
        </w:rPr>
        <w:t>伊西多尔</w:t>
      </w:r>
      <w:r w:rsidRPr="0097554A">
        <w:rPr>
          <w:color w:val="0000FF"/>
          <w:lang w:val="ru-RU"/>
        </w:rPr>
        <w:t>·</w:t>
      </w:r>
      <w:r w:rsidRPr="004C59BB">
        <w:rPr>
          <w:color w:val="0000FF"/>
        </w:rPr>
        <w:t>佩卢斯</w:t>
      </w:r>
      <w:r w:rsidRPr="0097554A">
        <w:rPr>
          <w:color w:val="0000FF"/>
          <w:lang w:val="ru-RU"/>
        </w:rPr>
        <w:t>，</w:t>
      </w:r>
      <w:r w:rsidRPr="004C59BB">
        <w:rPr>
          <w:color w:val="0000FF"/>
        </w:rPr>
        <w:t>《书信集》第一卷</w:t>
      </w:r>
      <w:r w:rsidRPr="0097554A">
        <w:rPr>
          <w:color w:val="0000FF"/>
          <w:lang w:val="ru-RU"/>
        </w:rPr>
        <w:t>，</w:t>
      </w:r>
      <w:r w:rsidRPr="004C59BB">
        <w:rPr>
          <w:color w:val="0000FF"/>
          <w:lang w:val="el-GR"/>
        </w:rPr>
        <w:t>第CCXX</w:t>
      </w:r>
      <w:r w:rsidRPr="0097554A">
        <w:rPr>
          <w:color w:val="0000FF"/>
          <w:lang w:val="ru-RU"/>
        </w:rPr>
        <w:t>Ï</w:t>
      </w:r>
      <w:r w:rsidRPr="004C59BB">
        <w:rPr>
          <w:color w:val="0000FF"/>
          <w:lang w:val="el-GR"/>
        </w:rPr>
        <w:t>封</w:t>
      </w:r>
      <w:r w:rsidRPr="004C59BB">
        <w:rPr>
          <w:color w:val="0000FF"/>
        </w:rPr>
        <w:t>书信</w:t>
      </w:r>
      <w:r w:rsidRPr="0097554A">
        <w:rPr>
          <w:color w:val="0000FF"/>
          <w:lang w:val="ru-RU"/>
        </w:rPr>
        <w:t>：“</w:t>
      </w:r>
      <w:r w:rsidRPr="004C59BB">
        <w:rPr>
          <w:color w:val="0000FF"/>
          <w:lang w:val="el-GR"/>
        </w:rPr>
        <w:t>因此</w:t>
      </w:r>
      <w:r w:rsidRPr="0097554A">
        <w:rPr>
          <w:color w:val="0000FF"/>
          <w:lang w:val="ru-RU"/>
        </w:rPr>
        <w:t>，</w:t>
      </w:r>
      <w:r w:rsidRPr="004C59BB">
        <w:rPr>
          <w:color w:val="0000FF"/>
          <w:lang w:val="el-GR"/>
        </w:rPr>
        <w:t>我们为死人受洗</w:t>
      </w:r>
      <w:r w:rsidRPr="0097554A">
        <w:rPr>
          <w:color w:val="0000FF"/>
          <w:lang w:val="ru-RU"/>
        </w:rPr>
        <w:t>，</w:t>
      </w:r>
      <w:r w:rsidRPr="004C59BB">
        <w:rPr>
          <w:color w:val="0000FF"/>
          <w:lang w:val="el-GR"/>
        </w:rPr>
        <w:t>是出于对他们本质上已完全复活、并相信他们已转变为不朽之身的信念。”</w:t>
      </w:r>
    </w:p>
  </w:footnote>
  <w:footnote w:id="1972">
    <w:p w14:paraId="0D354A13" w14:textId="4F900983"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狄奥尼修斯</w:t>
      </w:r>
      <w:r w:rsidRPr="0097554A">
        <w:rPr>
          <w:color w:val="0000FF"/>
          <w:lang w:val="el-GR"/>
        </w:rPr>
        <w:t>·</w:t>
      </w:r>
      <w:r w:rsidRPr="004C59BB">
        <w:rPr>
          <w:color w:val="0000FF"/>
          <w:lang w:val="ru-RU"/>
        </w:rPr>
        <w:t>阿雷奥帕戈斯</w:t>
      </w:r>
      <w:r w:rsidRPr="0097554A">
        <w:rPr>
          <w:color w:val="0000FF"/>
          <w:lang w:val="el-GR"/>
        </w:rPr>
        <w:t>，</w:t>
      </w:r>
      <w:r w:rsidRPr="004C59BB">
        <w:rPr>
          <w:color w:val="0000FF"/>
          <w:lang w:val="ru-RU"/>
        </w:rPr>
        <w:t>《论教会等级制度》</w:t>
      </w:r>
      <w:r w:rsidRPr="004C59BB">
        <w:rPr>
          <w:color w:val="0000FF"/>
        </w:rPr>
        <w:t>第七</w:t>
      </w:r>
      <w:r w:rsidRPr="004C59BB">
        <w:rPr>
          <w:color w:val="0000FF"/>
          <w:lang w:val="ru-RU"/>
        </w:rPr>
        <w:t>章</w:t>
      </w:r>
      <w:r w:rsidRPr="0097554A">
        <w:rPr>
          <w:color w:val="0000FF"/>
          <w:lang w:val="el-GR"/>
        </w:rPr>
        <w:t>，</w:t>
      </w:r>
      <w:r w:rsidRPr="004C59BB">
        <w:rPr>
          <w:color w:val="0000FF"/>
        </w:rPr>
        <w:t>第三</w:t>
      </w:r>
      <w:r w:rsidRPr="004C59BB">
        <w:rPr>
          <w:color w:val="0000FF"/>
          <w:lang w:val="ru-RU"/>
        </w:rPr>
        <w:t>节</w:t>
      </w:r>
      <w:r w:rsidRPr="0097554A">
        <w:rPr>
          <w:color w:val="0000FF"/>
          <w:lang w:val="el-GR"/>
        </w:rPr>
        <w:t>，</w:t>
      </w:r>
      <w:r w:rsidRPr="004C59BB">
        <w:rPr>
          <w:color w:val="0000FF"/>
          <w:lang w:val="ru-RU"/>
        </w:rPr>
        <w:t>第</w:t>
      </w:r>
      <w:r w:rsidRPr="0097554A">
        <w:rPr>
          <w:color w:val="0000FF"/>
          <w:lang w:val="el-GR"/>
        </w:rPr>
        <w:t>9</w:t>
      </w:r>
      <w:r w:rsidRPr="004C59BB">
        <w:rPr>
          <w:color w:val="0000FF"/>
          <w:lang w:val="ru-RU"/>
        </w:rPr>
        <w:t>段。</w:t>
      </w:r>
    </w:p>
  </w:footnote>
  <w:footnote w:id="1973">
    <w:p w14:paraId="1C80B068" w14:textId="549A005D"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伊格纳提乌斯</w:t>
      </w:r>
      <w:r w:rsidRPr="0097554A">
        <w:rPr>
          <w:color w:val="0000FF"/>
          <w:lang w:val="el-GR"/>
        </w:rPr>
        <w:t>·</w:t>
      </w:r>
      <w:r w:rsidRPr="004C59BB">
        <w:rPr>
          <w:color w:val="0000FF"/>
          <w:lang w:val="ru-RU"/>
        </w:rPr>
        <w:t>神载者</w:t>
      </w:r>
      <w:r w:rsidRPr="0097554A">
        <w:rPr>
          <w:color w:val="0000FF"/>
          <w:lang w:val="el-GR"/>
        </w:rPr>
        <w:t>，</w:t>
      </w:r>
      <w:r w:rsidRPr="004C59BB">
        <w:rPr>
          <w:color w:val="0000FF"/>
        </w:rPr>
        <w:t>《致以弗所人书</w:t>
      </w:r>
      <w:r w:rsidRPr="004C59BB">
        <w:rPr>
          <w:color w:val="0000FF"/>
          <w:lang w:val="ru-RU"/>
        </w:rPr>
        <w:t>》</w:t>
      </w:r>
      <w:r w:rsidRPr="0097554A">
        <w:rPr>
          <w:color w:val="0000FF"/>
          <w:lang w:val="el-GR"/>
        </w:rPr>
        <w:t>，</w:t>
      </w:r>
      <w:r w:rsidRPr="004C59BB">
        <w:rPr>
          <w:color w:val="0000FF"/>
        </w:rPr>
        <w:t>第XX段</w:t>
      </w:r>
      <w:r w:rsidRPr="0097554A">
        <w:rPr>
          <w:color w:val="0000FF"/>
          <w:lang w:val="el-GR"/>
        </w:rPr>
        <w:t>（“</w:t>
      </w:r>
      <w:r w:rsidRPr="004C59BB">
        <w:rPr>
          <w:color w:val="0000FF"/>
        </w:rPr>
        <w:t>永生之药</w:t>
      </w:r>
      <w:r w:rsidRPr="0097554A">
        <w:rPr>
          <w:color w:val="0000FF"/>
          <w:lang w:val="el-GR"/>
        </w:rPr>
        <w:t>，</w:t>
      </w:r>
      <w:r w:rsidRPr="004C59BB">
        <w:rPr>
          <w:color w:val="0000FF"/>
        </w:rPr>
        <w:t>与</w:t>
      </w:r>
      <w:r w:rsidRPr="0097554A">
        <w:rPr>
          <w:color w:val="0000FF"/>
          <w:lang w:val="el-GR"/>
        </w:rPr>
        <w:t>‘</w:t>
      </w:r>
      <w:r w:rsidRPr="004C59BB">
        <w:rPr>
          <w:color w:val="0000FF"/>
        </w:rPr>
        <w:t>不至死亡</w:t>
      </w:r>
      <w:r w:rsidRPr="0097554A">
        <w:rPr>
          <w:color w:val="0000FF"/>
          <w:lang w:val="el-GR"/>
        </w:rPr>
        <w:t>’</w:t>
      </w:r>
      <w:r w:rsidRPr="004C59BB">
        <w:rPr>
          <w:color w:val="0000FF"/>
          <w:lang w:val="ru-RU"/>
        </w:rPr>
        <w:t>相对</w:t>
      </w:r>
      <w:r w:rsidRPr="0097554A">
        <w:rPr>
          <w:color w:val="0000FF"/>
          <w:lang w:val="el-GR"/>
        </w:rPr>
        <w:t>”）；</w:t>
      </w:r>
      <w:r w:rsidRPr="004C59BB">
        <w:rPr>
          <w:color w:val="0000FF"/>
          <w:lang w:val="ru-RU"/>
        </w:rPr>
        <w:t>伊里奈</w:t>
      </w:r>
      <w:r w:rsidRPr="0097554A">
        <w:rPr>
          <w:color w:val="0000FF"/>
          <w:lang w:val="el-GR"/>
        </w:rPr>
        <w:t>，</w:t>
      </w:r>
      <w:r w:rsidRPr="004C59BB">
        <w:rPr>
          <w:color w:val="0000FF"/>
          <w:lang w:val="ru-RU"/>
        </w:rPr>
        <w:t>《</w:t>
      </w:r>
      <w:r w:rsidRPr="004C59BB">
        <w:rPr>
          <w:color w:val="0000FF"/>
        </w:rPr>
        <w:t>反异端</w:t>
      </w:r>
      <w:r w:rsidRPr="004C59BB">
        <w:rPr>
          <w:color w:val="0000FF"/>
          <w:lang w:val="ru-RU"/>
        </w:rPr>
        <w:t>》</w:t>
      </w:r>
      <w:r w:rsidRPr="0097554A">
        <w:rPr>
          <w:color w:val="0000FF"/>
          <w:lang w:val="el-GR"/>
        </w:rPr>
        <w:t>，</w:t>
      </w:r>
      <w:r w:rsidRPr="004C59BB">
        <w:rPr>
          <w:color w:val="0000FF"/>
        </w:rPr>
        <w:t>第四卷</w:t>
      </w:r>
      <w:r w:rsidRPr="0097554A">
        <w:rPr>
          <w:color w:val="0000FF"/>
          <w:lang w:val="el-GR"/>
        </w:rPr>
        <w:t>，</w:t>
      </w:r>
      <w:r w:rsidRPr="004C59BB">
        <w:rPr>
          <w:color w:val="0000FF"/>
        </w:rPr>
        <w:t>第</w:t>
      </w:r>
      <w:r w:rsidRPr="0097554A">
        <w:rPr>
          <w:color w:val="0000FF"/>
          <w:lang w:val="el-GR"/>
        </w:rPr>
        <w:t>18</w:t>
      </w:r>
      <w:r w:rsidRPr="004C59BB">
        <w:rPr>
          <w:color w:val="0000FF"/>
        </w:rPr>
        <w:t>章</w:t>
      </w:r>
      <w:r w:rsidRPr="0097554A">
        <w:rPr>
          <w:color w:val="0000FF"/>
          <w:lang w:val="el-GR"/>
        </w:rPr>
        <w:t>，</w:t>
      </w:r>
      <w:r w:rsidRPr="004C59BB">
        <w:rPr>
          <w:color w:val="0000FF"/>
        </w:rPr>
        <w:t>第</w:t>
      </w:r>
      <w:r w:rsidRPr="0097554A">
        <w:rPr>
          <w:color w:val="0000FF"/>
          <w:lang w:val="el-GR"/>
        </w:rPr>
        <w:t>5</w:t>
      </w:r>
      <w:r w:rsidRPr="004C59BB">
        <w:rPr>
          <w:color w:val="0000FF"/>
        </w:rPr>
        <w:t>节</w:t>
      </w:r>
      <w:r w:rsidRPr="0097554A">
        <w:rPr>
          <w:color w:val="0000FF"/>
          <w:lang w:val="el-GR"/>
        </w:rPr>
        <w:t>；</w:t>
      </w:r>
      <w:r w:rsidRPr="004C59BB">
        <w:rPr>
          <w:color w:val="0000FF"/>
        </w:rPr>
        <w:t>格里高利</w:t>
      </w:r>
      <w:r w:rsidRPr="0097554A">
        <w:rPr>
          <w:color w:val="0000FF"/>
          <w:lang w:val="el-GR"/>
        </w:rPr>
        <w:t>·</w:t>
      </w:r>
      <w:r w:rsidRPr="004C59BB">
        <w:rPr>
          <w:color w:val="0000FF"/>
        </w:rPr>
        <w:t>尼撒</w:t>
      </w:r>
      <w:r w:rsidRPr="0097554A">
        <w:rPr>
          <w:color w:val="0000FF"/>
          <w:lang w:val="el-GR"/>
        </w:rPr>
        <w:t>，</w:t>
      </w:r>
      <w:r w:rsidRPr="004C59BB">
        <w:rPr>
          <w:color w:val="0000FF"/>
        </w:rPr>
        <w:t>《讲道集</w:t>
      </w:r>
      <w:r w:rsidRPr="0097554A">
        <w:rPr>
          <w:color w:val="0000FF"/>
          <w:lang w:val="el-GR"/>
        </w:rPr>
        <w:t>·</w:t>
      </w:r>
      <w:r w:rsidRPr="004C59BB">
        <w:rPr>
          <w:color w:val="0000FF"/>
        </w:rPr>
        <w:t>教理问答》</w:t>
      </w:r>
      <w:r w:rsidRPr="0097554A">
        <w:rPr>
          <w:color w:val="0000FF"/>
          <w:lang w:val="el-GR"/>
        </w:rPr>
        <w:t>，</w:t>
      </w:r>
      <w:r w:rsidRPr="004C59BB">
        <w:rPr>
          <w:color w:val="0000FF"/>
        </w:rPr>
        <w:t>第</w:t>
      </w:r>
      <w:r w:rsidRPr="0097554A">
        <w:rPr>
          <w:color w:val="0000FF"/>
          <w:lang w:val="el-GR"/>
        </w:rPr>
        <w:t>38</w:t>
      </w:r>
      <w:r w:rsidRPr="004C59BB">
        <w:rPr>
          <w:color w:val="0000FF"/>
        </w:rPr>
        <w:t>章</w:t>
      </w:r>
      <w:r w:rsidRPr="0097554A">
        <w:rPr>
          <w:color w:val="0000FF"/>
          <w:lang w:val="el-GR"/>
        </w:rPr>
        <w:t>；</w:t>
      </w:r>
      <w:r w:rsidRPr="004C59BB">
        <w:rPr>
          <w:color w:val="0000FF"/>
        </w:rPr>
        <w:t>伊拉里乌斯</w:t>
      </w:r>
      <w:r w:rsidRPr="0097554A">
        <w:rPr>
          <w:color w:val="0000FF"/>
          <w:lang w:val="el-GR"/>
        </w:rPr>
        <w:t>，</w:t>
      </w:r>
      <w:r w:rsidRPr="004C59BB">
        <w:rPr>
          <w:color w:val="0000FF"/>
        </w:rPr>
        <w:t>《论三位一体》</w:t>
      </w:r>
      <w:r w:rsidRPr="0097554A">
        <w:rPr>
          <w:color w:val="0000FF"/>
          <w:lang w:val="el-GR"/>
        </w:rPr>
        <w:t>，</w:t>
      </w:r>
      <w:r w:rsidRPr="004C59BB">
        <w:rPr>
          <w:color w:val="0000FF"/>
        </w:rPr>
        <w:t>第八卷</w:t>
      </w:r>
      <w:r w:rsidRPr="0097554A">
        <w:rPr>
          <w:color w:val="0000FF"/>
          <w:lang w:val="el-GR"/>
        </w:rPr>
        <w:t>，</w:t>
      </w:r>
      <w:r w:rsidRPr="004C59BB">
        <w:rPr>
          <w:color w:val="0000FF"/>
        </w:rPr>
        <w:t>第</w:t>
      </w:r>
      <w:r w:rsidRPr="0097554A">
        <w:rPr>
          <w:color w:val="0000FF"/>
          <w:lang w:val="el-GR"/>
        </w:rPr>
        <w:t>16</w:t>
      </w:r>
      <w:r w:rsidRPr="004C59BB">
        <w:rPr>
          <w:color w:val="0000FF"/>
        </w:rPr>
        <w:t>章。</w:t>
      </w:r>
    </w:p>
  </w:footnote>
  <w:footnote w:id="1974">
    <w:p w14:paraId="36C291DE" w14:textId="4D53F061"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贾斯汀</w:t>
      </w:r>
      <w:r w:rsidRPr="0097554A">
        <w:rPr>
          <w:color w:val="0000FF"/>
          <w:lang w:val="el-GR"/>
        </w:rPr>
        <w:t>，</w:t>
      </w:r>
      <w:r w:rsidRPr="004C59BB">
        <w:rPr>
          <w:color w:val="0000FF"/>
        </w:rPr>
        <w:t>《护教辞》第</w:t>
      </w:r>
      <w:r w:rsidRPr="0097554A">
        <w:rPr>
          <w:color w:val="0000FF"/>
          <w:lang w:val="el-GR"/>
        </w:rPr>
        <w:t>1</w:t>
      </w:r>
      <w:r w:rsidRPr="004C59BB">
        <w:rPr>
          <w:color w:val="0000FF"/>
        </w:rPr>
        <w:t>卷</w:t>
      </w:r>
      <w:r w:rsidRPr="0097554A">
        <w:rPr>
          <w:color w:val="0000FF"/>
          <w:lang w:val="el-GR"/>
        </w:rPr>
        <w:t>，</w:t>
      </w:r>
      <w:r w:rsidRPr="004C59BB">
        <w:rPr>
          <w:color w:val="0000FF"/>
        </w:rPr>
        <w:t>第</w:t>
      </w:r>
      <w:r w:rsidRPr="0097554A">
        <w:rPr>
          <w:color w:val="0000FF"/>
          <w:lang w:val="el-GR"/>
        </w:rPr>
        <w:t>19</w:t>
      </w:r>
      <w:r w:rsidRPr="004C59BB">
        <w:rPr>
          <w:color w:val="0000FF"/>
        </w:rPr>
        <w:t>节</w:t>
      </w:r>
      <w:r w:rsidRPr="0097554A">
        <w:rPr>
          <w:color w:val="0000FF"/>
          <w:lang w:val="el-GR"/>
        </w:rPr>
        <w:t>；</w:t>
      </w:r>
      <w:r w:rsidRPr="004C59BB">
        <w:rPr>
          <w:color w:val="0000FF"/>
        </w:rPr>
        <w:t>塔西安</w:t>
      </w:r>
      <w:r w:rsidRPr="0097554A">
        <w:rPr>
          <w:color w:val="0000FF"/>
          <w:lang w:val="el-GR"/>
        </w:rPr>
        <w:t>，</w:t>
      </w:r>
      <w:r w:rsidRPr="004C59BB">
        <w:rPr>
          <w:color w:val="0000FF"/>
        </w:rPr>
        <w:t>《反希腊人论》第</w:t>
      </w:r>
      <w:r w:rsidRPr="0097554A">
        <w:rPr>
          <w:color w:val="0000FF"/>
          <w:lang w:val="el-GR"/>
        </w:rPr>
        <w:t>6</w:t>
      </w:r>
      <w:r w:rsidRPr="004C59BB">
        <w:rPr>
          <w:color w:val="0000FF"/>
        </w:rPr>
        <w:t>章</w:t>
      </w:r>
      <w:r w:rsidRPr="0097554A">
        <w:rPr>
          <w:color w:val="0000FF"/>
          <w:lang w:val="el-GR"/>
        </w:rPr>
        <w:t>；</w:t>
      </w:r>
      <w:r w:rsidRPr="004C59BB">
        <w:rPr>
          <w:color w:val="0000FF"/>
        </w:rPr>
        <w:t>耶路撒冷的西里尔</w:t>
      </w:r>
      <w:r w:rsidRPr="0097554A">
        <w:rPr>
          <w:color w:val="0000FF"/>
          <w:lang w:val="el-GR"/>
        </w:rPr>
        <w:t>，</w:t>
      </w:r>
      <w:r w:rsidRPr="004C59BB">
        <w:rPr>
          <w:color w:val="0000FF"/>
        </w:rPr>
        <w:t>《教义讲义》第IV</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30</w:t>
      </w:r>
      <w:r w:rsidRPr="004C59BB">
        <w:rPr>
          <w:color w:val="0000FF"/>
          <w:lang w:val="ru-RU"/>
        </w:rPr>
        <w:t>节</w:t>
      </w:r>
      <w:r w:rsidRPr="0097554A">
        <w:rPr>
          <w:color w:val="0000FF"/>
          <w:lang w:val="el-GR"/>
        </w:rPr>
        <w:t>，</w:t>
      </w:r>
      <w:r w:rsidRPr="004C59BB">
        <w:rPr>
          <w:color w:val="0000FF"/>
          <w:lang w:val="ru-RU"/>
        </w:rPr>
        <w:t>第</w:t>
      </w:r>
      <w:r w:rsidRPr="0097554A">
        <w:rPr>
          <w:color w:val="0000FF"/>
          <w:lang w:val="el-GR"/>
        </w:rPr>
        <w:t>78</w:t>
      </w:r>
      <w:r w:rsidRPr="004C59BB">
        <w:rPr>
          <w:color w:val="0000FF"/>
          <w:lang w:val="ru-RU"/>
        </w:rPr>
        <w:t>页</w:t>
      </w:r>
      <w:r w:rsidRPr="0097554A">
        <w:rPr>
          <w:color w:val="0000FF"/>
          <w:lang w:val="el-GR"/>
        </w:rPr>
        <w:t>；</w:t>
      </w:r>
      <w:r w:rsidRPr="004C59BB">
        <w:rPr>
          <w:color w:val="0000FF"/>
        </w:rPr>
        <w:t>第XVIII</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9</w:t>
      </w:r>
      <w:r w:rsidRPr="004C59BB">
        <w:rPr>
          <w:color w:val="0000FF"/>
          <w:lang w:val="ru-RU"/>
        </w:rPr>
        <w:t>节</w:t>
      </w:r>
      <w:r w:rsidRPr="0097554A">
        <w:rPr>
          <w:color w:val="0000FF"/>
          <w:lang w:val="el-GR"/>
        </w:rPr>
        <w:t>：“</w:t>
      </w:r>
      <w:r w:rsidRPr="004C59BB">
        <w:rPr>
          <w:color w:val="0000FF"/>
          <w:lang w:val="ru-RU"/>
        </w:rPr>
        <w:t>一百年前</w:t>
      </w:r>
      <w:r w:rsidRPr="0097554A">
        <w:rPr>
          <w:color w:val="0000FF"/>
          <w:lang w:val="el-GR"/>
        </w:rPr>
        <w:t>，</w:t>
      </w:r>
      <w:r w:rsidRPr="004C59BB">
        <w:rPr>
          <w:color w:val="0000FF"/>
          <w:lang w:val="ru-RU"/>
        </w:rPr>
        <w:t>甚至两百年前</w:t>
      </w:r>
      <w:r w:rsidRPr="0097554A">
        <w:rPr>
          <w:color w:val="0000FF"/>
          <w:lang w:val="el-GR"/>
        </w:rPr>
        <w:t>，</w:t>
      </w:r>
      <w:r w:rsidRPr="004C59BB">
        <w:rPr>
          <w:color w:val="0000FF"/>
          <w:lang w:val="ru-RU"/>
        </w:rPr>
        <w:t>我们这些如今正在说话和聆听的人</w:t>
      </w:r>
      <w:r w:rsidRPr="0097554A">
        <w:rPr>
          <w:color w:val="0000FF"/>
          <w:lang w:val="el-GR"/>
        </w:rPr>
        <w:t>，</w:t>
      </w:r>
      <w:r w:rsidRPr="004C59BB">
        <w:rPr>
          <w:color w:val="0000FF"/>
          <w:lang w:val="ru-RU"/>
        </w:rPr>
        <w:t>都身在何处呢</w:t>
      </w:r>
      <w:r w:rsidRPr="0097554A">
        <w:rPr>
          <w:color w:val="0000FF"/>
          <w:lang w:val="el-GR"/>
        </w:rPr>
        <w:t xml:space="preserve">？ </w:t>
      </w:r>
      <w:r w:rsidRPr="004C59BB">
        <w:rPr>
          <w:color w:val="0000FF"/>
          <w:lang w:val="ru-RU"/>
        </w:rPr>
        <w:t>难道我们不知道自己身体最初的构成吗</w:t>
      </w:r>
      <w:r w:rsidRPr="0097554A">
        <w:rPr>
          <w:color w:val="0000FF"/>
          <w:lang w:val="el-GR"/>
        </w:rPr>
        <w:t>？</w:t>
      </w:r>
      <w:r w:rsidRPr="004C59BB">
        <w:rPr>
          <w:color w:val="0000FF"/>
          <w:lang w:val="ru-RU"/>
        </w:rPr>
        <w:t>难道你不知道</w:t>
      </w:r>
      <w:r w:rsidRPr="0097554A">
        <w:rPr>
          <w:color w:val="0000FF"/>
          <w:lang w:val="el-GR"/>
        </w:rPr>
        <w:t>，</w:t>
      </w:r>
      <w:r w:rsidRPr="004C59BB">
        <w:rPr>
          <w:color w:val="0000FF"/>
          <w:lang w:val="ru-RU"/>
        </w:rPr>
        <w:t>我们是从脆弱、丑陋且形态单调的物质中诞生的吗</w:t>
      </w:r>
      <w:r w:rsidRPr="0097554A">
        <w:rPr>
          <w:color w:val="0000FF"/>
          <w:lang w:val="el-GR"/>
        </w:rPr>
        <w:t xml:space="preserve">？ </w:t>
      </w:r>
      <w:r w:rsidRPr="004C59BB">
        <w:rPr>
          <w:color w:val="0000FF"/>
          <w:lang w:val="ru-RU"/>
        </w:rPr>
        <w:t>正是从这种单调而脆弱的物质中</w:t>
      </w:r>
      <w:r w:rsidRPr="0097554A">
        <w:rPr>
          <w:color w:val="0000FF"/>
          <w:lang w:val="el-GR"/>
        </w:rPr>
        <w:t>，</w:t>
      </w:r>
      <w:r w:rsidRPr="004C59BB">
        <w:rPr>
          <w:color w:val="0000FF"/>
          <w:lang w:val="ru-RU"/>
        </w:rPr>
        <w:t>形成了有生命的人</w:t>
      </w:r>
      <w:r w:rsidRPr="0097554A">
        <w:rPr>
          <w:color w:val="0000FF"/>
          <w:lang w:val="el-GR"/>
        </w:rPr>
        <w:t>；</w:t>
      </w:r>
      <w:r w:rsidRPr="004C59BB">
        <w:rPr>
          <w:color w:val="0000FF"/>
          <w:lang w:val="ru-RU"/>
        </w:rPr>
        <w:t>当这种脆弱的物质化为血肉时</w:t>
      </w:r>
      <w:r w:rsidRPr="0097554A">
        <w:rPr>
          <w:color w:val="0000FF"/>
          <w:lang w:val="el-GR"/>
        </w:rPr>
        <w:t>，</w:t>
      </w:r>
      <w:r w:rsidRPr="004C59BB">
        <w:rPr>
          <w:color w:val="0000FF"/>
          <w:lang w:val="ru-RU"/>
        </w:rPr>
        <w:t>便形成了强健的神经、清澈的双眼、用于嗅闻的鼻孔、用于听觉的耳朵、用于言语的舌头、跳动的心脏</w:t>
      </w:r>
      <w:r w:rsidRPr="0097554A">
        <w:rPr>
          <w:color w:val="0000FF"/>
          <w:lang w:val="el-GR"/>
        </w:rPr>
        <w:t>，</w:t>
      </w:r>
      <w:r w:rsidRPr="004C59BB">
        <w:rPr>
          <w:color w:val="0000FF"/>
          <w:lang w:val="ru-RU"/>
        </w:rPr>
        <w:t>形成了用于劳动的双手、用于奔跑的双脚以及所有其他肢体。</w:t>
      </w:r>
      <w:r w:rsidRPr="0097554A">
        <w:rPr>
          <w:color w:val="0000FF"/>
          <w:lang w:val="el-GR"/>
        </w:rPr>
        <w:t xml:space="preserve"> </w:t>
      </w:r>
      <w:r w:rsidRPr="004C59BB">
        <w:rPr>
          <w:color w:val="0000FF"/>
          <w:lang w:val="ru-RU"/>
        </w:rPr>
        <w:t>而这种微弱的物质</w:t>
      </w:r>
      <w:r w:rsidRPr="0097554A">
        <w:rPr>
          <w:color w:val="0000FF"/>
          <w:lang w:val="el-GR"/>
        </w:rPr>
        <w:t>，</w:t>
      </w:r>
      <w:r w:rsidRPr="004C59BB">
        <w:rPr>
          <w:color w:val="0000FF"/>
          <w:lang w:val="ru-RU"/>
        </w:rPr>
        <w:t>竟能成为造船者和建房者</w:t>
      </w:r>
      <w:r w:rsidRPr="0097554A">
        <w:rPr>
          <w:color w:val="0000FF"/>
          <w:lang w:val="el-GR"/>
        </w:rPr>
        <w:t>，</w:t>
      </w:r>
      <w:r w:rsidRPr="004C59BB">
        <w:rPr>
          <w:color w:val="0000FF"/>
          <w:lang w:val="ru-RU"/>
        </w:rPr>
        <w:t>成为各行各业的建筑师和艺术家</w:t>
      </w:r>
      <w:r w:rsidRPr="0097554A">
        <w:rPr>
          <w:color w:val="0000FF"/>
          <w:lang w:val="el-GR"/>
        </w:rPr>
        <w:t>，</w:t>
      </w:r>
      <w:r w:rsidRPr="004C59BB">
        <w:rPr>
          <w:color w:val="0000FF"/>
          <w:lang w:val="ru-RU"/>
        </w:rPr>
        <w:t>成为战士、立法者和君王。那位从未成形的物质中创造我们的上帝</w:t>
      </w:r>
      <w:r w:rsidRPr="0097554A">
        <w:rPr>
          <w:color w:val="0000FF"/>
          <w:lang w:val="el-GR"/>
        </w:rPr>
        <w:t>，</w:t>
      </w:r>
      <w:r w:rsidRPr="004C59BB">
        <w:rPr>
          <w:color w:val="0000FF"/>
          <w:lang w:val="ru-RU"/>
        </w:rPr>
        <w:t>难道不能使死者复活吗</w:t>
      </w:r>
      <w:r w:rsidRPr="0097554A">
        <w:rPr>
          <w:color w:val="0000FF"/>
          <w:lang w:val="el-GR"/>
        </w:rPr>
        <w:t xml:space="preserve">？ </w:t>
      </w:r>
      <w:r w:rsidRPr="004C59BB">
        <w:rPr>
          <w:color w:val="0000FF"/>
          <w:lang w:val="ru-RU"/>
        </w:rPr>
        <w:t>那位能从最微弱的物质中塑造身体的上帝</w:t>
      </w:r>
      <w:r w:rsidRPr="0097554A">
        <w:rPr>
          <w:color w:val="0000FF"/>
          <w:lang w:val="el-GR"/>
        </w:rPr>
        <w:t>，</w:t>
      </w:r>
      <w:r w:rsidRPr="004C59BB">
        <w:rPr>
          <w:color w:val="0000FF"/>
          <w:lang w:val="ru-RU"/>
        </w:rPr>
        <w:t>难道不能使已死的身体复活吗</w:t>
      </w:r>
      <w:r w:rsidRPr="0097554A">
        <w:rPr>
          <w:color w:val="0000FF"/>
          <w:lang w:val="el-GR"/>
        </w:rPr>
        <w:t>？</w:t>
      </w:r>
      <w:r w:rsidRPr="004C59BB">
        <w:rPr>
          <w:color w:val="0000FF"/>
          <w:lang w:val="ru-RU"/>
        </w:rPr>
        <w:t>那位创造了此前不曾存在之物的上帝</w:t>
      </w:r>
      <w:r w:rsidRPr="0097554A">
        <w:rPr>
          <w:color w:val="0000FF"/>
          <w:lang w:val="el-GR"/>
        </w:rPr>
        <w:t>，</w:t>
      </w:r>
      <w:r w:rsidRPr="004C59BB">
        <w:rPr>
          <w:color w:val="0000FF"/>
          <w:lang w:val="ru-RU"/>
        </w:rPr>
        <w:t>难道不能使曾经存在而如今已死之物复活吗</w:t>
      </w:r>
      <w:r w:rsidRPr="0097554A">
        <w:rPr>
          <w:color w:val="0000FF"/>
          <w:lang w:val="el-GR"/>
        </w:rPr>
        <w:t>？”（</w:t>
      </w:r>
      <w:r w:rsidRPr="004C59BB">
        <w:rPr>
          <w:color w:val="0000FF"/>
          <w:lang w:val="ru-RU"/>
        </w:rPr>
        <w:t>第</w:t>
      </w:r>
      <w:r w:rsidRPr="0097554A">
        <w:rPr>
          <w:color w:val="0000FF"/>
          <w:lang w:val="el-GR"/>
        </w:rPr>
        <w:t>412–413</w:t>
      </w:r>
      <w:r w:rsidRPr="004C59BB">
        <w:rPr>
          <w:color w:val="0000FF"/>
          <w:lang w:val="ru-RU"/>
        </w:rPr>
        <w:t>页</w:t>
      </w:r>
      <w:r w:rsidRPr="0097554A">
        <w:rPr>
          <w:color w:val="0000FF"/>
          <w:lang w:val="el-GR"/>
        </w:rPr>
        <w:t>）</w:t>
      </w:r>
    </w:p>
  </w:footnote>
  <w:footnote w:id="1975">
    <w:p w14:paraId="13581229" w14:textId="7B931D5D"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尼尔。《书信集》第</w:t>
      </w:r>
      <w:r w:rsidRPr="0097554A">
        <w:rPr>
          <w:color w:val="0000FF"/>
          <w:lang w:val="el-GR"/>
        </w:rPr>
        <w:t>1</w:t>
      </w:r>
      <w:r w:rsidRPr="004C59BB">
        <w:rPr>
          <w:color w:val="0000FF"/>
        </w:rPr>
        <w:t>卷</w:t>
      </w:r>
      <w:r w:rsidRPr="0097554A">
        <w:rPr>
          <w:color w:val="0000FF"/>
          <w:lang w:val="el-GR"/>
        </w:rPr>
        <w:t>，</w:t>
      </w:r>
      <w:r w:rsidRPr="004C59BB">
        <w:rPr>
          <w:color w:val="0000FF"/>
        </w:rPr>
        <w:t>致撒玛利亚人阿弗隆的书信</w:t>
      </w:r>
      <w:r w:rsidRPr="0097554A">
        <w:rPr>
          <w:color w:val="0000FF"/>
          <w:lang w:val="el-GR"/>
        </w:rPr>
        <w:t xml:space="preserve"> </w:t>
      </w:r>
      <w:r w:rsidRPr="004C59BB">
        <w:rPr>
          <w:color w:val="0000FF"/>
        </w:rPr>
        <w:t>CIX、CXI。</w:t>
      </w:r>
    </w:p>
  </w:footnote>
  <w:footnote w:id="1976">
    <w:p w14:paraId="6865FB9C" w14:textId="59BBD11E"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伊里内斯</w:t>
      </w:r>
      <w:r w:rsidRPr="0097554A">
        <w:rPr>
          <w:color w:val="0000FF"/>
          <w:lang w:val="el-GR"/>
        </w:rPr>
        <w:t>，</w:t>
      </w:r>
      <w:r w:rsidRPr="004C59BB">
        <w:rPr>
          <w:color w:val="0000FF"/>
        </w:rPr>
        <w:t>《反异端》第五卷</w:t>
      </w:r>
      <w:r w:rsidRPr="0097554A">
        <w:rPr>
          <w:color w:val="0000FF"/>
          <w:lang w:val="el-GR"/>
        </w:rPr>
        <w:t>，</w:t>
      </w:r>
      <w:r w:rsidRPr="004C59BB">
        <w:rPr>
          <w:color w:val="0000FF"/>
        </w:rPr>
        <w:t>第</w:t>
      </w:r>
      <w:r w:rsidRPr="0097554A">
        <w:rPr>
          <w:color w:val="0000FF"/>
          <w:lang w:val="el-GR"/>
        </w:rPr>
        <w:t>3</w:t>
      </w:r>
      <w:r w:rsidRPr="004C59BB">
        <w:rPr>
          <w:color w:val="0000FF"/>
        </w:rPr>
        <w:t>章</w:t>
      </w:r>
      <w:r w:rsidRPr="0097554A">
        <w:rPr>
          <w:color w:val="0000FF"/>
          <w:lang w:val="el-GR"/>
        </w:rPr>
        <w:t>，</w:t>
      </w:r>
      <w:r w:rsidRPr="004C59BB">
        <w:rPr>
          <w:color w:val="0000FF"/>
        </w:rPr>
        <w:t>第</w:t>
      </w:r>
      <w:r w:rsidRPr="0097554A">
        <w:rPr>
          <w:color w:val="0000FF"/>
          <w:lang w:val="el-GR"/>
        </w:rPr>
        <w:t>2</w:t>
      </w:r>
      <w:r w:rsidRPr="004C59BB">
        <w:rPr>
          <w:color w:val="0000FF"/>
        </w:rPr>
        <w:t>节</w:t>
      </w:r>
      <w:r w:rsidRPr="0097554A">
        <w:rPr>
          <w:color w:val="0000FF"/>
          <w:lang w:val="el-GR"/>
        </w:rPr>
        <w:t>；</w:t>
      </w:r>
      <w:r w:rsidRPr="004C59BB">
        <w:rPr>
          <w:color w:val="0000FF"/>
        </w:rPr>
        <w:t>特土良</w:t>
      </w:r>
      <w:r w:rsidRPr="0097554A">
        <w:rPr>
          <w:color w:val="0000FF"/>
          <w:lang w:val="el-GR"/>
        </w:rPr>
        <w:t>，</w:t>
      </w:r>
      <w:r w:rsidRPr="004C59BB">
        <w:rPr>
          <w:color w:val="0000FF"/>
        </w:rPr>
        <w:t>《护教论》第</w:t>
      </w:r>
      <w:r w:rsidRPr="0097554A">
        <w:rPr>
          <w:color w:val="0000FF"/>
          <w:lang w:val="el-GR"/>
        </w:rPr>
        <w:t>48</w:t>
      </w:r>
      <w:r w:rsidRPr="004C59BB">
        <w:rPr>
          <w:color w:val="0000FF"/>
        </w:rPr>
        <w:t>章</w:t>
      </w:r>
      <w:r w:rsidRPr="0097554A">
        <w:rPr>
          <w:color w:val="0000FF"/>
          <w:lang w:val="el-GR"/>
        </w:rPr>
        <w:t>；</w:t>
      </w:r>
      <w:r w:rsidRPr="004C59BB">
        <w:rPr>
          <w:color w:val="0000FF"/>
        </w:rPr>
        <w:t>埃皮法尼乌斯</w:t>
      </w:r>
      <w:r w:rsidRPr="0097554A">
        <w:rPr>
          <w:color w:val="0000FF"/>
          <w:lang w:val="el-GR"/>
        </w:rPr>
        <w:t>，</w:t>
      </w:r>
      <w:r w:rsidRPr="004C59BB">
        <w:rPr>
          <w:color w:val="0000FF"/>
        </w:rPr>
        <w:t>《反异端》第六十四</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66</w:t>
      </w:r>
      <w:r w:rsidRPr="004C59BB">
        <w:rPr>
          <w:color w:val="0000FF"/>
          <w:lang w:val="ru-RU"/>
        </w:rPr>
        <w:t>、</w:t>
      </w:r>
      <w:r w:rsidRPr="0097554A">
        <w:rPr>
          <w:color w:val="0000FF"/>
          <w:lang w:val="el-GR"/>
        </w:rPr>
        <w:t>72</w:t>
      </w:r>
      <w:r w:rsidRPr="004C59BB">
        <w:rPr>
          <w:color w:val="0000FF"/>
          <w:lang w:val="ru-RU"/>
        </w:rPr>
        <w:t>节</w:t>
      </w:r>
      <w:r w:rsidRPr="0097554A">
        <w:rPr>
          <w:color w:val="0000FF"/>
          <w:lang w:val="el-GR"/>
        </w:rPr>
        <w:t xml:space="preserve">； </w:t>
      </w:r>
      <w:r w:rsidRPr="004C59BB">
        <w:rPr>
          <w:color w:val="0000FF"/>
          <w:lang w:val="ru-RU"/>
        </w:rPr>
        <w:t>基里尔</w:t>
      </w:r>
      <w:r w:rsidRPr="0097554A">
        <w:rPr>
          <w:color w:val="0000FF"/>
          <w:lang w:val="el-GR"/>
        </w:rPr>
        <w:t>·</w:t>
      </w:r>
      <w:r w:rsidRPr="004C59BB">
        <w:rPr>
          <w:color w:val="0000FF"/>
          <w:lang w:val="ru-RU"/>
        </w:rPr>
        <w:t>耶路撒冷人</w:t>
      </w:r>
      <w:r w:rsidRPr="0097554A">
        <w:rPr>
          <w:color w:val="0000FF"/>
          <w:lang w:val="el-GR"/>
        </w:rPr>
        <w:t>，</w:t>
      </w:r>
      <w:r w:rsidRPr="004C59BB">
        <w:rPr>
          <w:color w:val="0000FF"/>
          <w:lang w:val="ru-RU"/>
        </w:rPr>
        <w:t>第十八卷</w:t>
      </w:r>
      <w:r w:rsidRPr="0097554A">
        <w:rPr>
          <w:color w:val="0000FF"/>
          <w:lang w:val="el-GR"/>
        </w:rPr>
        <w:t>，</w:t>
      </w:r>
      <w:r w:rsidRPr="004C59BB">
        <w:rPr>
          <w:color w:val="0000FF"/>
          <w:lang w:val="ru-RU"/>
        </w:rPr>
        <w:t>注</w:t>
      </w:r>
      <w:r w:rsidRPr="0097554A">
        <w:rPr>
          <w:color w:val="0000FF"/>
          <w:lang w:val="el-GR"/>
        </w:rPr>
        <w:t>6：“</w:t>
      </w:r>
      <w:r w:rsidRPr="004C59BB">
        <w:rPr>
          <w:color w:val="0000FF"/>
          <w:lang w:val="ru-RU"/>
        </w:rPr>
        <w:t>若要比较两件事的难易程度</w:t>
      </w:r>
      <w:r w:rsidRPr="0097554A">
        <w:rPr>
          <w:color w:val="0000FF"/>
          <w:lang w:val="el-GR"/>
        </w:rPr>
        <w:t>：</w:t>
      </w:r>
      <w:r w:rsidRPr="004C59BB">
        <w:rPr>
          <w:color w:val="0000FF"/>
          <w:lang w:val="ru-RU"/>
        </w:rPr>
        <w:t>究竟是先雕刻一尊雕像更难</w:t>
      </w:r>
      <w:r w:rsidRPr="0097554A">
        <w:rPr>
          <w:color w:val="0000FF"/>
          <w:lang w:val="el-GR"/>
        </w:rPr>
        <w:t>，</w:t>
      </w:r>
      <w:r w:rsidRPr="004C59BB">
        <w:rPr>
          <w:color w:val="0000FF"/>
          <w:lang w:val="ru-RU"/>
        </w:rPr>
        <w:t>还是将倒下的雕像恢复原状更难</w:t>
      </w:r>
      <w:r w:rsidRPr="0097554A">
        <w:rPr>
          <w:color w:val="0000FF"/>
          <w:lang w:val="el-GR"/>
        </w:rPr>
        <w:t>？</w:t>
      </w:r>
      <w:r w:rsidRPr="004C59BB">
        <w:rPr>
          <w:color w:val="0000FF"/>
          <w:lang w:val="ru-RU"/>
        </w:rPr>
        <w:t>那位从无中创造我们的上帝</w:t>
      </w:r>
      <w:r w:rsidRPr="0097554A">
        <w:rPr>
          <w:color w:val="0000FF"/>
          <w:lang w:val="el-GR"/>
        </w:rPr>
        <w:t>，</w:t>
      </w:r>
      <w:r w:rsidRPr="004C59BB">
        <w:rPr>
          <w:color w:val="0000FF"/>
          <w:lang w:val="ru-RU"/>
        </w:rPr>
        <w:t>难道在我们死后就无法使现存的人复活了吗</w:t>
      </w:r>
      <w:r w:rsidRPr="0097554A">
        <w:rPr>
          <w:color w:val="0000FF"/>
          <w:lang w:val="el-GR"/>
        </w:rPr>
        <w:t>？”（</w:t>
      </w:r>
      <w:r w:rsidRPr="004C59BB">
        <w:rPr>
          <w:color w:val="0000FF"/>
          <w:lang w:val="ru-RU"/>
        </w:rPr>
        <w:t>第</w:t>
      </w:r>
      <w:r w:rsidRPr="0097554A">
        <w:rPr>
          <w:color w:val="0000FF"/>
          <w:lang w:val="el-GR"/>
        </w:rPr>
        <w:t>409</w:t>
      </w:r>
      <w:r w:rsidRPr="004C59BB">
        <w:rPr>
          <w:color w:val="0000FF"/>
          <w:lang w:val="ru-RU"/>
        </w:rPr>
        <w:t>页</w:t>
      </w:r>
      <w:r w:rsidRPr="0097554A">
        <w:rPr>
          <w:color w:val="0000FF"/>
          <w:lang w:val="el-GR"/>
        </w:rPr>
        <w:t xml:space="preserve">）； </w:t>
      </w:r>
      <w:r w:rsidRPr="004C59BB">
        <w:rPr>
          <w:color w:val="0000FF"/>
          <w:lang w:val="ru-RU"/>
        </w:rPr>
        <w:t>雅各布</w:t>
      </w:r>
      <w:r w:rsidRPr="0097554A">
        <w:rPr>
          <w:color w:val="0000FF"/>
          <w:lang w:val="el-GR"/>
        </w:rPr>
        <w:t>·</w:t>
      </w:r>
      <w:r w:rsidRPr="004C59BB">
        <w:rPr>
          <w:color w:val="0000FF"/>
          <w:lang w:val="ru-RU"/>
        </w:rPr>
        <w:t>尼西比斯关于死人复活的论述</w:t>
      </w:r>
      <w:r w:rsidRPr="0097554A">
        <w:rPr>
          <w:color w:val="0000FF"/>
          <w:lang w:val="el-GR"/>
        </w:rPr>
        <w:t>：“</w:t>
      </w:r>
      <w:r w:rsidRPr="004C59BB">
        <w:rPr>
          <w:color w:val="0000FF"/>
          <w:lang w:val="ru-RU"/>
        </w:rPr>
        <w:t>如果上帝是从无中创造了亚当</w:t>
      </w:r>
      <w:r w:rsidRPr="0097554A">
        <w:rPr>
          <w:color w:val="0000FF"/>
          <w:lang w:val="el-GR"/>
        </w:rPr>
        <w:t>，</w:t>
      </w:r>
      <w:r w:rsidRPr="004C59BB">
        <w:rPr>
          <w:color w:val="0000FF"/>
          <w:lang w:val="ru-RU"/>
        </w:rPr>
        <w:t>那么祂让亚当以他原本的样子复活就容易得多</w:t>
      </w:r>
      <w:r w:rsidRPr="0097554A">
        <w:rPr>
          <w:color w:val="0000FF"/>
          <w:lang w:val="el-GR"/>
        </w:rPr>
        <w:t>，</w:t>
      </w:r>
      <w:r w:rsidRPr="004C59BB">
        <w:rPr>
          <w:color w:val="0000FF"/>
          <w:lang w:val="ru-RU"/>
        </w:rPr>
        <w:t>因为种子早已播撒在土中</w:t>
      </w:r>
      <w:r w:rsidRPr="0097554A">
        <w:rPr>
          <w:color w:val="0000FF"/>
          <w:lang w:val="el-GR"/>
        </w:rPr>
        <w:t xml:space="preserve">…… </w:t>
      </w:r>
      <w:r w:rsidRPr="004C59BB">
        <w:rPr>
          <w:color w:val="0000FF"/>
          <w:lang w:val="ru-RU"/>
        </w:rPr>
        <w:t>如果大地能孕育出它自身原本没有种子的东西</w:t>
      </w:r>
      <w:r w:rsidRPr="0097554A">
        <w:rPr>
          <w:color w:val="0000FF"/>
          <w:lang w:val="el-GR"/>
        </w:rPr>
        <w:t>；</w:t>
      </w:r>
      <w:r w:rsidRPr="004C59BB">
        <w:rPr>
          <w:color w:val="0000FF"/>
          <w:lang w:val="ru-RU"/>
        </w:rPr>
        <w:t>如果它在未受孕的情况下</w:t>
      </w:r>
      <w:r w:rsidRPr="0097554A">
        <w:rPr>
          <w:color w:val="0000FF"/>
          <w:lang w:val="el-GR"/>
        </w:rPr>
        <w:t>，</w:t>
      </w:r>
      <w:r w:rsidRPr="004C59BB">
        <w:rPr>
          <w:color w:val="0000FF"/>
          <w:lang w:val="ru-RU"/>
        </w:rPr>
        <w:t>以处女之身生下了后代</w:t>
      </w:r>
      <w:r w:rsidRPr="0097554A">
        <w:rPr>
          <w:color w:val="0000FF"/>
          <w:lang w:val="el-GR"/>
        </w:rPr>
        <w:t>：</w:t>
      </w:r>
      <w:r w:rsidRPr="004C59BB">
        <w:rPr>
          <w:color w:val="0000FF"/>
          <w:lang w:val="ru-RU"/>
        </w:rPr>
        <w:t>那么</w:t>
      </w:r>
      <w:r w:rsidRPr="0097554A">
        <w:rPr>
          <w:color w:val="0000FF"/>
          <w:lang w:val="el-GR"/>
        </w:rPr>
        <w:t>，</w:t>
      </w:r>
      <w:r w:rsidRPr="004C59BB">
        <w:rPr>
          <w:color w:val="0000FF"/>
          <w:lang w:val="ru-RU"/>
        </w:rPr>
        <w:t>当它拥有种子并受孕时</w:t>
      </w:r>
      <w:r w:rsidRPr="0097554A">
        <w:rPr>
          <w:color w:val="0000FF"/>
          <w:lang w:val="el-GR"/>
        </w:rPr>
        <w:t>，</w:t>
      </w:r>
      <w:r w:rsidRPr="004C59BB">
        <w:rPr>
          <w:color w:val="0000FF"/>
          <w:lang w:val="ru-RU"/>
        </w:rPr>
        <w:t>让它孕育出自己本就拥有的种子</w:t>
      </w:r>
      <w:r w:rsidRPr="0097554A">
        <w:rPr>
          <w:color w:val="0000FF"/>
          <w:lang w:val="el-GR"/>
        </w:rPr>
        <w:t>，</w:t>
      </w:r>
      <w:r w:rsidRPr="004C59BB">
        <w:rPr>
          <w:color w:val="0000FF"/>
          <w:lang w:val="ru-RU"/>
        </w:rPr>
        <w:t>并生下后代</w:t>
      </w:r>
      <w:r w:rsidRPr="0097554A">
        <w:rPr>
          <w:color w:val="0000FF"/>
          <w:lang w:val="el-GR"/>
        </w:rPr>
        <w:t>，</w:t>
      </w:r>
      <w:r w:rsidRPr="004C59BB">
        <w:rPr>
          <w:color w:val="0000FF"/>
          <w:lang w:val="ru-RU"/>
        </w:rPr>
        <w:t>这又有什么不可能的呢</w:t>
      </w:r>
      <w:r w:rsidRPr="0097554A">
        <w:rPr>
          <w:color w:val="0000FF"/>
          <w:lang w:val="el-GR"/>
        </w:rPr>
        <w:t>？”（</w:t>
      </w:r>
      <w:r w:rsidRPr="004C59BB">
        <w:rPr>
          <w:color w:val="0000FF"/>
          <w:lang w:val="ru-RU"/>
        </w:rPr>
        <w:t>《基督教读本》</w:t>
      </w:r>
      <w:r w:rsidRPr="0097554A">
        <w:rPr>
          <w:color w:val="0000FF"/>
          <w:lang w:val="el-GR"/>
        </w:rPr>
        <w:t>1837</w:t>
      </w:r>
      <w:r w:rsidRPr="004C59BB">
        <w:rPr>
          <w:color w:val="0000FF"/>
          <w:lang w:val="ru-RU"/>
        </w:rPr>
        <w:t>年</w:t>
      </w:r>
      <w:r w:rsidRPr="0097554A">
        <w:rPr>
          <w:color w:val="0000FF"/>
          <w:lang w:val="el-GR"/>
        </w:rPr>
        <w:t>，</w:t>
      </w:r>
      <w:r w:rsidRPr="004C59BB">
        <w:rPr>
          <w:color w:val="0000FF"/>
        </w:rPr>
        <w:t>第二</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32</w:t>
      </w:r>
      <w:r w:rsidRPr="004C59BB">
        <w:rPr>
          <w:color w:val="0000FF"/>
          <w:lang w:val="ru-RU"/>
        </w:rPr>
        <w:t>、</w:t>
      </w:r>
      <w:r w:rsidRPr="0097554A">
        <w:rPr>
          <w:color w:val="0000FF"/>
          <w:lang w:val="el-GR"/>
        </w:rPr>
        <w:t>33</w:t>
      </w:r>
      <w:r w:rsidRPr="004C59BB">
        <w:rPr>
          <w:color w:val="0000FF"/>
          <w:lang w:val="ru-RU"/>
        </w:rPr>
        <w:t>页</w:t>
      </w:r>
      <w:r w:rsidRPr="0097554A">
        <w:rPr>
          <w:color w:val="0000FF"/>
          <w:lang w:val="el-GR"/>
        </w:rPr>
        <w:t>）</w:t>
      </w:r>
      <w:r w:rsidRPr="004C59BB">
        <w:rPr>
          <w:color w:val="0000FF"/>
          <w:lang w:val="ru-RU"/>
        </w:rPr>
        <w:t>。</w:t>
      </w:r>
    </w:p>
  </w:footnote>
  <w:footnote w:id="1977">
    <w:p w14:paraId="3BCC5765" w14:textId="13F636A0"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el-GR"/>
        </w:rPr>
        <w:t xml:space="preserve"> </w:t>
      </w:r>
      <w:r w:rsidRPr="004C59BB">
        <w:rPr>
          <w:color w:val="0000FF"/>
          <w:lang w:val="ru-RU"/>
        </w:rPr>
        <w:t>西里尔</w:t>
      </w:r>
      <w:r w:rsidRPr="0097554A">
        <w:rPr>
          <w:color w:val="0000FF"/>
          <w:lang w:val="el-GR"/>
        </w:rPr>
        <w:t>，</w:t>
      </w:r>
      <w:r w:rsidRPr="004C59BB">
        <w:rPr>
          <w:color w:val="0000FF"/>
          <w:lang w:val="ru-RU"/>
        </w:rPr>
        <w:t>《耶路撒冷教义讲授》第XVIII卷</w:t>
      </w:r>
      <w:r w:rsidRPr="0097554A">
        <w:rPr>
          <w:color w:val="0000FF"/>
          <w:lang w:val="el-GR"/>
        </w:rPr>
        <w:t>，</w:t>
      </w:r>
      <w:r w:rsidRPr="004C59BB">
        <w:rPr>
          <w:color w:val="0000FF"/>
          <w:lang w:val="ru-RU"/>
        </w:rPr>
        <w:t>第</w:t>
      </w:r>
      <w:r w:rsidRPr="0097554A">
        <w:rPr>
          <w:color w:val="0000FF"/>
          <w:lang w:val="el-GR"/>
        </w:rPr>
        <w:t>4</w:t>
      </w:r>
      <w:r w:rsidRPr="004C59BB">
        <w:rPr>
          <w:color w:val="0000FF"/>
          <w:lang w:val="ru-RU"/>
        </w:rPr>
        <w:t>、</w:t>
      </w:r>
      <w:r w:rsidRPr="0097554A">
        <w:rPr>
          <w:color w:val="0000FF"/>
          <w:lang w:val="el-GR"/>
        </w:rPr>
        <w:t>19</w:t>
      </w:r>
      <w:r w:rsidRPr="004C59BB">
        <w:rPr>
          <w:color w:val="0000FF"/>
          <w:lang w:val="ru-RU"/>
        </w:rPr>
        <w:t>节</w:t>
      </w:r>
      <w:r w:rsidRPr="0097554A">
        <w:rPr>
          <w:color w:val="0000FF"/>
          <w:lang w:val="el-GR"/>
        </w:rPr>
        <w:t>，</w:t>
      </w:r>
      <w:r w:rsidRPr="004C59BB">
        <w:rPr>
          <w:color w:val="0000FF"/>
          <w:lang w:val="ru-RU"/>
        </w:rPr>
        <w:t>第</w:t>
      </w:r>
      <w:r w:rsidRPr="0097554A">
        <w:rPr>
          <w:color w:val="0000FF"/>
          <w:lang w:val="el-GR"/>
        </w:rPr>
        <w:t>407</w:t>
      </w:r>
      <w:r w:rsidRPr="004C59BB">
        <w:rPr>
          <w:color w:val="0000FF"/>
          <w:lang w:val="ru-RU"/>
        </w:rPr>
        <w:t>、</w:t>
      </w:r>
      <w:r w:rsidRPr="0097554A">
        <w:rPr>
          <w:color w:val="0000FF"/>
          <w:lang w:val="el-GR"/>
        </w:rPr>
        <w:t>423</w:t>
      </w:r>
      <w:r w:rsidRPr="004C59BB">
        <w:rPr>
          <w:color w:val="0000FF"/>
        </w:rPr>
        <w:t>页</w:t>
      </w:r>
      <w:r w:rsidRPr="0097554A">
        <w:rPr>
          <w:color w:val="0000FF"/>
          <w:lang w:val="el-GR"/>
        </w:rPr>
        <w:t>；</w:t>
      </w:r>
      <w:r w:rsidRPr="004C59BB">
        <w:rPr>
          <w:color w:val="0000FF"/>
        </w:rPr>
        <w:t>优西比乌</w:t>
      </w:r>
      <w:r w:rsidRPr="0097554A">
        <w:rPr>
          <w:color w:val="0000FF"/>
          <w:lang w:val="el-GR"/>
        </w:rPr>
        <w:t>，</w:t>
      </w:r>
      <w:r w:rsidRPr="004C59BB">
        <w:rPr>
          <w:color w:val="0000FF"/>
        </w:rPr>
        <w:t>《论复活》第</w:t>
      </w:r>
      <w:r w:rsidRPr="0097554A">
        <w:rPr>
          <w:color w:val="0000FF"/>
          <w:lang w:val="el-GR"/>
        </w:rPr>
        <w:t>1</w:t>
      </w:r>
      <w:r w:rsidRPr="004C59BB">
        <w:rPr>
          <w:color w:val="0000FF"/>
        </w:rPr>
        <w:t>卷</w:t>
      </w:r>
      <w:r w:rsidRPr="0097554A">
        <w:rPr>
          <w:color w:val="0000FF"/>
          <w:lang w:val="el-GR"/>
        </w:rPr>
        <w:t>（</w:t>
      </w:r>
      <w:r w:rsidRPr="004C59BB">
        <w:rPr>
          <w:color w:val="0000FF"/>
        </w:rPr>
        <w:t>见加兰德版</w:t>
      </w:r>
      <w:r w:rsidRPr="0097554A">
        <w:rPr>
          <w:color w:val="0000FF"/>
          <w:lang w:val="el-GR"/>
        </w:rPr>
        <w:t>，</w:t>
      </w:r>
      <w:r w:rsidRPr="004C59BB">
        <w:rPr>
          <w:color w:val="0000FF"/>
        </w:rPr>
        <w:t>第IV卷</w:t>
      </w:r>
      <w:r w:rsidRPr="0097554A">
        <w:rPr>
          <w:color w:val="0000FF"/>
          <w:lang w:val="el-GR"/>
        </w:rPr>
        <w:t>，</w:t>
      </w:r>
      <w:r w:rsidRPr="004C59BB">
        <w:rPr>
          <w:color w:val="0000FF"/>
        </w:rPr>
        <w:t>第</w:t>
      </w:r>
      <w:r w:rsidRPr="0097554A">
        <w:rPr>
          <w:color w:val="0000FF"/>
          <w:lang w:val="el-GR"/>
        </w:rPr>
        <w:t>480</w:t>
      </w:r>
      <w:r w:rsidRPr="004C59BB">
        <w:rPr>
          <w:color w:val="0000FF"/>
        </w:rPr>
        <w:t>页</w:t>
      </w:r>
      <w:r w:rsidRPr="0097554A">
        <w:rPr>
          <w:color w:val="0000FF"/>
          <w:lang w:val="el-GR"/>
        </w:rPr>
        <w:t xml:space="preserve">）； </w:t>
      </w:r>
      <w:r w:rsidRPr="004C59BB">
        <w:rPr>
          <w:color w:val="0000FF"/>
        </w:rPr>
        <w:t>安布罗斯</w:t>
      </w:r>
      <w:r w:rsidRPr="0097554A">
        <w:rPr>
          <w:color w:val="0000FF"/>
          <w:lang w:val="el-GR"/>
        </w:rPr>
        <w:t>，</w:t>
      </w:r>
      <w:r w:rsidRPr="004C59BB">
        <w:rPr>
          <w:color w:val="0000FF"/>
        </w:rPr>
        <w:t>《论复活之信》第</w:t>
      </w:r>
      <w:r w:rsidRPr="0097554A">
        <w:rPr>
          <w:color w:val="0000FF"/>
          <w:lang w:val="el-GR"/>
        </w:rPr>
        <w:t>52</w:t>
      </w:r>
      <w:r w:rsidRPr="004C59BB">
        <w:rPr>
          <w:color w:val="0000FF"/>
        </w:rPr>
        <w:t>节</w:t>
      </w:r>
      <w:r w:rsidRPr="0097554A">
        <w:rPr>
          <w:color w:val="0000FF"/>
          <w:lang w:val="el-GR"/>
        </w:rPr>
        <w:t>：</w:t>
      </w:r>
      <w:r w:rsidRPr="004C59BB">
        <w:rPr>
          <w:color w:val="0000FF"/>
        </w:rPr>
        <w:t>既然我们生命的一切意义都在于身体与灵魂的结合</w:t>
      </w:r>
      <w:r w:rsidRPr="0097554A">
        <w:rPr>
          <w:color w:val="0000FF"/>
          <w:lang w:val="el-GR"/>
        </w:rPr>
        <w:t>，</w:t>
      </w:r>
      <w:r w:rsidRPr="004C59BB">
        <w:rPr>
          <w:color w:val="0000FF"/>
        </w:rPr>
        <w:t>而复活要么是善行的奖赏</w:t>
      </w:r>
      <w:r w:rsidRPr="0097554A">
        <w:rPr>
          <w:color w:val="0000FF"/>
          <w:lang w:val="el-GR"/>
        </w:rPr>
        <w:t>，</w:t>
      </w:r>
      <w:r w:rsidRPr="004C59BB">
        <w:rPr>
          <w:color w:val="0000FF"/>
        </w:rPr>
        <w:t>要么是恶人的惩罚</w:t>
      </w:r>
      <w:r w:rsidRPr="0097554A">
        <w:rPr>
          <w:color w:val="0000FF"/>
          <w:lang w:val="el-GR"/>
        </w:rPr>
        <w:t>，</w:t>
      </w:r>
      <w:r w:rsidRPr="004C59BB">
        <w:rPr>
          <w:color w:val="0000FF"/>
        </w:rPr>
        <w:t>那么身体就必须复活</w:t>
      </w:r>
      <w:r w:rsidRPr="0097554A">
        <w:rPr>
          <w:color w:val="0000FF"/>
          <w:lang w:val="el-GR"/>
        </w:rPr>
        <w:t>，</w:t>
      </w:r>
      <w:r w:rsidRPr="004C59BB">
        <w:rPr>
          <w:color w:val="0000FF"/>
        </w:rPr>
        <w:t>因为身体正是善行施展的载体</w:t>
      </w:r>
      <w:r w:rsidRPr="0097554A">
        <w:rPr>
          <w:color w:val="0000FF"/>
          <w:lang w:val="el-GR"/>
        </w:rPr>
        <w:t>……</w:t>
      </w:r>
      <w:r w:rsidRPr="004C59BB">
        <w:rPr>
          <w:color w:val="0000FF"/>
        </w:rPr>
        <w:t>以下省略</w:t>
      </w:r>
      <w:r w:rsidRPr="0097554A">
        <w:rPr>
          <w:color w:val="0000FF"/>
          <w:lang w:val="el-GR"/>
        </w:rPr>
        <w:t xml:space="preserve">； </w:t>
      </w:r>
      <w:r w:rsidRPr="004C59BB">
        <w:rPr>
          <w:color w:val="0000FF"/>
        </w:rPr>
        <w:t>约翰</w:t>
      </w:r>
      <w:r w:rsidRPr="0097554A">
        <w:rPr>
          <w:color w:val="0000FF"/>
          <w:lang w:val="el-GR"/>
        </w:rPr>
        <w:t>·</w:t>
      </w:r>
      <w:r w:rsidRPr="004C59BB">
        <w:rPr>
          <w:color w:val="0000FF"/>
          <w:lang w:val="ru-RU"/>
        </w:rPr>
        <w:t>达马斯库斯</w:t>
      </w:r>
      <w:r w:rsidRPr="0097554A">
        <w:rPr>
          <w:color w:val="0000FF"/>
          <w:lang w:val="el-GR"/>
        </w:rPr>
        <w:t>，</w:t>
      </w:r>
      <w:r w:rsidRPr="004C59BB">
        <w:rPr>
          <w:color w:val="0000FF"/>
          <w:lang w:val="ru-RU"/>
        </w:rPr>
        <w:t>《正统信仰精确阐述》</w:t>
      </w:r>
      <w:r w:rsidRPr="004C59BB">
        <w:rPr>
          <w:color w:val="0000FF"/>
        </w:rPr>
        <w:t>第IV</w:t>
      </w:r>
      <w:r w:rsidRPr="004C59BB">
        <w:rPr>
          <w:color w:val="0000FF"/>
          <w:lang w:val="ru-RU"/>
        </w:rPr>
        <w:t>卷</w:t>
      </w:r>
      <w:r w:rsidRPr="0097554A">
        <w:rPr>
          <w:color w:val="0000FF"/>
          <w:lang w:val="el-GR"/>
        </w:rPr>
        <w:t>，</w:t>
      </w:r>
      <w:r w:rsidRPr="004C59BB">
        <w:rPr>
          <w:color w:val="0000FF"/>
          <w:lang w:val="ru-RU"/>
        </w:rPr>
        <w:t>第</w:t>
      </w:r>
      <w:r w:rsidRPr="0097554A">
        <w:rPr>
          <w:color w:val="0000FF"/>
          <w:lang w:val="el-GR"/>
        </w:rPr>
        <w:t>27</w:t>
      </w:r>
      <w:r w:rsidRPr="004C59BB">
        <w:rPr>
          <w:color w:val="0000FF"/>
          <w:lang w:val="ru-RU"/>
        </w:rPr>
        <w:t>章</w:t>
      </w:r>
      <w:r w:rsidRPr="0097554A">
        <w:rPr>
          <w:color w:val="0000FF"/>
          <w:lang w:val="el-GR"/>
        </w:rPr>
        <w:t>：“</w:t>
      </w:r>
      <w:r w:rsidRPr="004C59BB">
        <w:rPr>
          <w:color w:val="0000FF"/>
          <w:lang w:val="ru-RU"/>
        </w:rPr>
        <w:t>倘若只有灵魂一人践行美德</w:t>
      </w:r>
      <w:r w:rsidRPr="0097554A">
        <w:rPr>
          <w:color w:val="0000FF"/>
          <w:lang w:val="el-GR"/>
        </w:rPr>
        <w:t>，</w:t>
      </w:r>
      <w:r w:rsidRPr="004C59BB">
        <w:rPr>
          <w:color w:val="0000FF"/>
          <w:lang w:val="ru-RU"/>
        </w:rPr>
        <w:t>那么也只有灵魂一人会获得冠冕</w:t>
      </w:r>
      <w:r w:rsidRPr="0097554A">
        <w:rPr>
          <w:color w:val="0000FF"/>
          <w:lang w:val="el-GR"/>
        </w:rPr>
        <w:t>；</w:t>
      </w:r>
      <w:r w:rsidRPr="004C59BB">
        <w:rPr>
          <w:color w:val="0000FF"/>
          <w:lang w:val="ru-RU"/>
        </w:rPr>
        <w:t>倘若只有灵魂一人沉溺于享乐</w:t>
      </w:r>
      <w:r w:rsidRPr="0097554A">
        <w:rPr>
          <w:color w:val="0000FF"/>
          <w:lang w:val="el-GR"/>
        </w:rPr>
        <w:t>，</w:t>
      </w:r>
      <w:r w:rsidRPr="004C59BB">
        <w:rPr>
          <w:color w:val="0000FF"/>
          <w:lang w:val="ru-RU"/>
        </w:rPr>
        <w:t>那么也只有灵魂一人理应受到惩罚。然而，由于灵魂若没有身体便无法行善或作恶，因此，按照公义，灵魂与身体理应共同承受报应」（第303页）。</w:t>
      </w:r>
    </w:p>
  </w:footnote>
  <w:footnote w:id="1978">
    <w:p w14:paraId="2961E8C9" w14:textId="106F531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阿提纳戈尔斯</w:t>
      </w:r>
      <w:r w:rsidRPr="0097554A">
        <w:rPr>
          <w:color w:val="0000FF"/>
          <w:lang w:val="ru-RU"/>
        </w:rPr>
        <w:t>，</w:t>
      </w:r>
      <w:r w:rsidRPr="004C59BB">
        <w:rPr>
          <w:color w:val="0000FF"/>
        </w:rPr>
        <w:t>《论死者复活》第</w:t>
      </w:r>
      <w:r w:rsidRPr="0097554A">
        <w:rPr>
          <w:color w:val="0000FF"/>
          <w:lang w:val="ru-RU"/>
        </w:rPr>
        <w:t>15</w:t>
      </w:r>
      <w:r w:rsidRPr="004C59BB">
        <w:rPr>
          <w:color w:val="0000FF"/>
        </w:rPr>
        <w:t>章。</w:t>
      </w:r>
    </w:p>
  </w:footnote>
  <w:footnote w:id="1979">
    <w:p w14:paraId="30B39E0E" w14:textId="63CEDBA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克利门特</w:t>
      </w:r>
      <w:r w:rsidRPr="0097554A">
        <w:rPr>
          <w:color w:val="0000FF"/>
          <w:lang w:val="ru-RU"/>
        </w:rPr>
        <w:t>·</w:t>
      </w:r>
      <w:r w:rsidRPr="004C59BB">
        <w:rPr>
          <w:color w:val="0000FF"/>
        </w:rPr>
        <w:t>罗马人</w:t>
      </w:r>
      <w:r w:rsidRPr="0097554A">
        <w:rPr>
          <w:color w:val="0000FF"/>
          <w:lang w:val="ru-RU"/>
        </w:rPr>
        <w:t>，</w:t>
      </w:r>
      <w:r w:rsidRPr="004C59BB">
        <w:rPr>
          <w:color w:val="0000FF"/>
        </w:rPr>
        <w:t>《致哥林多前书》第</w:t>
      </w:r>
      <w:r w:rsidRPr="0097554A">
        <w:rPr>
          <w:color w:val="0000FF"/>
          <w:lang w:val="ru-RU"/>
        </w:rPr>
        <w:t>24</w:t>
      </w:r>
      <w:r w:rsidRPr="004C59BB">
        <w:rPr>
          <w:color w:val="0000FF"/>
        </w:rPr>
        <w:t>节</w:t>
      </w:r>
      <w:r w:rsidRPr="0097554A">
        <w:rPr>
          <w:color w:val="0000FF"/>
          <w:lang w:val="ru-RU"/>
        </w:rPr>
        <w:t>；</w:t>
      </w:r>
      <w:r w:rsidRPr="004C59BB">
        <w:rPr>
          <w:color w:val="0000FF"/>
        </w:rPr>
        <w:t>伊西米努斯</w:t>
      </w:r>
      <w:r w:rsidRPr="0097554A">
        <w:rPr>
          <w:color w:val="0000FF"/>
          <w:lang w:val="ru-RU"/>
        </w:rPr>
        <w:t>，</w:t>
      </w:r>
      <w:r w:rsidRPr="004C59BB">
        <w:rPr>
          <w:color w:val="0000FF"/>
        </w:rPr>
        <w:t>《辩护书》第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18</w:t>
      </w:r>
      <w:r w:rsidRPr="004C59BB">
        <w:rPr>
          <w:color w:val="0000FF"/>
        </w:rPr>
        <w:t>、</w:t>
      </w:r>
      <w:r w:rsidRPr="0097554A">
        <w:rPr>
          <w:color w:val="0000FF"/>
          <w:lang w:val="ru-RU"/>
        </w:rPr>
        <w:t>52</w:t>
      </w:r>
      <w:r w:rsidRPr="004C59BB">
        <w:rPr>
          <w:color w:val="0000FF"/>
        </w:rPr>
        <w:t>节</w:t>
      </w:r>
      <w:r w:rsidRPr="0097554A">
        <w:rPr>
          <w:color w:val="0000FF"/>
          <w:lang w:val="ru-RU"/>
        </w:rPr>
        <w:t>；</w:t>
      </w:r>
      <w:r w:rsidRPr="004C59BB">
        <w:rPr>
          <w:color w:val="0000FF"/>
        </w:rPr>
        <w:t>西奥菲勒斯</w:t>
      </w:r>
      <w:r w:rsidRPr="0097554A">
        <w:rPr>
          <w:color w:val="0000FF"/>
          <w:lang w:val="ru-RU"/>
        </w:rPr>
        <w:t>，</w:t>
      </w:r>
      <w:r w:rsidRPr="004C59BB">
        <w:rPr>
          <w:color w:val="0000FF"/>
        </w:rPr>
        <w:t>《致奥托利乌斯书》第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13</w:t>
      </w:r>
      <w:r w:rsidRPr="004C59BB">
        <w:rPr>
          <w:color w:val="0000FF"/>
        </w:rPr>
        <w:t>节</w:t>
      </w:r>
      <w:r w:rsidRPr="0097554A">
        <w:rPr>
          <w:color w:val="0000FF"/>
          <w:lang w:val="ru-RU"/>
        </w:rPr>
        <w:t>；</w:t>
      </w:r>
      <w:r w:rsidRPr="004C59BB">
        <w:rPr>
          <w:color w:val="0000FF"/>
        </w:rPr>
        <w:t>特土良</w:t>
      </w:r>
      <w:r w:rsidRPr="0097554A">
        <w:rPr>
          <w:color w:val="0000FF"/>
          <w:lang w:val="ru-RU"/>
        </w:rPr>
        <w:t>，</w:t>
      </w:r>
      <w:r w:rsidRPr="004C59BB">
        <w:rPr>
          <w:color w:val="0000FF"/>
        </w:rPr>
        <w:t>《论异端预设》第</w:t>
      </w:r>
      <w:r w:rsidRPr="0097554A">
        <w:rPr>
          <w:color w:val="0000FF"/>
          <w:lang w:val="ru-RU"/>
        </w:rPr>
        <w:t>13</w:t>
      </w:r>
      <w:r w:rsidRPr="004C59BB">
        <w:rPr>
          <w:color w:val="0000FF"/>
        </w:rPr>
        <w:t>章</w:t>
      </w:r>
      <w:r w:rsidRPr="0097554A">
        <w:rPr>
          <w:color w:val="0000FF"/>
          <w:lang w:val="ru-RU"/>
        </w:rPr>
        <w:t xml:space="preserve">； </w:t>
      </w:r>
      <w:r w:rsidRPr="004C59BB">
        <w:rPr>
          <w:color w:val="0000FF"/>
        </w:rPr>
        <w:t>亚法纳西乌斯</w:t>
      </w:r>
      <w:r w:rsidRPr="0097554A">
        <w:rPr>
          <w:color w:val="0000FF"/>
          <w:lang w:val="ru-RU"/>
        </w:rPr>
        <w:t>，</w:t>
      </w:r>
      <w:r w:rsidRPr="004C59BB">
        <w:rPr>
          <w:color w:val="0000FF"/>
        </w:rPr>
        <w:t>《论道成肉身》第</w:t>
      </w:r>
      <w:r w:rsidRPr="0097554A">
        <w:rPr>
          <w:color w:val="0000FF"/>
          <w:lang w:val="ru-RU"/>
        </w:rPr>
        <w:t>10</w:t>
      </w:r>
      <w:r w:rsidRPr="004C59BB">
        <w:rPr>
          <w:color w:val="0000FF"/>
        </w:rPr>
        <w:t>节</w:t>
      </w:r>
      <w:r w:rsidRPr="0097554A">
        <w:rPr>
          <w:color w:val="0000FF"/>
          <w:lang w:val="ru-RU"/>
        </w:rPr>
        <w:t>；</w:t>
      </w:r>
      <w:r w:rsidRPr="004C59BB">
        <w:rPr>
          <w:color w:val="0000FF"/>
        </w:rPr>
        <w:t>伊拉里乌斯</w:t>
      </w:r>
      <w:r w:rsidRPr="0097554A">
        <w:rPr>
          <w:color w:val="0000FF"/>
          <w:lang w:val="ru-RU"/>
        </w:rPr>
        <w:t>，</w:t>
      </w:r>
      <w:r w:rsidRPr="004C59BB">
        <w:rPr>
          <w:color w:val="0000FF"/>
        </w:rPr>
        <w:t>《诗篇注释》第LV篇</w:t>
      </w:r>
      <w:r w:rsidRPr="0097554A">
        <w:rPr>
          <w:color w:val="0000FF"/>
          <w:lang w:val="ru-RU"/>
        </w:rPr>
        <w:t>，</w:t>
      </w:r>
      <w:r w:rsidRPr="004C59BB">
        <w:rPr>
          <w:color w:val="0000FF"/>
        </w:rPr>
        <w:t>第</w:t>
      </w:r>
      <w:r w:rsidRPr="0097554A">
        <w:rPr>
          <w:color w:val="0000FF"/>
          <w:lang w:val="ru-RU"/>
        </w:rPr>
        <w:t>7</w:t>
      </w:r>
      <w:r w:rsidRPr="004C59BB">
        <w:rPr>
          <w:color w:val="0000FF"/>
        </w:rPr>
        <w:t>节</w:t>
      </w:r>
      <w:r w:rsidRPr="0097554A">
        <w:rPr>
          <w:color w:val="0000FF"/>
          <w:lang w:val="ru-RU"/>
        </w:rPr>
        <w:t>；</w:t>
      </w:r>
      <w:r w:rsidRPr="004C59BB">
        <w:rPr>
          <w:color w:val="0000FF"/>
        </w:rPr>
        <w:t>耶路撒冷的西里尔</w:t>
      </w:r>
      <w:r w:rsidRPr="0097554A">
        <w:rPr>
          <w:color w:val="0000FF"/>
          <w:lang w:val="ru-RU"/>
        </w:rPr>
        <w:t>，</w:t>
      </w:r>
      <w:r w:rsidRPr="004C59BB">
        <w:rPr>
          <w:color w:val="0000FF"/>
        </w:rPr>
        <w:t>《教义讲道集》第IV卷</w:t>
      </w:r>
      <w:r w:rsidRPr="0097554A">
        <w:rPr>
          <w:color w:val="0000FF"/>
          <w:lang w:val="ru-RU"/>
        </w:rPr>
        <w:t>，</w:t>
      </w:r>
      <w:r w:rsidRPr="004C59BB">
        <w:rPr>
          <w:color w:val="0000FF"/>
        </w:rPr>
        <w:t>第</w:t>
      </w:r>
      <w:r w:rsidRPr="0097554A">
        <w:rPr>
          <w:color w:val="0000FF"/>
          <w:lang w:val="ru-RU"/>
        </w:rPr>
        <w:t>30</w:t>
      </w:r>
      <w:r w:rsidRPr="004C59BB">
        <w:rPr>
          <w:color w:val="0000FF"/>
        </w:rPr>
        <w:t>节</w:t>
      </w:r>
      <w:r w:rsidRPr="0097554A">
        <w:rPr>
          <w:color w:val="0000FF"/>
          <w:lang w:val="ru-RU"/>
        </w:rPr>
        <w:t>；</w:t>
      </w:r>
      <w:r w:rsidRPr="004C59BB">
        <w:rPr>
          <w:color w:val="0000FF"/>
        </w:rPr>
        <w:t>优西比乌</w:t>
      </w:r>
      <w:r w:rsidRPr="0097554A">
        <w:rPr>
          <w:color w:val="0000FF"/>
          <w:lang w:val="ru-RU"/>
        </w:rPr>
        <w:t>，</w:t>
      </w:r>
      <w:r w:rsidRPr="004C59BB">
        <w:rPr>
          <w:color w:val="0000FF"/>
        </w:rPr>
        <w:t>《诗篇注释》第</w:t>
      </w:r>
      <w:r w:rsidRPr="0097554A">
        <w:rPr>
          <w:color w:val="0000FF"/>
          <w:lang w:val="ru-RU"/>
        </w:rPr>
        <w:t>1</w:t>
      </w:r>
      <w:r w:rsidRPr="004C59BB">
        <w:rPr>
          <w:color w:val="0000FF"/>
        </w:rPr>
        <w:t>篇</w:t>
      </w:r>
      <w:r w:rsidRPr="0097554A">
        <w:rPr>
          <w:color w:val="0000FF"/>
          <w:lang w:val="ru-RU"/>
        </w:rPr>
        <w:t>，</w:t>
      </w:r>
      <w:r w:rsidRPr="004C59BB">
        <w:rPr>
          <w:color w:val="0000FF"/>
        </w:rPr>
        <w:t>第</w:t>
      </w:r>
      <w:r w:rsidRPr="0097554A">
        <w:rPr>
          <w:color w:val="0000FF"/>
          <w:lang w:val="ru-RU"/>
        </w:rPr>
        <w:t>5</w:t>
      </w:r>
      <w:r w:rsidRPr="004C59BB">
        <w:rPr>
          <w:color w:val="0000FF"/>
        </w:rPr>
        <w:t>节</w:t>
      </w:r>
      <w:r w:rsidRPr="0097554A">
        <w:rPr>
          <w:color w:val="0000FF"/>
          <w:lang w:val="ru-RU"/>
        </w:rPr>
        <w:t>；</w:t>
      </w:r>
      <w:r w:rsidRPr="004C59BB">
        <w:rPr>
          <w:color w:val="0000FF"/>
        </w:rPr>
        <w:t>约翰</w:t>
      </w:r>
      <w:r w:rsidRPr="0097554A">
        <w:rPr>
          <w:color w:val="0000FF"/>
          <w:lang w:val="ru-RU"/>
        </w:rPr>
        <w:t>·</w:t>
      </w:r>
      <w:r w:rsidRPr="004C59BB">
        <w:rPr>
          <w:color w:val="0000FF"/>
        </w:rPr>
        <w:t>金口</w:t>
      </w:r>
      <w:r w:rsidRPr="0097554A">
        <w:rPr>
          <w:color w:val="0000FF"/>
          <w:lang w:val="ru-RU"/>
        </w:rPr>
        <w:t>，</w:t>
      </w:r>
      <w:r w:rsidRPr="004C59BB">
        <w:rPr>
          <w:color w:val="0000FF"/>
        </w:rPr>
        <w:t>《希伯来书讲道集》第XIX篇</w:t>
      </w:r>
      <w:r w:rsidRPr="0097554A">
        <w:rPr>
          <w:color w:val="0000FF"/>
          <w:lang w:val="ru-RU"/>
        </w:rPr>
        <w:t>，</w:t>
      </w:r>
      <w:r w:rsidRPr="004C59BB">
        <w:rPr>
          <w:color w:val="0000FF"/>
        </w:rPr>
        <w:t>第</w:t>
      </w:r>
      <w:r w:rsidRPr="0097554A">
        <w:rPr>
          <w:color w:val="0000FF"/>
          <w:lang w:val="ru-RU"/>
        </w:rPr>
        <w:t>1</w:t>
      </w:r>
      <w:r w:rsidRPr="004C59BB">
        <w:rPr>
          <w:color w:val="0000FF"/>
        </w:rPr>
        <w:t>节。</w:t>
      </w:r>
    </w:p>
  </w:footnote>
  <w:footnote w:id="1980">
    <w:p w14:paraId="0B43A22E" w14:textId="6786955B" w:rsidR="00254F25" w:rsidRPr="0097554A" w:rsidRDefault="00000000">
      <w:pPr>
        <w:pStyle w:val="FootnoteText"/>
        <w:rPr>
          <w:color w:val="0000FF"/>
        </w:rPr>
      </w:pPr>
      <w:r w:rsidRPr="004C59BB">
        <w:rPr>
          <w:rStyle w:val="FootnoteReference"/>
          <w:color w:val="0000FF"/>
        </w:rPr>
        <w:footnoteRef/>
      </w:r>
      <w:r w:rsidRPr="0097554A">
        <w:rPr>
          <w:color w:val="0000FF"/>
          <w:lang w:val="ru-RU"/>
        </w:rPr>
        <w:t xml:space="preserve"> (4979) </w:t>
      </w:r>
      <w:r w:rsidRPr="004C59BB">
        <w:rPr>
          <w:color w:val="0000FF"/>
        </w:rPr>
        <w:t>复活究竟是什么呢</w:t>
      </w:r>
      <w:r w:rsidRPr="0097554A">
        <w:rPr>
          <w:color w:val="0000FF"/>
          <w:lang w:val="ru-RU"/>
        </w:rPr>
        <w:t>？</w:t>
      </w:r>
      <w:r w:rsidRPr="004C59BB">
        <w:rPr>
          <w:color w:val="0000FF"/>
        </w:rPr>
        <w:t>若非完全是对我们生命本源的恢复</w:t>
      </w:r>
      <w:r w:rsidRPr="0097554A">
        <w:rPr>
          <w:color w:val="0000FF"/>
          <w:lang w:val="ru-RU"/>
        </w:rPr>
        <w:t>，</w:t>
      </w:r>
      <w:r w:rsidRPr="004C59BB">
        <w:rPr>
          <w:color w:val="0000FF"/>
        </w:rPr>
        <w:t>又是什么呢</w:t>
      </w:r>
      <w:r w:rsidRPr="0097554A">
        <w:rPr>
          <w:color w:val="0000FF"/>
          <w:lang w:val="ru-RU"/>
        </w:rPr>
        <w:t>？（</w:t>
      </w:r>
      <w:r w:rsidRPr="004C59BB">
        <w:rPr>
          <w:color w:val="0000FF"/>
        </w:rPr>
        <w:t>格里高利</w:t>
      </w:r>
      <w:r w:rsidRPr="0097554A">
        <w:rPr>
          <w:color w:val="0000FF"/>
          <w:lang w:val="ru-RU"/>
        </w:rPr>
        <w:t>·</w:t>
      </w:r>
      <w:r w:rsidRPr="004C59BB">
        <w:rPr>
          <w:color w:val="0000FF"/>
        </w:rPr>
        <w:t>尼撒</w:t>
      </w:r>
      <w:r w:rsidRPr="0097554A">
        <w:rPr>
          <w:color w:val="0000FF"/>
          <w:lang w:val="ru-RU"/>
        </w:rPr>
        <w:t>，</w:t>
      </w:r>
      <w:r w:rsidRPr="004C59BB">
        <w:rPr>
          <w:color w:val="0000FF"/>
        </w:rPr>
        <w:t>《论教会》讲道集第</w:t>
      </w:r>
      <w:r w:rsidRPr="0097554A">
        <w:rPr>
          <w:color w:val="0000FF"/>
          <w:lang w:val="ru-RU"/>
        </w:rPr>
        <w:t>1</w:t>
      </w:r>
      <w:r w:rsidRPr="004C59BB">
        <w:rPr>
          <w:color w:val="0000FF"/>
        </w:rPr>
        <w:t>篇</w:t>
      </w:r>
      <w:r w:rsidRPr="0097554A">
        <w:rPr>
          <w:color w:val="0000FF"/>
          <w:lang w:val="ru-RU"/>
        </w:rPr>
        <w:t>，</w:t>
      </w:r>
      <w:r w:rsidRPr="004C59BB">
        <w:rPr>
          <w:color w:val="0000FF"/>
        </w:rPr>
        <w:t>收录于《著作集》第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385</w:t>
      </w:r>
      <w:r w:rsidRPr="004C59BB">
        <w:rPr>
          <w:color w:val="0000FF"/>
        </w:rPr>
        <w:t>页</w:t>
      </w:r>
      <w:r w:rsidRPr="0097554A">
        <w:rPr>
          <w:color w:val="0000FF"/>
          <w:lang w:val="ru-RU"/>
        </w:rPr>
        <w:t>，</w:t>
      </w:r>
      <w:r w:rsidRPr="004C59BB">
        <w:rPr>
          <w:color w:val="0000FF"/>
        </w:rPr>
        <w:t>莫雷版</w:t>
      </w:r>
      <w:r w:rsidRPr="0097554A">
        <w:rPr>
          <w:color w:val="0000FF"/>
          <w:lang w:val="ru-RU"/>
        </w:rPr>
        <w:t>）</w:t>
      </w:r>
      <w:r w:rsidRPr="004C59BB">
        <w:rPr>
          <w:color w:val="0000FF"/>
          <w:lang w:val="el-GR"/>
        </w:rPr>
        <w:t>。</w:t>
      </w:r>
      <w:r w:rsidRPr="0097554A">
        <w:rPr>
          <w:color w:val="0000FF"/>
          <w:lang w:val="ru-RU"/>
        </w:rPr>
        <w:t xml:space="preserve"> </w:t>
      </w:r>
      <w:r w:rsidRPr="004C59BB">
        <w:rPr>
          <w:color w:val="0000FF"/>
          <w:lang w:val="el-GR"/>
        </w:rPr>
        <w:t>因为复活就是将我们恢复到最初的生命状态</w:t>
      </w:r>
      <w:r w:rsidRPr="0097554A">
        <w:rPr>
          <w:color w:val="0000FF"/>
          <w:lang w:val="ru-RU"/>
        </w:rPr>
        <w:t>（——</w:t>
      </w:r>
      <w:r w:rsidRPr="004C59BB">
        <w:rPr>
          <w:color w:val="0000FF"/>
          <w:lang w:val="el-GR"/>
        </w:rPr>
        <w:t>《</w:t>
      </w:r>
      <w:r w:rsidRPr="004C59BB">
        <w:rPr>
          <w:color w:val="0000FF"/>
        </w:rPr>
        <w:t>为普尔赫尔所作的悼词》</w:t>
      </w:r>
      <w:r w:rsidRPr="0097554A">
        <w:rPr>
          <w:color w:val="0000FF"/>
          <w:lang w:val="ru-RU"/>
        </w:rPr>
        <w:t>，</w:t>
      </w:r>
      <w:r w:rsidRPr="004C59BB">
        <w:rPr>
          <w:color w:val="0000FF"/>
        </w:rPr>
        <w:t>悼词集第III卷</w:t>
      </w:r>
      <w:r w:rsidRPr="0097554A">
        <w:rPr>
          <w:color w:val="0000FF"/>
          <w:lang w:val="ru-RU"/>
        </w:rPr>
        <w:t>，</w:t>
      </w:r>
      <w:r w:rsidRPr="004C59BB">
        <w:rPr>
          <w:color w:val="0000FF"/>
        </w:rPr>
        <w:t>第</w:t>
      </w:r>
      <w:r w:rsidRPr="0097554A">
        <w:rPr>
          <w:color w:val="0000FF"/>
          <w:lang w:val="ru-RU"/>
        </w:rPr>
        <w:t>523</w:t>
      </w:r>
      <w:r w:rsidRPr="004C59BB">
        <w:rPr>
          <w:color w:val="0000FF"/>
        </w:rPr>
        <w:t>页</w:t>
      </w:r>
      <w:r w:rsidRPr="0097554A">
        <w:rPr>
          <w:color w:val="0000FF"/>
          <w:lang w:val="ru-RU"/>
        </w:rPr>
        <w:t>）</w:t>
      </w:r>
      <w:r w:rsidRPr="004C59BB">
        <w:rPr>
          <w:color w:val="0000FF"/>
        </w:rPr>
        <w:t>。引自约翰·扎拉坦《哥林多前书讲道集》第XLI篇</w:t>
      </w:r>
      <w:r w:rsidRPr="0097554A">
        <w:rPr>
          <w:color w:val="0000FF"/>
        </w:rPr>
        <w:t>，</w:t>
      </w:r>
      <w:r w:rsidRPr="004C59BB">
        <w:rPr>
          <w:color w:val="0000FF"/>
          <w:lang w:val="el-GR"/>
        </w:rPr>
        <w:t>第</w:t>
      </w:r>
      <w:r w:rsidRPr="0097554A">
        <w:rPr>
          <w:color w:val="0000FF"/>
        </w:rPr>
        <w:t>2</w:t>
      </w:r>
      <w:r w:rsidRPr="004C59BB">
        <w:rPr>
          <w:color w:val="0000FF"/>
          <w:lang w:val="el-GR"/>
        </w:rPr>
        <w:t>节。</w:t>
      </w:r>
    </w:p>
  </w:footnote>
  <w:footnote w:id="1981">
    <w:p w14:paraId="70836A02" w14:textId="3A1286C7"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他明确教导说</w:t>
      </w:r>
      <w:r w:rsidRPr="0097554A">
        <w:rPr>
          <w:color w:val="0000FF"/>
        </w:rPr>
        <w:t>，</w:t>
      </w:r>
      <w:r w:rsidRPr="004C59BB">
        <w:rPr>
          <w:color w:val="0000FF"/>
          <w:lang w:val="el-GR"/>
        </w:rPr>
        <w:t>复活的并非另一物</w:t>
      </w:r>
      <w:r w:rsidRPr="0097554A">
        <w:rPr>
          <w:color w:val="0000FF"/>
        </w:rPr>
        <w:t>，</w:t>
      </w:r>
      <w:r w:rsidRPr="004C59BB">
        <w:rPr>
          <w:color w:val="0000FF"/>
          <w:lang w:val="el-GR"/>
        </w:rPr>
        <w:t>而是这会朽坏之物本身。</w:t>
      </w:r>
      <w:r w:rsidRPr="0097554A">
        <w:rPr>
          <w:color w:val="0000FF"/>
        </w:rPr>
        <w:t xml:space="preserve"> </w:t>
      </w:r>
      <w:r w:rsidRPr="004C59BB">
        <w:rPr>
          <w:color w:val="0000FF"/>
          <w:lang w:val="el-GR"/>
        </w:rPr>
        <w:t>他仿佛用手指着这话</w:t>
      </w:r>
      <w:r w:rsidRPr="0097554A">
        <w:rPr>
          <w:color w:val="0000FF"/>
        </w:rPr>
        <w:t>，</w:t>
      </w:r>
      <w:r w:rsidRPr="004C59BB">
        <w:rPr>
          <w:color w:val="0000FF"/>
          <w:lang w:val="el-GR"/>
        </w:rPr>
        <w:t>指明说</w:t>
      </w:r>
      <w:r w:rsidRPr="0097554A">
        <w:rPr>
          <w:color w:val="0000FF"/>
        </w:rPr>
        <w:t>：“</w:t>
      </w:r>
      <w:r w:rsidRPr="004C59BB">
        <w:rPr>
          <w:color w:val="0000FF"/>
          <w:lang w:val="el-GR"/>
        </w:rPr>
        <w:t>这会朽坏的</w:t>
      </w:r>
      <w:r w:rsidRPr="0097554A">
        <w:rPr>
          <w:color w:val="0000FF"/>
        </w:rPr>
        <w:t>，</w:t>
      </w:r>
      <w:r w:rsidRPr="004C59BB">
        <w:rPr>
          <w:color w:val="0000FF"/>
          <w:lang w:val="el-GR"/>
        </w:rPr>
        <w:t>这必死的</w:t>
      </w:r>
      <w:r w:rsidRPr="0097554A">
        <w:rPr>
          <w:color w:val="0000FF"/>
        </w:rPr>
        <w:t>”（</w:t>
      </w:r>
      <w:r w:rsidRPr="004C59BB">
        <w:rPr>
          <w:color w:val="0000FF"/>
        </w:rPr>
        <w:t>费奥多里特《哥林多前书</w:t>
      </w:r>
      <w:r w:rsidRPr="004C59BB">
        <w:rPr>
          <w:color w:val="0000FF"/>
          <w:lang w:val="el-GR"/>
        </w:rPr>
        <w:t>》</w:t>
      </w:r>
      <w:r w:rsidRPr="004C59BB">
        <w:rPr>
          <w:color w:val="0000FF"/>
        </w:rPr>
        <w:t>第十五章第53节，见第三卷，第280页）。</w:t>
      </w:r>
    </w:p>
  </w:footnote>
  <w:footnote w:id="1982">
    <w:p w14:paraId="308B300D" w14:textId="19AD2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伊里内斯，《反异端》II，59，注5；V，13，注3–5；贾斯汀，《论肉身的复活》第2章第5节（见Grabe《文集》第II卷）；西奥菲勒斯，《致奥托利乌斯书》1，12；II，36；梅福迪乌斯，《论复活》11。 12. 13；基里尔·耶路撒冷，《教义讲义》第四卷，注3. 31；第十七卷，注18；埃皮法尼乌斯，《异端论》第六十四卷，注64；杰罗姆，《致耶路撒冷的约翰反异端书信》第二十八封；奥古斯丁，《反福斯图斯》第十一卷，第3章。</w:t>
      </w:r>
    </w:p>
  </w:footnote>
  <w:footnote w:id="1983">
    <w:p w14:paraId="176FF139" w14:textId="44EA2BB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伊里内斯，《反异端论》第五卷，第13章，注3；伊罗利特，《反希腊派与柏拉图》，注2；伊拉里乌斯，《诗篇注释》第143</w:t>
      </w:r>
      <w:r w:rsidRPr="004C59BB">
        <w:rPr>
          <w:color w:val="0000FF"/>
          <w:lang w:val="ru-RU"/>
        </w:rPr>
        <w:t>篇</w:t>
      </w:r>
      <w:r w:rsidRPr="0097554A">
        <w:rPr>
          <w:color w:val="0000FF"/>
        </w:rPr>
        <w:t>，</w:t>
      </w:r>
      <w:r w:rsidRPr="004C59BB">
        <w:rPr>
          <w:color w:val="0000FF"/>
          <w:lang w:val="ru-RU"/>
        </w:rPr>
        <w:t>注</w:t>
      </w:r>
      <w:r w:rsidRPr="0097554A">
        <w:rPr>
          <w:color w:val="0000FF"/>
        </w:rPr>
        <w:t>7；</w:t>
      </w:r>
      <w:r w:rsidRPr="004C59BB">
        <w:rPr>
          <w:color w:val="0000FF"/>
          <w:lang w:val="ru-RU"/>
        </w:rPr>
        <w:t>狄奥多尔</w:t>
      </w:r>
      <w:r w:rsidRPr="0097554A">
        <w:rPr>
          <w:color w:val="0000FF"/>
        </w:rPr>
        <w:t>·</w:t>
      </w:r>
      <w:r w:rsidRPr="004C59BB">
        <w:rPr>
          <w:color w:val="0000FF"/>
          <w:lang w:val="ru-RU"/>
        </w:rPr>
        <w:t>赫拉克利乌斯</w:t>
      </w:r>
      <w:r w:rsidRPr="0097554A">
        <w:rPr>
          <w:color w:val="0000FF"/>
        </w:rPr>
        <w:t>，</w:t>
      </w:r>
      <w:r w:rsidRPr="004C59BB">
        <w:rPr>
          <w:color w:val="0000FF"/>
        </w:rPr>
        <w:t>《诗篇注释</w:t>
      </w:r>
      <w:r w:rsidRPr="004C59BB">
        <w:rPr>
          <w:color w:val="0000FF"/>
          <w:lang w:val="ru-RU"/>
        </w:rPr>
        <w:t>》</w:t>
      </w:r>
      <w:r w:rsidRPr="004C59BB">
        <w:rPr>
          <w:color w:val="0000FF"/>
        </w:rPr>
        <w:t>第102篇</w:t>
      </w:r>
      <w:r w:rsidRPr="0097554A">
        <w:rPr>
          <w:color w:val="0000FF"/>
        </w:rPr>
        <w:t>，</w:t>
      </w:r>
      <w:r w:rsidRPr="004C59BB">
        <w:rPr>
          <w:color w:val="0000FF"/>
          <w:lang w:val="ru-RU"/>
        </w:rPr>
        <w:t>第</w:t>
      </w:r>
      <w:r w:rsidRPr="0097554A">
        <w:rPr>
          <w:color w:val="0000FF"/>
        </w:rPr>
        <w:t>5</w:t>
      </w:r>
      <w:r w:rsidRPr="004C59BB">
        <w:rPr>
          <w:color w:val="0000FF"/>
          <w:lang w:val="ru-RU"/>
        </w:rPr>
        <w:t>节</w:t>
      </w:r>
      <w:r w:rsidRPr="0097554A">
        <w:rPr>
          <w:color w:val="0000FF"/>
        </w:rPr>
        <w:t xml:space="preserve">； </w:t>
      </w:r>
      <w:r w:rsidRPr="004C59BB">
        <w:rPr>
          <w:color w:val="0000FF"/>
          <w:lang w:val="ru-RU"/>
        </w:rPr>
        <w:t>基里尔</w:t>
      </w:r>
      <w:r w:rsidRPr="0097554A">
        <w:rPr>
          <w:color w:val="0000FF"/>
        </w:rPr>
        <w:t>·</w:t>
      </w:r>
      <w:r w:rsidRPr="004C59BB">
        <w:rPr>
          <w:color w:val="0000FF"/>
          <w:lang w:val="ru-RU"/>
        </w:rPr>
        <w:t>耶路撒冷</w:t>
      </w:r>
      <w:r w:rsidRPr="0097554A">
        <w:rPr>
          <w:color w:val="0000FF"/>
        </w:rPr>
        <w:t>，</w:t>
      </w:r>
      <w:r w:rsidRPr="004C59BB">
        <w:rPr>
          <w:color w:val="0000FF"/>
          <w:lang w:val="ru-RU"/>
        </w:rPr>
        <w:t>《讲道集》第四卷</w:t>
      </w:r>
      <w:r w:rsidRPr="0097554A">
        <w:rPr>
          <w:color w:val="0000FF"/>
        </w:rPr>
        <w:t>，</w:t>
      </w:r>
      <w:r w:rsidRPr="004C59BB">
        <w:rPr>
          <w:color w:val="0000FF"/>
          <w:lang w:val="ru-RU"/>
        </w:rPr>
        <w:t>注</w:t>
      </w:r>
      <w:r w:rsidRPr="0097554A">
        <w:rPr>
          <w:color w:val="0000FF"/>
        </w:rPr>
        <w:t>31：“</w:t>
      </w:r>
      <w:r w:rsidRPr="004C59BB">
        <w:rPr>
          <w:color w:val="0000FF"/>
          <w:lang w:val="ru-RU"/>
        </w:rPr>
        <w:t>我们所有人都会获得永恒的身体</w:t>
      </w:r>
      <w:r w:rsidRPr="0097554A">
        <w:rPr>
          <w:color w:val="0000FF"/>
        </w:rPr>
        <w:t>，</w:t>
      </w:r>
      <w:r w:rsidRPr="004C59BB">
        <w:rPr>
          <w:color w:val="0000FF"/>
          <w:lang w:val="ru-RU"/>
        </w:rPr>
        <w:t>但并非所有人的身体都相同。义人将获得这样的身体，是为了能与天使们永远同乐；而罪人则将获得这样的身体，是为了因罪孽而永远承受折磨”（第79页）。</w:t>
      </w:r>
    </w:p>
  </w:footnote>
  <w:footnote w:id="1984">
    <w:p w14:paraId="54C378E1" w14:textId="1C39232A"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“那时，经上说，义人将如日头（马太福音 13, 43）和月亮一样发光，又如穹苍的荣光（但以理书 12, 3）。 上帝预见到人类的不信，便赐予夏日里最微小的虫子从体内散发出光芒的能力，以便人们根据所见之物，相信他们所期待的。 “那位赐予部分恩典者，也能赐予全部恩典：既然祂使蠕虫发光，岂不更会照亮义人吗？”（基里尔·耶路撒冷，《教义讲道集》</w:t>
      </w:r>
      <w:r w:rsidRPr="004C59BB">
        <w:rPr>
          <w:color w:val="0000FF"/>
        </w:rPr>
        <w:t>第十八</w:t>
      </w:r>
      <w:r w:rsidRPr="004C59BB">
        <w:rPr>
          <w:color w:val="0000FF"/>
          <w:lang w:val="ru-RU"/>
        </w:rPr>
        <w:t>卷，第18节，第422页）。同见约翰·金口，</w:t>
      </w:r>
      <w:r w:rsidRPr="004C59BB">
        <w:rPr>
          <w:color w:val="0000FF"/>
        </w:rPr>
        <w:t>《致年轻寡妇书</w:t>
      </w:r>
      <w:r w:rsidRPr="004C59BB">
        <w:rPr>
          <w:color w:val="0000FF"/>
          <w:lang w:val="ru-RU"/>
        </w:rPr>
        <w:t>》，第3章； 狄奥多里特</w:t>
      </w:r>
      <w:r w:rsidRPr="004C59BB">
        <w:rPr>
          <w:color w:val="0000FF"/>
        </w:rPr>
        <w:t>《腓力书注</w:t>
      </w:r>
      <w:r w:rsidRPr="004C59BB">
        <w:rPr>
          <w:color w:val="0000FF"/>
          <w:lang w:val="ru-RU"/>
        </w:rPr>
        <w:t>》</w:t>
      </w:r>
      <w:r w:rsidRPr="004C59BB">
        <w:rPr>
          <w:color w:val="0000FF"/>
        </w:rPr>
        <w:t>第三卷</w:t>
      </w:r>
      <w:r w:rsidRPr="0097554A">
        <w:rPr>
          <w:color w:val="0000FF"/>
          <w:lang w:val="ru-RU"/>
        </w:rPr>
        <w:t>，</w:t>
      </w:r>
      <w:r w:rsidRPr="004C59BB">
        <w:rPr>
          <w:color w:val="0000FF"/>
        </w:rPr>
        <w:t>第</w:t>
      </w:r>
      <w:r w:rsidRPr="0097554A">
        <w:rPr>
          <w:color w:val="0000FF"/>
          <w:lang w:val="ru-RU"/>
        </w:rPr>
        <w:t>21</w:t>
      </w:r>
      <w:r w:rsidRPr="004C59BB">
        <w:rPr>
          <w:color w:val="0000FF"/>
        </w:rPr>
        <w:t>章</w:t>
      </w:r>
      <w:r w:rsidRPr="0097554A">
        <w:rPr>
          <w:color w:val="0000FF"/>
          <w:lang w:val="ru-RU"/>
        </w:rPr>
        <w:t>；</w:t>
      </w:r>
      <w:r w:rsidRPr="004C59BB">
        <w:rPr>
          <w:color w:val="0000FF"/>
        </w:rPr>
        <w:t>大格里高利《约伯记讲道集》第十八篇</w:t>
      </w:r>
      <w:r w:rsidRPr="0097554A">
        <w:rPr>
          <w:color w:val="0000FF"/>
          <w:lang w:val="ru-RU"/>
        </w:rPr>
        <w:t>，</w:t>
      </w:r>
      <w:r w:rsidRPr="004C59BB">
        <w:rPr>
          <w:color w:val="0000FF"/>
        </w:rPr>
        <w:t>第</w:t>
      </w:r>
      <w:r w:rsidRPr="0097554A">
        <w:rPr>
          <w:color w:val="0000FF"/>
          <w:lang w:val="ru-RU"/>
        </w:rPr>
        <w:t>76</w:t>
      </w:r>
      <w:r w:rsidRPr="004C59BB">
        <w:rPr>
          <w:color w:val="0000FF"/>
        </w:rPr>
        <w:t>节。</w:t>
      </w:r>
    </w:p>
  </w:footnote>
  <w:footnote w:id="1985">
    <w:p w14:paraId="42FFCA6D" w14:textId="45A3280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奥利金《反塞尔苏斯</w:t>
      </w:r>
      <w:r w:rsidRPr="004C59BB">
        <w:rPr>
          <w:color w:val="0000FF"/>
          <w:lang w:val="ru-RU"/>
        </w:rPr>
        <w:t>》</w:t>
      </w:r>
      <w:r w:rsidRPr="004C59BB">
        <w:rPr>
          <w:color w:val="0000FF"/>
        </w:rPr>
        <w:t>第四</w:t>
      </w:r>
      <w:r w:rsidRPr="004C59BB">
        <w:rPr>
          <w:color w:val="0000FF"/>
          <w:lang w:val="ru-RU"/>
        </w:rPr>
        <w:t>卷，57；西里尔·耶路撒冷《教义讲义》</w:t>
      </w:r>
      <w:r w:rsidRPr="004C59BB">
        <w:rPr>
          <w:color w:val="0000FF"/>
        </w:rPr>
        <w:t>第十八</w:t>
      </w:r>
      <w:r w:rsidRPr="004C59BB">
        <w:rPr>
          <w:color w:val="0000FF"/>
          <w:lang w:val="ru-RU"/>
        </w:rPr>
        <w:t>卷，第18节，第422页；大巴西勒</w:t>
      </w:r>
      <w:r w:rsidRPr="004C59BB">
        <w:rPr>
          <w:color w:val="0000FF"/>
        </w:rPr>
        <w:t>《诗篇注释</w:t>
      </w:r>
      <w:r w:rsidRPr="004C59BB">
        <w:rPr>
          <w:color w:val="0000FF"/>
          <w:lang w:val="ru-RU"/>
        </w:rPr>
        <w:t>》</w:t>
      </w:r>
      <w:r w:rsidRPr="004C59BB">
        <w:rPr>
          <w:color w:val="0000FF"/>
        </w:rPr>
        <w:t>第</w:t>
      </w:r>
      <w:r w:rsidRPr="0097554A">
        <w:rPr>
          <w:color w:val="0000FF"/>
          <w:lang w:val="ru-RU"/>
        </w:rPr>
        <w:t>114</w:t>
      </w:r>
      <w:r w:rsidRPr="004C59BB">
        <w:rPr>
          <w:color w:val="0000FF"/>
        </w:rPr>
        <w:t>篇</w:t>
      </w:r>
      <w:r w:rsidRPr="0097554A">
        <w:rPr>
          <w:color w:val="0000FF"/>
          <w:lang w:val="ru-RU"/>
        </w:rPr>
        <w:t>，</w:t>
      </w:r>
      <w:r w:rsidRPr="004C59BB">
        <w:rPr>
          <w:color w:val="0000FF"/>
        </w:rPr>
        <w:t>第</w:t>
      </w:r>
      <w:r w:rsidRPr="0097554A">
        <w:rPr>
          <w:color w:val="0000FF"/>
          <w:lang w:val="ru-RU"/>
        </w:rPr>
        <w:t>5</w:t>
      </w:r>
      <w:r w:rsidRPr="004C59BB">
        <w:rPr>
          <w:color w:val="0000FF"/>
        </w:rPr>
        <w:t>节。</w:t>
      </w:r>
    </w:p>
  </w:footnote>
  <w:footnote w:id="1986">
    <w:p w14:paraId="4CF4DB86" w14:textId="2DFFACFF"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伊拉里乌斯</w:t>
      </w:r>
      <w:r w:rsidRPr="0097554A">
        <w:rPr>
          <w:color w:val="0000FF"/>
          <w:lang w:val="ru-RU"/>
        </w:rPr>
        <w:t>，</w:t>
      </w:r>
      <w:r w:rsidRPr="004C59BB">
        <w:rPr>
          <w:color w:val="0000FF"/>
        </w:rPr>
        <w:t>《马太福音注释》第X章</w:t>
      </w:r>
      <w:r w:rsidRPr="0097554A">
        <w:rPr>
          <w:color w:val="0000FF"/>
          <w:lang w:val="ru-RU"/>
        </w:rPr>
        <w:t>，</w:t>
      </w:r>
      <w:r w:rsidRPr="004C59BB">
        <w:rPr>
          <w:color w:val="0000FF"/>
        </w:rPr>
        <w:t>注</w:t>
      </w:r>
      <w:r w:rsidRPr="0097554A">
        <w:rPr>
          <w:color w:val="0000FF"/>
          <w:lang w:val="ru-RU"/>
        </w:rPr>
        <w:t>20；</w:t>
      </w:r>
      <w:r w:rsidRPr="004C59BB">
        <w:rPr>
          <w:color w:val="0000FF"/>
        </w:rPr>
        <w:t>奥古斯丁</w:t>
      </w:r>
      <w:r w:rsidRPr="0097554A">
        <w:rPr>
          <w:color w:val="0000FF"/>
          <w:lang w:val="ru-RU"/>
        </w:rPr>
        <w:t>，</w:t>
      </w:r>
      <w:r w:rsidRPr="004C59BB">
        <w:rPr>
          <w:color w:val="0000FF"/>
        </w:rPr>
        <w:t>《上帝之城》第XIII卷</w:t>
      </w:r>
      <w:r w:rsidRPr="0097554A">
        <w:rPr>
          <w:color w:val="0000FF"/>
          <w:lang w:val="ru-RU"/>
        </w:rPr>
        <w:t>，</w:t>
      </w:r>
      <w:r w:rsidRPr="004C59BB">
        <w:rPr>
          <w:color w:val="0000FF"/>
        </w:rPr>
        <w:t>第</w:t>
      </w:r>
      <w:r w:rsidRPr="0097554A">
        <w:rPr>
          <w:color w:val="0000FF"/>
          <w:lang w:val="ru-RU"/>
        </w:rPr>
        <w:t>20</w:t>
      </w:r>
      <w:r w:rsidRPr="004C59BB">
        <w:rPr>
          <w:color w:val="0000FF"/>
        </w:rPr>
        <w:t>章。</w:t>
      </w:r>
    </w:p>
  </w:footnote>
  <w:footnote w:id="1987">
    <w:p w14:paraId="6813A843" w14:textId="6F815F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你会说：‘难道现在的身体不是属灵的吗？’它是属灵的，但那时将更加属灵。因为如今，圣灵丰盛的恩典常常完全离开那些多犯罪的人……；而那时则不然，祂将常住在义人的身体里，并拥有权柄，即使灵魂本身不在其中。 使徒所表达的正是这一点，他说：‘属灵的身体’——或是指它将变得更轻盈、更纤细（</w:t>
      </w:r>
      <w:r w:rsidRPr="004C59BB">
        <w:rPr>
          <w:color w:val="0000FF"/>
        </w:rPr>
        <w:t>κουφότερον</w:t>
      </w:r>
      <w:r w:rsidRPr="0097554A">
        <w:rPr>
          <w:color w:val="0000FF"/>
          <w:lang w:val="ru-RU"/>
        </w:rPr>
        <w:t xml:space="preserve"> </w:t>
      </w:r>
      <w:r w:rsidRPr="004C59BB">
        <w:rPr>
          <w:color w:val="0000FF"/>
        </w:rPr>
        <w:t>και</w:t>
      </w:r>
      <w:r w:rsidRPr="0097554A">
        <w:rPr>
          <w:color w:val="0000FF"/>
          <w:lang w:val="ru-RU"/>
        </w:rPr>
        <w:t xml:space="preserve"> </w:t>
      </w:r>
      <w:r w:rsidRPr="004C59BB">
        <w:rPr>
          <w:color w:val="0000FF"/>
        </w:rPr>
        <w:t>λεπτότερον</w:t>
      </w:r>
      <w:r w:rsidRPr="004C59BB">
        <w:rPr>
          <w:color w:val="0000FF"/>
          <w:lang w:val="ru-RU"/>
        </w:rPr>
        <w:t>），能够飞翔于空中；又或是最可能的情况，两者兼而有之”（约翰·金口，《</w:t>
      </w:r>
      <w:r w:rsidRPr="004C59BB">
        <w:rPr>
          <w:color w:val="0000FF"/>
        </w:rPr>
        <w:t>哥林多前书</w:t>
      </w:r>
      <w:r w:rsidRPr="004C59BB">
        <w:rPr>
          <w:color w:val="0000FF"/>
          <w:lang w:val="ru-RU"/>
        </w:rPr>
        <w:t>讲道集》</w:t>
      </w:r>
      <w:r w:rsidRPr="004C59BB">
        <w:rPr>
          <w:color w:val="0000FF"/>
        </w:rPr>
        <w:t>第XLI篇</w:t>
      </w:r>
      <w:r w:rsidRPr="004C59BB">
        <w:rPr>
          <w:color w:val="0000FF"/>
          <w:lang w:val="ru-RU"/>
        </w:rPr>
        <w:t>，第3节）。</w:t>
      </w:r>
    </w:p>
  </w:footnote>
  <w:footnote w:id="1988">
    <w:p w14:paraId="15723177" w14:textId="1B666A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“属魂的身体被播种（林前15: 42–44），即粗糙且会死的身体，复活的则是属灵的身体，正如主复活后的身体那样，能穿过紧闭的门，不会疲倦，也不需要食物、睡眠或饮水」 （约翰·达马斯库斯，《正统信仰精确阐述》</w:t>
      </w:r>
      <w:r w:rsidRPr="004C59BB">
        <w:rPr>
          <w:color w:val="0000FF"/>
        </w:rPr>
        <w:t>第IV</w:t>
      </w:r>
      <w:r w:rsidRPr="004C59BB">
        <w:rPr>
          <w:color w:val="0000FF"/>
          <w:lang w:val="ru-RU"/>
        </w:rPr>
        <w:t>卷，第27章，第306页）。</w:t>
      </w:r>
    </w:p>
  </w:footnote>
  <w:footnote w:id="1989">
    <w:p w14:paraId="4F560AD0" w14:textId="79EAB3FD"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伊西多尔·佩卢斯</w:t>
      </w:r>
      <w:r w:rsidRPr="004C59BB">
        <w:rPr>
          <w:color w:val="0000FF"/>
        </w:rPr>
        <w:t>《书信集》第三卷</w:t>
      </w:r>
      <w:r w:rsidRPr="0097554A">
        <w:rPr>
          <w:color w:val="0000FF"/>
          <w:lang w:val="ru-RU"/>
        </w:rPr>
        <w:t>，</w:t>
      </w:r>
      <w:r w:rsidRPr="004C59BB">
        <w:rPr>
          <w:color w:val="0000FF"/>
        </w:rPr>
        <w:t>第</w:t>
      </w:r>
      <w:r w:rsidRPr="0097554A">
        <w:rPr>
          <w:color w:val="0000FF"/>
          <w:lang w:val="ru-RU"/>
        </w:rPr>
        <w:t>77</w:t>
      </w:r>
      <w:r w:rsidRPr="004C59BB">
        <w:rPr>
          <w:color w:val="0000FF"/>
        </w:rPr>
        <w:t>封信</w:t>
      </w:r>
      <w:r w:rsidRPr="0097554A">
        <w:rPr>
          <w:color w:val="0000FF"/>
          <w:lang w:val="ru-RU"/>
        </w:rPr>
        <w:t>；</w:t>
      </w:r>
      <w:r w:rsidRPr="004C59BB">
        <w:rPr>
          <w:color w:val="0000FF"/>
        </w:rPr>
        <w:t>伊拉里乌斯《诗篇注释》第XVIII卷</w:t>
      </w:r>
      <w:r w:rsidRPr="0097554A">
        <w:rPr>
          <w:color w:val="0000FF"/>
          <w:lang w:val="ru-RU"/>
        </w:rPr>
        <w:t>，</w:t>
      </w:r>
      <w:r w:rsidRPr="004C59BB">
        <w:rPr>
          <w:color w:val="0000FF"/>
        </w:rPr>
        <w:t>第三篇</w:t>
      </w:r>
      <w:r w:rsidRPr="0097554A">
        <w:rPr>
          <w:color w:val="0000FF"/>
          <w:lang w:val="ru-RU"/>
        </w:rPr>
        <w:t>，</w:t>
      </w:r>
      <w:r w:rsidRPr="004C59BB">
        <w:rPr>
          <w:color w:val="0000FF"/>
        </w:rPr>
        <w:t>第</w:t>
      </w:r>
      <w:r w:rsidRPr="0097554A">
        <w:rPr>
          <w:color w:val="0000FF"/>
          <w:lang w:val="ru-RU"/>
        </w:rPr>
        <w:t>3</w:t>
      </w:r>
      <w:r w:rsidRPr="004C59BB">
        <w:rPr>
          <w:color w:val="0000FF"/>
        </w:rPr>
        <w:t>节</w:t>
      </w:r>
      <w:r w:rsidRPr="0097554A">
        <w:rPr>
          <w:color w:val="0000FF"/>
          <w:lang w:val="ru-RU"/>
        </w:rPr>
        <w:t>；</w:t>
      </w:r>
      <w:r w:rsidRPr="004C59BB">
        <w:rPr>
          <w:color w:val="0000FF"/>
        </w:rPr>
        <w:t>奥古斯丁《上帝之城》第十三卷</w:t>
      </w:r>
      <w:r w:rsidRPr="0097554A">
        <w:rPr>
          <w:color w:val="0000FF"/>
          <w:lang w:val="ru-RU"/>
        </w:rPr>
        <w:t>，</w:t>
      </w:r>
      <w:r w:rsidRPr="004C59BB">
        <w:rPr>
          <w:color w:val="0000FF"/>
        </w:rPr>
        <w:t>第</w:t>
      </w:r>
      <w:r w:rsidRPr="0097554A">
        <w:rPr>
          <w:color w:val="0000FF"/>
          <w:lang w:val="ru-RU"/>
        </w:rPr>
        <w:t>20</w:t>
      </w:r>
      <w:r w:rsidRPr="004C59BB">
        <w:rPr>
          <w:color w:val="0000FF"/>
        </w:rPr>
        <w:t>章。</w:t>
      </w:r>
    </w:p>
  </w:footnote>
  <w:footnote w:id="1990">
    <w:p w14:paraId="4CBC55DA" w14:textId="7B55E638"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《教义纲要》第十八卷</w:t>
      </w:r>
      <w:r w:rsidRPr="0097554A">
        <w:rPr>
          <w:color w:val="0000FF"/>
          <w:lang w:val="ru-RU"/>
        </w:rPr>
        <w:t>，</w:t>
      </w:r>
      <w:r w:rsidRPr="004C59BB">
        <w:rPr>
          <w:color w:val="0000FF"/>
        </w:rPr>
        <w:t>第</w:t>
      </w:r>
      <w:r w:rsidRPr="0097554A">
        <w:rPr>
          <w:color w:val="0000FF"/>
          <w:lang w:val="ru-RU"/>
        </w:rPr>
        <w:t>18</w:t>
      </w:r>
      <w:r w:rsidRPr="004C59BB">
        <w:rPr>
          <w:color w:val="0000FF"/>
        </w:rPr>
        <w:t>条</w:t>
      </w:r>
      <w:r w:rsidRPr="0097554A">
        <w:rPr>
          <w:color w:val="0000FF"/>
          <w:lang w:val="ru-RU"/>
        </w:rPr>
        <w:t>，</w:t>
      </w:r>
      <w:r w:rsidRPr="004C59BB">
        <w:rPr>
          <w:color w:val="0000FF"/>
        </w:rPr>
        <w:t>第</w:t>
      </w:r>
      <w:r w:rsidRPr="0097554A">
        <w:rPr>
          <w:color w:val="0000FF"/>
          <w:lang w:val="ru-RU"/>
        </w:rPr>
        <w:t>422</w:t>
      </w:r>
      <w:r w:rsidRPr="004C59BB">
        <w:rPr>
          <w:color w:val="0000FF"/>
        </w:rPr>
        <w:t>页</w:t>
      </w:r>
      <w:r w:rsidRPr="0097554A">
        <w:rPr>
          <w:color w:val="0000FF"/>
          <w:lang w:val="ru-RU"/>
        </w:rPr>
        <w:t>；</w:t>
      </w:r>
      <w:r w:rsidRPr="004C59BB">
        <w:rPr>
          <w:color w:val="0000FF"/>
        </w:rPr>
        <w:t>参见奥古斯丁《手册》第</w:t>
      </w:r>
      <w:r w:rsidRPr="0097554A">
        <w:rPr>
          <w:color w:val="0000FF"/>
          <w:lang w:val="ru-RU"/>
        </w:rPr>
        <w:t>92</w:t>
      </w:r>
      <w:r w:rsidRPr="004C59BB">
        <w:rPr>
          <w:color w:val="0000FF"/>
        </w:rPr>
        <w:t>章</w:t>
      </w:r>
      <w:r w:rsidRPr="0097554A">
        <w:rPr>
          <w:color w:val="0000FF"/>
          <w:lang w:val="ru-RU"/>
        </w:rPr>
        <w:t>；</w:t>
      </w:r>
      <w:r w:rsidRPr="004C59BB">
        <w:rPr>
          <w:color w:val="0000FF"/>
        </w:rPr>
        <w:t>《讲道集》第CCLXXVII篇</w:t>
      </w:r>
      <w:r w:rsidRPr="004C59BB">
        <w:rPr>
          <w:color w:val="0000FF"/>
          <w:lang w:val="ru-RU"/>
        </w:rPr>
        <w:t>，第13条。</w:t>
      </w:r>
    </w:p>
  </w:footnote>
  <w:footnote w:id="1991">
    <w:p w14:paraId="1ABCF251" w14:textId="0A635B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“使徒首先将罪人与义人区分开来，说：‘属天的身体，属地的身体’，其中‘属地的’指前者，‘属天的’指后者。 随后，他又阐明了罪人之间的差异，说道：‘并非一切肉体都是一样的：人的肉体与牲畜的肉体不同，鱼类的肉体与飞鸟的肉体也不同（林前15:39）’，并作此说明。” （金口</w:t>
      </w:r>
      <w:r w:rsidRPr="004C59BB">
        <w:rPr>
          <w:color w:val="0000FF"/>
        </w:rPr>
        <w:t>若望</w:t>
      </w:r>
      <w:r w:rsidRPr="0097554A">
        <w:rPr>
          <w:color w:val="0000FF"/>
          <w:lang w:val="ru-RU"/>
        </w:rPr>
        <w:t>，</w:t>
      </w:r>
      <w:r w:rsidRPr="004C59BB">
        <w:rPr>
          <w:color w:val="0000FF"/>
        </w:rPr>
        <w:t>《哥林多前书讲道</w:t>
      </w:r>
      <w:r w:rsidRPr="004C59BB">
        <w:rPr>
          <w:color w:val="0000FF"/>
          <w:lang w:val="ru-RU"/>
        </w:rPr>
        <w:t>集》</w:t>
      </w:r>
      <w:r w:rsidRPr="004C59BB">
        <w:rPr>
          <w:color w:val="0000FF"/>
        </w:rPr>
        <w:t>第四十一篇</w:t>
      </w:r>
      <w:r w:rsidRPr="004C59BB">
        <w:rPr>
          <w:color w:val="0000FF"/>
          <w:lang w:val="ru-RU"/>
        </w:rPr>
        <w:t>，第3节）。</w:t>
      </w:r>
    </w:p>
  </w:footnote>
  <w:footnote w:id="1992">
    <w:p w14:paraId="228A9E94" w14:textId="214923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“所有人都会获得与自己行为相称的身体。义人的身体比阳光还要明亮七倍；而罪人的身体则显得昏暗且充满恶臭；每个人的身体都彰显着他的行为：因为你们每个人都在自己的身体里承载着自己的行为” （以弗所·西里尔，《论审判与复活》一文，载于《圣教父著作集》</w:t>
      </w:r>
      <w:r w:rsidRPr="004C59BB">
        <w:rPr>
          <w:color w:val="0000FF"/>
        </w:rPr>
        <w:t>第十五</w:t>
      </w:r>
      <w:r w:rsidRPr="004C59BB">
        <w:rPr>
          <w:color w:val="0000FF"/>
          <w:lang w:val="ru-RU"/>
        </w:rPr>
        <w:t>卷，第125页）。</w:t>
      </w:r>
      <w:r w:rsidRPr="004C59BB">
        <w:rPr>
          <w:color w:val="0000FF"/>
        </w:rPr>
        <w:t>参</w:t>
      </w:r>
      <w:r w:rsidRPr="004C59BB">
        <w:rPr>
          <w:color w:val="0000FF"/>
          <w:lang w:val="ru-RU"/>
        </w:rPr>
        <w:t>见奥古斯丁，《</w:t>
      </w:r>
      <w:r w:rsidRPr="004C59BB">
        <w:rPr>
          <w:color w:val="0000FF"/>
        </w:rPr>
        <w:t>书信</w:t>
      </w:r>
      <w:r w:rsidRPr="004C59BB">
        <w:rPr>
          <w:color w:val="0000FF"/>
          <w:lang w:val="ru-RU"/>
        </w:rPr>
        <w:t>集》</w:t>
      </w:r>
      <w:r w:rsidRPr="004C59BB">
        <w:rPr>
          <w:color w:val="0000FF"/>
        </w:rPr>
        <w:t>第CCV</w:t>
      </w:r>
      <w:r w:rsidRPr="004C59BB">
        <w:rPr>
          <w:color w:val="0000FF"/>
          <w:lang w:val="ru-RU"/>
        </w:rPr>
        <w:t>封，第14段。</w:t>
      </w:r>
    </w:p>
  </w:footnote>
  <w:footnote w:id="1993">
    <w:p w14:paraId="750DBEAA" w14:textId="4461F9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《教诲大全》</w:t>
      </w:r>
      <w:r w:rsidRPr="004C59BB">
        <w:rPr>
          <w:color w:val="0000FF"/>
        </w:rPr>
        <w:t>第十八卷</w:t>
      </w:r>
      <w:r w:rsidRPr="004C59BB">
        <w:rPr>
          <w:color w:val="0000FF"/>
          <w:lang w:val="ru-RU"/>
        </w:rPr>
        <w:t>，第19节，第422页。</w:t>
      </w:r>
    </w:p>
  </w:footnote>
  <w:footnote w:id="1994">
    <w:p w14:paraId="76DAF477" w14:textId="6DCAE4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“所有人都将复活，拥有同样的力量、同样的不朽，以及同样的不朽之荣光；但所有人也将拥有同样的尊荣（</w:t>
      </w:r>
      <w:r w:rsidRPr="004C59BB">
        <w:rPr>
          <w:color w:val="0000FF"/>
        </w:rPr>
        <w:t>τιμής</w:t>
      </w:r>
      <w:r w:rsidRPr="004C59BB">
        <w:rPr>
          <w:color w:val="0000FF"/>
          <w:lang w:val="ru-RU"/>
        </w:rPr>
        <w:t>）与不可动摇（</w:t>
      </w:r>
      <w:r w:rsidRPr="004C59BB">
        <w:rPr>
          <w:color w:val="0000FF"/>
        </w:rPr>
        <w:t>άσφαλείας</w:t>
      </w:r>
      <w:r w:rsidRPr="004C59BB">
        <w:rPr>
          <w:color w:val="0000FF"/>
          <w:lang w:val="ru-RU"/>
        </w:rPr>
        <w:t>）”（金口</w:t>
      </w:r>
      <w:r w:rsidRPr="004C59BB">
        <w:rPr>
          <w:color w:val="0000FF"/>
        </w:rPr>
        <w:t>若望</w:t>
      </w:r>
      <w:r w:rsidRPr="0097554A">
        <w:rPr>
          <w:color w:val="0000FF"/>
          <w:lang w:val="ru-RU"/>
        </w:rPr>
        <w:t>，</w:t>
      </w:r>
      <w:r w:rsidRPr="004C59BB">
        <w:rPr>
          <w:color w:val="0000FF"/>
          <w:lang w:val="ru-RU"/>
        </w:rPr>
        <w:t>《哥林多</w:t>
      </w:r>
      <w:r w:rsidRPr="004C59BB">
        <w:rPr>
          <w:color w:val="0000FF"/>
        </w:rPr>
        <w:t>前书</w:t>
      </w:r>
      <w:r w:rsidRPr="004C59BB">
        <w:rPr>
          <w:color w:val="0000FF"/>
          <w:lang w:val="ru-RU"/>
        </w:rPr>
        <w:t>讲道集》</w:t>
      </w:r>
      <w:r w:rsidRPr="004C59BB">
        <w:rPr>
          <w:color w:val="0000FF"/>
        </w:rPr>
        <w:t>第XLI篇</w:t>
      </w:r>
      <w:r w:rsidRPr="004C59BB">
        <w:rPr>
          <w:color w:val="0000FF"/>
          <w:lang w:val="ru-RU"/>
        </w:rPr>
        <w:t>，第3节）。</w:t>
      </w:r>
    </w:p>
  </w:footnote>
  <w:footnote w:id="1995">
    <w:p w14:paraId="539FECCD" w14:textId="5965DA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奥古丁，</w:t>
      </w:r>
      <w:r w:rsidRPr="004C59BB">
        <w:rPr>
          <w:color w:val="0000FF"/>
        </w:rPr>
        <w:t>《以弗所书注释</w:t>
      </w:r>
      <w:r w:rsidRPr="004C59BB">
        <w:rPr>
          <w:color w:val="0000FF"/>
          <w:lang w:val="ru-RU"/>
        </w:rPr>
        <w:t>》</w:t>
      </w:r>
      <w:r w:rsidRPr="004C59BB">
        <w:rPr>
          <w:color w:val="0000FF"/>
        </w:rPr>
        <w:t>第五</w:t>
      </w:r>
      <w:r w:rsidRPr="004C59BB">
        <w:rPr>
          <w:color w:val="0000FF"/>
          <w:lang w:val="ru-RU"/>
        </w:rPr>
        <w:t>卷，28；</w:t>
      </w:r>
      <w:r w:rsidRPr="004C59BB">
        <w:rPr>
          <w:color w:val="0000FF"/>
        </w:rPr>
        <w:t>《</w:t>
      </w:r>
      <w:r w:rsidRPr="004C59BB">
        <w:rPr>
          <w:color w:val="0000FF"/>
          <w:lang w:val="ru-RU"/>
        </w:rPr>
        <w:t>马太福音</w:t>
      </w:r>
      <w:r w:rsidRPr="004C59BB">
        <w:rPr>
          <w:color w:val="0000FF"/>
        </w:rPr>
        <w:t>注释</w:t>
      </w:r>
      <w:r w:rsidRPr="004C59BB">
        <w:rPr>
          <w:color w:val="0000FF"/>
          <w:lang w:val="ru-RU"/>
        </w:rPr>
        <w:t>》</w:t>
      </w:r>
      <w:r w:rsidRPr="004C59BB">
        <w:rPr>
          <w:color w:val="0000FF"/>
        </w:rPr>
        <w:t>第十七卷</w:t>
      </w:r>
      <w:r w:rsidRPr="004C59BB">
        <w:rPr>
          <w:color w:val="0000FF"/>
          <w:lang w:val="ru-RU"/>
        </w:rPr>
        <w:t>，第30节；大瓦西里，《诗篇注释》第114篇。</w:t>
      </w:r>
    </w:p>
  </w:footnote>
  <w:footnote w:id="1996">
    <w:p w14:paraId="338419F1" w14:textId="10A04A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特土良，</w:t>
      </w:r>
      <w:r w:rsidRPr="004C59BB">
        <w:rPr>
          <w:color w:val="0000FF"/>
        </w:rPr>
        <w:t>《论肉身的复活</w:t>
      </w:r>
      <w:r w:rsidRPr="004C59BB">
        <w:rPr>
          <w:color w:val="0000FF"/>
          <w:lang w:val="ru-RU"/>
        </w:rPr>
        <w:t>》第60章；杰罗姆，</w:t>
      </w:r>
      <w:r w:rsidRPr="004C59BB">
        <w:rPr>
          <w:color w:val="0000FF"/>
        </w:rPr>
        <w:t>《致帕马赫书</w:t>
      </w:r>
      <w:r w:rsidRPr="0097554A">
        <w:rPr>
          <w:color w:val="0000FF"/>
          <w:lang w:val="ru-RU"/>
        </w:rPr>
        <w:t>：</w:t>
      </w:r>
      <w:r w:rsidRPr="004C59BB">
        <w:rPr>
          <w:color w:val="0000FF"/>
        </w:rPr>
        <w:t>论耶路撒冷的约翰之谬误》</w:t>
      </w:r>
      <w:r w:rsidRPr="004C59BB">
        <w:rPr>
          <w:color w:val="0000FF"/>
          <w:lang w:val="ru-RU"/>
        </w:rPr>
        <w:t>。</w:t>
      </w:r>
    </w:p>
  </w:footnote>
  <w:footnote w:id="1997">
    <w:p w14:paraId="3BBEF309" w14:textId="402346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奥古斯丁，</w:t>
      </w:r>
      <w:r w:rsidRPr="004C59BB">
        <w:rPr>
          <w:color w:val="0000FF"/>
        </w:rPr>
        <w:t>《上帝之城</w:t>
      </w:r>
      <w:r w:rsidRPr="004C59BB">
        <w:rPr>
          <w:color w:val="0000FF"/>
          <w:lang w:val="ru-RU"/>
        </w:rPr>
        <w:t>》</w:t>
      </w:r>
      <w:r w:rsidRPr="004C59BB">
        <w:rPr>
          <w:color w:val="0000FF"/>
        </w:rPr>
        <w:t>第XXII卷</w:t>
      </w:r>
      <w:r w:rsidRPr="004C59BB">
        <w:rPr>
          <w:color w:val="0000FF"/>
          <w:lang w:val="ru-RU"/>
        </w:rPr>
        <w:t>，17、18节。</w:t>
      </w:r>
    </w:p>
  </w:footnote>
  <w:footnote w:id="1998">
    <w:p w14:paraId="3E8B3B03" w14:textId="5BCD090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“那个在母腹中与母亲一同去世的婴孩，在复活时将作为完人显现，他会认出自己的母亲，而母亲也会认出自己的孩子…… 造物主将使亚当的子孙平等地复活；正如祂起初创造他们时使他们平等，祂也必使他们从死亡中平等地复活。在复活中，既无尊贵者，亦无卑微者。早产者复活时，将与成年人一样。 唯有根据行为与生活方式，那里才会有人高贵而荣耀；有些人将如光一般</w:t>
      </w:r>
      <w:r w:rsidRPr="0097554A">
        <w:rPr>
          <w:color w:val="0000FF"/>
          <w:lang w:val="ru-RU"/>
        </w:rPr>
        <w:t>，</w:t>
      </w:r>
      <w:r w:rsidRPr="004C59BB">
        <w:rPr>
          <w:color w:val="0000FF"/>
          <w:lang w:val="ru-RU"/>
        </w:rPr>
        <w:t>另一些人则如黑暗一般」（以弗所·西里尔，《论敬畏上帝与末日审判》，载于《圣教父著作集》</w:t>
      </w:r>
      <w:r w:rsidRPr="004C59BB">
        <w:rPr>
          <w:color w:val="0000FF"/>
        </w:rPr>
        <w:t>第十五卷</w:t>
      </w:r>
      <w:r w:rsidRPr="0097554A">
        <w:rPr>
          <w:color w:val="0000FF"/>
          <w:lang w:val="ru-RU"/>
        </w:rPr>
        <w:t>，306</w:t>
      </w:r>
      <w:r w:rsidRPr="004C59BB">
        <w:rPr>
          <w:color w:val="0000FF"/>
        </w:rPr>
        <w:t>、</w:t>
      </w:r>
      <w:r w:rsidRPr="0097554A">
        <w:rPr>
          <w:color w:val="0000FF"/>
          <w:lang w:val="ru-RU"/>
        </w:rPr>
        <w:t>307</w:t>
      </w:r>
      <w:r w:rsidRPr="004C59BB">
        <w:rPr>
          <w:color w:val="0000FF"/>
        </w:rPr>
        <w:t>页。参见伊拉里乌斯，《马太福音注释》第五章，第10节）。</w:t>
      </w:r>
    </w:p>
  </w:footnote>
  <w:footnote w:id="1999">
    <w:p w14:paraId="0AD450FC" w14:textId="73EE5A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奥古斯丁，《上帝之城》第XXII卷，14、15节。</w:t>
      </w:r>
    </w:p>
  </w:footnote>
  <w:footnote w:id="2000">
    <w:p w14:paraId="4368D9FB" w14:textId="03EB309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“这些身体既不会死亡，也不会改变，更不会陷入无神论之中”（金口若望，《哥林多前书讲道集》第XLII篇，第2节）。 另见特土良，《护教篇》第18章；《使徒宪章》第五卷第7章；施拉尔，《诗篇注释》第LI篇，第10节；亚历山大的西里尔，《论敬拜圣灵与真理》第十七卷；《约翰福音注释》第四卷第51节；狄奥多里特，《哥林多前书注释》第六卷第51节。</w:t>
      </w:r>
    </w:p>
  </w:footnote>
  <w:footnote w:id="2001">
    <w:p w14:paraId="59529D09" w14:textId="7B108A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“那……既不被称为复活，也不被称为审判的，就是撒但的长子。”《致腓立比书》第7节。</w:t>
      </w:r>
    </w:p>
  </w:footnote>
  <w:footnote w:id="2002">
    <w:p w14:paraId="2EA7550C" w14:textId="583241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《辩护书》第1卷，第8、52节；《与特里弗的对话》第117、125节。</w:t>
      </w:r>
    </w:p>
  </w:footnote>
  <w:footnote w:id="2003">
    <w:p w14:paraId="42BC2141" w14:textId="0ACC19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《论异端》第13章。</w:t>
      </w:r>
    </w:p>
  </w:footnote>
  <w:footnote w:id="2004">
    <w:p w14:paraId="1CFFF925" w14:textId="18FC66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审判之日已临，正如圣经所宣告的（《致德米特里书》第8章）。</w:t>
      </w:r>
    </w:p>
  </w:footnote>
  <w:footnote w:id="2005">
    <w:p w14:paraId="4884E6AB" w14:textId="5F2D494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《教义纲要》</w:t>
      </w:r>
      <w:r w:rsidRPr="004C59BB">
        <w:rPr>
          <w:color w:val="0000FF"/>
        </w:rPr>
        <w:t>第四卷</w:t>
      </w:r>
      <w:r w:rsidRPr="0097554A">
        <w:rPr>
          <w:color w:val="0000FF"/>
        </w:rPr>
        <w:t>，</w:t>
      </w:r>
      <w:r w:rsidRPr="004C59BB">
        <w:rPr>
          <w:color w:val="0000FF"/>
          <w:lang w:val="ru-RU"/>
        </w:rPr>
        <w:t>第</w:t>
      </w:r>
      <w:r w:rsidRPr="0097554A">
        <w:rPr>
          <w:color w:val="0000FF"/>
        </w:rPr>
        <w:t>15</w:t>
      </w:r>
      <w:r w:rsidRPr="004C59BB">
        <w:rPr>
          <w:color w:val="0000FF"/>
          <w:lang w:val="ru-RU"/>
        </w:rPr>
        <w:t>节</w:t>
      </w:r>
      <w:r w:rsidRPr="0097554A">
        <w:rPr>
          <w:color w:val="0000FF"/>
        </w:rPr>
        <w:t>，</w:t>
      </w:r>
      <w:r w:rsidRPr="004C59BB">
        <w:rPr>
          <w:color w:val="0000FF"/>
          <w:lang w:val="ru-RU"/>
        </w:rPr>
        <w:t>第</w:t>
      </w:r>
      <w:r w:rsidRPr="0097554A">
        <w:rPr>
          <w:color w:val="0000FF"/>
        </w:rPr>
        <w:t>67–68</w:t>
      </w:r>
      <w:r w:rsidRPr="004C59BB">
        <w:rPr>
          <w:color w:val="0000FF"/>
          <w:lang w:val="ru-RU"/>
        </w:rPr>
        <w:t>页</w:t>
      </w:r>
      <w:r w:rsidRPr="0097554A">
        <w:rPr>
          <w:color w:val="0000FF"/>
        </w:rPr>
        <w:t>；</w:t>
      </w:r>
      <w:r w:rsidRPr="004C59BB">
        <w:rPr>
          <w:color w:val="0000FF"/>
        </w:rPr>
        <w:t>第十五卷</w:t>
      </w:r>
      <w:r w:rsidRPr="0097554A">
        <w:rPr>
          <w:color w:val="0000FF"/>
        </w:rPr>
        <w:t>，</w:t>
      </w:r>
      <w:r w:rsidRPr="004C59BB">
        <w:rPr>
          <w:color w:val="0000FF"/>
          <w:lang w:val="ru-RU"/>
        </w:rPr>
        <w:t>第</w:t>
      </w:r>
      <w:r w:rsidRPr="0097554A">
        <w:rPr>
          <w:color w:val="0000FF"/>
        </w:rPr>
        <w:t>1</w:t>
      </w:r>
      <w:r w:rsidRPr="004C59BB">
        <w:rPr>
          <w:color w:val="0000FF"/>
          <w:lang w:val="ru-RU"/>
        </w:rPr>
        <w:t>、</w:t>
      </w:r>
      <w:r w:rsidRPr="0097554A">
        <w:rPr>
          <w:color w:val="0000FF"/>
        </w:rPr>
        <w:t>2</w:t>
      </w:r>
      <w:r w:rsidRPr="004C59BB">
        <w:rPr>
          <w:color w:val="0000FF"/>
          <w:lang w:val="ru-RU"/>
        </w:rPr>
        <w:t>节。</w:t>
      </w:r>
    </w:p>
  </w:footnote>
  <w:footnote w:id="2006">
    <w:p w14:paraId="1245F80F" w14:textId="40DBAE86"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如果你不相信我们的话</w:t>
      </w:r>
      <w:r w:rsidRPr="0097554A">
        <w:rPr>
          <w:color w:val="0000FF"/>
        </w:rPr>
        <w:t>：</w:t>
      </w:r>
      <w:r w:rsidRPr="004C59BB">
        <w:rPr>
          <w:color w:val="0000FF"/>
          <w:lang w:val="ru-RU"/>
        </w:rPr>
        <w:t>去问犹太人、希腊人、任何异端分子</w:t>
      </w:r>
      <w:r w:rsidRPr="0097554A">
        <w:rPr>
          <w:color w:val="0000FF"/>
        </w:rPr>
        <w:t>；</w:t>
      </w:r>
      <w:r w:rsidRPr="004C59BB">
        <w:rPr>
          <w:color w:val="0000FF"/>
          <w:lang w:val="ru-RU"/>
        </w:rPr>
        <w:t>他们都会异口同声地回答</w:t>
      </w:r>
      <w:r w:rsidRPr="0097554A">
        <w:rPr>
          <w:color w:val="0000FF"/>
        </w:rPr>
        <w:t>，</w:t>
      </w:r>
      <w:r w:rsidRPr="004C59BB">
        <w:rPr>
          <w:color w:val="0000FF"/>
          <w:lang w:val="ru-RU"/>
        </w:rPr>
        <w:t>说必有审判和报应。</w:t>
      </w:r>
      <w:r w:rsidRPr="0097554A">
        <w:rPr>
          <w:color w:val="0000FF"/>
        </w:rPr>
        <w:t xml:space="preserve"> </w:t>
      </w:r>
      <w:r w:rsidRPr="004C59BB">
        <w:rPr>
          <w:color w:val="0000FF"/>
          <w:lang w:val="ru-RU"/>
        </w:rPr>
        <w:t>若你不满足于人的见证</w:t>
      </w:r>
      <w:r w:rsidRPr="0097554A">
        <w:rPr>
          <w:color w:val="0000FF"/>
        </w:rPr>
        <w:t>：</w:t>
      </w:r>
      <w:r w:rsidRPr="004C59BB">
        <w:rPr>
          <w:color w:val="0000FF"/>
          <w:lang w:val="ru-RU"/>
        </w:rPr>
        <w:t>就去问那些魔鬼本身</w:t>
      </w:r>
      <w:r w:rsidRPr="0097554A">
        <w:rPr>
          <w:color w:val="0000FF"/>
        </w:rPr>
        <w:t>，</w:t>
      </w:r>
      <w:r w:rsidRPr="004C59BB">
        <w:rPr>
          <w:color w:val="0000FF"/>
          <w:lang w:val="ru-RU"/>
        </w:rPr>
        <w:t>你会听到他们如何呼喊</w:t>
      </w:r>
      <w:r w:rsidRPr="0097554A">
        <w:rPr>
          <w:color w:val="0000FF"/>
        </w:rPr>
        <w:t>：‘</w:t>
      </w:r>
      <w:r w:rsidRPr="004C59BB">
        <w:rPr>
          <w:color w:val="0000FF"/>
          <w:lang w:val="ru-RU"/>
        </w:rPr>
        <w:t>你来这里</w:t>
      </w:r>
      <w:r w:rsidRPr="0097554A">
        <w:rPr>
          <w:color w:val="0000FF"/>
        </w:rPr>
        <w:t>，</w:t>
      </w:r>
      <w:r w:rsidRPr="004C59BB">
        <w:rPr>
          <w:color w:val="0000FF"/>
          <w:lang w:val="ru-RU"/>
        </w:rPr>
        <w:t>不是时候</w:t>
      </w:r>
      <w:r w:rsidRPr="0097554A">
        <w:rPr>
          <w:color w:val="0000FF"/>
        </w:rPr>
        <w:t>，</w:t>
      </w:r>
      <w:r w:rsidRPr="004C59BB">
        <w:rPr>
          <w:color w:val="0000FF"/>
          <w:lang w:val="ru-RU"/>
        </w:rPr>
        <w:t>要折磨我们吗</w:t>
      </w:r>
      <w:r w:rsidRPr="0097554A">
        <w:rPr>
          <w:color w:val="0000FF"/>
        </w:rPr>
        <w:t>？’（</w:t>
      </w:r>
      <w:r w:rsidRPr="004C59BB">
        <w:rPr>
          <w:color w:val="0000FF"/>
          <w:lang w:val="ru-RU"/>
        </w:rPr>
        <w:t>马太福音</w:t>
      </w:r>
      <w:r w:rsidRPr="0097554A">
        <w:rPr>
          <w:color w:val="0000FF"/>
        </w:rPr>
        <w:t> 8: 29）”（</w:t>
      </w:r>
      <w:r w:rsidRPr="004C59BB">
        <w:rPr>
          <w:color w:val="0000FF"/>
          <w:lang w:val="ru-RU"/>
        </w:rPr>
        <w:t>《罗马讲道集》第</w:t>
      </w:r>
      <w:r w:rsidRPr="004C59BB">
        <w:rPr>
          <w:color w:val="0000FF"/>
        </w:rPr>
        <w:t>XXXI</w:t>
      </w:r>
      <w:r w:rsidRPr="004C59BB">
        <w:rPr>
          <w:color w:val="0000FF"/>
          <w:lang w:val="ru-RU"/>
        </w:rPr>
        <w:t>卷</w:t>
      </w:r>
      <w:r w:rsidRPr="0097554A">
        <w:rPr>
          <w:color w:val="0000FF"/>
        </w:rPr>
        <w:t>，</w:t>
      </w:r>
      <w:r w:rsidRPr="004C59BB">
        <w:rPr>
          <w:color w:val="0000FF"/>
          <w:lang w:val="ru-RU"/>
        </w:rPr>
        <w:t>第</w:t>
      </w:r>
      <w:r w:rsidRPr="0097554A">
        <w:rPr>
          <w:color w:val="0000FF"/>
        </w:rPr>
        <w:t>706</w:t>
      </w:r>
      <w:r w:rsidRPr="004C59BB">
        <w:rPr>
          <w:color w:val="0000FF"/>
          <w:lang w:val="ru-RU"/>
        </w:rPr>
        <w:t>页</w:t>
      </w:r>
      <w:r w:rsidRPr="0097554A">
        <w:rPr>
          <w:color w:val="0000FF"/>
        </w:rPr>
        <w:t>，</w:t>
      </w:r>
      <w:r w:rsidRPr="004C59BB">
        <w:rPr>
          <w:color w:val="0000FF"/>
          <w:lang w:val="ru-RU"/>
        </w:rPr>
        <w:t>据俄文译本</w:t>
      </w:r>
      <w:r w:rsidRPr="0097554A">
        <w:rPr>
          <w:color w:val="0000FF"/>
        </w:rPr>
        <w:t>）</w:t>
      </w:r>
      <w:r w:rsidRPr="004C59BB">
        <w:rPr>
          <w:color w:val="0000FF"/>
          <w:lang w:val="ru-RU"/>
        </w:rPr>
        <w:t>。</w:t>
      </w:r>
    </w:p>
  </w:footnote>
  <w:footnote w:id="2007">
    <w:p w14:paraId="6ECA65DB" w14:textId="73CEB01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阿法纳西乌斯</w:t>
      </w:r>
      <w:r w:rsidRPr="004C59BB">
        <w:rPr>
          <w:color w:val="0000FF"/>
        </w:rPr>
        <w:t>《论死人</w:t>
      </w:r>
      <w:r w:rsidRPr="004C59BB">
        <w:rPr>
          <w:color w:val="0000FF"/>
          <w:lang w:val="ru-RU"/>
        </w:rPr>
        <w:t>复活》</w:t>
      </w:r>
      <w:r w:rsidRPr="004C59BB">
        <w:rPr>
          <w:color w:val="0000FF"/>
        </w:rPr>
        <w:t>第二</w:t>
      </w:r>
      <w:r w:rsidRPr="004C59BB">
        <w:rPr>
          <w:color w:val="0000FF"/>
          <w:lang w:val="ru-RU"/>
        </w:rPr>
        <w:t>章</w:t>
      </w:r>
      <w:r w:rsidRPr="0097554A">
        <w:rPr>
          <w:color w:val="0000FF"/>
        </w:rPr>
        <w:t>；</w:t>
      </w:r>
      <w:r w:rsidRPr="004C59BB">
        <w:rPr>
          <w:color w:val="0000FF"/>
          <w:lang w:val="ru-RU"/>
        </w:rPr>
        <w:t>伊西多尔</w:t>
      </w:r>
      <w:r w:rsidRPr="0097554A">
        <w:rPr>
          <w:color w:val="0000FF"/>
        </w:rPr>
        <w:t>·</w:t>
      </w:r>
      <w:r w:rsidRPr="004C59BB">
        <w:rPr>
          <w:color w:val="0000FF"/>
          <w:lang w:val="ru-RU"/>
        </w:rPr>
        <w:t>佩卢斯</w:t>
      </w:r>
      <w:r w:rsidRPr="004C59BB">
        <w:rPr>
          <w:color w:val="0000FF"/>
        </w:rPr>
        <w:t>《书信集》第三卷，第37封书信；狄奥多里特《诗篇注释》第九篇</w:t>
      </w:r>
      <w:r w:rsidRPr="0097554A">
        <w:rPr>
          <w:color w:val="0000FF"/>
        </w:rPr>
        <w:t>，</w:t>
      </w:r>
      <w:r w:rsidRPr="004C59BB">
        <w:rPr>
          <w:color w:val="0000FF"/>
          <w:lang w:val="ru-RU"/>
        </w:rPr>
        <w:t>第</w:t>
      </w:r>
      <w:r w:rsidRPr="0097554A">
        <w:rPr>
          <w:color w:val="0000FF"/>
        </w:rPr>
        <w:t>9</w:t>
      </w:r>
      <w:r w:rsidRPr="004C59BB">
        <w:rPr>
          <w:color w:val="0000FF"/>
          <w:lang w:val="ru-RU"/>
        </w:rPr>
        <w:t>节。</w:t>
      </w:r>
    </w:p>
  </w:footnote>
  <w:footnote w:id="2008">
    <w:p w14:paraId="4108FD1A" w14:textId="3FBC293F"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当你们坐在十二个宝座上</w:t>
      </w:r>
      <w:r w:rsidRPr="0097554A">
        <w:rPr>
          <w:color w:val="0000FF"/>
        </w:rPr>
        <w:t>，</w:t>
      </w:r>
      <w:r w:rsidRPr="004C59BB">
        <w:rPr>
          <w:color w:val="0000FF"/>
          <w:lang w:val="ru-RU"/>
        </w:rPr>
        <w:t>作为万物的审判者来审判一切受造物时</w:t>
      </w:r>
      <w:r w:rsidRPr="0097554A">
        <w:rPr>
          <w:color w:val="0000FF"/>
        </w:rPr>
        <w:t>：</w:t>
      </w:r>
      <w:r w:rsidRPr="004C59BB">
        <w:rPr>
          <w:color w:val="0000FF"/>
          <w:lang w:val="ru-RU"/>
        </w:rPr>
        <w:t>请显明我未被定罪</w:t>
      </w:r>
      <w:r w:rsidRPr="0097554A">
        <w:rPr>
          <w:color w:val="0000FF"/>
        </w:rPr>
        <w:t>，</w:t>
      </w:r>
      <w:r w:rsidRPr="004C59BB">
        <w:rPr>
          <w:color w:val="0000FF"/>
          <w:lang w:val="ru-RU"/>
        </w:rPr>
        <w:t>并使我脱离黑暗与一切苦难</w:t>
      </w:r>
      <w:r w:rsidRPr="0097554A">
        <w:rPr>
          <w:color w:val="0000FF"/>
        </w:rPr>
        <w:t>，</w:t>
      </w:r>
      <w:r w:rsidRPr="004C59BB">
        <w:rPr>
          <w:color w:val="0000FF"/>
          <w:lang w:val="ru-RU"/>
        </w:rPr>
        <w:t>我的恩人</w:t>
      </w:r>
      <w:r w:rsidRPr="0097554A">
        <w:rPr>
          <w:color w:val="0000FF"/>
        </w:rPr>
        <w:t>，</w:t>
      </w:r>
      <w:r w:rsidRPr="004C59BB">
        <w:rPr>
          <w:color w:val="0000FF"/>
          <w:lang w:val="ru-RU"/>
        </w:rPr>
        <w:t>神圣的使徒们</w:t>
      </w:r>
      <w:r w:rsidRPr="0097554A">
        <w:rPr>
          <w:color w:val="0000FF"/>
        </w:rPr>
        <w:t>”（</w:t>
      </w:r>
      <w:r w:rsidRPr="004C59BB">
        <w:rPr>
          <w:color w:val="0000FF"/>
          <w:lang w:val="ru-RU"/>
        </w:rPr>
        <w:t>《八日经》第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199</w:t>
      </w:r>
      <w:r w:rsidRPr="004C59BB">
        <w:rPr>
          <w:color w:val="0000FF"/>
          <w:lang w:val="ru-RU"/>
        </w:rPr>
        <w:t>页背面</w:t>
      </w:r>
      <w:r w:rsidRPr="0097554A">
        <w:rPr>
          <w:color w:val="0000FF"/>
        </w:rPr>
        <w:t>，</w:t>
      </w:r>
      <w:r w:rsidRPr="004C59BB">
        <w:rPr>
          <w:color w:val="0000FF"/>
          <w:lang w:val="ru-RU"/>
        </w:rPr>
        <w:t>莫斯科</w:t>
      </w:r>
      <w:r w:rsidRPr="0097554A">
        <w:rPr>
          <w:color w:val="0000FF"/>
        </w:rPr>
        <w:t>，1838</w:t>
      </w:r>
      <w:r w:rsidRPr="004C59BB">
        <w:rPr>
          <w:color w:val="0000FF"/>
          <w:lang w:val="ru-RU"/>
        </w:rPr>
        <w:t>年</w:t>
      </w:r>
      <w:r w:rsidRPr="0097554A">
        <w:rPr>
          <w:color w:val="0000FF"/>
        </w:rPr>
        <w:t>）</w:t>
      </w:r>
      <w:r w:rsidRPr="004C59BB">
        <w:rPr>
          <w:color w:val="0000FF"/>
          <w:lang w:val="ru-RU"/>
        </w:rPr>
        <w:t>。</w:t>
      </w:r>
    </w:p>
  </w:footnote>
  <w:footnote w:id="2009">
    <w:p w14:paraId="60A0C46F" w14:textId="094687D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当说</w:t>
      </w:r>
      <w:r w:rsidRPr="0097554A">
        <w:rPr>
          <w:color w:val="0000FF"/>
        </w:rPr>
        <w:t>‘</w:t>
      </w:r>
      <w:r w:rsidRPr="004C59BB">
        <w:rPr>
          <w:color w:val="0000FF"/>
          <w:lang w:val="ru-RU"/>
        </w:rPr>
        <w:t>不义之人不会为审判而复活</w:t>
      </w:r>
      <w:r w:rsidRPr="0097554A">
        <w:rPr>
          <w:color w:val="0000FF"/>
        </w:rPr>
        <w:t>’</w:t>
      </w:r>
      <w:r w:rsidRPr="004C59BB">
        <w:rPr>
          <w:color w:val="0000FF"/>
          <w:lang w:val="ru-RU"/>
        </w:rPr>
        <w:t>时</w:t>
      </w:r>
      <w:r w:rsidRPr="0097554A">
        <w:rPr>
          <w:color w:val="0000FF"/>
        </w:rPr>
        <w:t>，</w:t>
      </w:r>
      <w:r w:rsidRPr="004C59BB">
        <w:rPr>
          <w:color w:val="0000FF"/>
          <w:lang w:val="ru-RU"/>
        </w:rPr>
        <w:t>这意味着他们复活并非为了接受审判</w:t>
      </w:r>
      <w:r w:rsidRPr="0097554A">
        <w:rPr>
          <w:color w:val="0000FF"/>
        </w:rPr>
        <w:t>，</w:t>
      </w:r>
      <w:r w:rsidRPr="004C59BB">
        <w:rPr>
          <w:color w:val="0000FF"/>
          <w:lang w:val="ru-RU"/>
        </w:rPr>
        <w:t>而是为了被定罪。</w:t>
      </w:r>
      <w:r w:rsidRPr="0097554A">
        <w:rPr>
          <w:color w:val="0000FF"/>
        </w:rPr>
        <w:t xml:space="preserve"> </w:t>
      </w:r>
      <w:r w:rsidRPr="004C59BB">
        <w:rPr>
          <w:color w:val="0000FF"/>
          <w:lang w:val="ru-RU"/>
        </w:rPr>
        <w:t>因为对上帝而言</w:t>
      </w:r>
      <w:r w:rsidRPr="0097554A">
        <w:rPr>
          <w:color w:val="0000FF"/>
        </w:rPr>
        <w:t>，</w:t>
      </w:r>
      <w:r w:rsidRPr="004C59BB">
        <w:rPr>
          <w:color w:val="0000FF"/>
          <w:lang w:val="ru-RU"/>
        </w:rPr>
        <w:t>无需长期的考验</w:t>
      </w:r>
      <w:r w:rsidRPr="0097554A">
        <w:rPr>
          <w:color w:val="0000FF"/>
        </w:rPr>
        <w:t>；</w:t>
      </w:r>
      <w:r w:rsidRPr="004C59BB">
        <w:rPr>
          <w:color w:val="0000FF"/>
          <w:lang w:val="ru-RU"/>
        </w:rPr>
        <w:t>但与此同时</w:t>
      </w:r>
      <w:r w:rsidRPr="0097554A">
        <w:rPr>
          <w:color w:val="0000FF"/>
        </w:rPr>
        <w:t>，</w:t>
      </w:r>
      <w:r w:rsidRPr="004C59BB">
        <w:rPr>
          <w:color w:val="0000FF"/>
          <w:lang w:val="ru-RU"/>
        </w:rPr>
        <w:t>一旦不义之人复活</w:t>
      </w:r>
      <w:r w:rsidRPr="0097554A">
        <w:rPr>
          <w:color w:val="0000FF"/>
        </w:rPr>
        <w:t>，</w:t>
      </w:r>
      <w:r w:rsidRPr="004C59BB">
        <w:rPr>
          <w:color w:val="0000FF"/>
          <w:lang w:val="ru-RU"/>
        </w:rPr>
        <w:t>惩罚便随之而来</w:t>
      </w:r>
      <w:r w:rsidRPr="0097554A">
        <w:rPr>
          <w:color w:val="0000FF"/>
        </w:rPr>
        <w:t>”（</w:t>
      </w:r>
      <w:r w:rsidRPr="004C59BB">
        <w:rPr>
          <w:color w:val="0000FF"/>
          <w:lang w:val="ru-RU"/>
        </w:rPr>
        <w:t>基里尔</w:t>
      </w:r>
      <w:r w:rsidRPr="0097554A">
        <w:rPr>
          <w:color w:val="0000FF"/>
        </w:rPr>
        <w:t>·</w:t>
      </w:r>
      <w:r w:rsidRPr="004C59BB">
        <w:rPr>
          <w:color w:val="0000FF"/>
          <w:lang w:val="ru-RU"/>
        </w:rPr>
        <w:t>耶路撒冷</w:t>
      </w:r>
      <w:r w:rsidRPr="0097554A">
        <w:rPr>
          <w:color w:val="0000FF"/>
        </w:rPr>
        <w:t>，</w:t>
      </w:r>
      <w:r w:rsidRPr="004C59BB">
        <w:rPr>
          <w:color w:val="0000FF"/>
          <w:lang w:val="ru-RU"/>
        </w:rPr>
        <w:t>《教义讲授》</w:t>
      </w:r>
      <w:r w:rsidRPr="004C59BB">
        <w:rPr>
          <w:color w:val="0000FF"/>
        </w:rPr>
        <w:t>第十八</w:t>
      </w:r>
      <w:r w:rsidRPr="004C59BB">
        <w:rPr>
          <w:color w:val="0000FF"/>
          <w:lang w:val="ru-RU"/>
        </w:rPr>
        <w:t>卷</w:t>
      </w:r>
      <w:r w:rsidRPr="0097554A">
        <w:rPr>
          <w:color w:val="0000FF"/>
        </w:rPr>
        <w:t>，</w:t>
      </w:r>
      <w:r w:rsidRPr="004C59BB">
        <w:rPr>
          <w:color w:val="0000FF"/>
          <w:lang w:val="ru-RU"/>
        </w:rPr>
        <w:t>第</w:t>
      </w:r>
      <w:r w:rsidRPr="0097554A">
        <w:rPr>
          <w:color w:val="0000FF"/>
        </w:rPr>
        <w:t>14</w:t>
      </w:r>
      <w:r w:rsidRPr="004C59BB">
        <w:rPr>
          <w:color w:val="0000FF"/>
          <w:lang w:val="ru-RU"/>
        </w:rPr>
        <w:t>节</w:t>
      </w:r>
      <w:r w:rsidRPr="0097554A">
        <w:rPr>
          <w:color w:val="0000FF"/>
        </w:rPr>
        <w:t>，</w:t>
      </w:r>
      <w:r w:rsidRPr="004C59BB">
        <w:rPr>
          <w:color w:val="0000FF"/>
          <w:lang w:val="ru-RU"/>
        </w:rPr>
        <w:t>第</w:t>
      </w:r>
      <w:r w:rsidRPr="0097554A">
        <w:rPr>
          <w:color w:val="0000FF"/>
        </w:rPr>
        <w:t>417</w:t>
      </w:r>
      <w:r w:rsidRPr="004C59BB">
        <w:rPr>
          <w:color w:val="0000FF"/>
          <w:lang w:val="ru-RU"/>
        </w:rPr>
        <w:t>页</w:t>
      </w:r>
      <w:r w:rsidRPr="0097554A">
        <w:rPr>
          <w:color w:val="0000FF"/>
        </w:rPr>
        <w:t>）</w:t>
      </w:r>
      <w:r w:rsidRPr="004C59BB">
        <w:rPr>
          <w:color w:val="0000FF"/>
          <w:lang w:val="ru-RU"/>
        </w:rPr>
        <w:t>。</w:t>
      </w:r>
    </w:p>
  </w:footnote>
  <w:footnote w:id="2010">
    <w:p w14:paraId="63C74AF3" w14:textId="17612AE8"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每个人都将看到自己所行的一切</w:t>
      </w:r>
      <w:r w:rsidRPr="0097554A">
        <w:rPr>
          <w:color w:val="0000FF"/>
        </w:rPr>
        <w:t>——</w:t>
      </w:r>
      <w:r w:rsidRPr="004C59BB">
        <w:rPr>
          <w:color w:val="0000FF"/>
          <w:lang w:val="ru-RU"/>
        </w:rPr>
        <w:t>无论是善是恶</w:t>
      </w:r>
      <w:r w:rsidRPr="0097554A">
        <w:rPr>
          <w:color w:val="0000FF"/>
        </w:rPr>
        <w:t>——</w:t>
      </w:r>
      <w:r w:rsidRPr="004C59BB">
        <w:rPr>
          <w:color w:val="0000FF"/>
          <w:lang w:val="ru-RU"/>
        </w:rPr>
        <w:t>都站在自己面前</w:t>
      </w:r>
      <w:r w:rsidRPr="0097554A">
        <w:rPr>
          <w:color w:val="0000FF"/>
        </w:rPr>
        <w:t>”（</w:t>
      </w:r>
      <w:r w:rsidRPr="004C59BB">
        <w:rPr>
          <w:color w:val="0000FF"/>
          <w:lang w:val="ru-RU"/>
        </w:rPr>
        <w:t>埃弗拉姆</w:t>
      </w:r>
      <w:r w:rsidRPr="0097554A">
        <w:rPr>
          <w:color w:val="0000FF"/>
        </w:rPr>
        <w:t>·</w:t>
      </w:r>
      <w:r w:rsidRPr="004C59BB">
        <w:rPr>
          <w:color w:val="0000FF"/>
          <w:lang w:val="ru-RU"/>
        </w:rPr>
        <w:t>西里尔</w:t>
      </w:r>
      <w:r w:rsidRPr="0097554A">
        <w:rPr>
          <w:color w:val="0000FF"/>
        </w:rPr>
        <w:t>，</w:t>
      </w:r>
      <w:r w:rsidRPr="004C59BB">
        <w:rPr>
          <w:color w:val="0000FF"/>
          <w:lang w:val="ru-RU"/>
        </w:rPr>
        <w:t>《论普世复活》一文</w:t>
      </w:r>
      <w:r w:rsidRPr="0097554A">
        <w:rPr>
          <w:color w:val="0000FF"/>
        </w:rPr>
        <w:t>，</w:t>
      </w:r>
      <w:r w:rsidRPr="004C59BB">
        <w:rPr>
          <w:color w:val="0000FF"/>
          <w:lang w:val="ru-RU"/>
        </w:rPr>
        <w:t>载于《圣教父文集》</w:t>
      </w:r>
      <w:r w:rsidRPr="004C59BB">
        <w:rPr>
          <w:color w:val="0000FF"/>
        </w:rPr>
        <w:t>第十四</w:t>
      </w:r>
      <w:r w:rsidRPr="004C59BB">
        <w:rPr>
          <w:color w:val="0000FF"/>
          <w:lang w:val="ru-RU"/>
        </w:rPr>
        <w:t>卷</w:t>
      </w:r>
      <w:r w:rsidRPr="0097554A">
        <w:rPr>
          <w:color w:val="0000FF"/>
        </w:rPr>
        <w:t>，</w:t>
      </w:r>
      <w:r w:rsidRPr="004C59BB">
        <w:rPr>
          <w:color w:val="0000FF"/>
          <w:lang w:val="ru-RU"/>
        </w:rPr>
        <w:t>第</w:t>
      </w:r>
      <w:r w:rsidRPr="0097554A">
        <w:rPr>
          <w:color w:val="0000FF"/>
        </w:rPr>
        <w:t>16</w:t>
      </w:r>
      <w:r w:rsidRPr="004C59BB">
        <w:rPr>
          <w:color w:val="0000FF"/>
          <w:lang w:val="ru-RU"/>
        </w:rPr>
        <w:t>页</w:t>
      </w:r>
      <w:r w:rsidRPr="0097554A">
        <w:rPr>
          <w:color w:val="0000FF"/>
        </w:rPr>
        <w:t>）</w:t>
      </w:r>
      <w:r w:rsidRPr="004C59BB">
        <w:rPr>
          <w:color w:val="0000FF"/>
          <w:lang w:val="ru-RU"/>
        </w:rPr>
        <w:t>。</w:t>
      </w:r>
    </w:p>
  </w:footnote>
  <w:footnote w:id="2011">
    <w:p w14:paraId="524436EC" w14:textId="3E8CB40C"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即便是最微不足道的小事</w:t>
      </w:r>
      <w:r w:rsidRPr="0097554A">
        <w:rPr>
          <w:color w:val="0000FF"/>
        </w:rPr>
        <w:t>，</w:t>
      </w:r>
      <w:r w:rsidRPr="004C59BB">
        <w:rPr>
          <w:color w:val="0000FF"/>
          <w:lang w:val="ru-RU"/>
        </w:rPr>
        <w:t>无论是恶行还是善行</w:t>
      </w:r>
      <w:r w:rsidRPr="0097554A">
        <w:rPr>
          <w:color w:val="0000FF"/>
        </w:rPr>
        <w:t>，</w:t>
      </w:r>
      <w:r w:rsidRPr="004C59BB">
        <w:rPr>
          <w:color w:val="0000FF"/>
          <w:lang w:val="ru-RU"/>
        </w:rPr>
        <w:t>都将面临严苛的考验。就连不检点的目光也会受到惩罚；我们必须为无谓的闲言、为取乐而说的话、为恶言、为心念、为酗酒交账； 同样，在善行方面，无论是端上一杯凉水、说一句温和的话，还是轻轻叹一口气，我们都将获得奖赏。”（金口若望《罗马书讲道集》</w:t>
      </w:r>
      <w:r w:rsidRPr="004C59BB">
        <w:rPr>
          <w:color w:val="0000FF"/>
        </w:rPr>
        <w:t>第三</w:t>
      </w:r>
      <w:r w:rsidRPr="004C59BB">
        <w:rPr>
          <w:color w:val="0000FF"/>
          <w:lang w:val="ru-RU"/>
        </w:rPr>
        <w:t>十一篇，第706页，据俄文译本）。“那里没有一个内心的意念会不被揭露，没有一个眼神能逃脱审判。 即便是私下低语的羞耻之言，在那日也将在公义的审判者面前被揭露，因为祂将隐秘之事公之于众”（埃弗拉姆·西里尔，《论敬畏上帝与末日审判》，载于《圣教父文集》</w:t>
      </w:r>
      <w:r w:rsidRPr="004C59BB">
        <w:rPr>
          <w:color w:val="0000FF"/>
        </w:rPr>
        <w:t>第十五</w:t>
      </w:r>
      <w:r w:rsidRPr="004C59BB">
        <w:rPr>
          <w:color w:val="0000FF"/>
          <w:lang w:val="ru-RU"/>
        </w:rPr>
        <w:t>卷，第302页）。</w:t>
      </w:r>
    </w:p>
  </w:footnote>
  <w:footnote w:id="2012">
    <w:p w14:paraId="4DE2E43F" w14:textId="05D24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参见约翰·金口对《马太福音》第25章的讲道；另见伊拉里乌斯及其他就该福音书撰写注释的作者。</w:t>
      </w:r>
    </w:p>
  </w:footnote>
  <w:footnote w:id="2013">
    <w:p w14:paraId="63330113" w14:textId="14DB2B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对《以赛亚书》1:18的注释，见《圣</w:t>
      </w:r>
      <w:r w:rsidRPr="004C59BB">
        <w:rPr>
          <w:color w:val="0000FF"/>
        </w:rPr>
        <w:t>教父文集》第六卷</w:t>
      </w:r>
      <w:r w:rsidRPr="0097554A">
        <w:rPr>
          <w:color w:val="0000FF"/>
          <w:lang w:val="ru-RU"/>
        </w:rPr>
        <w:t>，</w:t>
      </w:r>
      <w:r w:rsidRPr="004C59BB">
        <w:rPr>
          <w:color w:val="0000FF"/>
        </w:rPr>
        <w:t>第</w:t>
      </w:r>
      <w:r w:rsidRPr="0097554A">
        <w:rPr>
          <w:color w:val="0000FF"/>
          <w:lang w:val="ru-RU"/>
        </w:rPr>
        <w:t>70</w:t>
      </w:r>
      <w:r w:rsidRPr="004C59BB">
        <w:rPr>
          <w:color w:val="0000FF"/>
        </w:rPr>
        <w:t>页。</w:t>
      </w:r>
      <w:r w:rsidRPr="0097554A">
        <w:rPr>
          <w:color w:val="0000FF"/>
          <w:lang w:val="ru-RU"/>
        </w:rPr>
        <w:t xml:space="preserve"> </w:t>
      </w:r>
      <w:r w:rsidRPr="004C59BB">
        <w:rPr>
          <w:color w:val="0000FF"/>
        </w:rPr>
        <w:t>这里所指的是一种神圣的力量</w:t>
      </w:r>
      <w:r w:rsidRPr="0097554A">
        <w:rPr>
          <w:color w:val="0000FF"/>
          <w:lang w:val="ru-RU"/>
        </w:rPr>
        <w:t>，</w:t>
      </w:r>
      <w:r w:rsidRPr="004C59BB">
        <w:rPr>
          <w:color w:val="0000FF"/>
        </w:rPr>
        <w:t>借此</w:t>
      </w:r>
      <w:r w:rsidRPr="0097554A">
        <w:rPr>
          <w:color w:val="0000FF"/>
          <w:lang w:val="ru-RU"/>
        </w:rPr>
        <w:t>，</w:t>
      </w:r>
      <w:r w:rsidRPr="004C59BB">
        <w:rPr>
          <w:color w:val="0000FF"/>
        </w:rPr>
        <w:t>每个人所行的善恶之事都将被唤起记忆</w:t>
      </w:r>
      <w:r w:rsidRPr="0097554A">
        <w:rPr>
          <w:color w:val="0000FF"/>
          <w:lang w:val="ru-RU"/>
        </w:rPr>
        <w:t>，</w:t>
      </w:r>
      <w:r w:rsidRPr="004C59BB">
        <w:rPr>
          <w:color w:val="0000FF"/>
        </w:rPr>
        <w:t>并以心灵的直觉以惊人的速度被洞察</w:t>
      </w:r>
      <w:r w:rsidRPr="0097554A">
        <w:rPr>
          <w:color w:val="0000FF"/>
          <w:lang w:val="ru-RU"/>
        </w:rPr>
        <w:t>，</w:t>
      </w:r>
      <w:r w:rsidRPr="004C59BB">
        <w:rPr>
          <w:color w:val="0000FF"/>
        </w:rPr>
        <w:t>使良知得以凭借这种认知进行指控或辩解</w:t>
      </w:r>
      <w:r w:rsidRPr="0097554A">
        <w:rPr>
          <w:color w:val="0000FF"/>
          <w:lang w:val="ru-RU"/>
        </w:rPr>
        <w:t>，</w:t>
      </w:r>
      <w:r w:rsidRPr="004C59BB">
        <w:rPr>
          <w:color w:val="0000FF"/>
        </w:rPr>
        <w:t>从而使所有人及每个人同时受到审判。</w:t>
      </w:r>
      <w:r w:rsidRPr="0097554A">
        <w:rPr>
          <w:color w:val="0000FF"/>
          <w:lang w:val="ru-RU"/>
        </w:rPr>
        <w:t xml:space="preserve"> </w:t>
      </w:r>
      <w:r w:rsidRPr="004C59BB">
        <w:rPr>
          <w:color w:val="0000FF"/>
        </w:rPr>
        <w:t>这种神性力量确实被命名为</w:t>
      </w:r>
      <w:r w:rsidRPr="0097554A">
        <w:rPr>
          <w:color w:val="0000FF"/>
          <w:lang w:val="ru-RU"/>
        </w:rPr>
        <w:t>“</w:t>
      </w:r>
      <w:r w:rsidRPr="004C59BB">
        <w:rPr>
          <w:color w:val="0000FF"/>
        </w:rPr>
        <w:t>书</w:t>
      </w:r>
      <w:r w:rsidRPr="0097554A">
        <w:rPr>
          <w:color w:val="0000FF"/>
          <w:lang w:val="ru-RU"/>
        </w:rPr>
        <w:t>”：</w:t>
      </w:r>
      <w:r w:rsidRPr="004C59BB">
        <w:rPr>
          <w:color w:val="0000FF"/>
        </w:rPr>
        <w:t>因为在其中</w:t>
      </w:r>
      <w:r w:rsidRPr="0097554A">
        <w:rPr>
          <w:color w:val="0000FF"/>
          <w:lang w:val="ru-RU"/>
        </w:rPr>
        <w:t>，</w:t>
      </w:r>
      <w:r w:rsidRPr="004C59BB">
        <w:rPr>
          <w:color w:val="0000FF"/>
        </w:rPr>
        <w:t>行者所做的一切都会被某种方式地</w:t>
      </w:r>
      <w:r w:rsidRPr="0097554A">
        <w:rPr>
          <w:color w:val="0000FF"/>
          <w:lang w:val="ru-RU"/>
        </w:rPr>
        <w:t>“</w:t>
      </w:r>
      <w:r w:rsidRPr="004C59BB">
        <w:rPr>
          <w:color w:val="0000FF"/>
        </w:rPr>
        <w:t>读出</w:t>
      </w:r>
      <w:r w:rsidRPr="0097554A">
        <w:rPr>
          <w:color w:val="0000FF"/>
          <w:lang w:val="ru-RU"/>
        </w:rPr>
        <w:t>”（</w:t>
      </w:r>
      <w:r w:rsidRPr="004C59BB">
        <w:rPr>
          <w:color w:val="0000FF"/>
        </w:rPr>
        <w:t>奥古斯丁《上帝之城》第</w:t>
      </w:r>
      <w:r w:rsidRPr="0097554A">
        <w:rPr>
          <w:color w:val="0000FF"/>
          <w:lang w:val="ru-RU"/>
        </w:rPr>
        <w:t>22</w:t>
      </w:r>
      <w:r w:rsidRPr="004C59BB">
        <w:rPr>
          <w:color w:val="0000FF"/>
        </w:rPr>
        <w:t>卷</w:t>
      </w:r>
      <w:r w:rsidRPr="004C59BB">
        <w:rPr>
          <w:color w:val="0000FF"/>
          <w:lang w:val="ru-RU"/>
        </w:rPr>
        <w:t>，第14章）。</w:t>
      </w:r>
    </w:p>
  </w:footnote>
  <w:footnote w:id="2014">
    <w:p w14:paraId="33FFCCFD" w14:textId="45F174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《伦理法则》68，第2章，载于《圣教父文集》447。</w:t>
      </w:r>
    </w:p>
  </w:footnote>
  <w:footnote w:id="2015">
    <w:p w14:paraId="79F73D23" w14:textId="70A984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《以赛亚书》注释 </w:t>
      </w:r>
      <w:r w:rsidRPr="004C59BB">
        <w:rPr>
          <w:color w:val="0000FF"/>
        </w:rPr>
        <w:t>III</w:t>
      </w:r>
      <w:r w:rsidRPr="004C59BB">
        <w:rPr>
          <w:color w:val="0000FF"/>
          <w:lang w:val="ru-RU"/>
        </w:rPr>
        <w:t xml:space="preserve">, 13，同上 </w:t>
      </w:r>
      <w:r w:rsidRPr="004C59BB">
        <w:rPr>
          <w:color w:val="0000FF"/>
        </w:rPr>
        <w:t>VI</w:t>
      </w:r>
      <w:r w:rsidRPr="004C59BB">
        <w:rPr>
          <w:color w:val="0000FF"/>
          <w:lang w:val="ru-RU"/>
        </w:rPr>
        <w:t>, 157。</w:t>
      </w:r>
    </w:p>
  </w:footnote>
  <w:footnote w:id="2016">
    <w:p w14:paraId="1991F9DB" w14:textId="0635B1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“君王从宝座上降临，要在地上施行审判；祂的军旅伴随祂而来，满怀敬畏与战栗。这些强大的军团前来作这可畏审判的见证；地上过去和现在所有的人，都要在君王面前受审。 无论过去或将来有多少人降生于世，都将聚集于此，目睹这场审判（以法莲·西里尔《论对上帝的敬畏与末日审判》，载于《圣父著作集》</w:t>
      </w:r>
      <w:r w:rsidRPr="004C59BB">
        <w:rPr>
          <w:color w:val="0000FF"/>
        </w:rPr>
        <w:t>第十五卷</w:t>
      </w:r>
      <w:r w:rsidRPr="004C59BB">
        <w:rPr>
          <w:color w:val="0000FF"/>
          <w:lang w:val="ru-RU"/>
        </w:rPr>
        <w:t>，305–306页）。</w:t>
      </w:r>
    </w:p>
  </w:footnote>
  <w:footnote w:id="2017">
    <w:p w14:paraId="1A9B61FC" w14:textId="332EF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“祂将召聚天地一同在审判中与祂同在；天上与地下的众生都将怀着敬畏与战栗站在祂面前。天上的军旅与阴间的军团，都将在那位不宽恕的审判者面前战栗，祂的降临将伴随着恐怖与死亡”（同上，302–303）。</w:t>
      </w:r>
    </w:p>
  </w:footnote>
  <w:footnote w:id="2018">
    <w:p w14:paraId="65441F95" w14:textId="77188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“这一审判将是唯一的、最终的、可怕的，而且与其说可怕，不如说它更公正；或者更确切地说，正因为它公正，所以才令人恐惧”（格里高利·神学家，《在圣父面前的讲道》，《圣教父著作集》</w:t>
      </w:r>
      <w:r w:rsidRPr="004C59BB">
        <w:rPr>
          <w:color w:val="0000FF"/>
        </w:rPr>
        <w:t>第二</w:t>
      </w:r>
      <w:r w:rsidRPr="004C59BB">
        <w:rPr>
          <w:color w:val="0000FF"/>
          <w:lang w:val="ru-RU"/>
        </w:rPr>
        <w:t>卷，55）。</w:t>
      </w:r>
    </w:p>
  </w:footnote>
  <w:footnote w:id="2019">
    <w:p w14:paraId="4C8A5E39" w14:textId="0E0D9E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反异端论</w:t>
      </w:r>
      <w:r w:rsidRPr="004C59BB">
        <w:rPr>
          <w:color w:val="0000FF"/>
          <w:lang w:val="ru-RU"/>
        </w:rPr>
        <w:t>》</w:t>
      </w:r>
      <w:r w:rsidRPr="004C59BB">
        <w:rPr>
          <w:color w:val="0000FF"/>
        </w:rPr>
        <w:t>第五卷</w:t>
      </w:r>
      <w:r w:rsidRPr="004C59BB">
        <w:rPr>
          <w:color w:val="0000FF"/>
          <w:lang w:val="ru-RU"/>
        </w:rPr>
        <w:t>，第36章。</w:t>
      </w:r>
    </w:p>
  </w:footnote>
  <w:footnote w:id="2020">
    <w:p w14:paraId="19DE8FC3" w14:textId="5BB480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《教义概要》</w:t>
      </w:r>
      <w:r w:rsidRPr="004C59BB">
        <w:rPr>
          <w:color w:val="0000FF"/>
        </w:rPr>
        <w:t>第十五卷</w:t>
      </w:r>
      <w:r w:rsidRPr="004C59BB">
        <w:rPr>
          <w:color w:val="0000FF"/>
          <w:lang w:val="ru-RU"/>
        </w:rPr>
        <w:t>，第3条，第310–312页。</w:t>
      </w:r>
    </w:p>
  </w:footnote>
  <w:footnote w:id="2021">
    <w:p w14:paraId="51754621" w14:textId="47D4FF53"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《关于六日创造的讲道》</w:t>
      </w:r>
      <w:r w:rsidRPr="004C59BB">
        <w:rPr>
          <w:color w:val="0000FF"/>
        </w:rPr>
        <w:t>第一</w:t>
      </w:r>
      <w:r w:rsidRPr="004C59BB">
        <w:rPr>
          <w:color w:val="0000FF"/>
          <w:lang w:val="ru-RU"/>
        </w:rPr>
        <w:t>卷，载于《圣教父文集》</w:t>
      </w:r>
      <w:r w:rsidRPr="004C59BB">
        <w:rPr>
          <w:color w:val="0000FF"/>
        </w:rPr>
        <w:t>第五卷</w:t>
      </w:r>
      <w:r w:rsidRPr="004C59BB">
        <w:rPr>
          <w:color w:val="0000FF"/>
          <w:lang w:val="ru-RU"/>
        </w:rPr>
        <w:t>，第6、</w:t>
      </w:r>
      <w:r w:rsidRPr="0097554A">
        <w:rPr>
          <w:color w:val="0000FF"/>
          <w:lang w:val="ru-RU"/>
        </w:rPr>
        <w:t>7</w:t>
      </w:r>
      <w:r w:rsidRPr="004C59BB">
        <w:rPr>
          <w:color w:val="0000FF"/>
        </w:rPr>
        <w:t>章。</w:t>
      </w:r>
    </w:p>
  </w:footnote>
  <w:footnote w:id="2022">
    <w:p w14:paraId="53848FB1" w14:textId="0F8456B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《以赛亚书》第LXV章。</w:t>
      </w:r>
    </w:p>
  </w:footnote>
  <w:footnote w:id="2023">
    <w:p w14:paraId="550E0B8E" w14:textId="6ED57712"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贾斯汀</w:t>
      </w:r>
      <w:r w:rsidRPr="0097554A">
        <w:rPr>
          <w:color w:val="0000FF"/>
          <w:lang w:val="ru-RU"/>
        </w:rPr>
        <w:t>，</w:t>
      </w:r>
      <w:r w:rsidRPr="004C59BB">
        <w:rPr>
          <w:color w:val="0000FF"/>
        </w:rPr>
        <w:t>《护教辞》第</w:t>
      </w:r>
      <w:r w:rsidRPr="0097554A">
        <w:rPr>
          <w:color w:val="0000FF"/>
          <w:lang w:val="ru-RU"/>
        </w:rPr>
        <w:t>1</w:t>
      </w:r>
      <w:r w:rsidRPr="004C59BB">
        <w:rPr>
          <w:color w:val="0000FF"/>
        </w:rPr>
        <w:t>卷</w:t>
      </w:r>
      <w:r w:rsidRPr="0097554A">
        <w:rPr>
          <w:color w:val="0000FF"/>
          <w:lang w:val="ru-RU"/>
        </w:rPr>
        <w:t>，</w:t>
      </w:r>
      <w:r w:rsidRPr="004C59BB">
        <w:rPr>
          <w:color w:val="0000FF"/>
        </w:rPr>
        <w:t>第</w:t>
      </w:r>
      <w:r w:rsidRPr="0097554A">
        <w:rPr>
          <w:color w:val="0000FF"/>
          <w:lang w:val="ru-RU"/>
        </w:rPr>
        <w:t>59</w:t>
      </w:r>
      <w:r w:rsidRPr="004C59BB">
        <w:rPr>
          <w:color w:val="0000FF"/>
        </w:rPr>
        <w:t>条</w:t>
      </w:r>
      <w:r w:rsidRPr="0097554A">
        <w:rPr>
          <w:color w:val="0000FF"/>
          <w:lang w:val="ru-RU"/>
        </w:rPr>
        <w:t>；</w:t>
      </w:r>
      <w:r w:rsidRPr="004C59BB">
        <w:rPr>
          <w:color w:val="0000FF"/>
        </w:rPr>
        <w:t>第</w:t>
      </w:r>
      <w:r w:rsidRPr="0097554A">
        <w:rPr>
          <w:color w:val="0000FF"/>
          <w:lang w:val="ru-RU"/>
        </w:rPr>
        <w:t>2</w:t>
      </w:r>
      <w:r w:rsidRPr="004C59BB">
        <w:rPr>
          <w:color w:val="0000FF"/>
        </w:rPr>
        <w:t>卷</w:t>
      </w:r>
      <w:r w:rsidRPr="0097554A">
        <w:rPr>
          <w:color w:val="0000FF"/>
          <w:lang w:val="ru-RU"/>
        </w:rPr>
        <w:t>，</w:t>
      </w:r>
      <w:r w:rsidRPr="004C59BB">
        <w:rPr>
          <w:color w:val="0000FF"/>
        </w:rPr>
        <w:t>第</w:t>
      </w:r>
      <w:r w:rsidRPr="0097554A">
        <w:rPr>
          <w:color w:val="0000FF"/>
          <w:lang w:val="ru-RU"/>
        </w:rPr>
        <w:t>7</w:t>
      </w:r>
      <w:r w:rsidRPr="004C59BB">
        <w:rPr>
          <w:color w:val="0000FF"/>
        </w:rPr>
        <w:t>条</w:t>
      </w:r>
      <w:r w:rsidRPr="0097554A">
        <w:rPr>
          <w:color w:val="0000FF"/>
          <w:lang w:val="ru-RU"/>
        </w:rPr>
        <w:t>；</w:t>
      </w:r>
      <w:r w:rsidRPr="004C59BB">
        <w:rPr>
          <w:color w:val="0000FF"/>
        </w:rPr>
        <w:t>阿提纳格斯</w:t>
      </w:r>
      <w:r w:rsidRPr="0097554A">
        <w:rPr>
          <w:color w:val="0000FF"/>
          <w:lang w:val="ru-RU"/>
        </w:rPr>
        <w:t>，</w:t>
      </w:r>
      <w:r w:rsidRPr="004C59BB">
        <w:rPr>
          <w:color w:val="0000FF"/>
        </w:rPr>
        <w:t>《使节》</w:t>
      </w:r>
      <w:r w:rsidRPr="0097554A">
        <w:rPr>
          <w:color w:val="0000FF"/>
          <w:lang w:val="ru-RU"/>
        </w:rPr>
        <w:t>，</w:t>
      </w:r>
      <w:r w:rsidRPr="004C59BB">
        <w:rPr>
          <w:color w:val="0000FF"/>
        </w:rPr>
        <w:t>第</w:t>
      </w:r>
      <w:r w:rsidRPr="0097554A">
        <w:rPr>
          <w:color w:val="0000FF"/>
          <w:lang w:val="ru-RU"/>
        </w:rPr>
        <w:t>22</w:t>
      </w:r>
      <w:r w:rsidRPr="004C59BB">
        <w:rPr>
          <w:color w:val="0000FF"/>
        </w:rPr>
        <w:t>章</w:t>
      </w:r>
      <w:r w:rsidRPr="0097554A">
        <w:rPr>
          <w:color w:val="0000FF"/>
          <w:lang w:val="ru-RU"/>
        </w:rPr>
        <w:t>；</w:t>
      </w:r>
      <w:r w:rsidRPr="004C59BB">
        <w:rPr>
          <w:color w:val="0000FF"/>
        </w:rPr>
        <w:t>塔西安</w:t>
      </w:r>
      <w:r w:rsidRPr="0097554A">
        <w:rPr>
          <w:color w:val="0000FF"/>
          <w:lang w:val="ru-RU"/>
        </w:rPr>
        <w:t>，</w:t>
      </w:r>
      <w:r w:rsidRPr="004C59BB">
        <w:rPr>
          <w:color w:val="0000FF"/>
        </w:rPr>
        <w:t>《反希腊人》</w:t>
      </w:r>
      <w:r w:rsidRPr="0097554A">
        <w:rPr>
          <w:color w:val="0000FF"/>
          <w:lang w:val="ru-RU"/>
        </w:rPr>
        <w:t>，</w:t>
      </w:r>
      <w:r w:rsidRPr="004C59BB">
        <w:rPr>
          <w:color w:val="0000FF"/>
        </w:rPr>
        <w:t>第</w:t>
      </w:r>
      <w:r w:rsidRPr="0097554A">
        <w:rPr>
          <w:color w:val="0000FF"/>
          <w:lang w:val="ru-RU"/>
        </w:rPr>
        <w:t>25</w:t>
      </w:r>
      <w:r w:rsidRPr="004C59BB">
        <w:rPr>
          <w:color w:val="0000FF"/>
        </w:rPr>
        <w:t>章</w:t>
      </w:r>
      <w:r w:rsidRPr="0097554A">
        <w:rPr>
          <w:color w:val="0000FF"/>
          <w:lang w:val="ru-RU"/>
        </w:rPr>
        <w:t>；</w:t>
      </w:r>
      <w:r w:rsidRPr="004C59BB">
        <w:rPr>
          <w:color w:val="0000FF"/>
        </w:rPr>
        <w:t>西奥菲勒斯</w:t>
      </w:r>
      <w:r w:rsidRPr="0097554A">
        <w:rPr>
          <w:color w:val="0000FF"/>
          <w:lang w:val="ru-RU"/>
        </w:rPr>
        <w:t>，</w:t>
      </w:r>
      <w:r w:rsidRPr="004C59BB">
        <w:rPr>
          <w:color w:val="0000FF"/>
        </w:rPr>
        <w:t>《反奥托利库斯》</w:t>
      </w:r>
      <w:r w:rsidRPr="0097554A">
        <w:rPr>
          <w:color w:val="0000FF"/>
          <w:lang w:val="ru-RU"/>
        </w:rPr>
        <w:t>，</w:t>
      </w:r>
      <w:r w:rsidRPr="004C59BB">
        <w:rPr>
          <w:color w:val="0000FF"/>
        </w:rPr>
        <w:t>第</w:t>
      </w:r>
      <w:r w:rsidRPr="0097554A">
        <w:rPr>
          <w:color w:val="0000FF"/>
          <w:lang w:val="ru-RU"/>
        </w:rPr>
        <w:t>2</w:t>
      </w:r>
      <w:r w:rsidRPr="004C59BB">
        <w:rPr>
          <w:color w:val="0000FF"/>
        </w:rPr>
        <w:t>卷</w:t>
      </w:r>
      <w:r w:rsidRPr="0097554A">
        <w:rPr>
          <w:color w:val="0000FF"/>
          <w:lang w:val="ru-RU"/>
        </w:rPr>
        <w:t>，</w:t>
      </w:r>
      <w:r w:rsidRPr="004C59BB">
        <w:rPr>
          <w:color w:val="0000FF"/>
        </w:rPr>
        <w:t>第</w:t>
      </w:r>
      <w:r w:rsidRPr="0097554A">
        <w:rPr>
          <w:color w:val="0000FF"/>
          <w:lang w:val="ru-RU"/>
        </w:rPr>
        <w:t>37</w:t>
      </w:r>
      <w:r w:rsidRPr="004C59BB">
        <w:rPr>
          <w:color w:val="0000FF"/>
        </w:rPr>
        <w:t>、</w:t>
      </w:r>
      <w:r w:rsidRPr="0097554A">
        <w:rPr>
          <w:color w:val="0000FF"/>
          <w:lang w:val="ru-RU"/>
        </w:rPr>
        <w:t>38</w:t>
      </w:r>
      <w:r w:rsidRPr="004C59BB">
        <w:rPr>
          <w:color w:val="0000FF"/>
        </w:rPr>
        <w:t>章</w:t>
      </w:r>
      <w:r w:rsidRPr="0097554A">
        <w:rPr>
          <w:color w:val="0000FF"/>
          <w:lang w:val="ru-RU"/>
        </w:rPr>
        <w:t>；</w:t>
      </w:r>
      <w:r w:rsidRPr="004C59BB">
        <w:rPr>
          <w:color w:val="0000FF"/>
        </w:rPr>
        <w:t>米努修斯</w:t>
      </w:r>
      <w:r w:rsidRPr="0097554A">
        <w:rPr>
          <w:color w:val="0000FF"/>
          <w:lang w:val="ru-RU"/>
        </w:rPr>
        <w:t>·</w:t>
      </w:r>
      <w:r w:rsidRPr="004C59BB">
        <w:rPr>
          <w:color w:val="0000FF"/>
        </w:rPr>
        <w:t>费利克斯</w:t>
      </w:r>
      <w:r w:rsidRPr="0097554A">
        <w:rPr>
          <w:color w:val="0000FF"/>
          <w:lang w:val="ru-RU"/>
        </w:rPr>
        <w:t>，</w:t>
      </w:r>
      <w:r w:rsidRPr="004C59BB">
        <w:rPr>
          <w:color w:val="0000FF"/>
        </w:rPr>
        <w:t>《八日节》</w:t>
      </w:r>
      <w:r w:rsidRPr="0097554A">
        <w:rPr>
          <w:color w:val="0000FF"/>
          <w:lang w:val="ru-RU"/>
        </w:rPr>
        <w:t>，</w:t>
      </w:r>
      <w:r w:rsidRPr="004C59BB">
        <w:rPr>
          <w:color w:val="0000FF"/>
        </w:rPr>
        <w:t>第</w:t>
      </w:r>
      <w:r w:rsidRPr="0097554A">
        <w:rPr>
          <w:color w:val="0000FF"/>
          <w:lang w:val="ru-RU"/>
        </w:rPr>
        <w:t>34</w:t>
      </w:r>
      <w:r w:rsidRPr="004C59BB">
        <w:rPr>
          <w:color w:val="0000FF"/>
        </w:rPr>
        <w:t>章</w:t>
      </w:r>
      <w:r w:rsidRPr="0097554A">
        <w:rPr>
          <w:color w:val="0000FF"/>
          <w:lang w:val="ru-RU"/>
        </w:rPr>
        <w:t xml:space="preserve">； </w:t>
      </w:r>
      <w:r w:rsidRPr="004C59BB">
        <w:rPr>
          <w:color w:val="0000FF"/>
        </w:rPr>
        <w:t>希波吕托斯《论基督与敌基督》第</w:t>
      </w:r>
      <w:r w:rsidRPr="0097554A">
        <w:rPr>
          <w:color w:val="0000FF"/>
          <w:lang w:val="ru-RU"/>
        </w:rPr>
        <w:t>64</w:t>
      </w:r>
      <w:r w:rsidRPr="004C59BB">
        <w:rPr>
          <w:color w:val="0000FF"/>
        </w:rPr>
        <w:t>章</w:t>
      </w:r>
      <w:r w:rsidRPr="0097554A">
        <w:rPr>
          <w:color w:val="0000FF"/>
          <w:lang w:val="ru-RU"/>
        </w:rPr>
        <w:t>；</w:t>
      </w:r>
      <w:r w:rsidRPr="004C59BB">
        <w:rPr>
          <w:color w:val="0000FF"/>
        </w:rPr>
        <w:t>梅福迪乌斯《十位童贞女的筵席》第九篇</w:t>
      </w:r>
      <w:r w:rsidRPr="0097554A">
        <w:rPr>
          <w:color w:val="0000FF"/>
          <w:lang w:val="ru-RU"/>
        </w:rPr>
        <w:t>，</w:t>
      </w:r>
      <w:r w:rsidRPr="004C59BB">
        <w:rPr>
          <w:color w:val="0000FF"/>
        </w:rPr>
        <w:t>注</w:t>
      </w:r>
      <w:r w:rsidRPr="0097554A">
        <w:rPr>
          <w:color w:val="0000FF"/>
          <w:lang w:val="ru-RU"/>
        </w:rPr>
        <w:t>1；</w:t>
      </w:r>
      <w:r w:rsidRPr="004C59BB">
        <w:rPr>
          <w:color w:val="0000FF"/>
        </w:rPr>
        <w:t>奥利金《反塞尔苏斯》第四卷</w:t>
      </w:r>
      <w:r w:rsidRPr="0097554A">
        <w:rPr>
          <w:color w:val="0000FF"/>
          <w:lang w:val="ru-RU"/>
        </w:rPr>
        <w:t>，</w:t>
      </w:r>
      <w:r w:rsidRPr="004C59BB">
        <w:rPr>
          <w:color w:val="0000FF"/>
        </w:rPr>
        <w:t>第</w:t>
      </w:r>
      <w:r w:rsidRPr="0097554A">
        <w:rPr>
          <w:color w:val="0000FF"/>
          <w:lang w:val="ru-RU"/>
        </w:rPr>
        <w:t>11</w:t>
      </w:r>
      <w:r w:rsidRPr="004C59BB">
        <w:rPr>
          <w:color w:val="0000FF"/>
        </w:rPr>
        <w:t>、</w:t>
      </w:r>
      <w:r w:rsidRPr="004C59BB">
        <w:rPr>
          <w:color w:val="0000FF"/>
          <w:lang w:val="ru-RU"/>
        </w:rPr>
        <w:t>12节；</w:t>
      </w:r>
      <w:r w:rsidRPr="004C59BB">
        <w:rPr>
          <w:color w:val="0000FF"/>
        </w:rPr>
        <w:t>第五</w:t>
      </w:r>
      <w:r w:rsidRPr="004C59BB">
        <w:rPr>
          <w:color w:val="0000FF"/>
          <w:lang w:val="ru-RU"/>
        </w:rPr>
        <w:t>卷，第15节；奥古斯丁</w:t>
      </w:r>
      <w:r w:rsidRPr="004C59BB">
        <w:rPr>
          <w:color w:val="0000FF"/>
        </w:rPr>
        <w:t>《上帝之</w:t>
      </w:r>
      <w:r w:rsidRPr="004C59BB">
        <w:rPr>
          <w:color w:val="0000FF"/>
          <w:lang w:val="ru-RU"/>
        </w:rPr>
        <w:t>城》</w:t>
      </w:r>
      <w:r w:rsidRPr="004C59BB">
        <w:rPr>
          <w:color w:val="0000FF"/>
        </w:rPr>
        <w:t>第二十</w:t>
      </w:r>
      <w:r w:rsidRPr="004C59BB">
        <w:rPr>
          <w:color w:val="0000FF"/>
          <w:lang w:val="ru-RU"/>
        </w:rPr>
        <w:t>卷，第16章。</w:t>
      </w:r>
    </w:p>
  </w:footnote>
  <w:footnote w:id="2024">
    <w:p w14:paraId="6B41F113" w14:textId="01044C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教规第十</w:t>
      </w:r>
      <w:r w:rsidRPr="004C59BB">
        <w:rPr>
          <w:color w:val="0000FF"/>
          <w:lang w:val="ru-RU"/>
        </w:rPr>
        <w:t>、</w:t>
      </w:r>
      <w:r w:rsidRPr="004C59BB">
        <w:rPr>
          <w:color w:val="0000FF"/>
        </w:rPr>
        <w:t>第十一条</w:t>
      </w:r>
      <w:r w:rsidRPr="004C59BB">
        <w:rPr>
          <w:color w:val="0000FF"/>
          <w:lang w:val="ru-RU"/>
        </w:rPr>
        <w:t>。</w:t>
      </w:r>
    </w:p>
  </w:footnote>
  <w:footnote w:id="2025">
    <w:p w14:paraId="249CD9B4" w14:textId="7E68C9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“他将从那里再来，审判活人死人，并要作王直到永远；他的国度永无止境”（接纳异教徒礼仪，第</w:t>
      </w:r>
    </w:p>
  </w:footnote>
  <w:footnote w:id="2026">
    <w:p w14:paraId="58E13190" w14:textId="5F7EB35B"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格里高利·神学家，《论神学》</w:t>
      </w:r>
      <w:r w:rsidRPr="004C59BB">
        <w:rPr>
          <w:color w:val="0000FF"/>
        </w:rPr>
        <w:t>第四</w:t>
      </w:r>
      <w:r w:rsidRPr="004C59BB">
        <w:rPr>
          <w:color w:val="0000FF"/>
          <w:lang w:val="ru-RU"/>
        </w:rPr>
        <w:t>卷，载于《</w:t>
      </w:r>
      <w:r w:rsidRPr="004C59BB">
        <w:rPr>
          <w:color w:val="0000FF"/>
        </w:rPr>
        <w:t>圣教父文集》第三卷</w:t>
      </w:r>
      <w:r w:rsidRPr="0097554A">
        <w:rPr>
          <w:color w:val="0000FF"/>
          <w:lang w:val="ru-RU"/>
        </w:rPr>
        <w:t>，81–82；</w:t>
      </w:r>
      <w:r w:rsidRPr="004C59BB">
        <w:rPr>
          <w:color w:val="0000FF"/>
        </w:rPr>
        <w:t>约翰</w:t>
      </w:r>
      <w:r w:rsidRPr="0097554A">
        <w:rPr>
          <w:color w:val="0000FF"/>
          <w:lang w:val="ru-RU"/>
        </w:rPr>
        <w:t>·</w:t>
      </w:r>
      <w:r w:rsidRPr="004C59BB">
        <w:rPr>
          <w:color w:val="0000FF"/>
        </w:rPr>
        <w:t>金口</w:t>
      </w:r>
      <w:r w:rsidRPr="0097554A">
        <w:rPr>
          <w:color w:val="0000FF"/>
          <w:lang w:val="ru-RU"/>
        </w:rPr>
        <w:t>，</w:t>
      </w:r>
      <w:r w:rsidRPr="004C59BB">
        <w:rPr>
          <w:color w:val="0000FF"/>
        </w:rPr>
        <w:t>《哥林多前书讲道集》第三十九篇</w:t>
      </w:r>
      <w:r w:rsidRPr="0097554A">
        <w:rPr>
          <w:color w:val="0000FF"/>
          <w:lang w:val="ru-RU"/>
        </w:rPr>
        <w:t>，</w:t>
      </w:r>
      <w:r w:rsidRPr="004C59BB">
        <w:rPr>
          <w:color w:val="0000FF"/>
        </w:rPr>
        <w:t>论第十五章第</w:t>
      </w:r>
      <w:r w:rsidRPr="0097554A">
        <w:rPr>
          <w:color w:val="0000FF"/>
          <w:lang w:val="ru-RU"/>
        </w:rPr>
        <w:t>24</w:t>
      </w:r>
      <w:r w:rsidRPr="004C59BB">
        <w:rPr>
          <w:color w:val="0000FF"/>
        </w:rPr>
        <w:t>节。</w:t>
      </w:r>
    </w:p>
  </w:footnote>
  <w:footnote w:id="2027">
    <w:p w14:paraId="087D18E1" w14:textId="7712B21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关于《哥林多前书》</w:t>
      </w:r>
      <w:r w:rsidRPr="0097554A">
        <w:rPr>
          <w:color w:val="0000FF"/>
          <w:lang w:val="ru-RU"/>
        </w:rPr>
        <w:t>15:24</w:t>
      </w:r>
      <w:r w:rsidRPr="004C59BB">
        <w:rPr>
          <w:color w:val="0000FF"/>
        </w:rPr>
        <w:t>的经文</w:t>
      </w:r>
      <w:r w:rsidRPr="0097554A">
        <w:rPr>
          <w:color w:val="0000FF"/>
          <w:lang w:val="ru-RU"/>
        </w:rPr>
        <w:t>，</w:t>
      </w:r>
      <w:r w:rsidRPr="004C59BB">
        <w:rPr>
          <w:color w:val="0000FF"/>
        </w:rPr>
        <w:t>见《基督读本》</w:t>
      </w:r>
      <w:r w:rsidRPr="0097554A">
        <w:rPr>
          <w:color w:val="0000FF"/>
          <w:lang w:val="ru-RU"/>
        </w:rPr>
        <w:t>1837</w:t>
      </w:r>
      <w:r w:rsidRPr="004C59BB">
        <w:rPr>
          <w:color w:val="0000FF"/>
        </w:rPr>
        <w:t>年版</w:t>
      </w:r>
      <w:r w:rsidRPr="0097554A">
        <w:rPr>
          <w:color w:val="0000FF"/>
          <w:lang w:val="ru-RU"/>
        </w:rPr>
        <w:t>，</w:t>
      </w:r>
      <w:r w:rsidRPr="004C59BB">
        <w:rPr>
          <w:color w:val="0000FF"/>
        </w:rPr>
        <w:t>第二卷</w:t>
      </w:r>
      <w:r w:rsidRPr="0097554A">
        <w:rPr>
          <w:color w:val="0000FF"/>
          <w:lang w:val="ru-RU"/>
        </w:rPr>
        <w:t>，</w:t>
      </w:r>
      <w:r w:rsidRPr="004C59BB">
        <w:rPr>
          <w:color w:val="0000FF"/>
        </w:rPr>
        <w:t>第</w:t>
      </w:r>
      <w:r w:rsidRPr="0097554A">
        <w:rPr>
          <w:color w:val="0000FF"/>
          <w:lang w:val="ru-RU"/>
        </w:rPr>
        <w:t>18–19</w:t>
      </w:r>
      <w:r w:rsidRPr="004C59BB">
        <w:rPr>
          <w:color w:val="0000FF"/>
        </w:rPr>
        <w:t>页。</w:t>
      </w:r>
    </w:p>
  </w:footnote>
  <w:footnote w:id="2028">
    <w:p w14:paraId="64AEA043" w14:textId="563F33B6"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《教义概要》第十五</w:t>
      </w:r>
      <w:r w:rsidRPr="004C59BB">
        <w:rPr>
          <w:color w:val="0000FF"/>
          <w:lang w:val="ru-RU"/>
        </w:rPr>
        <w:t>卷，第26、27、29条，第335–338页。</w:t>
      </w:r>
    </w:p>
  </w:footnote>
  <w:footnote w:id="2029">
    <w:p w14:paraId="5FA2EFAB" w14:textId="02B1CD73"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优西比乌，《教会史》</w:t>
      </w:r>
      <w:r w:rsidRPr="004C59BB">
        <w:rPr>
          <w:color w:val="0000FF"/>
        </w:rPr>
        <w:t>第三</w:t>
      </w:r>
      <w:r w:rsidRPr="004C59BB">
        <w:rPr>
          <w:color w:val="0000FF"/>
          <w:lang w:val="ru-RU"/>
        </w:rPr>
        <w:t>卷，第28章；</w:t>
      </w:r>
      <w:r w:rsidRPr="004C59BB">
        <w:rPr>
          <w:color w:val="0000FF"/>
        </w:rPr>
        <w:t>第七</w:t>
      </w:r>
      <w:r w:rsidRPr="004C59BB">
        <w:rPr>
          <w:color w:val="0000FF"/>
          <w:lang w:val="ru-RU"/>
        </w:rPr>
        <w:t>卷，第25章；奥古斯丁，《</w:t>
      </w:r>
      <w:r w:rsidRPr="004C59BB">
        <w:rPr>
          <w:color w:val="0000FF"/>
        </w:rPr>
        <w:t>异端</w:t>
      </w:r>
      <w:r w:rsidRPr="004C59BB">
        <w:rPr>
          <w:color w:val="0000FF"/>
          <w:lang w:val="ru-RU"/>
        </w:rPr>
        <w:t>驳论》，第8页；狄奥多里特，《</w:t>
      </w:r>
      <w:r w:rsidRPr="004C59BB">
        <w:rPr>
          <w:color w:val="0000FF"/>
        </w:rPr>
        <w:t>异端</w:t>
      </w:r>
      <w:r w:rsidRPr="004C59BB">
        <w:rPr>
          <w:color w:val="0000FF"/>
          <w:lang w:val="ru-RU"/>
        </w:rPr>
        <w:t>驳论》</w:t>
      </w:r>
      <w:r w:rsidRPr="0097554A">
        <w:rPr>
          <w:color w:val="0000FF"/>
          <w:lang w:val="ru-RU"/>
        </w:rPr>
        <w:t>，</w:t>
      </w:r>
      <w:r w:rsidRPr="004C59BB">
        <w:rPr>
          <w:color w:val="0000FF"/>
        </w:rPr>
        <w:t>法布里西乌斯编</w:t>
      </w:r>
      <w:r w:rsidRPr="0097554A">
        <w:rPr>
          <w:color w:val="0000FF"/>
          <w:lang w:val="ru-RU"/>
        </w:rPr>
        <w:t>，</w:t>
      </w:r>
      <w:r w:rsidRPr="004C59BB">
        <w:rPr>
          <w:color w:val="0000FF"/>
        </w:rPr>
        <w:t>第二卷</w:t>
      </w:r>
      <w:r w:rsidRPr="0097554A">
        <w:rPr>
          <w:color w:val="0000FF"/>
          <w:lang w:val="ru-RU"/>
        </w:rPr>
        <w:t>，</w:t>
      </w:r>
      <w:r w:rsidRPr="004C59BB">
        <w:rPr>
          <w:color w:val="0000FF"/>
        </w:rPr>
        <w:t>第</w:t>
      </w:r>
      <w:r w:rsidRPr="0097554A">
        <w:rPr>
          <w:color w:val="0000FF"/>
          <w:lang w:val="ru-RU"/>
        </w:rPr>
        <w:t>3</w:t>
      </w:r>
      <w:r w:rsidRPr="004C59BB">
        <w:rPr>
          <w:color w:val="0000FF"/>
        </w:rPr>
        <w:t>章。</w:t>
      </w:r>
    </w:p>
  </w:footnote>
  <w:footnote w:id="2030">
    <w:p w14:paraId="5F1F58A6" w14:textId="152DE34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杰罗姆。《以赛亚书注释》LXVI</w:t>
      </w:r>
      <w:r w:rsidRPr="0097554A">
        <w:rPr>
          <w:color w:val="0000FF"/>
          <w:lang w:val="ru-RU"/>
        </w:rPr>
        <w:t>, 20</w:t>
      </w:r>
      <w:r w:rsidRPr="004C59BB">
        <w:rPr>
          <w:color w:val="0000FF"/>
        </w:rPr>
        <w:t>。</w:t>
      </w:r>
    </w:p>
  </w:footnote>
  <w:footnote w:id="2031">
    <w:p w14:paraId="4003452F" w14:textId="5833843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特土良</w:t>
      </w:r>
      <w:r w:rsidRPr="0097554A">
        <w:rPr>
          <w:color w:val="0000FF"/>
          <w:lang w:val="ru-RU"/>
        </w:rPr>
        <w:t>，</w:t>
      </w:r>
      <w:r w:rsidRPr="004C59BB">
        <w:rPr>
          <w:color w:val="0000FF"/>
        </w:rPr>
        <w:t>《反马吉安论》第I卷</w:t>
      </w:r>
      <w:r w:rsidRPr="0097554A">
        <w:rPr>
          <w:color w:val="0000FF"/>
          <w:lang w:val="ru-RU"/>
        </w:rPr>
        <w:t>，</w:t>
      </w:r>
      <w:r w:rsidRPr="004C59BB">
        <w:rPr>
          <w:color w:val="0000FF"/>
        </w:rPr>
        <w:t>第</w:t>
      </w:r>
      <w:r w:rsidRPr="0097554A">
        <w:rPr>
          <w:color w:val="0000FF"/>
          <w:lang w:val="ru-RU"/>
        </w:rPr>
        <w:t>29</w:t>
      </w:r>
      <w:r w:rsidRPr="004C59BB">
        <w:rPr>
          <w:color w:val="0000FF"/>
        </w:rPr>
        <w:t>章</w:t>
      </w:r>
      <w:r w:rsidRPr="0097554A">
        <w:rPr>
          <w:color w:val="0000FF"/>
          <w:lang w:val="ru-RU"/>
        </w:rPr>
        <w:t>；</w:t>
      </w:r>
      <w:r w:rsidRPr="004C59BB">
        <w:rPr>
          <w:color w:val="0000FF"/>
        </w:rPr>
        <w:t>第IV卷</w:t>
      </w:r>
      <w:r w:rsidRPr="0097554A">
        <w:rPr>
          <w:color w:val="0000FF"/>
          <w:lang w:val="ru-RU"/>
        </w:rPr>
        <w:t>，</w:t>
      </w:r>
      <w:r w:rsidRPr="004C59BB">
        <w:rPr>
          <w:color w:val="0000FF"/>
        </w:rPr>
        <w:t>第</w:t>
      </w:r>
      <w:r w:rsidRPr="0097554A">
        <w:rPr>
          <w:color w:val="0000FF"/>
          <w:lang w:val="ru-RU"/>
        </w:rPr>
        <w:t>29</w:t>
      </w:r>
      <w:r w:rsidRPr="004C59BB">
        <w:rPr>
          <w:color w:val="0000FF"/>
        </w:rPr>
        <w:t>章</w:t>
      </w:r>
      <w:r w:rsidRPr="0097554A">
        <w:rPr>
          <w:color w:val="0000FF"/>
          <w:lang w:val="ru-RU"/>
        </w:rPr>
        <w:t>；</w:t>
      </w:r>
      <w:r w:rsidRPr="004C59BB">
        <w:rPr>
          <w:color w:val="0000FF"/>
        </w:rPr>
        <w:t>第V卷</w:t>
      </w:r>
      <w:r w:rsidRPr="0097554A">
        <w:rPr>
          <w:color w:val="0000FF"/>
          <w:lang w:val="ru-RU"/>
        </w:rPr>
        <w:t>，</w:t>
      </w:r>
      <w:r w:rsidRPr="004C59BB">
        <w:rPr>
          <w:color w:val="0000FF"/>
        </w:rPr>
        <w:t>第</w:t>
      </w:r>
      <w:r w:rsidRPr="0097554A">
        <w:rPr>
          <w:color w:val="0000FF"/>
          <w:lang w:val="ru-RU"/>
        </w:rPr>
        <w:t>10</w:t>
      </w:r>
      <w:r w:rsidRPr="004C59BB">
        <w:rPr>
          <w:color w:val="0000FF"/>
        </w:rPr>
        <w:t>章</w:t>
      </w:r>
      <w:r w:rsidRPr="0097554A">
        <w:rPr>
          <w:color w:val="0000FF"/>
          <w:lang w:val="ru-RU"/>
        </w:rPr>
        <w:t>；</w:t>
      </w:r>
      <w:r w:rsidRPr="004C59BB">
        <w:rPr>
          <w:color w:val="0000FF"/>
        </w:rPr>
        <w:t>《论肉身复活》第</w:t>
      </w:r>
      <w:r w:rsidRPr="0097554A">
        <w:rPr>
          <w:color w:val="0000FF"/>
          <w:lang w:val="ru-RU"/>
        </w:rPr>
        <w:t>25</w:t>
      </w:r>
      <w:r w:rsidRPr="004C59BB">
        <w:rPr>
          <w:color w:val="0000FF"/>
        </w:rPr>
        <w:t>章。</w:t>
      </w:r>
    </w:p>
  </w:footnote>
  <w:footnote w:id="2032">
    <w:p w14:paraId="6144F3C9" w14:textId="70A11B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瓦西里《书信集》</w:t>
      </w:r>
      <w:r w:rsidRPr="004C59BB">
        <w:rPr>
          <w:color w:val="0000FF"/>
        </w:rPr>
        <w:t>CCLXV</w:t>
      </w:r>
      <w:r w:rsidRPr="004C59BB">
        <w:rPr>
          <w:color w:val="0000FF"/>
          <w:lang w:val="ru-RU"/>
        </w:rPr>
        <w:t>，第4条；</w:t>
      </w:r>
      <w:r w:rsidRPr="004C59BB">
        <w:rPr>
          <w:color w:val="0000FF"/>
        </w:rPr>
        <w:t>CCLXV</w:t>
      </w:r>
      <w:r w:rsidRPr="004C59BB">
        <w:rPr>
          <w:color w:val="0000FF"/>
          <w:lang w:val="ru-RU"/>
        </w:rPr>
        <w:t>，第2条；格里高利《神学书信》第1、</w:t>
      </w:r>
      <w:r w:rsidRPr="0097554A">
        <w:rPr>
          <w:color w:val="0000FF"/>
          <w:lang w:val="ru-RU"/>
        </w:rPr>
        <w:t>2</w:t>
      </w:r>
      <w:r w:rsidRPr="004C59BB">
        <w:rPr>
          <w:color w:val="0000FF"/>
          <w:lang w:val="ru-RU"/>
        </w:rPr>
        <w:t>封致克莱多尼乌斯的信。</w:t>
      </w:r>
    </w:p>
  </w:footnote>
  <w:footnote w:id="2033">
    <w:p w14:paraId="2A382B10" w14:textId="0C524055"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优西比乌，《教会史》</w:t>
      </w:r>
      <w:r w:rsidRPr="004C59BB">
        <w:rPr>
          <w:color w:val="0000FF"/>
        </w:rPr>
        <w:t>第三卷</w:t>
      </w:r>
      <w:r w:rsidRPr="004C59BB">
        <w:rPr>
          <w:color w:val="0000FF"/>
          <w:lang w:val="ru-RU"/>
        </w:rPr>
        <w:t>，第39章；杰罗姆，</w:t>
      </w:r>
      <w:r w:rsidRPr="004C59BB">
        <w:rPr>
          <w:color w:val="0000FF"/>
        </w:rPr>
        <w:t>《目录》第</w:t>
      </w:r>
      <w:r w:rsidRPr="0097554A">
        <w:rPr>
          <w:color w:val="0000FF"/>
          <w:lang w:val="ru-RU"/>
        </w:rPr>
        <w:t>18</w:t>
      </w:r>
      <w:r w:rsidRPr="004C59BB">
        <w:rPr>
          <w:color w:val="0000FF"/>
        </w:rPr>
        <w:t>页。</w:t>
      </w:r>
    </w:p>
  </w:footnote>
  <w:footnote w:id="2034">
    <w:p w14:paraId="664E3ED0" w14:textId="0CD885D0"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尤斯丁</w:t>
      </w:r>
      <w:r w:rsidRPr="0097554A">
        <w:rPr>
          <w:color w:val="0000FF"/>
          <w:lang w:val="ru-RU"/>
        </w:rPr>
        <w:t>，</w:t>
      </w:r>
      <w:r w:rsidRPr="004C59BB">
        <w:rPr>
          <w:color w:val="0000FF"/>
        </w:rPr>
        <w:t>《与特里丰的对话》</w:t>
      </w:r>
      <w:r w:rsidRPr="0097554A">
        <w:rPr>
          <w:color w:val="0000FF"/>
          <w:lang w:val="ru-RU"/>
        </w:rPr>
        <w:t>，</w:t>
      </w:r>
      <w:r w:rsidRPr="004C59BB">
        <w:rPr>
          <w:color w:val="0000FF"/>
        </w:rPr>
        <w:t>第</w:t>
      </w:r>
      <w:r w:rsidRPr="0097554A">
        <w:rPr>
          <w:color w:val="0000FF"/>
          <w:lang w:val="ru-RU"/>
        </w:rPr>
        <w:t>80</w:t>
      </w:r>
      <w:r w:rsidRPr="004C59BB">
        <w:rPr>
          <w:color w:val="0000FF"/>
        </w:rPr>
        <w:t>、</w:t>
      </w:r>
      <w:r w:rsidRPr="0097554A">
        <w:rPr>
          <w:color w:val="0000FF"/>
          <w:lang w:val="ru-RU"/>
        </w:rPr>
        <w:t>81</w:t>
      </w:r>
      <w:r w:rsidRPr="004C59BB">
        <w:rPr>
          <w:color w:val="0000FF"/>
        </w:rPr>
        <w:t>条</w:t>
      </w:r>
      <w:r w:rsidRPr="0097554A">
        <w:rPr>
          <w:color w:val="0000FF"/>
          <w:lang w:val="ru-RU"/>
        </w:rPr>
        <w:t>；</w:t>
      </w:r>
      <w:r w:rsidRPr="004C59BB">
        <w:rPr>
          <w:color w:val="0000FF"/>
        </w:rPr>
        <w:t>伊里内乌斯</w:t>
      </w:r>
      <w:r w:rsidRPr="0097554A">
        <w:rPr>
          <w:color w:val="0000FF"/>
          <w:lang w:val="ru-RU"/>
        </w:rPr>
        <w:t>，</w:t>
      </w:r>
      <w:r w:rsidRPr="004C59BB">
        <w:rPr>
          <w:color w:val="0000FF"/>
        </w:rPr>
        <w:t>《反异端》</w:t>
      </w:r>
      <w:r w:rsidRPr="0097554A">
        <w:rPr>
          <w:color w:val="0000FF"/>
          <w:lang w:val="ru-RU"/>
        </w:rPr>
        <w:t xml:space="preserve">， </w:t>
      </w:r>
      <w:r w:rsidRPr="004C59BB">
        <w:rPr>
          <w:color w:val="0000FF"/>
        </w:rPr>
        <w:t>第V卷</w:t>
      </w:r>
      <w:r w:rsidRPr="0097554A">
        <w:rPr>
          <w:color w:val="0000FF"/>
          <w:lang w:val="ru-RU"/>
        </w:rPr>
        <w:t>，</w:t>
      </w:r>
      <w:r w:rsidRPr="004C59BB">
        <w:rPr>
          <w:color w:val="0000FF"/>
        </w:rPr>
        <w:t>第</w:t>
      </w:r>
      <w:r w:rsidRPr="0097554A">
        <w:rPr>
          <w:color w:val="0000FF"/>
          <w:lang w:val="ru-RU"/>
        </w:rPr>
        <w:t>81</w:t>
      </w:r>
      <w:r w:rsidRPr="004C59BB">
        <w:rPr>
          <w:color w:val="0000FF"/>
        </w:rPr>
        <w:t>章</w:t>
      </w:r>
      <w:r w:rsidRPr="0097554A">
        <w:rPr>
          <w:color w:val="0000FF"/>
          <w:lang w:val="ru-RU"/>
        </w:rPr>
        <w:t>，</w:t>
      </w:r>
      <w:r w:rsidRPr="004C59BB">
        <w:rPr>
          <w:color w:val="0000FF"/>
        </w:rPr>
        <w:t>注</w:t>
      </w:r>
      <w:r w:rsidRPr="0097554A">
        <w:rPr>
          <w:color w:val="0000FF"/>
          <w:lang w:val="ru-RU"/>
        </w:rPr>
        <w:t>1（</w:t>
      </w:r>
      <w:r w:rsidRPr="004C59BB">
        <w:rPr>
          <w:color w:val="0000FF"/>
        </w:rPr>
        <w:t>参见优西比乌《教会史》第III卷</w:t>
      </w:r>
      <w:r w:rsidRPr="0097554A">
        <w:rPr>
          <w:color w:val="0000FF"/>
          <w:lang w:val="ru-RU"/>
        </w:rPr>
        <w:t>，</w:t>
      </w:r>
      <w:r w:rsidRPr="004C59BB">
        <w:rPr>
          <w:color w:val="0000FF"/>
        </w:rPr>
        <w:t>第</w:t>
      </w:r>
      <w:r w:rsidRPr="0097554A">
        <w:rPr>
          <w:color w:val="0000FF"/>
          <w:lang w:val="ru-RU"/>
        </w:rPr>
        <w:t>39</w:t>
      </w:r>
      <w:r w:rsidRPr="004C59BB">
        <w:rPr>
          <w:color w:val="0000FF"/>
        </w:rPr>
        <w:t>章</w:t>
      </w:r>
      <w:r w:rsidRPr="0097554A">
        <w:rPr>
          <w:color w:val="0000FF"/>
          <w:lang w:val="ru-RU"/>
        </w:rPr>
        <w:t>）；</w:t>
      </w:r>
      <w:r w:rsidRPr="004C59BB">
        <w:rPr>
          <w:color w:val="0000FF"/>
        </w:rPr>
        <w:t>希波吕托斯</w:t>
      </w:r>
      <w:r w:rsidRPr="0097554A">
        <w:rPr>
          <w:color w:val="0000FF"/>
          <w:lang w:val="ru-RU"/>
        </w:rPr>
        <w:t>，</w:t>
      </w:r>
      <w:r w:rsidRPr="004C59BB">
        <w:rPr>
          <w:color w:val="0000FF"/>
        </w:rPr>
        <w:t>引自福提乌斯《图书馆》手稿CI</w:t>
      </w:r>
      <w:r w:rsidRPr="0097554A">
        <w:rPr>
          <w:color w:val="0000FF"/>
          <w:lang w:val="ru-RU"/>
        </w:rPr>
        <w:t>；</w:t>
      </w:r>
      <w:r w:rsidRPr="004C59BB">
        <w:rPr>
          <w:color w:val="0000FF"/>
        </w:rPr>
        <w:t>梅福迪乌斯《十位贞女的聚会》第九篇</w:t>
      </w:r>
      <w:r w:rsidRPr="0097554A">
        <w:rPr>
          <w:color w:val="0000FF"/>
          <w:lang w:val="ru-RU"/>
        </w:rPr>
        <w:t>，</w:t>
      </w:r>
      <w:r w:rsidRPr="004C59BB">
        <w:rPr>
          <w:color w:val="0000FF"/>
        </w:rPr>
        <w:t>注</w:t>
      </w:r>
      <w:r w:rsidRPr="0097554A">
        <w:rPr>
          <w:color w:val="0000FF"/>
          <w:lang w:val="ru-RU"/>
        </w:rPr>
        <w:t>5；</w:t>
      </w:r>
      <w:r w:rsidRPr="004C59BB">
        <w:rPr>
          <w:color w:val="0000FF"/>
        </w:rPr>
        <w:t>拉克坦提乌斯《神学原理》第VII卷</w:t>
      </w:r>
      <w:r w:rsidRPr="0097554A">
        <w:rPr>
          <w:color w:val="0000FF"/>
          <w:lang w:val="ru-RU"/>
        </w:rPr>
        <w:t>，</w:t>
      </w:r>
      <w:r w:rsidRPr="004C59BB">
        <w:rPr>
          <w:color w:val="0000FF"/>
        </w:rPr>
        <w:t>第</w:t>
      </w:r>
      <w:r w:rsidRPr="0097554A">
        <w:rPr>
          <w:color w:val="0000FF"/>
          <w:lang w:val="ru-RU"/>
        </w:rPr>
        <w:t>24</w:t>
      </w:r>
      <w:r w:rsidRPr="004C59BB">
        <w:rPr>
          <w:color w:val="0000FF"/>
        </w:rPr>
        <w:t>章及以下。</w:t>
      </w:r>
    </w:p>
  </w:footnote>
  <w:footnote w:id="2035">
    <w:p w14:paraId="4797C5AD" w14:textId="7DC28A7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参见维斯特《教义论证》第VI卷</w:t>
      </w:r>
      <w:r w:rsidRPr="0097554A">
        <w:rPr>
          <w:color w:val="0000FF"/>
          <w:lang w:val="ru-RU"/>
        </w:rPr>
        <w:t>，</w:t>
      </w:r>
      <w:r w:rsidRPr="004C59BB">
        <w:rPr>
          <w:color w:val="0000FF"/>
        </w:rPr>
        <w:t>第</w:t>
      </w:r>
      <w:r w:rsidRPr="0097554A">
        <w:rPr>
          <w:color w:val="0000FF"/>
          <w:lang w:val="ru-RU"/>
        </w:rPr>
        <w:t>296</w:t>
      </w:r>
      <w:r w:rsidRPr="004C59BB">
        <w:rPr>
          <w:color w:val="0000FF"/>
        </w:rPr>
        <w:t>节。</w:t>
      </w:r>
    </w:p>
  </w:footnote>
  <w:footnote w:id="2036">
    <w:p w14:paraId="5F9CC0AD" w14:textId="4475E5C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《与特里弗的对话》第</w:t>
      </w:r>
      <w:r w:rsidRPr="0097554A">
        <w:rPr>
          <w:color w:val="0000FF"/>
          <w:lang w:val="ru-RU"/>
        </w:rPr>
        <w:t>80</w:t>
      </w:r>
      <w:r w:rsidRPr="004C59BB">
        <w:rPr>
          <w:color w:val="0000FF"/>
        </w:rPr>
        <w:t>条。</w:t>
      </w:r>
    </w:p>
  </w:footnote>
  <w:footnote w:id="2037">
    <w:p w14:paraId="19C5B493" w14:textId="411FF1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优西比乌，《教会史》</w:t>
      </w:r>
      <w:r w:rsidRPr="004C59BB">
        <w:rPr>
          <w:color w:val="0000FF"/>
        </w:rPr>
        <w:t>第三卷</w:t>
      </w:r>
      <w:r w:rsidRPr="004C59BB">
        <w:rPr>
          <w:color w:val="0000FF"/>
          <w:lang w:val="ru-RU"/>
        </w:rPr>
        <w:t>，第28页。</w:t>
      </w:r>
    </w:p>
  </w:footnote>
  <w:footnote w:id="2038">
    <w:p w14:paraId="7C701A9F" w14:textId="5AE052B7"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优西比乌，《教会史》</w:t>
      </w:r>
      <w:r w:rsidRPr="004C59BB">
        <w:rPr>
          <w:color w:val="0000FF"/>
        </w:rPr>
        <w:t>第七</w:t>
      </w:r>
      <w:r w:rsidRPr="004C59BB">
        <w:rPr>
          <w:color w:val="0000FF"/>
          <w:lang w:val="ru-RU"/>
        </w:rPr>
        <w:t>卷，第24章；杰罗姆，《</w:t>
      </w:r>
      <w:r w:rsidRPr="004C59BB">
        <w:rPr>
          <w:color w:val="0000FF"/>
        </w:rPr>
        <w:t>目录</w:t>
      </w:r>
      <w:r w:rsidRPr="004C59BB">
        <w:rPr>
          <w:color w:val="0000FF"/>
          <w:lang w:val="ru-RU"/>
        </w:rPr>
        <w:t>》第69页；狄奥多里特，</w:t>
      </w:r>
      <w:r w:rsidRPr="004C59BB">
        <w:rPr>
          <w:color w:val="0000FF"/>
        </w:rPr>
        <w:t>《异端传说》第二卷</w:t>
      </w:r>
      <w:r w:rsidRPr="0097554A">
        <w:rPr>
          <w:color w:val="0000FF"/>
          <w:lang w:val="ru-RU"/>
        </w:rPr>
        <w:t>，</w:t>
      </w:r>
      <w:r w:rsidRPr="004C59BB">
        <w:rPr>
          <w:color w:val="0000FF"/>
        </w:rPr>
        <w:t>第</w:t>
      </w:r>
      <w:r w:rsidRPr="0097554A">
        <w:rPr>
          <w:color w:val="0000FF"/>
          <w:lang w:val="ru-RU"/>
        </w:rPr>
        <w:t>2</w:t>
      </w:r>
      <w:r w:rsidRPr="004C59BB">
        <w:rPr>
          <w:color w:val="0000FF"/>
        </w:rPr>
        <w:t>章。</w:t>
      </w:r>
    </w:p>
  </w:footnote>
  <w:footnote w:id="2039">
    <w:p w14:paraId="3548CED0" w14:textId="2732F8E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《论原理》第二卷</w:t>
      </w:r>
      <w:r w:rsidRPr="0097554A">
        <w:rPr>
          <w:color w:val="0000FF"/>
          <w:lang w:val="ru-RU"/>
        </w:rPr>
        <w:t>，</w:t>
      </w:r>
      <w:r w:rsidRPr="004C59BB">
        <w:rPr>
          <w:color w:val="0000FF"/>
        </w:rPr>
        <w:t>第</w:t>
      </w:r>
      <w:r w:rsidRPr="0097554A">
        <w:rPr>
          <w:color w:val="0000FF"/>
          <w:lang w:val="ru-RU"/>
        </w:rPr>
        <w:t>11</w:t>
      </w:r>
      <w:r w:rsidRPr="004C59BB">
        <w:rPr>
          <w:color w:val="0000FF"/>
        </w:rPr>
        <w:t>章</w:t>
      </w:r>
      <w:r w:rsidRPr="0097554A">
        <w:rPr>
          <w:color w:val="0000FF"/>
          <w:lang w:val="ru-RU"/>
        </w:rPr>
        <w:t>，</w:t>
      </w:r>
      <w:r w:rsidRPr="004C59BB">
        <w:rPr>
          <w:color w:val="0000FF"/>
        </w:rPr>
        <w:t>第</w:t>
      </w:r>
      <w:r w:rsidRPr="0097554A">
        <w:rPr>
          <w:color w:val="0000FF"/>
          <w:lang w:val="ru-RU"/>
        </w:rPr>
        <w:t>2</w:t>
      </w:r>
      <w:r w:rsidRPr="004C59BB">
        <w:rPr>
          <w:color w:val="0000FF"/>
        </w:rPr>
        <w:t>节</w:t>
      </w:r>
      <w:r w:rsidRPr="0097554A">
        <w:rPr>
          <w:color w:val="0000FF"/>
          <w:lang w:val="ru-RU"/>
        </w:rPr>
        <w:t>；</w:t>
      </w:r>
      <w:r w:rsidRPr="004C59BB">
        <w:rPr>
          <w:color w:val="0000FF"/>
        </w:rPr>
        <w:t>《雅歌导论》。</w:t>
      </w:r>
    </w:p>
  </w:footnote>
  <w:footnote w:id="2040">
    <w:p w14:paraId="37A95C8B" w14:textId="2A8E946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《教会史》</w:t>
      </w:r>
      <w:r w:rsidRPr="004C59BB">
        <w:rPr>
          <w:color w:val="0000FF"/>
        </w:rPr>
        <w:t>第三</w:t>
      </w:r>
      <w:r w:rsidRPr="004C59BB">
        <w:rPr>
          <w:color w:val="0000FF"/>
          <w:lang w:val="ru-RU"/>
        </w:rPr>
        <w:t>卷，第28、39章；</w:t>
      </w:r>
      <w:r w:rsidRPr="004C59BB">
        <w:rPr>
          <w:color w:val="0000FF"/>
        </w:rPr>
        <w:t>第七卷</w:t>
      </w:r>
      <w:r w:rsidRPr="004C59BB">
        <w:rPr>
          <w:color w:val="0000FF"/>
          <w:lang w:val="ru-RU"/>
        </w:rPr>
        <w:t>，第24章。</w:t>
      </w:r>
    </w:p>
  </w:footnote>
  <w:footnote w:id="2041">
    <w:p w14:paraId="3F952AD0" w14:textId="050FF2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关于他的内容，参见根纳迪乌斯的《</w:t>
      </w:r>
      <w:r w:rsidRPr="004C59BB">
        <w:rPr>
          <w:color w:val="0000FF"/>
        </w:rPr>
        <w:t>目录</w:t>
      </w:r>
      <w:r w:rsidRPr="004C59BB">
        <w:rPr>
          <w:color w:val="0000FF"/>
          <w:lang w:val="ru-RU"/>
        </w:rPr>
        <w:t>》第18章。</w:t>
      </w:r>
    </w:p>
  </w:footnote>
  <w:footnote w:id="2042">
    <w:p w14:paraId="47191D38" w14:textId="3C8312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书信集 </w:t>
      </w:r>
      <w:r w:rsidRPr="004C59BB">
        <w:rPr>
          <w:color w:val="0000FF"/>
        </w:rPr>
        <w:t>CCLXIII</w:t>
      </w:r>
      <w:r w:rsidRPr="004C59BB">
        <w:rPr>
          <w:color w:val="0000FF"/>
          <w:lang w:val="ru-RU"/>
        </w:rPr>
        <w:t>，载于《圣教父文集》</w:t>
      </w:r>
      <w:r w:rsidRPr="004C59BB">
        <w:rPr>
          <w:color w:val="0000FF"/>
        </w:rPr>
        <w:t>第十一卷</w:t>
      </w:r>
      <w:r w:rsidRPr="004C59BB">
        <w:rPr>
          <w:color w:val="0000FF"/>
          <w:lang w:val="ru-RU"/>
        </w:rPr>
        <w:t>，第249页；</w:t>
      </w:r>
      <w:r w:rsidRPr="004C59BB">
        <w:rPr>
          <w:color w:val="0000FF"/>
        </w:rPr>
        <w:t>CCLXV</w:t>
      </w:r>
      <w:r w:rsidRPr="004C59BB">
        <w:rPr>
          <w:color w:val="0000FF"/>
          <w:lang w:val="ru-RU"/>
        </w:rPr>
        <w:t>，同上，第255页。</w:t>
      </w:r>
    </w:p>
  </w:footnote>
  <w:footnote w:id="2043">
    <w:p w14:paraId="4A67CCB8" w14:textId="148505AE"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致克莱多尼乌斯的</w:t>
      </w:r>
      <w:r w:rsidRPr="004C59BB">
        <w:rPr>
          <w:color w:val="0000FF"/>
        </w:rPr>
        <w:t>第二封</w:t>
      </w:r>
      <w:r w:rsidRPr="004C59BB">
        <w:rPr>
          <w:color w:val="0000FF"/>
          <w:lang w:val="ru-RU"/>
        </w:rPr>
        <w:t>书信，载于《圣</w:t>
      </w:r>
      <w:r w:rsidRPr="004C59BB">
        <w:rPr>
          <w:color w:val="0000FF"/>
        </w:rPr>
        <w:t>教父文集</w:t>
      </w:r>
      <w:r w:rsidRPr="004C59BB">
        <w:rPr>
          <w:color w:val="0000FF"/>
          <w:lang w:val="ru-RU"/>
        </w:rPr>
        <w:t>》</w:t>
      </w:r>
      <w:r w:rsidRPr="004C59BB">
        <w:rPr>
          <w:color w:val="0000FF"/>
        </w:rPr>
        <w:t>第四卷</w:t>
      </w:r>
      <w:r w:rsidRPr="0097554A">
        <w:rPr>
          <w:color w:val="0000FF"/>
          <w:lang w:val="ru-RU"/>
        </w:rPr>
        <w:t>，</w:t>
      </w:r>
      <w:r w:rsidRPr="004C59BB">
        <w:rPr>
          <w:color w:val="0000FF"/>
        </w:rPr>
        <w:t>第</w:t>
      </w:r>
      <w:r w:rsidRPr="0097554A">
        <w:rPr>
          <w:color w:val="0000FF"/>
          <w:lang w:val="ru-RU"/>
        </w:rPr>
        <w:t>211</w:t>
      </w:r>
      <w:r w:rsidRPr="004C59BB">
        <w:rPr>
          <w:color w:val="0000FF"/>
        </w:rPr>
        <w:t>页。</w:t>
      </w:r>
    </w:p>
  </w:footnote>
  <w:footnote w:id="2044">
    <w:p w14:paraId="62BCBC4F" w14:textId="1DF282F1"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《异端论》第LXXVII篇。</w:t>
      </w:r>
    </w:p>
  </w:footnote>
  <w:footnote w:id="2045">
    <w:p w14:paraId="0388B2E7" w14:textId="6AE42D89"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《以赛亚书注释》第XXX章</w:t>
      </w:r>
      <w:r w:rsidRPr="0097554A">
        <w:rPr>
          <w:color w:val="0000FF"/>
          <w:lang w:val="ru-RU"/>
        </w:rPr>
        <w:t>，</w:t>
      </w:r>
      <w:r w:rsidRPr="004C59BB">
        <w:rPr>
          <w:color w:val="0000FF"/>
        </w:rPr>
        <w:t>第</w:t>
      </w:r>
      <w:r w:rsidRPr="0097554A">
        <w:rPr>
          <w:color w:val="0000FF"/>
          <w:lang w:val="ru-RU"/>
        </w:rPr>
        <w:t>26</w:t>
      </w:r>
      <w:r w:rsidRPr="004C59BB">
        <w:rPr>
          <w:color w:val="0000FF"/>
        </w:rPr>
        <w:t>节</w:t>
      </w:r>
      <w:r w:rsidRPr="0097554A">
        <w:rPr>
          <w:color w:val="0000FF"/>
          <w:lang w:val="ru-RU"/>
        </w:rPr>
        <w:t>；</w:t>
      </w:r>
      <w:r w:rsidRPr="004C59BB">
        <w:rPr>
          <w:color w:val="0000FF"/>
        </w:rPr>
        <w:t>第LIV章</w:t>
      </w:r>
      <w:r w:rsidRPr="0097554A">
        <w:rPr>
          <w:color w:val="0000FF"/>
          <w:lang w:val="ru-RU"/>
        </w:rPr>
        <w:t>，</w:t>
      </w:r>
      <w:r w:rsidRPr="004C59BB">
        <w:rPr>
          <w:color w:val="0000FF"/>
        </w:rPr>
        <w:t>第</w:t>
      </w:r>
      <w:r w:rsidRPr="0097554A">
        <w:rPr>
          <w:color w:val="0000FF"/>
          <w:lang w:val="ru-RU"/>
        </w:rPr>
        <w:t>11</w:t>
      </w:r>
      <w:r w:rsidRPr="004C59BB">
        <w:rPr>
          <w:color w:val="0000FF"/>
        </w:rPr>
        <w:t>节</w:t>
      </w:r>
      <w:r w:rsidRPr="0097554A">
        <w:rPr>
          <w:color w:val="0000FF"/>
          <w:lang w:val="ru-RU"/>
        </w:rPr>
        <w:t>；</w:t>
      </w:r>
      <w:r w:rsidRPr="004C59BB">
        <w:rPr>
          <w:color w:val="0000FF"/>
        </w:rPr>
        <w:t>第LV章</w:t>
      </w:r>
      <w:r w:rsidRPr="0097554A">
        <w:rPr>
          <w:color w:val="0000FF"/>
          <w:lang w:val="ru-RU"/>
        </w:rPr>
        <w:t>，</w:t>
      </w:r>
      <w:r w:rsidRPr="004C59BB">
        <w:rPr>
          <w:color w:val="0000FF"/>
        </w:rPr>
        <w:t>第</w:t>
      </w:r>
      <w:r w:rsidRPr="0097554A">
        <w:rPr>
          <w:color w:val="0000FF"/>
          <w:lang w:val="ru-RU"/>
        </w:rPr>
        <w:t>3</w:t>
      </w:r>
      <w:r w:rsidRPr="004C59BB">
        <w:rPr>
          <w:color w:val="0000FF"/>
        </w:rPr>
        <w:t>节</w:t>
      </w:r>
      <w:r w:rsidRPr="0097554A">
        <w:rPr>
          <w:color w:val="0000FF"/>
          <w:lang w:val="ru-RU"/>
        </w:rPr>
        <w:t>；</w:t>
      </w:r>
      <w:r w:rsidRPr="004C59BB">
        <w:rPr>
          <w:color w:val="0000FF"/>
        </w:rPr>
        <w:t>第LVIII章</w:t>
      </w:r>
      <w:r w:rsidRPr="0097554A">
        <w:rPr>
          <w:color w:val="0000FF"/>
          <w:lang w:val="ru-RU"/>
        </w:rPr>
        <w:t>，</w:t>
      </w:r>
      <w:r w:rsidRPr="004C59BB">
        <w:rPr>
          <w:color w:val="0000FF"/>
        </w:rPr>
        <w:t>第</w:t>
      </w:r>
      <w:r w:rsidRPr="0097554A">
        <w:rPr>
          <w:color w:val="0000FF"/>
          <w:lang w:val="ru-RU"/>
        </w:rPr>
        <w:t>14</w:t>
      </w:r>
      <w:r w:rsidRPr="004C59BB">
        <w:rPr>
          <w:color w:val="0000FF"/>
        </w:rPr>
        <w:t>节</w:t>
      </w:r>
      <w:r w:rsidRPr="0097554A">
        <w:rPr>
          <w:color w:val="0000FF"/>
          <w:lang w:val="ru-RU"/>
        </w:rPr>
        <w:t>；</w:t>
      </w:r>
      <w:r w:rsidRPr="004C59BB">
        <w:rPr>
          <w:color w:val="0000FF"/>
        </w:rPr>
        <w:t>《以西结书注释》第XVI章</w:t>
      </w:r>
      <w:r w:rsidRPr="0097554A">
        <w:rPr>
          <w:color w:val="0000FF"/>
          <w:lang w:val="ru-RU"/>
        </w:rPr>
        <w:t>，</w:t>
      </w:r>
      <w:r w:rsidRPr="004C59BB">
        <w:rPr>
          <w:color w:val="0000FF"/>
        </w:rPr>
        <w:t>第</w:t>
      </w:r>
      <w:r w:rsidRPr="0097554A">
        <w:rPr>
          <w:color w:val="0000FF"/>
          <w:lang w:val="ru-RU"/>
        </w:rPr>
        <w:t>35</w:t>
      </w:r>
      <w:r w:rsidRPr="004C59BB">
        <w:rPr>
          <w:color w:val="0000FF"/>
        </w:rPr>
        <w:t>节</w:t>
      </w:r>
      <w:r w:rsidRPr="0097554A">
        <w:rPr>
          <w:color w:val="0000FF"/>
          <w:lang w:val="ru-RU"/>
        </w:rPr>
        <w:t>；</w:t>
      </w:r>
      <w:r w:rsidRPr="004C59BB">
        <w:rPr>
          <w:color w:val="0000FF"/>
        </w:rPr>
        <w:t>《撒迦利亚书注释》第XIV章</w:t>
      </w:r>
      <w:r w:rsidRPr="0097554A">
        <w:rPr>
          <w:color w:val="0000FF"/>
          <w:lang w:val="ru-RU"/>
        </w:rPr>
        <w:t>，</w:t>
      </w:r>
      <w:r w:rsidRPr="004C59BB">
        <w:rPr>
          <w:color w:val="0000FF"/>
        </w:rPr>
        <w:t>第</w:t>
      </w:r>
      <w:r w:rsidRPr="0097554A">
        <w:rPr>
          <w:color w:val="0000FF"/>
          <w:lang w:val="ru-RU"/>
        </w:rPr>
        <w:t>6</w:t>
      </w:r>
      <w:r w:rsidRPr="004C59BB">
        <w:rPr>
          <w:color w:val="0000FF"/>
        </w:rPr>
        <w:t>节及以下</w:t>
      </w:r>
      <w:r w:rsidRPr="0097554A">
        <w:rPr>
          <w:color w:val="0000FF"/>
          <w:lang w:val="ru-RU"/>
        </w:rPr>
        <w:t>；</w:t>
      </w:r>
      <w:r w:rsidRPr="004C59BB">
        <w:rPr>
          <w:color w:val="0000FF"/>
        </w:rPr>
        <w:t>《马太福音注释》第XIX章</w:t>
      </w:r>
      <w:r w:rsidRPr="0097554A">
        <w:rPr>
          <w:color w:val="0000FF"/>
          <w:lang w:val="ru-RU"/>
        </w:rPr>
        <w:t>，</w:t>
      </w:r>
      <w:r w:rsidRPr="004C59BB">
        <w:rPr>
          <w:color w:val="0000FF"/>
        </w:rPr>
        <w:t>第</w:t>
      </w:r>
      <w:r w:rsidRPr="0097554A">
        <w:rPr>
          <w:color w:val="0000FF"/>
          <w:lang w:val="ru-RU"/>
        </w:rPr>
        <w:t>29</w:t>
      </w:r>
      <w:r w:rsidRPr="004C59BB">
        <w:rPr>
          <w:color w:val="0000FF"/>
        </w:rPr>
        <w:t>节。</w:t>
      </w:r>
    </w:p>
  </w:footnote>
  <w:footnote w:id="2046">
    <w:p w14:paraId="26F66053" w14:textId="7ECECEE8"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《异端论》第LIX篇。</w:t>
      </w:r>
    </w:p>
  </w:footnote>
  <w:footnote w:id="2047">
    <w:p w14:paraId="1FE2085D" w14:textId="3352C9F2"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《论上帝之城》第</w:t>
      </w:r>
      <w:r w:rsidRPr="0097554A">
        <w:rPr>
          <w:color w:val="0000FF"/>
          <w:lang w:val="ru-RU"/>
        </w:rPr>
        <w:t>20</w:t>
      </w:r>
      <w:r w:rsidRPr="004C59BB">
        <w:rPr>
          <w:color w:val="0000FF"/>
        </w:rPr>
        <w:t>卷</w:t>
      </w:r>
      <w:r w:rsidRPr="0097554A">
        <w:rPr>
          <w:color w:val="0000FF"/>
          <w:lang w:val="ru-RU"/>
        </w:rPr>
        <w:t>，</w:t>
      </w:r>
      <w:r w:rsidRPr="004C59BB">
        <w:rPr>
          <w:color w:val="0000FF"/>
        </w:rPr>
        <w:t>第</w:t>
      </w:r>
      <w:r w:rsidRPr="0097554A">
        <w:rPr>
          <w:color w:val="0000FF"/>
          <w:lang w:val="ru-RU"/>
        </w:rPr>
        <w:t>7</w:t>
      </w:r>
      <w:r w:rsidRPr="004C59BB">
        <w:rPr>
          <w:color w:val="0000FF"/>
        </w:rPr>
        <w:t>章</w:t>
      </w:r>
      <w:r w:rsidRPr="0097554A">
        <w:rPr>
          <w:color w:val="0000FF"/>
          <w:lang w:val="ru-RU"/>
        </w:rPr>
        <w:t>；</w:t>
      </w:r>
      <w:r w:rsidRPr="004C59BB">
        <w:rPr>
          <w:color w:val="0000FF"/>
        </w:rPr>
        <w:t>《异端论》第VIII卷。</w:t>
      </w:r>
    </w:p>
  </w:footnote>
  <w:footnote w:id="2048">
    <w:p w14:paraId="435228A6" w14:textId="744CFA5E"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奥利金</w:t>
      </w:r>
      <w:r w:rsidRPr="0097554A">
        <w:rPr>
          <w:color w:val="0000FF"/>
          <w:lang w:val="ru-RU"/>
        </w:rPr>
        <w:t>，</w:t>
      </w:r>
      <w:r w:rsidRPr="004C59BB">
        <w:rPr>
          <w:color w:val="0000FF"/>
        </w:rPr>
        <w:t>《雅歌导论》</w:t>
      </w:r>
      <w:r w:rsidRPr="0097554A">
        <w:rPr>
          <w:color w:val="0000FF"/>
          <w:lang w:val="ru-RU"/>
        </w:rPr>
        <w:t>；</w:t>
      </w:r>
      <w:r w:rsidRPr="004C59BB">
        <w:rPr>
          <w:color w:val="0000FF"/>
        </w:rPr>
        <w:t>埃皮法尼乌斯</w:t>
      </w:r>
      <w:r w:rsidRPr="0097554A">
        <w:rPr>
          <w:color w:val="0000FF"/>
          <w:lang w:val="ru-RU"/>
        </w:rPr>
        <w:t>，</w:t>
      </w:r>
      <w:r w:rsidRPr="004C59BB">
        <w:rPr>
          <w:color w:val="0000FF"/>
        </w:rPr>
        <w:t>《异端论》第LXXVII章</w:t>
      </w:r>
      <w:r w:rsidRPr="004C59BB">
        <w:rPr>
          <w:color w:val="0000FF"/>
          <w:lang w:val="ru-RU"/>
        </w:rPr>
        <w:t>；优西比乌，《教会史》</w:t>
      </w:r>
      <w:r w:rsidRPr="004C59BB">
        <w:rPr>
          <w:color w:val="0000FF"/>
        </w:rPr>
        <w:t>第III卷</w:t>
      </w:r>
      <w:r w:rsidRPr="004C59BB">
        <w:rPr>
          <w:color w:val="0000FF"/>
          <w:lang w:val="ru-RU"/>
        </w:rPr>
        <w:t>，第28章，及其他。</w:t>
      </w:r>
    </w:p>
  </w:footnote>
  <w:footnote w:id="2049">
    <w:p w14:paraId="62EBC0EA" w14:textId="01489C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奥古斯丁。</w:t>
      </w:r>
      <w:r w:rsidRPr="004C59BB">
        <w:rPr>
          <w:color w:val="0000FF"/>
        </w:rPr>
        <w:t>《论上帝之城</w:t>
      </w:r>
      <w:r w:rsidRPr="004C59BB">
        <w:rPr>
          <w:color w:val="0000FF"/>
          <w:lang w:val="ru-RU"/>
        </w:rPr>
        <w:t>》</w:t>
      </w:r>
      <w:r w:rsidRPr="004C59BB">
        <w:rPr>
          <w:color w:val="0000FF"/>
        </w:rPr>
        <w:t>第</w:t>
      </w:r>
      <w:r w:rsidRPr="0097554A">
        <w:rPr>
          <w:color w:val="0000FF"/>
          <w:lang w:val="ru-RU"/>
        </w:rPr>
        <w:t>20</w:t>
      </w:r>
      <w:r w:rsidRPr="004C59BB">
        <w:rPr>
          <w:color w:val="0000FF"/>
          <w:lang w:val="ru-RU"/>
        </w:rPr>
        <w:t>卷，第7章；更多细节请参阅《启示录》此章的注释，见</w:t>
      </w:r>
      <w:r w:rsidRPr="004C59BB">
        <w:rPr>
          <w:color w:val="0000FF"/>
        </w:rPr>
        <w:t>《圣经讲义全集》第</w:t>
      </w:r>
      <w:r w:rsidRPr="0097554A">
        <w:rPr>
          <w:color w:val="0000FF"/>
          <w:lang w:val="ru-RU"/>
        </w:rPr>
        <w:t>25</w:t>
      </w:r>
      <w:r w:rsidRPr="004C59BB">
        <w:rPr>
          <w:color w:val="0000FF"/>
          <w:lang w:val="ru-RU"/>
        </w:rPr>
        <w:t>卷，第1109–1122页，</w:t>
      </w:r>
      <w:r w:rsidRPr="004C59BB">
        <w:rPr>
          <w:color w:val="0000FF"/>
        </w:rPr>
        <w:t>巴黎</w:t>
      </w:r>
      <w:r w:rsidRPr="004C59BB">
        <w:rPr>
          <w:color w:val="0000FF"/>
          <w:lang w:val="ru-RU"/>
        </w:rPr>
        <w:t>，1812年。</w:t>
      </w:r>
    </w:p>
  </w:footnote>
  <w:footnote w:id="2050">
    <w:p w14:paraId="6EB6781D" w14:textId="509564A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他对那些被定罪的人说：‘你们这些受咒诅的，离开我吧！’他没有说：‘离开父吧’——因为咒诅他们的并非父，而是他们自己的行为；‘进入那永火里去，那火不是为你们预备的，而是为魔鬼和他的使者预备的。’ 当祂谈论天国时，说：‘你们这些蒙福的人，进来承受天国吧’，并补充道：‘这是从创世以来为你们</w:t>
      </w:r>
      <w:r w:rsidRPr="004C59BB">
        <w:rPr>
          <w:color w:val="0000FF"/>
        </w:rPr>
        <w:t>预备的</w:t>
      </w:r>
      <w:r w:rsidRPr="004C59BB">
        <w:rPr>
          <w:color w:val="0000FF"/>
          <w:lang w:val="ru-RU"/>
        </w:rPr>
        <w:t>’；而谈论火时，祂却没有这样说，而是补充道：‘这是为魔鬼及其天使预备的’。 “因为我为你们预备了天国，但那火不是为你们预备的，而是为魔鬼及其天使预备的。然而，既然你们自己将自己投入了火中，那就应当自己为此负责。”（约翰·金口，《马太福音讲道集》</w:t>
      </w:r>
      <w:r w:rsidRPr="004C59BB">
        <w:rPr>
          <w:color w:val="0000FF"/>
        </w:rPr>
        <w:t>第LXXIX</w:t>
      </w:r>
      <w:r w:rsidRPr="004C59BB">
        <w:rPr>
          <w:color w:val="0000FF"/>
          <w:lang w:val="ru-RU"/>
        </w:rPr>
        <w:t>篇，</w:t>
      </w:r>
      <w:r w:rsidRPr="004C59BB">
        <w:rPr>
          <w:color w:val="0000FF"/>
        </w:rPr>
        <w:t>第三</w:t>
      </w:r>
      <w:r w:rsidRPr="004C59BB">
        <w:rPr>
          <w:color w:val="0000FF"/>
          <w:lang w:val="ru-RU"/>
        </w:rPr>
        <w:t>卷，第362–363页）。</w:t>
      </w:r>
    </w:p>
  </w:footnote>
  <w:footnote w:id="2051">
    <w:p w14:paraId="00572487" w14:textId="3D02FD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《罗马书讲道集》</w:t>
      </w:r>
      <w:r w:rsidRPr="004C59BB">
        <w:rPr>
          <w:color w:val="0000FF"/>
        </w:rPr>
        <w:t>第五</w:t>
      </w:r>
      <w:r w:rsidRPr="004C59BB">
        <w:rPr>
          <w:color w:val="0000FF"/>
          <w:lang w:val="ru-RU"/>
        </w:rPr>
        <w:t>篇，第95页，俄文译本。</w:t>
      </w:r>
    </w:p>
  </w:footnote>
  <w:footnote w:id="2052">
    <w:p w14:paraId="53E9C33B" w14:textId="17F099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《马太福音讲道集》</w:t>
      </w:r>
      <w:r w:rsidRPr="004C59BB">
        <w:rPr>
          <w:color w:val="0000FF"/>
        </w:rPr>
        <w:t>第XXIII</w:t>
      </w:r>
      <w:r w:rsidRPr="004C59BB">
        <w:rPr>
          <w:color w:val="0000FF"/>
          <w:lang w:val="ru-RU"/>
        </w:rPr>
        <w:t>篇，第1卷，第495页。</w:t>
      </w:r>
    </w:p>
  </w:footnote>
  <w:footnote w:id="2053">
    <w:p w14:paraId="7FF76BA5" w14:textId="52CA8A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致已故狄奥多尔的书信第1封，载于《基督教读物》1844年第1期，第370、375页。</w:t>
      </w:r>
    </w:p>
  </w:footnote>
  <w:footnote w:id="2054">
    <w:p w14:paraId="4BC9F51E" w14:textId="5F117F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见《马太福音讲道集》</w:t>
      </w:r>
      <w:r w:rsidRPr="004C59BB">
        <w:rPr>
          <w:color w:val="0000FF"/>
        </w:rPr>
        <w:t>第XXIII</w:t>
      </w:r>
      <w:r w:rsidRPr="004C59BB">
        <w:rPr>
          <w:color w:val="0000FF"/>
          <w:lang w:val="ru-RU"/>
        </w:rPr>
        <w:t>卷，第1卷，第494页。</w:t>
      </w:r>
    </w:p>
  </w:footnote>
  <w:footnote w:id="2055">
    <w:p w14:paraId="1BBAA5D4" w14:textId="3D364D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关于对上帝的敬畏与末日审判，见《圣教父文集》</w:t>
      </w:r>
      <w:r w:rsidRPr="004C59BB">
        <w:rPr>
          <w:color w:val="0000FF"/>
        </w:rPr>
        <w:t>第十五卷</w:t>
      </w:r>
      <w:r w:rsidRPr="004C59BB">
        <w:rPr>
          <w:color w:val="0000FF"/>
          <w:lang w:val="ru-RU"/>
        </w:rPr>
        <w:t>，第308页。</w:t>
      </w:r>
    </w:p>
  </w:footnote>
  <w:footnote w:id="2056">
    <w:p w14:paraId="63B8E0BA" w14:textId="46CBDD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《诗篇》</w:t>
      </w:r>
      <w:r w:rsidRPr="004C59BB">
        <w:rPr>
          <w:color w:val="0000FF"/>
        </w:rPr>
        <w:t>第XXXIII篇</w:t>
      </w:r>
      <w:r w:rsidRPr="004C59BB">
        <w:rPr>
          <w:color w:val="0000FF"/>
          <w:lang w:val="ru-RU"/>
        </w:rPr>
        <w:t>第6节讲道，载于《圣教父文集》</w:t>
      </w:r>
      <w:r w:rsidRPr="004C59BB">
        <w:rPr>
          <w:color w:val="0000FF"/>
        </w:rPr>
        <w:t>第V</w:t>
      </w:r>
      <w:r w:rsidRPr="004C59BB">
        <w:rPr>
          <w:color w:val="0000FF"/>
          <w:lang w:val="ru-RU"/>
        </w:rPr>
        <w:t>卷，第293页。</w:t>
      </w:r>
    </w:p>
  </w:footnote>
  <w:footnote w:id="2057">
    <w:p w14:paraId="6125D0E4" w14:textId="55D1D9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《诗篇》</w:t>
      </w:r>
      <w:r w:rsidRPr="004C59BB">
        <w:rPr>
          <w:color w:val="0000FF"/>
        </w:rPr>
        <w:t>第XXXIII篇</w:t>
      </w:r>
      <w:r w:rsidRPr="004C59BB">
        <w:rPr>
          <w:color w:val="0000FF"/>
          <w:lang w:val="ru-RU"/>
        </w:rPr>
        <w:t>第12节讲道，同上，第302页。</w:t>
      </w:r>
    </w:p>
  </w:footnote>
  <w:footnote w:id="2058">
    <w:p w14:paraId="690F0549" w14:textId="3859603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致费奥多尔·帕德什的讲道集第1卷，载于《基督教读物》1844年第1期，第366页。</w:t>
      </w:r>
    </w:p>
  </w:footnote>
  <w:footnote w:id="2059">
    <w:p w14:paraId="203E4DC6" w14:textId="678DD81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《正统信仰精确阐述》</w:t>
      </w:r>
      <w:r w:rsidRPr="004C59BB">
        <w:rPr>
          <w:color w:val="0000FF"/>
        </w:rPr>
        <w:t>第IV卷</w:t>
      </w:r>
      <w:r w:rsidRPr="0097554A">
        <w:rPr>
          <w:color w:val="0000FF"/>
          <w:lang w:val="ru-RU"/>
        </w:rPr>
        <w:t>，</w:t>
      </w:r>
      <w:r w:rsidRPr="004C59BB">
        <w:rPr>
          <w:color w:val="0000FF"/>
        </w:rPr>
        <w:t>第</w:t>
      </w:r>
      <w:r w:rsidRPr="0097554A">
        <w:rPr>
          <w:color w:val="0000FF"/>
          <w:lang w:val="ru-RU"/>
        </w:rPr>
        <w:t>27</w:t>
      </w:r>
      <w:r w:rsidRPr="004C59BB">
        <w:rPr>
          <w:color w:val="0000FF"/>
        </w:rPr>
        <w:t>章</w:t>
      </w:r>
      <w:r w:rsidRPr="0097554A">
        <w:rPr>
          <w:color w:val="0000FF"/>
          <w:lang w:val="ru-RU"/>
        </w:rPr>
        <w:t>，</w:t>
      </w:r>
      <w:r w:rsidRPr="004C59BB">
        <w:rPr>
          <w:color w:val="0000FF"/>
        </w:rPr>
        <w:t>第</w:t>
      </w:r>
      <w:r w:rsidRPr="0097554A">
        <w:rPr>
          <w:color w:val="0000FF"/>
          <w:lang w:val="ru-RU"/>
        </w:rPr>
        <w:t>308</w:t>
      </w:r>
      <w:r w:rsidRPr="004C59BB">
        <w:rPr>
          <w:color w:val="0000FF"/>
        </w:rPr>
        <w:t>页。“那火焰究竟是何种形态，又将在世界的哪一部分或万物中的何处形成，我认为无人知晓，除非是圣灵向其显明”（奥古斯丁《上帝之城》第XX卷，第16章）。</w:t>
      </w:r>
    </w:p>
  </w:footnote>
  <w:footnote w:id="2060">
    <w:p w14:paraId="36B17334" w14:textId="20E616FD"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特土良，《护教篇》，第48章；格里高利·尼撒，</w:t>
      </w:r>
      <w:r w:rsidRPr="004C59BB">
        <w:rPr>
          <w:color w:val="0000FF"/>
          <w:lang w:val="ru-RU"/>
        </w:rPr>
        <w:t>《教理问答》</w:t>
      </w:r>
      <w:r w:rsidRPr="0097554A">
        <w:rPr>
          <w:color w:val="0000FF"/>
        </w:rPr>
        <w:t>，</w:t>
      </w:r>
      <w:r w:rsidRPr="004C59BB">
        <w:rPr>
          <w:color w:val="0000FF"/>
          <w:lang w:val="ru-RU"/>
        </w:rPr>
        <w:t>第</w:t>
      </w:r>
      <w:r w:rsidRPr="0097554A">
        <w:rPr>
          <w:color w:val="0000FF"/>
        </w:rPr>
        <w:t>40</w:t>
      </w:r>
      <w:r w:rsidRPr="004C59BB">
        <w:rPr>
          <w:color w:val="0000FF"/>
          <w:lang w:val="ru-RU"/>
        </w:rPr>
        <w:t>章</w:t>
      </w:r>
      <w:r w:rsidRPr="0097554A">
        <w:rPr>
          <w:color w:val="0000FF"/>
        </w:rPr>
        <w:t>；</w:t>
      </w:r>
      <w:r w:rsidRPr="004C59BB">
        <w:rPr>
          <w:color w:val="0000FF"/>
          <w:lang w:val="ru-RU"/>
        </w:rPr>
        <w:t>约翰</w:t>
      </w:r>
      <w:r w:rsidRPr="0097554A">
        <w:rPr>
          <w:color w:val="0000FF"/>
        </w:rPr>
        <w:t>·</w:t>
      </w:r>
      <w:r w:rsidRPr="004C59BB">
        <w:rPr>
          <w:color w:val="0000FF"/>
          <w:lang w:val="ru-RU"/>
        </w:rPr>
        <w:t>金口</w:t>
      </w:r>
      <w:r w:rsidRPr="0097554A">
        <w:rPr>
          <w:color w:val="0000FF"/>
        </w:rPr>
        <w:t>，</w:t>
      </w:r>
      <w:r w:rsidRPr="004C59BB">
        <w:rPr>
          <w:color w:val="0000FF"/>
          <w:lang w:val="ru-RU"/>
        </w:rPr>
        <w:t>《致费奥多尔</w:t>
      </w:r>
      <w:r w:rsidRPr="0097554A">
        <w:rPr>
          <w:color w:val="0000FF"/>
        </w:rPr>
        <w:t>·</w:t>
      </w:r>
      <w:r w:rsidRPr="004C59BB">
        <w:rPr>
          <w:color w:val="0000FF"/>
          <w:lang w:val="ru-RU"/>
        </w:rPr>
        <w:t>帕德斯基的讲道集》第</w:t>
      </w:r>
      <w:r w:rsidRPr="0097554A">
        <w:rPr>
          <w:color w:val="0000FF"/>
        </w:rPr>
        <w:t>1</w:t>
      </w:r>
      <w:r w:rsidRPr="004C59BB">
        <w:rPr>
          <w:color w:val="0000FF"/>
          <w:lang w:val="ru-RU"/>
        </w:rPr>
        <w:t>篇</w:t>
      </w:r>
      <w:r w:rsidRPr="0097554A">
        <w:rPr>
          <w:color w:val="0000FF"/>
        </w:rPr>
        <w:t>，</w:t>
      </w:r>
      <w:r w:rsidRPr="004C59BB">
        <w:rPr>
          <w:color w:val="0000FF"/>
          <w:lang w:val="ru-RU"/>
        </w:rPr>
        <w:t>载于《基督教读本》</w:t>
      </w:r>
      <w:r w:rsidRPr="0097554A">
        <w:rPr>
          <w:color w:val="0000FF"/>
        </w:rPr>
        <w:t>1844</w:t>
      </w:r>
      <w:r w:rsidRPr="004C59BB">
        <w:rPr>
          <w:color w:val="0000FF"/>
          <w:lang w:val="ru-RU"/>
        </w:rPr>
        <w:t>年</w:t>
      </w:r>
      <w:r w:rsidRPr="0097554A">
        <w:rPr>
          <w:color w:val="0000FF"/>
        </w:rPr>
        <w:t>，</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366</w:t>
      </w:r>
      <w:r w:rsidRPr="004C59BB">
        <w:rPr>
          <w:color w:val="0000FF"/>
          <w:lang w:val="ru-RU"/>
        </w:rPr>
        <w:t>页。</w:t>
      </w:r>
    </w:p>
  </w:footnote>
  <w:footnote w:id="2061">
    <w:p w14:paraId="43822E1E" w14:textId="738E4FFA"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特土良</w:t>
      </w:r>
      <w:r w:rsidRPr="0097554A">
        <w:rPr>
          <w:color w:val="0000FF"/>
        </w:rPr>
        <w:t>，</w:t>
      </w:r>
      <w:r w:rsidRPr="004C59BB">
        <w:rPr>
          <w:color w:val="0000FF"/>
          <w:lang w:val="ru-RU"/>
        </w:rPr>
        <w:t>《</w:t>
      </w:r>
      <w:r w:rsidRPr="004C59BB">
        <w:rPr>
          <w:color w:val="0000FF"/>
        </w:rPr>
        <w:t>护教篇</w:t>
      </w:r>
      <w:r w:rsidRPr="004C59BB">
        <w:rPr>
          <w:color w:val="0000FF"/>
          <w:lang w:val="ru-RU"/>
        </w:rPr>
        <w:t>》第</w:t>
      </w:r>
      <w:r w:rsidRPr="0097554A">
        <w:rPr>
          <w:color w:val="0000FF"/>
        </w:rPr>
        <w:t>48</w:t>
      </w:r>
      <w:r w:rsidRPr="004C59BB">
        <w:rPr>
          <w:color w:val="0000FF"/>
          <w:lang w:val="ru-RU"/>
        </w:rPr>
        <w:t>章</w:t>
      </w:r>
      <w:r w:rsidRPr="0097554A">
        <w:rPr>
          <w:color w:val="0000FF"/>
        </w:rPr>
        <w:t>；</w:t>
      </w:r>
      <w:r w:rsidRPr="004C59BB">
        <w:rPr>
          <w:color w:val="0000FF"/>
          <w:lang w:val="ru-RU"/>
        </w:rPr>
        <w:t>米努修斯</w:t>
      </w:r>
      <w:r w:rsidRPr="004C59BB">
        <w:rPr>
          <w:color w:val="0000FF"/>
        </w:rPr>
        <w:t>·费利克斯，《八日礼》第35章；拉克坦提乌斯，《神学原理》第七卷，第21章；尼西亚的格里高利，《教理问答》第11章；奥古斯丁，《上帝之城》第四卷，第13章，注18。</w:t>
      </w:r>
    </w:p>
  </w:footnote>
  <w:footnote w:id="2062">
    <w:p w14:paraId="7A3F25C8" w14:textId="1FD73AB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米努茨</w:t>
      </w:r>
      <w:r w:rsidRPr="0097554A">
        <w:rPr>
          <w:color w:val="0000FF"/>
        </w:rPr>
        <w:t>·</w:t>
      </w:r>
      <w:r w:rsidRPr="004C59BB">
        <w:rPr>
          <w:color w:val="0000FF"/>
          <w:lang w:val="ru-RU"/>
        </w:rPr>
        <w:t>费利克斯</w:t>
      </w:r>
      <w:r w:rsidRPr="0097554A">
        <w:rPr>
          <w:color w:val="0000FF"/>
        </w:rPr>
        <w:t>，</w:t>
      </w:r>
      <w:r w:rsidRPr="004C59BB">
        <w:rPr>
          <w:color w:val="0000FF"/>
          <w:lang w:val="ru-RU"/>
        </w:rPr>
        <w:t>《</w:t>
      </w:r>
      <w:r w:rsidRPr="004C59BB">
        <w:rPr>
          <w:color w:val="0000FF"/>
        </w:rPr>
        <w:t>八日</w:t>
      </w:r>
      <w:r w:rsidRPr="004C59BB">
        <w:rPr>
          <w:color w:val="0000FF"/>
          <w:lang w:val="ru-RU"/>
        </w:rPr>
        <w:t>节》</w:t>
      </w:r>
      <w:r w:rsidRPr="0097554A">
        <w:rPr>
          <w:color w:val="0000FF"/>
        </w:rPr>
        <w:t>，</w:t>
      </w:r>
      <w:r w:rsidRPr="004C59BB">
        <w:rPr>
          <w:color w:val="0000FF"/>
          <w:lang w:val="ru-RU"/>
        </w:rPr>
        <w:t>第</w:t>
      </w:r>
      <w:r w:rsidRPr="0097554A">
        <w:rPr>
          <w:color w:val="0000FF"/>
        </w:rPr>
        <w:t>31</w:t>
      </w:r>
      <w:r w:rsidRPr="004C59BB">
        <w:rPr>
          <w:color w:val="0000FF"/>
          <w:lang w:val="ru-RU"/>
        </w:rPr>
        <w:t>、</w:t>
      </w:r>
      <w:r w:rsidRPr="0097554A">
        <w:rPr>
          <w:color w:val="0000FF"/>
        </w:rPr>
        <w:t>35</w:t>
      </w:r>
      <w:r w:rsidRPr="004C59BB">
        <w:rPr>
          <w:color w:val="0000FF"/>
          <w:lang w:val="ru-RU"/>
        </w:rPr>
        <w:t>页</w:t>
      </w:r>
      <w:r w:rsidRPr="0097554A">
        <w:rPr>
          <w:color w:val="0000FF"/>
        </w:rPr>
        <w:t>；</w:t>
      </w:r>
      <w:r w:rsidRPr="004C59BB">
        <w:rPr>
          <w:color w:val="0000FF"/>
          <w:lang w:val="ru-RU"/>
        </w:rPr>
        <w:t>约翰</w:t>
      </w:r>
      <w:r w:rsidRPr="0097554A">
        <w:rPr>
          <w:color w:val="0000FF"/>
        </w:rPr>
        <w:t>·</w:t>
      </w:r>
      <w:r w:rsidRPr="004C59BB">
        <w:rPr>
          <w:color w:val="0000FF"/>
          <w:lang w:val="ru-RU"/>
        </w:rPr>
        <w:t>扎拉坦</w:t>
      </w:r>
      <w:r w:rsidRPr="0097554A">
        <w:rPr>
          <w:color w:val="0000FF"/>
        </w:rPr>
        <w:t>，</w:t>
      </w:r>
      <w:r w:rsidRPr="004C59BB">
        <w:rPr>
          <w:color w:val="0000FF"/>
          <w:lang w:val="ru-RU"/>
        </w:rPr>
        <w:t>《致费奥多尔</w:t>
      </w:r>
      <w:r w:rsidRPr="0097554A">
        <w:rPr>
          <w:color w:val="0000FF"/>
        </w:rPr>
        <w:t>·</w:t>
      </w:r>
      <w:r w:rsidRPr="004C59BB">
        <w:rPr>
          <w:color w:val="0000FF"/>
          <w:lang w:val="ru-RU"/>
        </w:rPr>
        <w:t>帕德斯基的讲道集》第</w:t>
      </w:r>
      <w:r w:rsidRPr="0097554A">
        <w:rPr>
          <w:color w:val="0000FF"/>
        </w:rPr>
        <w:t>1</w:t>
      </w:r>
      <w:r w:rsidRPr="004C59BB">
        <w:rPr>
          <w:color w:val="0000FF"/>
          <w:lang w:val="ru-RU"/>
        </w:rPr>
        <w:t>篇</w:t>
      </w:r>
      <w:r w:rsidRPr="0097554A">
        <w:rPr>
          <w:color w:val="0000FF"/>
        </w:rPr>
        <w:t>，</w:t>
      </w:r>
      <w:r w:rsidRPr="004C59BB">
        <w:rPr>
          <w:color w:val="0000FF"/>
          <w:lang w:val="ru-RU"/>
        </w:rPr>
        <w:t>载于《基督教读本》</w:t>
      </w:r>
      <w:r w:rsidRPr="0097554A">
        <w:rPr>
          <w:color w:val="0000FF"/>
        </w:rPr>
        <w:t>1844</w:t>
      </w:r>
      <w:r w:rsidRPr="004C59BB">
        <w:rPr>
          <w:color w:val="0000FF"/>
          <w:lang w:val="ru-RU"/>
        </w:rPr>
        <w:t>年第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367</w:t>
      </w:r>
      <w:r w:rsidRPr="004C59BB">
        <w:rPr>
          <w:color w:val="0000FF"/>
          <w:lang w:val="ru-RU"/>
        </w:rPr>
        <w:t>页及后续。</w:t>
      </w:r>
    </w:p>
  </w:footnote>
  <w:footnote w:id="2063">
    <w:p w14:paraId="5168D82A" w14:textId="7E2EB665"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瓦西里大帝</w:t>
      </w:r>
      <w:r w:rsidRPr="0097554A">
        <w:rPr>
          <w:color w:val="0000FF"/>
        </w:rPr>
        <w:t>，</w:t>
      </w:r>
      <w:r w:rsidRPr="004C59BB">
        <w:rPr>
          <w:color w:val="0000FF"/>
          <w:lang w:val="ru-RU"/>
        </w:rPr>
        <w:t>《诗篇》</w:t>
      </w:r>
      <w:r w:rsidRPr="004C59BB">
        <w:rPr>
          <w:color w:val="0000FF"/>
        </w:rPr>
        <w:t>第XXXIII篇讲</w:t>
      </w:r>
      <w:r w:rsidRPr="004C59BB">
        <w:rPr>
          <w:color w:val="0000FF"/>
          <w:lang w:val="ru-RU"/>
        </w:rPr>
        <w:t>道集</w:t>
      </w:r>
      <w:r w:rsidRPr="0097554A">
        <w:rPr>
          <w:color w:val="0000FF"/>
        </w:rPr>
        <w:t>，</w:t>
      </w:r>
      <w:r w:rsidRPr="004C59BB">
        <w:rPr>
          <w:color w:val="0000FF"/>
          <w:lang w:val="ru-RU"/>
        </w:rPr>
        <w:t>第</w:t>
      </w:r>
      <w:r w:rsidRPr="0097554A">
        <w:rPr>
          <w:color w:val="0000FF"/>
        </w:rPr>
        <w:t>8</w:t>
      </w:r>
      <w:r w:rsidRPr="004C59BB">
        <w:rPr>
          <w:color w:val="0000FF"/>
          <w:lang w:val="ru-RU"/>
        </w:rPr>
        <w:t>段</w:t>
      </w:r>
      <w:r w:rsidRPr="0097554A">
        <w:rPr>
          <w:color w:val="0000FF"/>
        </w:rPr>
        <w:t>，</w:t>
      </w:r>
      <w:r w:rsidRPr="004C59BB">
        <w:rPr>
          <w:color w:val="0000FF"/>
          <w:lang w:val="ru-RU"/>
        </w:rPr>
        <w:t>载于</w:t>
      </w:r>
      <w:r w:rsidRPr="004C59BB">
        <w:rPr>
          <w:color w:val="0000FF"/>
        </w:rPr>
        <w:t>《圣教父文集》第V卷，第302页；约翰·扎拉坦，《希伯来书》讲道集第1、4篇。</w:t>
      </w:r>
    </w:p>
  </w:footnote>
  <w:footnote w:id="2064">
    <w:p w14:paraId="4B08033C" w14:textId="5874BD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特土良，《护教论》第47、48章；奥古斯丁，《上帝之城》第20卷，第16章。</w:t>
      </w:r>
    </w:p>
  </w:footnote>
  <w:footnote w:id="2065">
    <w:p w14:paraId="7493B412" w14:textId="2BF14A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奥利金，《论原理》第二卷，第10章，注4、5；安布罗斯，《路加福音讲道集》第七卷，注205。杰罗姆，《以弗所书讲道集》第五卷，第6章；《以赛亚书讲道集》第四十六章。</w:t>
      </w:r>
    </w:p>
  </w:footnote>
  <w:footnote w:id="2066">
    <w:p w14:paraId="7DD96BDD" w14:textId="369C17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奥古斯丁。《上帝之城》第 XXI 卷，第 9 章，注 2；第 10 章，注 1。</w:t>
      </w:r>
    </w:p>
  </w:footnote>
  <w:footnote w:id="2067">
    <w:p w14:paraId="1C00F51D" w14:textId="3BAB53B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致费奥多尔亲王的信</w:t>
      </w:r>
      <w:r w:rsidRPr="0097554A">
        <w:rPr>
          <w:color w:val="0000FF"/>
        </w:rPr>
        <w:t xml:space="preserve"> 1，</w:t>
      </w:r>
      <w:r w:rsidRPr="004C59BB">
        <w:rPr>
          <w:color w:val="0000FF"/>
          <w:lang w:val="ru-RU"/>
        </w:rPr>
        <w:t>载于《基督教读本》</w:t>
      </w:r>
      <w:r w:rsidRPr="0097554A">
        <w:rPr>
          <w:color w:val="0000FF"/>
        </w:rPr>
        <w:t>1844</w:t>
      </w:r>
      <w:r w:rsidRPr="004C59BB">
        <w:rPr>
          <w:color w:val="0000FF"/>
          <w:lang w:val="ru-RU"/>
        </w:rPr>
        <w:t>年版</w:t>
      </w:r>
      <w:r w:rsidRPr="0097554A">
        <w:rPr>
          <w:color w:val="0000FF"/>
        </w:rPr>
        <w:t>，</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361</w:t>
      </w:r>
      <w:r w:rsidRPr="004C59BB">
        <w:rPr>
          <w:color w:val="0000FF"/>
          <w:lang w:val="ru-RU"/>
        </w:rPr>
        <w:t>、</w:t>
      </w:r>
      <w:r w:rsidRPr="0097554A">
        <w:rPr>
          <w:color w:val="0000FF"/>
        </w:rPr>
        <w:t>366–367</w:t>
      </w:r>
      <w:r w:rsidRPr="004C59BB">
        <w:rPr>
          <w:color w:val="0000FF"/>
          <w:lang w:val="ru-RU"/>
        </w:rPr>
        <w:t>页。</w:t>
      </w:r>
    </w:p>
  </w:footnote>
  <w:footnote w:id="2068">
    <w:p w14:paraId="7399B05E" w14:textId="438B7516"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瓦西里大帝致殉道圣女书</w:t>
      </w:r>
      <w:r w:rsidRPr="0097554A">
        <w:rPr>
          <w:color w:val="0000FF"/>
        </w:rPr>
        <w:t xml:space="preserve"> XLVI，</w:t>
      </w:r>
      <w:r w:rsidRPr="004C59BB">
        <w:rPr>
          <w:color w:val="0000FF"/>
          <w:lang w:val="ru-RU"/>
        </w:rPr>
        <w:t>载于《圣教父文集》</w:t>
      </w:r>
      <w:r w:rsidRPr="004C59BB">
        <w:rPr>
          <w:color w:val="0000FF"/>
        </w:rPr>
        <w:t>X</w:t>
      </w:r>
      <w:r w:rsidRPr="0097554A">
        <w:rPr>
          <w:color w:val="0000FF"/>
        </w:rPr>
        <w:t>，131</w:t>
      </w:r>
      <w:r w:rsidRPr="004C59BB">
        <w:rPr>
          <w:color w:val="0000FF"/>
          <w:lang w:val="ru-RU"/>
        </w:rPr>
        <w:t>。</w:t>
      </w:r>
    </w:p>
  </w:footnote>
  <w:footnote w:id="2069">
    <w:p w14:paraId="7D168AD0" w14:textId="3B860A63"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《教义简明阐述》</w:t>
      </w:r>
      <w:r w:rsidRPr="0097554A">
        <w:rPr>
          <w:color w:val="0000FF"/>
        </w:rPr>
        <w:t>，</w:t>
      </w:r>
      <w:r w:rsidRPr="004C59BB">
        <w:rPr>
          <w:color w:val="0000FF"/>
          <w:lang w:val="ru-RU"/>
        </w:rPr>
        <w:t>对第</w:t>
      </w:r>
      <w:r w:rsidRPr="0097554A">
        <w:rPr>
          <w:color w:val="0000FF"/>
        </w:rPr>
        <w:t>207</w:t>
      </w:r>
      <w:r w:rsidRPr="004C59BB">
        <w:rPr>
          <w:color w:val="0000FF"/>
          <w:lang w:val="ru-RU"/>
        </w:rPr>
        <w:t>个问题的回答</w:t>
      </w:r>
      <w:r w:rsidRPr="0097554A">
        <w:rPr>
          <w:color w:val="0000FF"/>
        </w:rPr>
        <w:t>，</w:t>
      </w:r>
      <w:r w:rsidRPr="004C59BB">
        <w:rPr>
          <w:color w:val="0000FF"/>
          <w:lang w:val="ru-RU"/>
        </w:rPr>
        <w:t>载于《圣教父文集》</w:t>
      </w:r>
      <w:r w:rsidRPr="004C59BB">
        <w:rPr>
          <w:color w:val="0000FF"/>
        </w:rPr>
        <w:t>第九卷</w:t>
      </w:r>
      <w:r w:rsidRPr="0097554A">
        <w:rPr>
          <w:color w:val="0000FF"/>
        </w:rPr>
        <w:t>，</w:t>
      </w:r>
      <w:r w:rsidRPr="004C59BB">
        <w:rPr>
          <w:color w:val="0000FF"/>
          <w:lang w:val="ru-RU"/>
        </w:rPr>
        <w:t>第</w:t>
      </w:r>
      <w:r w:rsidRPr="0097554A">
        <w:rPr>
          <w:color w:val="0000FF"/>
        </w:rPr>
        <w:t>346–347</w:t>
      </w:r>
      <w:r w:rsidRPr="004C59BB">
        <w:rPr>
          <w:color w:val="0000FF"/>
          <w:lang w:val="ru-RU"/>
        </w:rPr>
        <w:t>页。</w:t>
      </w:r>
    </w:p>
  </w:footnote>
  <w:footnote w:id="2070">
    <w:p w14:paraId="346AF1D4" w14:textId="7788995E"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《论主第二次降临的讲道》</w:t>
      </w:r>
      <w:r w:rsidRPr="0097554A">
        <w:rPr>
          <w:color w:val="0000FF"/>
        </w:rPr>
        <w:t>，</w:t>
      </w:r>
      <w:r w:rsidRPr="004C59BB">
        <w:rPr>
          <w:color w:val="0000FF"/>
          <w:lang w:val="ru-RU"/>
        </w:rPr>
        <w:t>载于《圣父文集》</w:t>
      </w:r>
      <w:r w:rsidRPr="004C59BB">
        <w:rPr>
          <w:color w:val="0000FF"/>
        </w:rPr>
        <w:t>第XII卷</w:t>
      </w:r>
      <w:r w:rsidRPr="0097554A">
        <w:rPr>
          <w:color w:val="0000FF"/>
        </w:rPr>
        <w:t>，</w:t>
      </w:r>
      <w:r w:rsidRPr="004C59BB">
        <w:rPr>
          <w:color w:val="0000FF"/>
          <w:lang w:val="ru-RU"/>
        </w:rPr>
        <w:t>第</w:t>
      </w:r>
      <w:r w:rsidRPr="0097554A">
        <w:rPr>
          <w:color w:val="0000FF"/>
        </w:rPr>
        <w:t>390</w:t>
      </w:r>
      <w:r w:rsidRPr="004C59BB">
        <w:rPr>
          <w:color w:val="0000FF"/>
          <w:lang w:val="ru-RU"/>
        </w:rPr>
        <w:t>页。</w:t>
      </w:r>
    </w:p>
  </w:footnote>
  <w:footnote w:id="2071">
    <w:p w14:paraId="5108B912" w14:textId="11438A9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关于圣十字架及主第二次降临的讲道</w:t>
      </w:r>
      <w:r w:rsidRPr="0097554A">
        <w:rPr>
          <w:color w:val="0000FF"/>
        </w:rPr>
        <w:t>，</w:t>
      </w:r>
      <w:r w:rsidRPr="004C59BB">
        <w:rPr>
          <w:color w:val="0000FF"/>
          <w:lang w:val="ru-RU"/>
        </w:rPr>
        <w:t>同上</w:t>
      </w:r>
      <w:r w:rsidRPr="0097554A">
        <w:rPr>
          <w:color w:val="0000FF"/>
        </w:rPr>
        <w:t>，</w:t>
      </w:r>
      <w:r w:rsidRPr="004C59BB">
        <w:rPr>
          <w:color w:val="0000FF"/>
        </w:rPr>
        <w:t>第十四</w:t>
      </w:r>
      <w:r w:rsidRPr="004C59BB">
        <w:rPr>
          <w:color w:val="0000FF"/>
          <w:lang w:val="ru-RU"/>
        </w:rPr>
        <w:t>卷</w:t>
      </w:r>
      <w:r w:rsidRPr="0097554A">
        <w:rPr>
          <w:color w:val="0000FF"/>
        </w:rPr>
        <w:t>，</w:t>
      </w:r>
      <w:r w:rsidRPr="004C59BB">
        <w:rPr>
          <w:color w:val="0000FF"/>
          <w:lang w:val="ru-RU"/>
        </w:rPr>
        <w:t>第</w:t>
      </w:r>
      <w:r w:rsidRPr="0097554A">
        <w:rPr>
          <w:color w:val="0000FF"/>
        </w:rPr>
        <w:t>50</w:t>
      </w:r>
      <w:r w:rsidRPr="004C59BB">
        <w:rPr>
          <w:color w:val="0000FF"/>
          <w:lang w:val="ru-RU"/>
        </w:rPr>
        <w:t>页</w:t>
      </w:r>
      <w:r w:rsidRPr="0097554A">
        <w:rPr>
          <w:color w:val="0000FF"/>
        </w:rPr>
        <w:t>；</w:t>
      </w:r>
      <w:r w:rsidRPr="004C59BB">
        <w:rPr>
          <w:color w:val="0000FF"/>
          <w:lang w:val="ru-RU"/>
        </w:rPr>
        <w:t>参见第</w:t>
      </w:r>
      <w:r w:rsidRPr="0097554A">
        <w:rPr>
          <w:color w:val="0000FF"/>
        </w:rPr>
        <w:t>18</w:t>
      </w:r>
      <w:r w:rsidRPr="004C59BB">
        <w:rPr>
          <w:color w:val="0000FF"/>
          <w:lang w:val="ru-RU"/>
        </w:rPr>
        <w:t>页。</w:t>
      </w:r>
    </w:p>
  </w:footnote>
  <w:footnote w:id="2072">
    <w:p w14:paraId="03C5B122" w14:textId="28D626AA"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《罗马讲道集》</w:t>
      </w:r>
      <w:r w:rsidRPr="004C59BB">
        <w:rPr>
          <w:color w:val="0000FF"/>
        </w:rPr>
        <w:t>第五</w:t>
      </w:r>
      <w:r w:rsidRPr="004C59BB">
        <w:rPr>
          <w:color w:val="0000FF"/>
          <w:lang w:val="ru-RU"/>
        </w:rPr>
        <w:t>卷</w:t>
      </w:r>
      <w:r w:rsidRPr="0097554A">
        <w:rPr>
          <w:color w:val="0000FF"/>
        </w:rPr>
        <w:t>，</w:t>
      </w:r>
      <w:r w:rsidRPr="004C59BB">
        <w:rPr>
          <w:color w:val="0000FF"/>
          <w:lang w:val="ru-RU"/>
        </w:rPr>
        <w:t>第</w:t>
      </w:r>
      <w:r w:rsidRPr="0097554A">
        <w:rPr>
          <w:color w:val="0000FF"/>
        </w:rPr>
        <w:t>84</w:t>
      </w:r>
      <w:r w:rsidRPr="004C59BB">
        <w:rPr>
          <w:color w:val="0000FF"/>
          <w:lang w:val="ru-RU"/>
        </w:rPr>
        <w:t>页</w:t>
      </w:r>
      <w:r w:rsidRPr="0097554A">
        <w:rPr>
          <w:color w:val="0000FF"/>
        </w:rPr>
        <w:t>，</w:t>
      </w:r>
      <w:r w:rsidRPr="004C59BB">
        <w:rPr>
          <w:color w:val="0000FF"/>
          <w:lang w:val="ru-RU"/>
        </w:rPr>
        <w:t>据俄文译本。</w:t>
      </w:r>
    </w:p>
  </w:footnote>
  <w:footnote w:id="2073">
    <w:p w14:paraId="5B9E0B23" w14:textId="2D0E8FD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《致费奥多尔殉道者讲道集》第</w:t>
      </w:r>
      <w:r w:rsidRPr="0097554A">
        <w:rPr>
          <w:color w:val="0000FF"/>
        </w:rPr>
        <w:t>1</w:t>
      </w:r>
      <w:r w:rsidRPr="004C59BB">
        <w:rPr>
          <w:color w:val="0000FF"/>
          <w:lang w:val="ru-RU"/>
        </w:rPr>
        <w:t>卷</w:t>
      </w:r>
      <w:r w:rsidRPr="0097554A">
        <w:rPr>
          <w:color w:val="0000FF"/>
        </w:rPr>
        <w:t>，</w:t>
      </w:r>
      <w:r w:rsidRPr="004C59BB">
        <w:rPr>
          <w:color w:val="0000FF"/>
          <w:lang w:val="ru-RU"/>
        </w:rPr>
        <w:t>载于《基督教读本》</w:t>
      </w:r>
      <w:r w:rsidRPr="0097554A">
        <w:rPr>
          <w:color w:val="0000FF"/>
        </w:rPr>
        <w:t>1844</w:t>
      </w:r>
      <w:r w:rsidRPr="004C59BB">
        <w:rPr>
          <w:color w:val="0000FF"/>
          <w:lang w:val="ru-RU"/>
        </w:rPr>
        <w:t>年第</w:t>
      </w:r>
      <w:r w:rsidRPr="0097554A">
        <w:rPr>
          <w:color w:val="0000FF"/>
        </w:rPr>
        <w:t>1</w:t>
      </w:r>
      <w:r w:rsidRPr="004C59BB">
        <w:rPr>
          <w:color w:val="0000FF"/>
          <w:lang w:val="ru-RU"/>
        </w:rPr>
        <w:t>期</w:t>
      </w:r>
      <w:r w:rsidRPr="0097554A">
        <w:rPr>
          <w:color w:val="0000FF"/>
        </w:rPr>
        <w:t>，</w:t>
      </w:r>
      <w:r w:rsidRPr="004C59BB">
        <w:rPr>
          <w:color w:val="0000FF"/>
          <w:lang w:val="ru-RU"/>
        </w:rPr>
        <w:t>第</w:t>
      </w:r>
      <w:r w:rsidRPr="0097554A">
        <w:rPr>
          <w:color w:val="0000FF"/>
        </w:rPr>
        <w:t>413</w:t>
      </w:r>
      <w:r w:rsidRPr="004C59BB">
        <w:rPr>
          <w:color w:val="0000FF"/>
          <w:lang w:val="ru-RU"/>
        </w:rPr>
        <w:t>页。</w:t>
      </w:r>
    </w:p>
  </w:footnote>
  <w:footnote w:id="2074">
    <w:p w14:paraId="2BCEEB38" w14:textId="50E55A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那时，将有各种残酷的刑罚……对于那些拒绝主的恩典、藐视其权威的人，他将以各种不同的方式加以惩罚，并根据他们应得的救赎，施展他的力量，同时对同样的罪行作出区分……等等。”（《殉道者颂》一书）。</w:t>
      </w:r>
    </w:p>
  </w:footnote>
  <w:footnote w:id="2075">
    <w:p w14:paraId="44934340" w14:textId="054ECF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若所多玛和蛾摩拉之地的处境尚可忍受，而那未接受福音的城邦却不然：因此，在罪人之中也有不同的刑罚（《马太福音注释》第十章）。</w:t>
      </w:r>
    </w:p>
  </w:footnote>
  <w:footnote w:id="2076">
    <w:p w14:paraId="56A9C405" w14:textId="13CACA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毫无疑问，（受诅者）所受的刑罚，将因罪行的不同而各不相同（《论洗礼》第四卷，第19章）。</w:t>
      </w:r>
    </w:p>
  </w:footnote>
  <w:footnote w:id="2077">
    <w:p w14:paraId="0F54474D" w14:textId="2C9DB7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见于哈杜因《教会会议集》第IV卷，第66栏；尼基弗鲁斯·卡利斯《教会史》第十七卷，第28页。</w:t>
      </w:r>
    </w:p>
  </w:footnote>
  <w:footnote w:id="2078">
    <w:p w14:paraId="4FF36673" w14:textId="668EDBF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引自圣约翰·达马斯库斯《文选》Ψ卷，第1题。</w:t>
      </w:r>
    </w:p>
  </w:footnote>
  <w:footnote w:id="2079">
    <w:p w14:paraId="3BF2DD36" w14:textId="7C43037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优西比乌</w:t>
      </w:r>
      <w:r w:rsidRPr="0097554A">
        <w:rPr>
          <w:color w:val="0000FF"/>
        </w:rPr>
        <w:t>，</w:t>
      </w:r>
      <w:r w:rsidRPr="004C59BB">
        <w:rPr>
          <w:color w:val="0000FF"/>
          <w:lang w:val="ru-RU"/>
        </w:rPr>
        <w:t>《教会史》</w:t>
      </w:r>
      <w:r w:rsidRPr="004C59BB">
        <w:rPr>
          <w:color w:val="0000FF"/>
        </w:rPr>
        <w:t>第四卷</w:t>
      </w:r>
      <w:r w:rsidRPr="0097554A">
        <w:rPr>
          <w:color w:val="0000FF"/>
        </w:rPr>
        <w:t>，</w:t>
      </w:r>
      <w:r w:rsidRPr="004C59BB">
        <w:rPr>
          <w:color w:val="0000FF"/>
          <w:lang w:val="ru-RU"/>
        </w:rPr>
        <w:t>第</w:t>
      </w:r>
      <w:r w:rsidRPr="0097554A">
        <w:rPr>
          <w:color w:val="0000FF"/>
        </w:rPr>
        <w:t>15</w:t>
      </w:r>
      <w:r w:rsidRPr="004C59BB">
        <w:rPr>
          <w:color w:val="0000FF"/>
          <w:lang w:val="ru-RU"/>
        </w:rPr>
        <w:t>章</w:t>
      </w:r>
      <w:r w:rsidRPr="0097554A">
        <w:rPr>
          <w:color w:val="0000FF"/>
        </w:rPr>
        <w:t>，</w:t>
      </w:r>
      <w:r w:rsidRPr="004C59BB">
        <w:rPr>
          <w:color w:val="0000FF"/>
          <w:lang w:val="ru-RU"/>
        </w:rPr>
        <w:t>第</w:t>
      </w:r>
      <w:r w:rsidRPr="0097554A">
        <w:rPr>
          <w:color w:val="0000FF"/>
        </w:rPr>
        <w:t>213</w:t>
      </w:r>
      <w:r w:rsidRPr="004C59BB">
        <w:rPr>
          <w:color w:val="0000FF"/>
          <w:lang w:val="ru-RU"/>
        </w:rPr>
        <w:t>页。</w:t>
      </w:r>
    </w:p>
  </w:footnote>
  <w:footnote w:id="2080">
    <w:p w14:paraId="25519394" w14:textId="3B7A742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χολασθησομένους τόν άπέραντον αιώνα。《</w:t>
      </w:r>
      <w:r w:rsidRPr="004C59BB">
        <w:rPr>
          <w:color w:val="0000FF"/>
        </w:rPr>
        <w:t>辩护书</w:t>
      </w:r>
      <w:r w:rsidRPr="004C59BB">
        <w:rPr>
          <w:color w:val="0000FF"/>
          <w:lang w:val="el-GR"/>
        </w:rPr>
        <w:t>》第1卷，第28章。</w:t>
      </w:r>
    </w:p>
  </w:footnote>
  <w:footnote w:id="2081">
    <w:p w14:paraId="3C171CFE" w14:textId="211E3B57"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《反异端》第四卷</w:t>
      </w:r>
      <w:r w:rsidRPr="0097554A">
        <w:rPr>
          <w:color w:val="0000FF"/>
          <w:lang w:val="el-GR"/>
        </w:rPr>
        <w:t>，</w:t>
      </w:r>
      <w:r w:rsidRPr="004C59BB">
        <w:rPr>
          <w:color w:val="0000FF"/>
        </w:rPr>
        <w:t>第</w:t>
      </w:r>
      <w:r w:rsidRPr="0097554A">
        <w:rPr>
          <w:color w:val="0000FF"/>
          <w:lang w:val="el-GR"/>
        </w:rPr>
        <w:t>28</w:t>
      </w:r>
      <w:r w:rsidRPr="004C59BB">
        <w:rPr>
          <w:color w:val="0000FF"/>
        </w:rPr>
        <w:t>页。</w:t>
      </w:r>
    </w:p>
  </w:footnote>
  <w:footnote w:id="2082">
    <w:p w14:paraId="313F6866" w14:textId="4215C96E"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rPr>
        <w:t>同上</w:t>
      </w:r>
      <w:r w:rsidRPr="0097554A">
        <w:rPr>
          <w:color w:val="0000FF"/>
          <w:lang w:val="el-GR"/>
        </w:rPr>
        <w:t>，</w:t>
      </w:r>
      <w:r w:rsidRPr="004C59BB">
        <w:rPr>
          <w:color w:val="0000FF"/>
        </w:rPr>
        <w:t>第五卷</w:t>
      </w:r>
      <w:r w:rsidRPr="0097554A">
        <w:rPr>
          <w:color w:val="0000FF"/>
          <w:lang w:val="el-GR"/>
        </w:rPr>
        <w:t>，</w:t>
      </w:r>
      <w:r w:rsidRPr="004C59BB">
        <w:rPr>
          <w:color w:val="0000FF"/>
          <w:lang w:val="ru-RU"/>
        </w:rPr>
        <w:t>第</w:t>
      </w:r>
      <w:r w:rsidRPr="0097554A">
        <w:rPr>
          <w:color w:val="0000FF"/>
          <w:lang w:val="el-GR"/>
        </w:rPr>
        <w:t>27</w:t>
      </w:r>
      <w:r w:rsidRPr="004C59BB">
        <w:rPr>
          <w:color w:val="0000FF"/>
        </w:rPr>
        <w:t>章</w:t>
      </w:r>
      <w:r w:rsidRPr="004C59BB">
        <w:rPr>
          <w:color w:val="0000FF"/>
          <w:lang w:val="ru-RU"/>
        </w:rPr>
        <w:t>。</w:t>
      </w:r>
    </w:p>
  </w:footnote>
  <w:footnote w:id="2083">
    <w:p w14:paraId="11978206" w14:textId="71B690BD" w:rsidR="00254F25" w:rsidRPr="0097554A" w:rsidRDefault="00000000">
      <w:pPr>
        <w:pStyle w:val="FootnoteText"/>
        <w:rPr>
          <w:color w:val="0000FF"/>
          <w:lang w:val="el-GR"/>
        </w:rPr>
      </w:pPr>
      <w:r w:rsidRPr="004C59BB">
        <w:rPr>
          <w:rStyle w:val="FootnoteReference"/>
          <w:color w:val="0000FF"/>
        </w:rPr>
        <w:footnoteRef/>
      </w:r>
      <w:r w:rsidRPr="0097554A">
        <w:rPr>
          <w:color w:val="0000FF"/>
          <w:lang w:val="el-GR"/>
        </w:rPr>
        <w:t xml:space="preserve"> </w:t>
      </w:r>
      <w:r w:rsidRPr="004C59BB">
        <w:rPr>
          <w:color w:val="0000FF"/>
          <w:lang w:val="ru-RU"/>
        </w:rPr>
        <w:t>《教义概要》</w:t>
      </w:r>
      <w:r w:rsidRPr="004C59BB">
        <w:rPr>
          <w:color w:val="0000FF"/>
        </w:rPr>
        <w:t>第十八卷</w:t>
      </w:r>
      <w:r w:rsidRPr="0097554A">
        <w:rPr>
          <w:color w:val="0000FF"/>
          <w:lang w:val="el-GR"/>
        </w:rPr>
        <w:t>，</w:t>
      </w:r>
      <w:r w:rsidRPr="004C59BB">
        <w:rPr>
          <w:color w:val="0000FF"/>
          <w:lang w:val="ru-RU"/>
        </w:rPr>
        <w:t>第</w:t>
      </w:r>
      <w:r w:rsidRPr="0097554A">
        <w:rPr>
          <w:color w:val="0000FF"/>
          <w:lang w:val="el-GR"/>
        </w:rPr>
        <w:t>19</w:t>
      </w:r>
      <w:r w:rsidRPr="004C59BB">
        <w:rPr>
          <w:color w:val="0000FF"/>
          <w:lang w:val="ru-RU"/>
        </w:rPr>
        <w:t>条</w:t>
      </w:r>
      <w:r w:rsidRPr="0097554A">
        <w:rPr>
          <w:color w:val="0000FF"/>
          <w:lang w:val="el-GR"/>
        </w:rPr>
        <w:t>，</w:t>
      </w:r>
      <w:r w:rsidRPr="004C59BB">
        <w:rPr>
          <w:color w:val="0000FF"/>
          <w:lang w:val="ru-RU"/>
        </w:rPr>
        <w:t>第</w:t>
      </w:r>
      <w:r w:rsidRPr="0097554A">
        <w:rPr>
          <w:color w:val="0000FF"/>
          <w:lang w:val="el-GR"/>
        </w:rPr>
        <w:t>422–423</w:t>
      </w:r>
      <w:r w:rsidRPr="004C59BB">
        <w:rPr>
          <w:color w:val="0000FF"/>
          <w:lang w:val="ru-RU"/>
        </w:rPr>
        <w:t>页。</w:t>
      </w:r>
    </w:p>
  </w:footnote>
  <w:footnote w:id="2084">
    <w:p w14:paraId="5499E294" w14:textId="6D6C816C"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el-GR"/>
        </w:rPr>
        <w:t xml:space="preserve"> </w:t>
      </w:r>
      <w:r w:rsidRPr="004C59BB">
        <w:rPr>
          <w:color w:val="0000FF"/>
          <w:lang w:val="ru-RU"/>
        </w:rPr>
        <w:t>《教义简明论》</w:t>
      </w:r>
      <w:r w:rsidRPr="0097554A">
        <w:rPr>
          <w:color w:val="0000FF"/>
          <w:lang w:val="el-GR"/>
        </w:rPr>
        <w:t>，</w:t>
      </w:r>
      <w:r w:rsidRPr="004C59BB">
        <w:rPr>
          <w:color w:val="0000FF"/>
          <w:lang w:val="ru-RU"/>
        </w:rPr>
        <w:t>对第</w:t>
      </w:r>
      <w:r w:rsidRPr="0097554A">
        <w:rPr>
          <w:color w:val="0000FF"/>
          <w:lang w:val="el-GR"/>
        </w:rPr>
        <w:t>207</w:t>
      </w:r>
      <w:r w:rsidRPr="004C59BB">
        <w:rPr>
          <w:color w:val="0000FF"/>
          <w:lang w:val="ru-RU"/>
        </w:rPr>
        <w:t>个问题的回答</w:t>
      </w:r>
      <w:r w:rsidRPr="0097554A">
        <w:rPr>
          <w:color w:val="0000FF"/>
          <w:lang w:val="el-GR"/>
        </w:rPr>
        <w:t>，</w:t>
      </w:r>
      <w:r w:rsidRPr="004C59BB">
        <w:rPr>
          <w:color w:val="0000FF"/>
          <w:lang w:val="ru-RU"/>
        </w:rPr>
        <w:t>载于《圣教父文集》</w:t>
      </w:r>
      <w:r w:rsidRPr="004C59BB">
        <w:rPr>
          <w:color w:val="0000FF"/>
        </w:rPr>
        <w:t>第九卷</w:t>
      </w:r>
      <w:r w:rsidRPr="0097554A">
        <w:rPr>
          <w:color w:val="0000FF"/>
          <w:lang w:val="el-GR"/>
        </w:rPr>
        <w:t>，</w:t>
      </w:r>
      <w:r w:rsidRPr="004C59BB">
        <w:rPr>
          <w:color w:val="0000FF"/>
          <w:lang w:val="ru-RU"/>
        </w:rPr>
        <w:t>第</w:t>
      </w:r>
      <w:r w:rsidRPr="0097554A">
        <w:rPr>
          <w:color w:val="0000FF"/>
          <w:lang w:val="el-GR"/>
        </w:rPr>
        <w:t>345</w:t>
      </w:r>
      <w:r w:rsidRPr="004C59BB">
        <w:rPr>
          <w:color w:val="0000FF"/>
          <w:lang w:val="ru-RU"/>
        </w:rPr>
        <w:t>页。参见注释2069。</w:t>
      </w:r>
    </w:p>
  </w:footnote>
  <w:footnote w:id="2085">
    <w:p w14:paraId="2ADED777" w14:textId="79F051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《狄奥多尔注释词典》第1卷，载于《基督教读物》1844年第1期，第365–366页、367–368页。</w:t>
      </w:r>
    </w:p>
  </w:footnote>
  <w:footnote w:id="2086">
    <w:p w14:paraId="078DFBDC" w14:textId="5D92667D"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w:t>
      </w:r>
      <w:r w:rsidRPr="004C59BB">
        <w:rPr>
          <w:color w:val="0000FF"/>
        </w:rPr>
        <w:t>辩护书</w:t>
      </w:r>
      <w:r w:rsidRPr="004C59BB">
        <w:rPr>
          <w:color w:val="0000FF"/>
          <w:lang w:val="ru-RU"/>
        </w:rPr>
        <w:t>》第</w:t>
      </w:r>
      <w:r w:rsidRPr="0097554A">
        <w:rPr>
          <w:color w:val="0000FF"/>
        </w:rPr>
        <w:t>18</w:t>
      </w:r>
      <w:r w:rsidRPr="004C59BB">
        <w:rPr>
          <w:color w:val="0000FF"/>
          <w:lang w:val="ru-RU"/>
        </w:rPr>
        <w:t>页。</w:t>
      </w:r>
      <w:r w:rsidRPr="004C59BB">
        <w:rPr>
          <w:color w:val="0000FF"/>
        </w:rPr>
        <w:t>45：aeternam ab Eo poenam providemus…，pro magnitudine cruciatus，non diuturni，verum sempiterni，Eum timentes。</w:t>
      </w:r>
    </w:p>
  </w:footnote>
  <w:footnote w:id="2087">
    <w:p w14:paraId="1AAAB7D0" w14:textId="708151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《致奥托利克书》第1卷，第14章。</w:t>
      </w:r>
    </w:p>
  </w:footnote>
  <w:footnote w:id="2088">
    <w:p w14:paraId="56CD5318" w14:textId="1F3ED9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……也不会存在任何可能使这些折磨或苦难在某时获得缓解或终结的途径（致德米特里安书；参见第十五、第五十五封书信）。</w:t>
      </w:r>
    </w:p>
  </w:footnote>
  <w:footnote w:id="2089">
    <w:p w14:paraId="70793CBA" w14:textId="5355EF50"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米努茨·费尔，《奥克塔维安》，第35页；希波吕托斯，《反希腊派与柏拉图》，第3章；亚法纳西乌斯，《诗篇注释》第49篇</w:t>
      </w:r>
      <w:r w:rsidRPr="0097554A">
        <w:rPr>
          <w:color w:val="0000FF"/>
        </w:rPr>
        <w:t>，</w:t>
      </w:r>
      <w:r w:rsidRPr="004C59BB">
        <w:rPr>
          <w:color w:val="0000FF"/>
          <w:lang w:val="ru-RU"/>
        </w:rPr>
        <w:t>第</w:t>
      </w:r>
      <w:r w:rsidRPr="0097554A">
        <w:rPr>
          <w:color w:val="0000FF"/>
        </w:rPr>
        <w:t>22</w:t>
      </w:r>
      <w:r w:rsidRPr="004C59BB">
        <w:rPr>
          <w:color w:val="0000FF"/>
          <w:lang w:val="ru-RU"/>
        </w:rPr>
        <w:t>节。</w:t>
      </w:r>
    </w:p>
  </w:footnote>
  <w:footnote w:id="2090">
    <w:p w14:paraId="278D4FDF" w14:textId="39888A07"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第二类人</w:t>
      </w:r>
      <w:r w:rsidRPr="0097554A">
        <w:rPr>
          <w:color w:val="0000FF"/>
        </w:rPr>
        <w:t>（</w:t>
      </w:r>
      <w:r w:rsidRPr="004C59BB">
        <w:rPr>
          <w:color w:val="0000FF"/>
          <w:lang w:val="ru-RU"/>
        </w:rPr>
        <w:t>罪人</w:t>
      </w:r>
      <w:r w:rsidRPr="0097554A">
        <w:rPr>
          <w:color w:val="0000FF"/>
        </w:rPr>
        <w:t>）</w:t>
      </w:r>
      <w:r w:rsidRPr="004C59BB">
        <w:rPr>
          <w:color w:val="0000FF"/>
          <w:lang w:val="ru-RU"/>
        </w:rPr>
        <w:t>的命运</w:t>
      </w:r>
      <w:r w:rsidRPr="0097554A">
        <w:rPr>
          <w:color w:val="0000FF"/>
        </w:rPr>
        <w:t>，</w:t>
      </w:r>
      <w:r w:rsidRPr="004C59BB">
        <w:rPr>
          <w:color w:val="0000FF"/>
          <w:lang w:val="ru-RU"/>
        </w:rPr>
        <w:t>除其他之外</w:t>
      </w:r>
      <w:r w:rsidRPr="0097554A">
        <w:rPr>
          <w:color w:val="0000FF"/>
        </w:rPr>
        <w:t>，</w:t>
      </w:r>
      <w:r w:rsidRPr="004C59BB">
        <w:rPr>
          <w:color w:val="0000FF"/>
          <w:lang w:val="ru-RU"/>
        </w:rPr>
        <w:t>将是受苦</w:t>
      </w:r>
      <w:r w:rsidRPr="0097554A">
        <w:rPr>
          <w:color w:val="0000FF"/>
        </w:rPr>
        <w:t>，</w:t>
      </w:r>
      <w:r w:rsidRPr="004C59BB">
        <w:rPr>
          <w:color w:val="0000FF"/>
          <w:lang w:val="ru-RU"/>
        </w:rPr>
        <w:t>或者更确切地说</w:t>
      </w:r>
      <w:r w:rsidRPr="0097554A">
        <w:rPr>
          <w:color w:val="0000FF"/>
        </w:rPr>
        <w:t>，</w:t>
      </w:r>
      <w:r w:rsidRPr="004C59BB">
        <w:rPr>
          <w:color w:val="0000FF"/>
          <w:lang w:val="ru-RU"/>
        </w:rPr>
        <w:t>首先是被上帝弃绝</w:t>
      </w:r>
      <w:r w:rsidRPr="0097554A">
        <w:rPr>
          <w:color w:val="0000FF"/>
        </w:rPr>
        <w:t>，</w:t>
      </w:r>
      <w:r w:rsidRPr="004C59BB">
        <w:rPr>
          <w:color w:val="0000FF"/>
          <w:lang w:val="ru-RU"/>
        </w:rPr>
        <w:t>以及良知中永无止境的羞愧</w:t>
      </w:r>
      <w:r w:rsidRPr="0097554A">
        <w:rPr>
          <w:color w:val="0000FF"/>
        </w:rPr>
        <w:t>”（</w:t>
      </w:r>
      <w:r w:rsidRPr="004C59BB">
        <w:rPr>
          <w:color w:val="0000FF"/>
          <w:lang w:val="ru-RU"/>
        </w:rPr>
        <w:t>在父亲面前所说的话</w:t>
      </w:r>
      <w:r w:rsidRPr="0097554A">
        <w:rPr>
          <w:color w:val="0000FF"/>
        </w:rPr>
        <w:t>，</w:t>
      </w:r>
      <w:r w:rsidRPr="004C59BB">
        <w:rPr>
          <w:color w:val="0000FF"/>
          <w:lang w:val="ru-RU"/>
        </w:rPr>
        <w:t>《</w:t>
      </w:r>
      <w:r w:rsidRPr="004C59BB">
        <w:rPr>
          <w:color w:val="0000FF"/>
        </w:rPr>
        <w:t>圣教父著作集》第二卷，第56页）。</w:t>
      </w:r>
    </w:p>
  </w:footnote>
  <w:footnote w:id="2091">
    <w:p w14:paraId="49C1F49E" w14:textId="43FD4C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伊拉里乌斯，《马太福音注释》第五卷，第12注；杰罗姆，《马太福音注释》第二十四</w:t>
      </w:r>
      <w:r w:rsidRPr="004C59BB">
        <w:rPr>
          <w:color w:val="0000FF"/>
          <w:lang w:val="ru-RU"/>
        </w:rPr>
        <w:t>章</w:t>
      </w:r>
      <w:r w:rsidRPr="0097554A">
        <w:rPr>
          <w:color w:val="0000FF"/>
        </w:rPr>
        <w:t>，46</w:t>
      </w:r>
      <w:r w:rsidRPr="004C59BB">
        <w:rPr>
          <w:color w:val="0000FF"/>
          <w:lang w:val="ru-RU"/>
        </w:rPr>
        <w:t>节</w:t>
      </w:r>
      <w:r w:rsidRPr="0097554A">
        <w:rPr>
          <w:color w:val="0000FF"/>
        </w:rPr>
        <w:t>；</w:t>
      </w:r>
      <w:r w:rsidRPr="004C59BB">
        <w:rPr>
          <w:color w:val="0000FF"/>
          <w:lang w:val="ru-RU"/>
        </w:rPr>
        <w:t>亚历山大的西里尔</w:t>
      </w:r>
      <w:r w:rsidRPr="0097554A">
        <w:rPr>
          <w:color w:val="0000FF"/>
        </w:rPr>
        <w:t>，</w:t>
      </w:r>
      <w:r w:rsidRPr="004C59BB">
        <w:rPr>
          <w:color w:val="0000FF"/>
        </w:rPr>
        <w:t>《以赛亚书注释</w:t>
      </w:r>
      <w:r w:rsidRPr="004C59BB">
        <w:rPr>
          <w:color w:val="0000FF"/>
          <w:lang w:val="ru-RU"/>
        </w:rPr>
        <w:t>》</w:t>
      </w:r>
      <w:r w:rsidRPr="004C59BB">
        <w:rPr>
          <w:color w:val="0000FF"/>
        </w:rPr>
        <w:t>第六十五章，11节，第五卷，第六册；狄奥多里特，《诗篇注释》第九十三篇，13节；奥古斯丁，《论上帝的生命》 《论上帝的生命》第 XXI 卷，第 17、21、26 节，注 6。</w:t>
      </w:r>
    </w:p>
  </w:footnote>
  <w:footnote w:id="2092">
    <w:p w14:paraId="3B362B70" w14:textId="35DD4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《辩护篇》1，注10，载于《基督教读本》1825年版，第XVIΙ卷，22–23页。</w:t>
      </w:r>
    </w:p>
  </w:footnote>
  <w:footnote w:id="2093">
    <w:p w14:paraId="50EE81FF" w14:textId="15DDDBBD"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《书信》第四卷</w:t>
      </w:r>
      <w:r w:rsidRPr="004C59BB">
        <w:rPr>
          <w:color w:val="0000FF"/>
          <w:lang w:val="ru-RU"/>
        </w:rPr>
        <w:t>。</w:t>
      </w:r>
    </w:p>
  </w:footnote>
  <w:footnote w:id="2094">
    <w:p w14:paraId="34E854B3" w14:textId="6ED37099"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《论主第二次降临》</w:t>
      </w:r>
      <w:r w:rsidRPr="0097554A">
        <w:rPr>
          <w:color w:val="0000FF"/>
        </w:rPr>
        <w:t>，</w:t>
      </w:r>
      <w:r w:rsidRPr="004C59BB">
        <w:rPr>
          <w:color w:val="0000FF"/>
          <w:lang w:val="ru-RU"/>
        </w:rPr>
        <w:t>载于《圣父文集》</w:t>
      </w:r>
      <w:r w:rsidRPr="004C59BB">
        <w:rPr>
          <w:color w:val="0000FF"/>
        </w:rPr>
        <w:t>第XIII卷</w:t>
      </w:r>
      <w:r w:rsidRPr="0097554A">
        <w:rPr>
          <w:color w:val="0000FF"/>
        </w:rPr>
        <w:t>，403–404</w:t>
      </w:r>
      <w:r w:rsidRPr="004C59BB">
        <w:rPr>
          <w:color w:val="0000FF"/>
          <w:lang w:val="ru-RU"/>
        </w:rPr>
        <w:t>页。</w:t>
      </w:r>
    </w:p>
  </w:footnote>
  <w:footnote w:id="2095">
    <w:p w14:paraId="00CECFF9" w14:textId="3C82FAF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致凯撒修道士书</w:t>
      </w:r>
      <w:r w:rsidRPr="0097554A">
        <w:rPr>
          <w:color w:val="0000FF"/>
        </w:rPr>
        <w:t>，</w:t>
      </w:r>
      <w:r w:rsidRPr="004C59BB">
        <w:rPr>
          <w:color w:val="0000FF"/>
        </w:rPr>
        <w:t>第八卷</w:t>
      </w:r>
      <w:r w:rsidRPr="0097554A">
        <w:rPr>
          <w:color w:val="0000FF"/>
        </w:rPr>
        <w:t>，</w:t>
      </w:r>
      <w:r w:rsidRPr="004C59BB">
        <w:rPr>
          <w:color w:val="0000FF"/>
          <w:lang w:val="ru-RU"/>
        </w:rPr>
        <w:t>同上</w:t>
      </w:r>
      <w:r w:rsidRPr="0097554A">
        <w:rPr>
          <w:color w:val="0000FF"/>
        </w:rPr>
        <w:t>，</w:t>
      </w:r>
      <w:r w:rsidRPr="004C59BB">
        <w:rPr>
          <w:color w:val="0000FF"/>
        </w:rPr>
        <w:t>第十卷</w:t>
      </w:r>
      <w:r w:rsidRPr="0097554A">
        <w:rPr>
          <w:color w:val="0000FF"/>
        </w:rPr>
        <w:t>，</w:t>
      </w:r>
      <w:r w:rsidRPr="004C59BB">
        <w:rPr>
          <w:color w:val="0000FF"/>
          <w:lang w:val="ru-RU"/>
        </w:rPr>
        <w:t>第</w:t>
      </w:r>
      <w:r w:rsidRPr="0097554A">
        <w:rPr>
          <w:color w:val="0000FF"/>
        </w:rPr>
        <w:t>42</w:t>
      </w:r>
      <w:r w:rsidRPr="004C59BB">
        <w:rPr>
          <w:color w:val="0000FF"/>
          <w:lang w:val="ru-RU"/>
        </w:rPr>
        <w:t>页。</w:t>
      </w:r>
    </w:p>
  </w:footnote>
  <w:footnote w:id="2096">
    <w:p w14:paraId="3A7BF32B" w14:textId="628FDB98"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在父亲面前所作的讲道</w:t>
      </w:r>
      <w:r w:rsidRPr="0097554A">
        <w:rPr>
          <w:color w:val="0000FF"/>
        </w:rPr>
        <w:t>，</w:t>
      </w:r>
      <w:r w:rsidRPr="004C59BB">
        <w:rPr>
          <w:color w:val="0000FF"/>
          <w:lang w:val="ru-RU"/>
        </w:rPr>
        <w:t>同上</w:t>
      </w:r>
      <w:r w:rsidRPr="0097554A">
        <w:rPr>
          <w:color w:val="0000FF"/>
        </w:rPr>
        <w:t>，</w:t>
      </w:r>
      <w:r w:rsidRPr="004C59BB">
        <w:rPr>
          <w:color w:val="0000FF"/>
        </w:rPr>
        <w:t>第二卷</w:t>
      </w:r>
      <w:r w:rsidRPr="0097554A">
        <w:rPr>
          <w:color w:val="0000FF"/>
        </w:rPr>
        <w:t>，</w:t>
      </w:r>
      <w:r w:rsidRPr="004C59BB">
        <w:rPr>
          <w:color w:val="0000FF"/>
          <w:lang w:val="ru-RU"/>
        </w:rPr>
        <w:t>第</w:t>
      </w:r>
      <w:r w:rsidRPr="0097554A">
        <w:rPr>
          <w:color w:val="0000FF"/>
        </w:rPr>
        <w:t>56</w:t>
      </w:r>
      <w:r w:rsidRPr="004C59BB">
        <w:rPr>
          <w:color w:val="0000FF"/>
          <w:lang w:val="ru-RU"/>
        </w:rPr>
        <w:t>页。</w:t>
      </w:r>
    </w:p>
  </w:footnote>
  <w:footnote w:id="2097">
    <w:p w14:paraId="0604CA6A" w14:textId="5926E924"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关于主教任命的讲道</w:t>
      </w:r>
      <w:r w:rsidRPr="0097554A">
        <w:rPr>
          <w:color w:val="0000FF"/>
        </w:rPr>
        <w:t>，</w:t>
      </w:r>
      <w:r w:rsidRPr="004C59BB">
        <w:rPr>
          <w:color w:val="0000FF"/>
          <w:lang w:val="ru-RU"/>
        </w:rPr>
        <w:t>同上</w:t>
      </w:r>
      <w:r w:rsidRPr="0097554A">
        <w:rPr>
          <w:color w:val="0000FF"/>
        </w:rPr>
        <w:t>，</w:t>
      </w:r>
      <w:r w:rsidRPr="004C59BB">
        <w:rPr>
          <w:color w:val="0000FF"/>
        </w:rPr>
        <w:t>第二卷</w:t>
      </w:r>
      <w:r w:rsidRPr="0097554A">
        <w:rPr>
          <w:color w:val="0000FF"/>
        </w:rPr>
        <w:t>，</w:t>
      </w:r>
      <w:r w:rsidRPr="004C59BB">
        <w:rPr>
          <w:color w:val="0000FF"/>
          <w:lang w:val="ru-RU"/>
        </w:rPr>
        <w:t>第</w:t>
      </w:r>
      <w:r w:rsidRPr="0097554A">
        <w:rPr>
          <w:color w:val="0000FF"/>
        </w:rPr>
        <w:t>174–175</w:t>
      </w:r>
      <w:r w:rsidRPr="004C59BB">
        <w:rPr>
          <w:color w:val="0000FF"/>
          <w:lang w:val="ru-RU"/>
        </w:rPr>
        <w:t>页。</w:t>
      </w:r>
      <w:r w:rsidRPr="0097554A">
        <w:rPr>
          <w:color w:val="0000FF"/>
        </w:rPr>
        <w:t xml:space="preserve"> </w:t>
      </w:r>
      <w:r w:rsidRPr="004C59BB">
        <w:rPr>
          <w:color w:val="0000FF"/>
          <w:lang w:val="ru-RU"/>
        </w:rPr>
        <w:t>此外</w:t>
      </w:r>
      <w:r w:rsidRPr="0097554A">
        <w:rPr>
          <w:color w:val="0000FF"/>
        </w:rPr>
        <w:t>：“</w:t>
      </w:r>
      <w:r w:rsidRPr="004C59BB">
        <w:rPr>
          <w:color w:val="0000FF"/>
          <w:lang w:val="ru-RU"/>
        </w:rPr>
        <w:t>要信靠这</w:t>
      </w:r>
      <w:r w:rsidRPr="0097554A">
        <w:rPr>
          <w:color w:val="0000FF"/>
        </w:rPr>
        <w:t>（</w:t>
      </w:r>
      <w:r w:rsidRPr="004C59BB">
        <w:rPr>
          <w:color w:val="0000FF"/>
          <w:lang w:val="ru-RU"/>
        </w:rPr>
        <w:t>对所有神圣位格而言</w:t>
      </w:r>
      <w:r w:rsidRPr="0097554A">
        <w:rPr>
          <w:color w:val="0000FF"/>
        </w:rPr>
        <w:t>）</w:t>
      </w:r>
      <w:r w:rsidRPr="004C59BB">
        <w:rPr>
          <w:color w:val="0000FF"/>
          <w:lang w:val="ru-RU"/>
        </w:rPr>
        <w:t>共同的名</w:t>
      </w:r>
      <w:r w:rsidRPr="0097554A">
        <w:rPr>
          <w:color w:val="0000FF"/>
        </w:rPr>
        <w:t>，</w:t>
      </w:r>
      <w:r w:rsidRPr="004C59BB">
        <w:rPr>
          <w:color w:val="0000FF"/>
          <w:lang w:val="ru-RU"/>
        </w:rPr>
        <w:t>得胜并作王</w:t>
      </w:r>
      <w:r w:rsidRPr="0097554A">
        <w:rPr>
          <w:color w:val="0000FF"/>
        </w:rPr>
        <w:t>（</w:t>
      </w:r>
      <w:r w:rsidRPr="004C59BB">
        <w:rPr>
          <w:color w:val="0000FF"/>
          <w:lang w:val="ru-RU"/>
        </w:rPr>
        <w:t>《诗篇》</w:t>
      </w:r>
      <w:r w:rsidRPr="0097554A">
        <w:rPr>
          <w:color w:val="0000FF"/>
        </w:rPr>
        <w:t>44:5），</w:t>
      </w:r>
      <w:r w:rsidRPr="004C59BB">
        <w:rPr>
          <w:color w:val="0000FF"/>
          <w:lang w:val="ru-RU"/>
        </w:rPr>
        <w:t>你便会从这里进入那里的福乐之中</w:t>
      </w:r>
      <w:r w:rsidRPr="0097554A">
        <w:rPr>
          <w:color w:val="0000FF"/>
        </w:rPr>
        <w:t>；</w:t>
      </w:r>
      <w:r w:rsidRPr="004C59BB">
        <w:rPr>
          <w:color w:val="0000FF"/>
          <w:lang w:val="ru-RU"/>
        </w:rPr>
        <w:t>依我之见</w:t>
      </w:r>
      <w:r w:rsidRPr="0097554A">
        <w:rPr>
          <w:color w:val="0000FF"/>
        </w:rPr>
        <w:t>，</w:t>
      </w:r>
      <w:r w:rsidRPr="004C59BB">
        <w:rPr>
          <w:color w:val="0000FF"/>
          <w:lang w:val="ru-RU"/>
        </w:rPr>
        <w:t>那便是对圣父、圣子和圣灵最完美的认识</w:t>
      </w:r>
      <w:r w:rsidRPr="0097554A">
        <w:rPr>
          <w:color w:val="0000FF"/>
        </w:rPr>
        <w:t>” （</w:t>
      </w:r>
      <w:r w:rsidRPr="004C59BB">
        <w:rPr>
          <w:color w:val="0000FF"/>
          <w:lang w:val="ru-RU"/>
        </w:rPr>
        <w:t>反阿里乌派长老之言</w:t>
      </w:r>
      <w:r w:rsidRPr="0097554A">
        <w:rPr>
          <w:color w:val="0000FF"/>
        </w:rPr>
        <w:t>，</w:t>
      </w:r>
      <w:r w:rsidRPr="004C59BB">
        <w:rPr>
          <w:color w:val="0000FF"/>
          <w:lang w:val="ru-RU"/>
        </w:rPr>
        <w:t>同上</w:t>
      </w:r>
      <w:r w:rsidRPr="0097554A">
        <w:rPr>
          <w:color w:val="0000FF"/>
        </w:rPr>
        <w:t>，</w:t>
      </w:r>
      <w:r w:rsidRPr="004C59BB">
        <w:rPr>
          <w:color w:val="0000FF"/>
        </w:rPr>
        <w:t>第三卷</w:t>
      </w:r>
      <w:r w:rsidRPr="0097554A">
        <w:rPr>
          <w:color w:val="0000FF"/>
        </w:rPr>
        <w:t>，</w:t>
      </w:r>
      <w:r w:rsidRPr="004C59BB">
        <w:rPr>
          <w:color w:val="0000FF"/>
          <w:lang w:val="ru-RU"/>
        </w:rPr>
        <w:t>第</w:t>
      </w:r>
      <w:r w:rsidRPr="0097554A">
        <w:rPr>
          <w:color w:val="0000FF"/>
        </w:rPr>
        <w:t>182</w:t>
      </w:r>
      <w:r w:rsidRPr="004C59BB">
        <w:rPr>
          <w:color w:val="0000FF"/>
          <w:lang w:val="ru-RU"/>
        </w:rPr>
        <w:t>页</w:t>
      </w:r>
      <w:r w:rsidRPr="0097554A">
        <w:rPr>
          <w:color w:val="0000FF"/>
        </w:rPr>
        <w:t>）</w:t>
      </w:r>
      <w:r w:rsidRPr="004C59BB">
        <w:rPr>
          <w:color w:val="0000FF"/>
          <w:lang w:val="ru-RU"/>
        </w:rPr>
        <w:t>。</w:t>
      </w:r>
    </w:p>
  </w:footnote>
  <w:footnote w:id="2098">
    <w:p w14:paraId="08D4D3E2" w14:textId="3CBA0B01"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致西奥多</w:t>
      </w:r>
      <w:r w:rsidRPr="0097554A">
        <w:rPr>
          <w:color w:val="0000FF"/>
        </w:rPr>
        <w:t>（</w:t>
      </w:r>
      <w:r w:rsidRPr="004C59BB">
        <w:rPr>
          <w:color w:val="0000FF"/>
          <w:lang w:val="ru-RU"/>
        </w:rPr>
        <w:t>殉道者</w:t>
      </w:r>
      <w:r w:rsidRPr="0097554A">
        <w:rPr>
          <w:color w:val="0000FF"/>
        </w:rPr>
        <w:t>）</w:t>
      </w:r>
      <w:r w:rsidRPr="004C59BB">
        <w:rPr>
          <w:color w:val="0000FF"/>
          <w:lang w:val="ru-RU"/>
        </w:rPr>
        <w:t>的信</w:t>
      </w:r>
      <w:r w:rsidRPr="0097554A">
        <w:rPr>
          <w:color w:val="0000FF"/>
        </w:rPr>
        <w:t>，</w:t>
      </w:r>
      <w:r w:rsidRPr="004C59BB">
        <w:rPr>
          <w:color w:val="0000FF"/>
          <w:lang w:val="ru-RU"/>
        </w:rPr>
        <w:t>载于《基督教读本》</w:t>
      </w:r>
      <w:r w:rsidRPr="0097554A">
        <w:rPr>
          <w:color w:val="0000FF"/>
        </w:rPr>
        <w:t>1844</w:t>
      </w:r>
      <w:r w:rsidRPr="004C59BB">
        <w:rPr>
          <w:color w:val="0000FF"/>
          <w:lang w:val="ru-RU"/>
        </w:rPr>
        <w:t>年版</w:t>
      </w:r>
      <w:r w:rsidRPr="0097554A">
        <w:rPr>
          <w:color w:val="0000FF"/>
        </w:rPr>
        <w:t>，</w:t>
      </w:r>
      <w:r w:rsidRPr="004C59BB">
        <w:rPr>
          <w:color w:val="0000FF"/>
          <w:lang w:val="ru-RU"/>
        </w:rPr>
        <w:t>第</w:t>
      </w:r>
      <w:r w:rsidRPr="0097554A">
        <w:rPr>
          <w:color w:val="0000FF"/>
        </w:rPr>
        <w:t>1</w:t>
      </w:r>
      <w:r w:rsidRPr="004C59BB">
        <w:rPr>
          <w:color w:val="0000FF"/>
          <w:lang w:val="ru-RU"/>
        </w:rPr>
        <w:t>卷</w:t>
      </w:r>
      <w:r w:rsidRPr="0097554A">
        <w:rPr>
          <w:color w:val="0000FF"/>
        </w:rPr>
        <w:t>，</w:t>
      </w:r>
      <w:r w:rsidRPr="004C59BB">
        <w:rPr>
          <w:color w:val="0000FF"/>
          <w:lang w:val="ru-RU"/>
        </w:rPr>
        <w:t>第</w:t>
      </w:r>
      <w:r w:rsidRPr="0097554A">
        <w:rPr>
          <w:color w:val="0000FF"/>
        </w:rPr>
        <w:t>370–372</w:t>
      </w:r>
      <w:r w:rsidRPr="004C59BB">
        <w:rPr>
          <w:color w:val="0000FF"/>
          <w:lang w:val="ru-RU"/>
        </w:rPr>
        <w:t>页。</w:t>
      </w:r>
    </w:p>
  </w:footnote>
  <w:footnote w:id="2099">
    <w:p w14:paraId="63D5502E" w14:textId="6FC729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费奥菲勒斯《致安托洛格书》I，7.14；阿提纳格《为基督辩护》第12章，31；伊里内乌斯《反异端》V，20，注5、7；克利门特·亚历山大《杂论》1，19；V，1。</w:t>
      </w:r>
    </w:p>
  </w:footnote>
  <w:footnote w:id="2100">
    <w:p w14:paraId="223C83F9" w14:textId="3022E3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我们将前往那里，那里是充满喜乐的乐园，那里……唯有上帝的荣光将照耀……；我们将前往那里，主耶稣为他的仆人们预备了住处……等等。（《论死亡之善》，第11、12章）。 在那里，万物皆美，那里一切皆乐，那里万事皆顺……；无人会感到饥饿，眼泪将被拭去，毫无恐惧……（《论悔改》，第30章）。</w:t>
      </w:r>
    </w:p>
  </w:footnote>
  <w:footnote w:id="2101">
    <w:p w14:paraId="369B61A2" w14:textId="38323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这就是圣徒的产业：生命、不朽、国度，以及与上帝同住的永恒居所（《诗篇讲义》第LX篇）。</w:t>
      </w:r>
    </w:p>
  </w:footnote>
  <w:footnote w:id="2102">
    <w:p w14:paraId="67F42D02" w14:textId="1A50AE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那将是一种何等大的幸福啊！在那里，没有邪恶，没有隐藏的善，那里将充满对上帝的赞美，祂将是一切，并在万有之中（《上帝之城》第22卷，第30章）。</w:t>
      </w:r>
    </w:p>
  </w:footnote>
  <w:footnote w:id="2103">
    <w:p w14:paraId="068FC93F" w14:textId="708417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希波吕托斯《反希腊派》第3章；奥利金《论原理》第二卷第11章第2节；《约翰福音讲义》第1卷第16节；尼西亚的格里高利《教理问答》第40章。</w:t>
      </w:r>
    </w:p>
  </w:footnote>
  <w:footnote w:id="2104">
    <w:p w14:paraId="172E6635" w14:textId="226EB1CE" w:rsidR="00254F25" w:rsidRPr="0097554A" w:rsidRDefault="00000000">
      <w:pPr>
        <w:pStyle w:val="FootnoteText"/>
        <w:rPr>
          <w:color w:val="0000FF"/>
        </w:rPr>
      </w:pPr>
      <w:r w:rsidRPr="004C59BB">
        <w:rPr>
          <w:rStyle w:val="FootnoteReference"/>
          <w:color w:val="0000FF"/>
        </w:rPr>
        <w:footnoteRef/>
      </w:r>
      <w:r w:rsidRPr="004C59BB">
        <w:rPr>
          <w:color w:val="0000FF"/>
        </w:rPr>
        <w:t xml:space="preserve"> 在父那里有许多住处，正如身体上有许多肢体一样（《反异端》第三卷</w:t>
      </w:r>
      <w:r w:rsidRPr="0097554A">
        <w:rPr>
          <w:color w:val="0000FF"/>
        </w:rPr>
        <w:t>，19</w:t>
      </w:r>
      <w:r w:rsidRPr="004C59BB">
        <w:rPr>
          <w:color w:val="0000FF"/>
          <w:lang w:val="el-GR"/>
        </w:rPr>
        <w:t>章</w:t>
      </w:r>
      <w:r w:rsidRPr="0097554A">
        <w:rPr>
          <w:color w:val="0000FF"/>
        </w:rPr>
        <w:t>，</w:t>
      </w:r>
      <w:r w:rsidRPr="004C59BB">
        <w:rPr>
          <w:color w:val="0000FF"/>
          <w:lang w:val="el-GR"/>
        </w:rPr>
        <w:t>第</w:t>
      </w:r>
      <w:r w:rsidRPr="0097554A">
        <w:rPr>
          <w:color w:val="0000FF"/>
        </w:rPr>
        <w:t>3</w:t>
      </w:r>
      <w:r w:rsidRPr="004C59BB">
        <w:rPr>
          <w:color w:val="0000FF"/>
          <w:lang w:val="el-GR"/>
        </w:rPr>
        <w:t>节</w:t>
      </w:r>
      <w:r w:rsidRPr="0097554A">
        <w:rPr>
          <w:color w:val="0000FF"/>
        </w:rPr>
        <w:t>）</w:t>
      </w:r>
      <w:r w:rsidRPr="004C59BB">
        <w:rPr>
          <w:color w:val="0000FF"/>
          <w:lang w:val="el-GR"/>
        </w:rPr>
        <w:t>。</w:t>
      </w:r>
    </w:p>
  </w:footnote>
  <w:footnote w:id="2105">
    <w:p w14:paraId="5F495E00" w14:textId="4A49BEE8" w:rsidR="00254F25" w:rsidRPr="004C59BB"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el-GR"/>
        </w:rPr>
        <w:t>当他脱去必朽之躯</w:t>
      </w:r>
      <w:r w:rsidRPr="0097554A">
        <w:rPr>
          <w:color w:val="0000FF"/>
        </w:rPr>
        <w:t>，</w:t>
      </w:r>
      <w:r w:rsidRPr="004C59BB">
        <w:rPr>
          <w:color w:val="0000FF"/>
          <w:lang w:val="el-GR"/>
        </w:rPr>
        <w:t>披上不朽之身时</w:t>
      </w:r>
      <w:r w:rsidRPr="0097554A">
        <w:rPr>
          <w:color w:val="0000FF"/>
        </w:rPr>
        <w:t>，</w:t>
      </w:r>
      <w:r w:rsidRPr="004C59BB">
        <w:rPr>
          <w:color w:val="0000FF"/>
          <w:lang w:val="el-GR"/>
        </w:rPr>
        <w:t>那时他便能按其应有的尊荣面见上帝</w:t>
      </w:r>
      <w:r w:rsidRPr="0097554A">
        <w:rPr>
          <w:color w:val="0000FF"/>
        </w:rPr>
        <w:t>”（</w:t>
      </w:r>
      <w:r w:rsidRPr="004C59BB">
        <w:rPr>
          <w:color w:val="0000FF"/>
        </w:rPr>
        <w:t>《致奥托利库斯</w:t>
      </w:r>
      <w:r w:rsidRPr="004C59BB">
        <w:rPr>
          <w:color w:val="0000FF"/>
          <w:lang w:val="el-GR"/>
        </w:rPr>
        <w:t>书》</w:t>
      </w:r>
      <w:r w:rsidRPr="004C59BB">
        <w:rPr>
          <w:color w:val="0000FF"/>
        </w:rPr>
        <w:t>1, 7）。</w:t>
      </w:r>
    </w:p>
  </w:footnote>
  <w:footnote w:id="2106">
    <w:p w14:paraId="1D4FB1C6" w14:textId="0C066F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《杂论》第六卷第13章，载于《全集》第三卷，第300页。</w:t>
      </w:r>
    </w:p>
  </w:footnote>
  <w:footnote w:id="2107">
    <w:p w14:paraId="1D4E979B" w14:textId="5CF8AA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我们（将来）都将在独一的上帝面前，尽管赏赐各不相同，尽管在同一位父那里有许多不同的居所（《论一夫一妻制》第10章）。</w:t>
      </w:r>
    </w:p>
  </w:footnote>
  <w:footnote w:id="2108">
    <w:p w14:paraId="6965D1A7" w14:textId="67F57F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“为居住者预备了多种等级不同的居所……”（《诗篇第六十四篇讲道集》）。</w:t>
      </w:r>
    </w:p>
  </w:footnote>
  <w:footnote w:id="2109">
    <w:p w14:paraId="4D7E3DE8" w14:textId="660D7A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见《哥林多前书》第15章第41节。</w:t>
      </w:r>
    </w:p>
  </w:footnote>
  <w:footnote w:id="2110">
    <w:p w14:paraId="3903A65B" w14:textId="2BD43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《论上帝之城》第22卷，第30章，注2。</w:t>
      </w:r>
    </w:p>
  </w:footnote>
  <w:footnote w:id="2111">
    <w:p w14:paraId="145B7D81" w14:textId="4F6C4D4C"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rPr>
        <w:t>《</w:t>
      </w:r>
      <w:r w:rsidRPr="004C59BB">
        <w:rPr>
          <w:color w:val="0000FF"/>
          <w:lang w:val="ru-RU"/>
        </w:rPr>
        <w:t>论福乐的居所》</w:t>
      </w:r>
      <w:r w:rsidRPr="0097554A">
        <w:rPr>
          <w:color w:val="0000FF"/>
        </w:rPr>
        <w:t>，</w:t>
      </w:r>
      <w:r w:rsidRPr="004C59BB">
        <w:rPr>
          <w:color w:val="0000FF"/>
          <w:lang w:val="ru-RU"/>
        </w:rPr>
        <w:t>载于《圣教父文集》</w:t>
      </w:r>
      <w:r w:rsidRPr="004C59BB">
        <w:rPr>
          <w:color w:val="0000FF"/>
        </w:rPr>
        <w:t>第十四卷</w:t>
      </w:r>
      <w:r w:rsidRPr="0097554A">
        <w:rPr>
          <w:color w:val="0000FF"/>
        </w:rPr>
        <w:t>，</w:t>
      </w:r>
      <w:r w:rsidRPr="004C59BB">
        <w:rPr>
          <w:color w:val="0000FF"/>
          <w:lang w:val="ru-RU"/>
        </w:rPr>
        <w:t>第</w:t>
      </w:r>
      <w:r w:rsidRPr="0097554A">
        <w:rPr>
          <w:color w:val="0000FF"/>
        </w:rPr>
        <w:t>496</w:t>
      </w:r>
      <w:r w:rsidRPr="004C59BB">
        <w:rPr>
          <w:color w:val="0000FF"/>
          <w:lang w:val="ru-RU"/>
        </w:rPr>
        <w:t>页。</w:t>
      </w:r>
    </w:p>
  </w:footnote>
  <w:footnote w:id="2112">
    <w:p w14:paraId="42234AA1" w14:textId="75245702"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《以赛亚书》</w:t>
      </w:r>
      <w:r w:rsidRPr="004C59BB">
        <w:rPr>
          <w:color w:val="0000FF"/>
        </w:rPr>
        <w:t>第四</w:t>
      </w:r>
      <w:r w:rsidRPr="004C59BB">
        <w:rPr>
          <w:color w:val="0000FF"/>
          <w:lang w:val="ru-RU"/>
        </w:rPr>
        <w:t>章</w:t>
      </w:r>
      <w:r w:rsidRPr="0097554A">
        <w:rPr>
          <w:color w:val="0000FF"/>
        </w:rPr>
        <w:t>5</w:t>
      </w:r>
      <w:r w:rsidRPr="004C59BB">
        <w:rPr>
          <w:color w:val="0000FF"/>
          <w:lang w:val="ru-RU"/>
        </w:rPr>
        <w:t>节注释</w:t>
      </w:r>
      <w:r w:rsidRPr="0097554A">
        <w:rPr>
          <w:color w:val="0000FF"/>
        </w:rPr>
        <w:t>，</w:t>
      </w:r>
      <w:r w:rsidRPr="004C59BB">
        <w:rPr>
          <w:color w:val="0000FF"/>
          <w:lang w:val="ru-RU"/>
        </w:rPr>
        <w:t>同上</w:t>
      </w:r>
      <w:r w:rsidRPr="004C59BB">
        <w:rPr>
          <w:color w:val="0000FF"/>
        </w:rPr>
        <w:t>第六</w:t>
      </w:r>
      <w:r w:rsidRPr="004C59BB">
        <w:rPr>
          <w:color w:val="0000FF"/>
          <w:lang w:val="ru-RU"/>
        </w:rPr>
        <w:t>章</w:t>
      </w:r>
      <w:r w:rsidRPr="0097554A">
        <w:rPr>
          <w:color w:val="0000FF"/>
        </w:rPr>
        <w:t>182</w:t>
      </w:r>
      <w:r w:rsidRPr="004C59BB">
        <w:rPr>
          <w:color w:val="0000FF"/>
          <w:lang w:val="ru-RU"/>
        </w:rPr>
        <w:t>页。</w:t>
      </w:r>
    </w:p>
  </w:footnote>
  <w:footnote w:id="2113">
    <w:p w14:paraId="61D36AB3" w14:textId="3F787A75" w:rsidR="00254F25" w:rsidRPr="0097554A" w:rsidRDefault="00000000">
      <w:pPr>
        <w:pStyle w:val="FootnoteText"/>
        <w:rPr>
          <w:color w:val="0000FF"/>
        </w:rPr>
      </w:pPr>
      <w:r w:rsidRPr="004C59BB">
        <w:rPr>
          <w:rStyle w:val="FootnoteReference"/>
          <w:color w:val="0000FF"/>
        </w:rPr>
        <w:footnoteRef/>
      </w:r>
      <w:r w:rsidRPr="0097554A">
        <w:rPr>
          <w:color w:val="0000FF"/>
        </w:rPr>
        <w:t xml:space="preserve"> </w:t>
      </w:r>
      <w:r w:rsidRPr="004C59BB">
        <w:rPr>
          <w:color w:val="0000FF"/>
          <w:lang w:val="ru-RU"/>
        </w:rPr>
        <w:t>《以赛亚书》</w:t>
      </w:r>
      <w:r w:rsidRPr="004C59BB">
        <w:rPr>
          <w:color w:val="0000FF"/>
        </w:rPr>
        <w:t>第十一</w:t>
      </w:r>
      <w:r w:rsidRPr="004C59BB">
        <w:rPr>
          <w:color w:val="0000FF"/>
          <w:lang w:val="ru-RU"/>
        </w:rPr>
        <w:t>章</w:t>
      </w:r>
      <w:r w:rsidRPr="0097554A">
        <w:rPr>
          <w:color w:val="0000FF"/>
        </w:rPr>
        <w:t>10</w:t>
      </w:r>
      <w:r w:rsidRPr="004C59BB">
        <w:rPr>
          <w:color w:val="0000FF"/>
          <w:lang w:val="ru-RU"/>
        </w:rPr>
        <w:t>节注释</w:t>
      </w:r>
      <w:r w:rsidRPr="0097554A">
        <w:rPr>
          <w:color w:val="0000FF"/>
        </w:rPr>
        <w:t>，</w:t>
      </w:r>
      <w:r w:rsidRPr="004C59BB">
        <w:rPr>
          <w:color w:val="0000FF"/>
          <w:lang w:val="ru-RU"/>
        </w:rPr>
        <w:t>同上</w:t>
      </w:r>
      <w:r w:rsidRPr="0097554A">
        <w:rPr>
          <w:color w:val="0000FF"/>
        </w:rPr>
        <w:t>，</w:t>
      </w:r>
      <w:r w:rsidRPr="004C59BB">
        <w:rPr>
          <w:color w:val="0000FF"/>
          <w:lang w:val="ru-RU"/>
        </w:rPr>
        <w:t>第</w:t>
      </w:r>
      <w:r w:rsidRPr="0097554A">
        <w:rPr>
          <w:color w:val="0000FF"/>
        </w:rPr>
        <w:t>353–354</w:t>
      </w:r>
      <w:r w:rsidRPr="004C59BB">
        <w:rPr>
          <w:color w:val="0000FF"/>
          <w:lang w:val="ru-RU"/>
        </w:rPr>
        <w:t>页。</w:t>
      </w:r>
    </w:p>
  </w:footnote>
  <w:footnote w:id="2114">
    <w:p w14:paraId="6D0F9354" w14:textId="54ACD9AD" w:rsidR="00254F25" w:rsidRPr="004C59BB" w:rsidRDefault="00000000">
      <w:pPr>
        <w:pStyle w:val="FootnoteText"/>
        <w:rPr>
          <w:color w:val="0000FF"/>
          <w:lang w:val="ru-RU"/>
        </w:rPr>
      </w:pPr>
      <w:r w:rsidRPr="004C59BB">
        <w:rPr>
          <w:rStyle w:val="FootnoteReference"/>
          <w:color w:val="0000FF"/>
        </w:rPr>
        <w:footnoteRef/>
      </w:r>
      <w:r w:rsidRPr="0097554A">
        <w:rPr>
          <w:color w:val="0000FF"/>
        </w:rPr>
        <w:t xml:space="preserve"> </w:t>
      </w:r>
      <w:r w:rsidRPr="004C59BB">
        <w:rPr>
          <w:color w:val="0000FF"/>
          <w:lang w:val="ru-RU"/>
        </w:rPr>
        <w:t>《论爱贫者》</w:t>
      </w:r>
      <w:r w:rsidRPr="0097554A">
        <w:rPr>
          <w:color w:val="0000FF"/>
        </w:rPr>
        <w:t>，</w:t>
      </w:r>
      <w:r w:rsidRPr="004C59BB">
        <w:rPr>
          <w:color w:val="0000FF"/>
          <w:lang w:val="ru-RU"/>
        </w:rPr>
        <w:t>同上</w:t>
      </w:r>
      <w:r w:rsidRPr="0097554A">
        <w:rPr>
          <w:color w:val="0000FF"/>
        </w:rPr>
        <w:t>，</w:t>
      </w:r>
      <w:r w:rsidRPr="004C59BB">
        <w:rPr>
          <w:color w:val="0000FF"/>
        </w:rPr>
        <w:t>第二</w:t>
      </w:r>
      <w:r w:rsidRPr="004C59BB">
        <w:rPr>
          <w:color w:val="0000FF"/>
          <w:lang w:val="ru-RU"/>
        </w:rPr>
        <w:t>卷</w:t>
      </w:r>
      <w:r w:rsidRPr="0097554A">
        <w:rPr>
          <w:color w:val="0000FF"/>
        </w:rPr>
        <w:t>，</w:t>
      </w:r>
      <w:r w:rsidRPr="004C59BB">
        <w:rPr>
          <w:color w:val="0000FF"/>
          <w:lang w:val="ru-RU"/>
        </w:rPr>
        <w:t>第</w:t>
      </w:r>
      <w:r w:rsidRPr="0097554A">
        <w:rPr>
          <w:color w:val="0000FF"/>
        </w:rPr>
        <w:t>5</w:t>
      </w:r>
      <w:r w:rsidRPr="004C59BB">
        <w:rPr>
          <w:color w:val="0000FF"/>
          <w:lang w:val="ru-RU"/>
        </w:rPr>
        <w:t>页。《神学词汇汇编》第1卷，同上，</w:t>
      </w:r>
      <w:r w:rsidRPr="004C59BB">
        <w:rPr>
          <w:color w:val="0000FF"/>
        </w:rPr>
        <w:t>第三</w:t>
      </w:r>
      <w:r w:rsidRPr="004C59BB">
        <w:rPr>
          <w:color w:val="0000FF"/>
          <w:lang w:val="ru-RU"/>
        </w:rPr>
        <w:t>卷，第13页。</w:t>
      </w:r>
    </w:p>
  </w:footnote>
  <w:footnote w:id="2115">
    <w:p w14:paraId="0C7A10A5" w14:textId="3D224D0E"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《致西奥多殉道者讲道集》第1卷，载于《基督教读本》1844年第1期，第414页。另见：“有些人如太阳般闪耀；有些人如月亮般闪耀；还有些人如星辰般闪耀”……并补充道</w:t>
      </w:r>
      <w:r w:rsidRPr="0097554A">
        <w:rPr>
          <w:color w:val="0000FF"/>
          <w:lang w:val="ru-RU"/>
        </w:rPr>
        <w:t>（</w:t>
      </w:r>
      <w:r w:rsidRPr="004C59BB">
        <w:rPr>
          <w:color w:val="0000FF"/>
        </w:rPr>
        <w:t>《反对修道生活论》第III卷</w:t>
      </w:r>
      <w:r w:rsidRPr="0097554A">
        <w:rPr>
          <w:color w:val="0000FF"/>
          <w:lang w:val="ru-RU"/>
        </w:rPr>
        <w:t>，</w:t>
      </w:r>
      <w:r w:rsidRPr="004C59BB">
        <w:rPr>
          <w:color w:val="0000FF"/>
        </w:rPr>
        <w:t>第</w:t>
      </w:r>
      <w:r w:rsidRPr="0097554A">
        <w:rPr>
          <w:color w:val="0000FF"/>
          <w:lang w:val="ru-RU"/>
        </w:rPr>
        <w:t>5</w:t>
      </w:r>
      <w:r w:rsidRPr="004C59BB">
        <w:rPr>
          <w:color w:val="0000FF"/>
        </w:rPr>
        <w:t>章</w:t>
      </w:r>
      <w:r w:rsidRPr="0097554A">
        <w:rPr>
          <w:color w:val="0000FF"/>
          <w:lang w:val="ru-RU"/>
        </w:rPr>
        <w:t>）</w:t>
      </w:r>
      <w:r w:rsidRPr="004C59BB">
        <w:rPr>
          <w:color w:val="0000FF"/>
        </w:rPr>
        <w:t>。</w:t>
      </w:r>
      <w:r w:rsidRPr="0097554A">
        <w:rPr>
          <w:color w:val="0000FF"/>
          <w:lang w:val="ru-RU"/>
        </w:rPr>
        <w:t xml:space="preserve"> </w:t>
      </w:r>
      <w:r w:rsidRPr="004C59BB">
        <w:rPr>
          <w:color w:val="0000FF"/>
        </w:rPr>
        <w:t>参见《哥林多前书讲道集》第XLI篇</w:t>
      </w:r>
      <w:r w:rsidRPr="0097554A">
        <w:rPr>
          <w:color w:val="0000FF"/>
          <w:lang w:val="ru-RU"/>
        </w:rPr>
        <w:t>，</w:t>
      </w:r>
      <w:r w:rsidRPr="004C59BB">
        <w:rPr>
          <w:color w:val="0000FF"/>
        </w:rPr>
        <w:t>第</w:t>
      </w:r>
      <w:r w:rsidRPr="0097554A">
        <w:rPr>
          <w:color w:val="0000FF"/>
          <w:lang w:val="ru-RU"/>
        </w:rPr>
        <w:t>3</w:t>
      </w:r>
      <w:r w:rsidRPr="004C59BB">
        <w:rPr>
          <w:color w:val="0000FF"/>
        </w:rPr>
        <w:t>节。</w:t>
      </w:r>
    </w:p>
  </w:footnote>
  <w:footnote w:id="2116">
    <w:p w14:paraId="7C9D4937" w14:textId="027B5B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《致奥托利库斯书</w:t>
      </w:r>
      <w:r w:rsidRPr="004C59BB">
        <w:rPr>
          <w:color w:val="0000FF"/>
          <w:lang w:val="ru-RU"/>
        </w:rPr>
        <w:t>》</w:t>
      </w:r>
      <w:r w:rsidRPr="004C59BB">
        <w:rPr>
          <w:color w:val="0000FF"/>
        </w:rPr>
        <w:t>第一卷</w:t>
      </w:r>
      <w:r w:rsidRPr="004C59BB">
        <w:rPr>
          <w:color w:val="0000FF"/>
          <w:lang w:val="ru-RU"/>
        </w:rPr>
        <w:t>，第14章。</w:t>
      </w:r>
    </w:p>
  </w:footnote>
  <w:footnote w:id="2117">
    <w:p w14:paraId="2CEF7B85" w14:textId="7D8BD6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《论主第二次降临》，载于《圣教父文集》</w:t>
      </w:r>
      <w:r w:rsidRPr="004C59BB">
        <w:rPr>
          <w:color w:val="0000FF"/>
        </w:rPr>
        <w:t>第十三卷</w:t>
      </w:r>
      <w:r w:rsidRPr="004C59BB">
        <w:rPr>
          <w:color w:val="0000FF"/>
          <w:lang w:val="ru-RU"/>
        </w:rPr>
        <w:t>，第404页。</w:t>
      </w:r>
    </w:p>
  </w:footnote>
  <w:footnote w:id="2118">
    <w:p w14:paraId="2E88561B" w14:textId="66EEB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同上，第398页。</w:t>
      </w:r>
    </w:p>
  </w:footnote>
  <w:footnote w:id="2119">
    <w:p w14:paraId="2DADF955" w14:textId="59DD7F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参见上文注释2101。</w:t>
      </w:r>
    </w:p>
  </w:footnote>
  <w:footnote w:id="2120">
    <w:p w14:paraId="3597AC9E" w14:textId="75D3E9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《致殉道者费奥多尔书》第1卷，载于《1844年基督教读本》第1卷，第380页。</w:t>
      </w:r>
    </w:p>
  </w:footnote>
  <w:footnote w:id="2121">
    <w:p w14:paraId="14E6E9E6" w14:textId="65F207CE"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“如果我们过着贞洁而虔诚的生活：那么，我们不仅在此生会获得幸福，而且在离开现世之后将获得更大的幸福；这种幸福不会因时间而受限，我们将永远享受永恒的安宁。”（《</w:t>
      </w:r>
      <w:r w:rsidRPr="004C59BB">
        <w:rPr>
          <w:color w:val="0000FF"/>
        </w:rPr>
        <w:t>杂论</w:t>
      </w:r>
      <w:r w:rsidRPr="004C59BB">
        <w:rPr>
          <w:color w:val="0000FF"/>
          <w:lang w:val="ru-RU"/>
        </w:rPr>
        <w:t>》</w:t>
      </w:r>
      <w:r w:rsidRPr="004C59BB">
        <w:rPr>
          <w:color w:val="0000FF"/>
        </w:rPr>
        <w:t>第五卷</w:t>
      </w:r>
      <w:r w:rsidRPr="0097554A">
        <w:rPr>
          <w:color w:val="0000FF"/>
          <w:lang w:val="ru-RU"/>
        </w:rPr>
        <w:t>，</w:t>
      </w:r>
      <w:r w:rsidRPr="004C59BB">
        <w:rPr>
          <w:color w:val="0000FF"/>
        </w:rPr>
        <w:t>第</w:t>
      </w:r>
      <w:r w:rsidRPr="0097554A">
        <w:rPr>
          <w:color w:val="0000FF"/>
          <w:lang w:val="ru-RU"/>
        </w:rPr>
        <w:t>14</w:t>
      </w:r>
      <w:r w:rsidRPr="004C59BB">
        <w:rPr>
          <w:color w:val="0000FF"/>
        </w:rPr>
        <w:t>页</w:t>
      </w:r>
      <w:r w:rsidRPr="0097554A">
        <w:rPr>
          <w:color w:val="0000FF"/>
          <w:lang w:val="ru-RU"/>
        </w:rPr>
        <w:t>）</w:t>
      </w:r>
      <w:r w:rsidRPr="004C59BB">
        <w:rPr>
          <w:color w:val="0000FF"/>
        </w:rPr>
        <w:t>。</w:t>
      </w:r>
    </w:p>
  </w:footnote>
  <w:footnote w:id="2122">
    <w:p w14:paraId="5D8AC4D8" w14:textId="63A8E8BB" w:rsidR="00254F25" w:rsidRPr="0097554A"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《书信集》第五十六封。</w:t>
      </w:r>
    </w:p>
  </w:footnote>
  <w:footnote w:id="2123">
    <w:p w14:paraId="50AD9F0D" w14:textId="7C4CD043" w:rsidR="00254F25" w:rsidRPr="004C59BB" w:rsidRDefault="00000000">
      <w:pPr>
        <w:pStyle w:val="FootnoteText"/>
        <w:rPr>
          <w:color w:val="0000FF"/>
          <w:lang w:val="ru-RU"/>
        </w:rPr>
      </w:pPr>
      <w:r w:rsidRPr="004C59BB">
        <w:rPr>
          <w:rStyle w:val="FootnoteReference"/>
          <w:color w:val="0000FF"/>
        </w:rPr>
        <w:footnoteRef/>
      </w:r>
      <w:r w:rsidRPr="0097554A">
        <w:rPr>
          <w:color w:val="0000FF"/>
          <w:lang w:val="ru-RU"/>
        </w:rPr>
        <w:t xml:space="preserve"> </w:t>
      </w:r>
      <w:r w:rsidRPr="004C59BB">
        <w:rPr>
          <w:color w:val="0000FF"/>
        </w:rPr>
        <w:t>那应完全拥有的财富</w:t>
      </w:r>
      <w:r w:rsidRPr="0097554A">
        <w:rPr>
          <w:color w:val="0000FF"/>
          <w:lang w:val="ru-RU"/>
        </w:rPr>
        <w:t>，</w:t>
      </w:r>
      <w:r w:rsidRPr="004C59BB">
        <w:rPr>
          <w:color w:val="0000FF"/>
        </w:rPr>
        <w:t>那应获取的权能</w:t>
      </w:r>
      <w:r w:rsidRPr="0097554A">
        <w:rPr>
          <w:color w:val="0000FF"/>
          <w:lang w:val="ru-RU"/>
        </w:rPr>
        <w:t>——</w:t>
      </w:r>
      <w:r w:rsidRPr="004C59BB">
        <w:rPr>
          <w:color w:val="0000FF"/>
        </w:rPr>
        <w:t>它不会被时间夺走</w:t>
      </w:r>
      <w:r w:rsidRPr="0097554A">
        <w:rPr>
          <w:color w:val="0000FF"/>
          <w:lang w:val="ru-RU"/>
        </w:rPr>
        <w:t>，</w:t>
      </w:r>
      <w:r w:rsidRPr="004C59BB">
        <w:rPr>
          <w:color w:val="0000FF"/>
        </w:rPr>
        <w:t>也不会被地点剥夺</w:t>
      </w:r>
      <w:r w:rsidRPr="0097554A">
        <w:rPr>
          <w:color w:val="0000FF"/>
          <w:lang w:val="ru-RU"/>
        </w:rPr>
        <w:t>，</w:t>
      </w:r>
      <w:r w:rsidRPr="004C59BB">
        <w:rPr>
          <w:color w:val="0000FF"/>
        </w:rPr>
        <w:t>它永恒长存</w:t>
      </w:r>
      <w:r w:rsidRPr="0097554A">
        <w:rPr>
          <w:color w:val="0000FF"/>
          <w:lang w:val="ru-RU"/>
        </w:rPr>
        <w:t>，</w:t>
      </w:r>
      <w:r w:rsidRPr="004C59BB">
        <w:rPr>
          <w:color w:val="0000FF"/>
        </w:rPr>
        <w:t>受永恒特权保护</w:t>
      </w:r>
      <w:r w:rsidRPr="0097554A">
        <w:rPr>
          <w:color w:val="0000FF"/>
          <w:lang w:val="ru-RU"/>
        </w:rPr>
        <w:t>，</w:t>
      </w:r>
      <w:r w:rsidRPr="004C59BB">
        <w:rPr>
          <w:color w:val="0000FF"/>
        </w:rPr>
        <w:t>不受任何变迁的影响</w:t>
      </w:r>
      <w:r w:rsidRPr="0097554A">
        <w:rPr>
          <w:color w:val="0000FF"/>
          <w:lang w:val="ru-RU"/>
        </w:rPr>
        <w:t>……</w:t>
      </w:r>
      <w:r w:rsidRPr="004C59BB">
        <w:rPr>
          <w:color w:val="0000FF"/>
        </w:rPr>
        <w:t>《论忏悔</w:t>
      </w:r>
      <w:r w:rsidRPr="004C59BB">
        <w:rPr>
          <w:color w:val="0000FF"/>
          <w:lang w:val="ru-RU"/>
        </w:rPr>
        <w:t>》第30章。</w:t>
      </w:r>
    </w:p>
  </w:footnote>
  <w:footnote w:id="2124">
    <w:p w14:paraId="34677935" w14:textId="71C27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关于</w:t>
      </w:r>
      <w:r w:rsidRPr="004C59BB">
        <w:rPr>
          <w:color w:val="0000FF"/>
          <w:lang w:val="ru-RU"/>
        </w:rPr>
        <w:t>自我的诗句，见《圣教父文集》</w:t>
      </w:r>
      <w:r w:rsidRPr="004C59BB">
        <w:rPr>
          <w:color w:val="0000FF"/>
        </w:rPr>
        <w:t>第四卷</w:t>
      </w:r>
      <w:r w:rsidRPr="004C59BB">
        <w:rPr>
          <w:color w:val="0000FF"/>
          <w:lang w:val="ru-RU"/>
        </w:rPr>
        <w:t>，第286页。</w:t>
      </w:r>
    </w:p>
  </w:footnote>
  <w:footnote w:id="2125">
    <w:p w14:paraId="3F544381" w14:textId="5F715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《规则》，详见《圣教父文集》</w:t>
      </w:r>
      <w:r w:rsidRPr="004C59BB">
        <w:rPr>
          <w:color w:val="0000FF"/>
        </w:rPr>
        <w:t>第九</w:t>
      </w:r>
      <w:r w:rsidRPr="004C59BB">
        <w:rPr>
          <w:color w:val="0000FF"/>
          <w:lang w:val="ru-RU"/>
        </w:rPr>
        <w:t>卷，第88页；关于青少年阅读异教著作的益处之谈话，同上，</w:t>
      </w:r>
      <w:r w:rsidRPr="004C59BB">
        <w:rPr>
          <w:color w:val="0000FF"/>
        </w:rPr>
        <w:t>第八</w:t>
      </w:r>
      <w:r w:rsidRPr="004C59BB">
        <w:rPr>
          <w:color w:val="0000FF"/>
          <w:lang w:val="ru-RU"/>
        </w:rPr>
        <w:t>卷，第365页。</w:t>
      </w:r>
    </w:p>
  </w:footnote>
  <w:footnote w:id="2126">
    <w:p w14:paraId="457D69ED" w14:textId="1DF6AE2B" w:rsidR="00254F25" w:rsidRPr="0097554A" w:rsidRDefault="00000000">
      <w:pPr>
        <w:pStyle w:val="FootnoteText"/>
        <w:rPr>
          <w:color w:val="0000FF"/>
          <w:lang w:val="ru-RU"/>
        </w:rPr>
      </w:pPr>
      <w:r w:rsidRPr="004C59BB">
        <w:rPr>
          <w:rStyle w:val="FootnoteReference"/>
          <w:color w:val="0000FF"/>
        </w:rPr>
        <w:footnoteRef/>
      </w:r>
      <w:r w:rsidRPr="004C59BB">
        <w:rPr>
          <w:color w:val="0000FF"/>
          <w:lang w:val="ru-RU"/>
        </w:rPr>
        <w:t xml:space="preserve"> 奥古斯丁，</w:t>
      </w:r>
      <w:r w:rsidRPr="004C59BB">
        <w:rPr>
          <w:color w:val="0000FF"/>
        </w:rPr>
        <w:t>《</w:t>
      </w:r>
      <w:r w:rsidRPr="004C59BB">
        <w:rPr>
          <w:color w:val="0000FF"/>
          <w:lang w:val="ru-RU"/>
        </w:rPr>
        <w:t>论</w:t>
      </w:r>
      <w:r w:rsidRPr="004C59BB">
        <w:rPr>
          <w:color w:val="0000FF"/>
        </w:rPr>
        <w:t>上帝的</w:t>
      </w:r>
      <w:r w:rsidRPr="004C59BB">
        <w:rPr>
          <w:color w:val="0000FF"/>
          <w:lang w:val="ru-RU"/>
        </w:rPr>
        <w:t>本质》</w:t>
      </w:r>
      <w:r w:rsidRPr="004C59BB">
        <w:rPr>
          <w:color w:val="0000FF"/>
        </w:rPr>
        <w:t>第XXII</w:t>
      </w:r>
      <w:r w:rsidRPr="004C59BB">
        <w:rPr>
          <w:color w:val="0000FF"/>
          <w:lang w:val="ru-RU"/>
        </w:rPr>
        <w:t>章，第30页；约翰·达马斯库斯，《正统信仰精确阐述》</w:t>
      </w:r>
      <w:r w:rsidRPr="004C59BB">
        <w:rPr>
          <w:color w:val="0000FF"/>
        </w:rPr>
        <w:t>第IV</w:t>
      </w:r>
      <w:r w:rsidRPr="004C59BB">
        <w:rPr>
          <w:color w:val="0000FF"/>
          <w:lang w:val="ru-RU"/>
        </w:rPr>
        <w:t>卷</w:t>
      </w:r>
      <w:r w:rsidRPr="0097554A">
        <w:rPr>
          <w:color w:val="0000FF"/>
          <w:lang w:val="ru-RU"/>
        </w:rPr>
        <w:t>，</w:t>
      </w:r>
      <w:r w:rsidRPr="004C59BB">
        <w:rPr>
          <w:color w:val="0000FF"/>
        </w:rPr>
        <w:t>第</w:t>
      </w:r>
      <w:r w:rsidRPr="0097554A">
        <w:rPr>
          <w:color w:val="0000FF"/>
          <w:lang w:val="ru-RU"/>
        </w:rPr>
        <w:t>27</w:t>
      </w:r>
      <w:r w:rsidRPr="004C59BB">
        <w:rPr>
          <w:color w:val="0000FF"/>
        </w:rPr>
        <w:t>章</w:t>
      </w:r>
      <w:r w:rsidRPr="0097554A">
        <w:rPr>
          <w:color w:val="0000FF"/>
          <w:lang w:val="ru-RU"/>
        </w:rPr>
        <w:t>，</w:t>
      </w:r>
      <w:r w:rsidRPr="004C59BB">
        <w:rPr>
          <w:color w:val="0000FF"/>
        </w:rPr>
        <w:t>第</w:t>
      </w:r>
      <w:r w:rsidRPr="0097554A">
        <w:rPr>
          <w:color w:val="0000FF"/>
          <w:lang w:val="ru-RU"/>
        </w:rPr>
        <w:t>308</w:t>
      </w:r>
      <w:r w:rsidRPr="004C59BB">
        <w:rPr>
          <w:color w:val="0000FF"/>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C63" w14:textId="77777777" w:rsidR="007B240B" w:rsidRDefault="007B2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5C84" w14:textId="77777777" w:rsidR="007B240B" w:rsidRDefault="007B2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3746" w14:textId="77777777" w:rsidR="007B240B" w:rsidRDefault="007B2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FC8894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547051"/>
    <w:multiLevelType w:val="hybridMultilevel"/>
    <w:tmpl w:val="6426628A"/>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BE21E0"/>
    <w:multiLevelType w:val="hybridMultilevel"/>
    <w:tmpl w:val="89D2DA00"/>
    <w:lvl w:ilvl="0" w:tplc="C09CCA36">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06CD7"/>
    <w:multiLevelType w:val="hybridMultilevel"/>
    <w:tmpl w:val="A4A26FA0"/>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A75BF"/>
    <w:multiLevelType w:val="hybridMultilevel"/>
    <w:tmpl w:val="C54CB20A"/>
    <w:lvl w:ilvl="0" w:tplc="FFFFFFFF">
      <w:start w:val="1"/>
      <w:numFmt w:val="bullet"/>
      <w:lvlText w:val=""/>
      <w:lvlJc w:val="left"/>
      <w:pPr>
        <w:tabs>
          <w:tab w:val="num" w:pos="1152"/>
        </w:tabs>
        <w:ind w:left="1152" w:hanging="576"/>
      </w:pPr>
      <w:rPr>
        <w:rFonts w:ascii="Symbol" w:hAnsi="Symbol" w:hint="default"/>
      </w:rPr>
    </w:lvl>
    <w:lvl w:ilvl="1" w:tplc="FFFFFFFF" w:tentative="1">
      <w:start w:val="1"/>
      <w:numFmt w:val="bullet"/>
      <w:lvlText w:val="o"/>
      <w:lvlJc w:val="left"/>
      <w:pPr>
        <w:tabs>
          <w:tab w:val="num" w:pos="1584"/>
        </w:tabs>
        <w:ind w:left="1584" w:hanging="360"/>
      </w:pPr>
      <w:rPr>
        <w:rFonts w:ascii="Courier New" w:hAnsi="Courier New" w:cs="Courier New"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Courier New"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Courier New"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7" w15:restartNumberingAfterBreak="0">
    <w:nsid w:val="15CC692B"/>
    <w:multiLevelType w:val="multilevel"/>
    <w:tmpl w:val="D5A8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07FF1"/>
    <w:multiLevelType w:val="hybridMultilevel"/>
    <w:tmpl w:val="0362115C"/>
    <w:lvl w:ilvl="0" w:tplc="FFFFFFFF">
      <w:start w:val="1"/>
      <w:numFmt w:val="bullet"/>
      <w:lvlText w:val=""/>
      <w:lvlJc w:val="left"/>
      <w:pPr>
        <w:tabs>
          <w:tab w:val="num" w:pos="792"/>
        </w:tabs>
        <w:ind w:left="792" w:hanging="432"/>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1C50EC"/>
    <w:multiLevelType w:val="hybridMultilevel"/>
    <w:tmpl w:val="EF10F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5563D6"/>
    <w:multiLevelType w:val="hybridMultilevel"/>
    <w:tmpl w:val="4ABEC0E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D967D8A"/>
    <w:multiLevelType w:val="hybridMultilevel"/>
    <w:tmpl w:val="F13AE52C"/>
    <w:lvl w:ilvl="0" w:tplc="FFFFFFFF">
      <w:start w:val="1"/>
      <w:numFmt w:val="bullet"/>
      <w:lvlText w:val=""/>
      <w:lvlJc w:val="left"/>
      <w:pPr>
        <w:tabs>
          <w:tab w:val="num" w:pos="864"/>
        </w:tabs>
        <w:ind w:left="864"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4F3917"/>
    <w:multiLevelType w:val="hybridMultilevel"/>
    <w:tmpl w:val="B462A7A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50134"/>
    <w:multiLevelType w:val="hybridMultilevel"/>
    <w:tmpl w:val="46766E4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39BC1C20"/>
    <w:multiLevelType w:val="hybridMultilevel"/>
    <w:tmpl w:val="753E4B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22014"/>
    <w:multiLevelType w:val="hybridMultilevel"/>
    <w:tmpl w:val="779862A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42D22917"/>
    <w:multiLevelType w:val="multilevel"/>
    <w:tmpl w:val="2130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A4742"/>
    <w:multiLevelType w:val="hybridMultilevel"/>
    <w:tmpl w:val="9CC4B93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125B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27E7705"/>
    <w:multiLevelType w:val="hybridMultilevel"/>
    <w:tmpl w:val="5C6E6228"/>
    <w:lvl w:ilvl="0" w:tplc="4148EC1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9002DFD"/>
    <w:multiLevelType w:val="hybridMultilevel"/>
    <w:tmpl w:val="9A484026"/>
    <w:lvl w:ilvl="0" w:tplc="FFFFFFFF">
      <w:start w:val="1"/>
      <w:numFmt w:val="decimal"/>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BF922BB"/>
    <w:multiLevelType w:val="hybridMultilevel"/>
    <w:tmpl w:val="4566C556"/>
    <w:lvl w:ilvl="0" w:tplc="FFFFFFFF">
      <w:start w:val="1"/>
      <w:numFmt w:val="decimal"/>
      <w:lvlText w:val="%1."/>
      <w:lvlJc w:val="left"/>
      <w:pPr>
        <w:tabs>
          <w:tab w:val="num" w:pos="840"/>
        </w:tabs>
        <w:ind w:left="840" w:hanging="360"/>
      </w:pPr>
      <w:rPr>
        <w:rFonts w:hint="default"/>
      </w:rPr>
    </w:lvl>
    <w:lvl w:ilvl="1" w:tplc="FFFFFFFF" w:tentative="1">
      <w:start w:val="1"/>
      <w:numFmt w:val="lowerLetter"/>
      <w:lvlText w:val="%2."/>
      <w:lvlJc w:val="left"/>
      <w:pPr>
        <w:tabs>
          <w:tab w:val="num" w:pos="1560"/>
        </w:tabs>
        <w:ind w:left="1560" w:hanging="360"/>
      </w:p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2" w15:restartNumberingAfterBreak="0">
    <w:nsid w:val="5F307E6F"/>
    <w:multiLevelType w:val="hybridMultilevel"/>
    <w:tmpl w:val="9D5A227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F10005"/>
    <w:multiLevelType w:val="hybridMultilevel"/>
    <w:tmpl w:val="C4160426"/>
    <w:lvl w:ilvl="0" w:tplc="FFFFFFFF">
      <w:start w:val="1"/>
      <w:numFmt w:val="bullet"/>
      <w:lvlText w:val=""/>
      <w:lvlJc w:val="left"/>
      <w:pPr>
        <w:tabs>
          <w:tab w:val="num" w:pos="792"/>
        </w:tabs>
        <w:ind w:left="720"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A9595F"/>
    <w:multiLevelType w:val="hybridMultilevel"/>
    <w:tmpl w:val="A672EE9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19C45DE"/>
    <w:multiLevelType w:val="hybridMultilevel"/>
    <w:tmpl w:val="1D1E658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6455A"/>
    <w:multiLevelType w:val="hybridMultilevel"/>
    <w:tmpl w:val="D5827C5A"/>
    <w:lvl w:ilvl="0" w:tplc="88129B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43440BF"/>
    <w:multiLevelType w:val="hybridMultilevel"/>
    <w:tmpl w:val="55F29B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EE1070"/>
    <w:multiLevelType w:val="hybridMultilevel"/>
    <w:tmpl w:val="92EA89B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83026">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03031568">
    <w:abstractNumId w:val="0"/>
  </w:num>
  <w:num w:numId="3" w16cid:durableId="1986858833">
    <w:abstractNumId w:val="10"/>
  </w:num>
  <w:num w:numId="4" w16cid:durableId="1267809898">
    <w:abstractNumId w:val="9"/>
  </w:num>
  <w:num w:numId="5" w16cid:durableId="583881797">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6" w16cid:durableId="547883934">
    <w:abstractNumId w:val="23"/>
  </w:num>
  <w:num w:numId="7" w16cid:durableId="1472215586">
    <w:abstractNumId w:val="7"/>
  </w:num>
  <w:num w:numId="8" w16cid:durableId="1473250852">
    <w:abstractNumId w:val="16"/>
  </w:num>
  <w:num w:numId="9" w16cid:durableId="1001392748">
    <w:abstractNumId w:val="12"/>
  </w:num>
  <w:num w:numId="10" w16cid:durableId="295987646">
    <w:abstractNumId w:val="17"/>
  </w:num>
  <w:num w:numId="11" w16cid:durableId="2105956230">
    <w:abstractNumId w:val="28"/>
  </w:num>
  <w:num w:numId="12" w16cid:durableId="21250573">
    <w:abstractNumId w:val="15"/>
  </w:num>
  <w:num w:numId="13" w16cid:durableId="680014640">
    <w:abstractNumId w:val="22"/>
  </w:num>
  <w:num w:numId="14" w16cid:durableId="2113939637">
    <w:abstractNumId w:val="13"/>
  </w:num>
  <w:num w:numId="15" w16cid:durableId="1929583015">
    <w:abstractNumId w:val="3"/>
  </w:num>
  <w:num w:numId="16" w16cid:durableId="1254119940">
    <w:abstractNumId w:val="21"/>
  </w:num>
  <w:num w:numId="17" w16cid:durableId="643315395">
    <w:abstractNumId w:val="6"/>
  </w:num>
  <w:num w:numId="18" w16cid:durableId="460417040">
    <w:abstractNumId w:val="18"/>
  </w:num>
  <w:num w:numId="19" w16cid:durableId="1883668039">
    <w:abstractNumId w:val="25"/>
  </w:num>
  <w:num w:numId="20" w16cid:durableId="1288314057">
    <w:abstractNumId w:val="5"/>
  </w:num>
  <w:num w:numId="21" w16cid:durableId="64299141">
    <w:abstractNumId w:val="20"/>
  </w:num>
  <w:num w:numId="22" w16cid:durableId="1492258551">
    <w:abstractNumId w:val="11"/>
  </w:num>
  <w:num w:numId="23" w16cid:durableId="1107774880">
    <w:abstractNumId w:val="27"/>
  </w:num>
  <w:num w:numId="24" w16cid:durableId="1143044913">
    <w:abstractNumId w:val="14"/>
  </w:num>
  <w:num w:numId="25" w16cid:durableId="1806191002">
    <w:abstractNumId w:val="8"/>
  </w:num>
  <w:num w:numId="26" w16cid:durableId="1663771917">
    <w:abstractNumId w:val="4"/>
  </w:num>
  <w:num w:numId="27" w16cid:durableId="295835866">
    <w:abstractNumId w:val="24"/>
  </w:num>
  <w:num w:numId="28" w16cid:durableId="169955169">
    <w:abstractNumId w:val="26"/>
  </w:num>
  <w:num w:numId="29" w16cid:durableId="1902059515">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0" w16cid:durableId="70440579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1" w16cid:durableId="645163628">
    <w:abstractNumId w:val="1"/>
  </w:num>
  <w:num w:numId="32" w16cid:durableId="210029785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3" w16cid:durableId="487328691">
    <w:abstractNumId w:val="19"/>
  </w:num>
  <w:num w:numId="34" w16cid:durableId="4561676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5" w16cid:durableId="16262259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6" w16cid:durableId="75605544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7" w16cid:durableId="982660819">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8" w16cid:durableId="209396285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9" w16cid:durableId="871726468">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0" w16cid:durableId="127906811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1" w16cid:durableId="1277757194">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78"/>
    <w:rsid w:val="00011518"/>
    <w:rsid w:val="00030442"/>
    <w:rsid w:val="00054BDA"/>
    <w:rsid w:val="000705BA"/>
    <w:rsid w:val="000742DD"/>
    <w:rsid w:val="00090AA9"/>
    <w:rsid w:val="00091CD5"/>
    <w:rsid w:val="000A57C3"/>
    <w:rsid w:val="000A5D22"/>
    <w:rsid w:val="000B336B"/>
    <w:rsid w:val="000B765A"/>
    <w:rsid w:val="000C73C6"/>
    <w:rsid w:val="000E6F7A"/>
    <w:rsid w:val="000F7D34"/>
    <w:rsid w:val="00103EC2"/>
    <w:rsid w:val="00111B0E"/>
    <w:rsid w:val="00112931"/>
    <w:rsid w:val="0012626F"/>
    <w:rsid w:val="0012757D"/>
    <w:rsid w:val="001338AB"/>
    <w:rsid w:val="00152DEF"/>
    <w:rsid w:val="001549FC"/>
    <w:rsid w:val="0018763E"/>
    <w:rsid w:val="00196E35"/>
    <w:rsid w:val="001973A6"/>
    <w:rsid w:val="001B448F"/>
    <w:rsid w:val="001B5455"/>
    <w:rsid w:val="001B763B"/>
    <w:rsid w:val="001E54FF"/>
    <w:rsid w:val="001F1173"/>
    <w:rsid w:val="001F503F"/>
    <w:rsid w:val="00203E23"/>
    <w:rsid w:val="00205710"/>
    <w:rsid w:val="00206A0B"/>
    <w:rsid w:val="00220D19"/>
    <w:rsid w:val="00224D5E"/>
    <w:rsid w:val="00230C5F"/>
    <w:rsid w:val="00254F25"/>
    <w:rsid w:val="002608C2"/>
    <w:rsid w:val="0027114A"/>
    <w:rsid w:val="00276B1F"/>
    <w:rsid w:val="00286F78"/>
    <w:rsid w:val="00297BB8"/>
    <w:rsid w:val="002A49EC"/>
    <w:rsid w:val="002A7613"/>
    <w:rsid w:val="002C273D"/>
    <w:rsid w:val="002C514F"/>
    <w:rsid w:val="002E6070"/>
    <w:rsid w:val="003069B3"/>
    <w:rsid w:val="00323B9D"/>
    <w:rsid w:val="003306F8"/>
    <w:rsid w:val="00332AD3"/>
    <w:rsid w:val="003350ED"/>
    <w:rsid w:val="00336C89"/>
    <w:rsid w:val="0035025D"/>
    <w:rsid w:val="00367BAF"/>
    <w:rsid w:val="00372947"/>
    <w:rsid w:val="003B414E"/>
    <w:rsid w:val="003C034F"/>
    <w:rsid w:val="003E0D56"/>
    <w:rsid w:val="003F2683"/>
    <w:rsid w:val="0041152E"/>
    <w:rsid w:val="004161C1"/>
    <w:rsid w:val="00431E89"/>
    <w:rsid w:val="00435678"/>
    <w:rsid w:val="00457DD3"/>
    <w:rsid w:val="00463137"/>
    <w:rsid w:val="00463CEB"/>
    <w:rsid w:val="0046412B"/>
    <w:rsid w:val="0047258D"/>
    <w:rsid w:val="00475DE2"/>
    <w:rsid w:val="004C59BB"/>
    <w:rsid w:val="004E44E5"/>
    <w:rsid w:val="004F07F1"/>
    <w:rsid w:val="0050344D"/>
    <w:rsid w:val="00517168"/>
    <w:rsid w:val="005233D7"/>
    <w:rsid w:val="00527253"/>
    <w:rsid w:val="00542EA8"/>
    <w:rsid w:val="00565F97"/>
    <w:rsid w:val="005666A3"/>
    <w:rsid w:val="005769CF"/>
    <w:rsid w:val="005864AB"/>
    <w:rsid w:val="005928C9"/>
    <w:rsid w:val="005A0B39"/>
    <w:rsid w:val="005A2FB0"/>
    <w:rsid w:val="005A3630"/>
    <w:rsid w:val="005D5534"/>
    <w:rsid w:val="005D7717"/>
    <w:rsid w:val="005F1E71"/>
    <w:rsid w:val="005F7536"/>
    <w:rsid w:val="005F7DCD"/>
    <w:rsid w:val="00603097"/>
    <w:rsid w:val="00621F17"/>
    <w:rsid w:val="0064700A"/>
    <w:rsid w:val="00653E06"/>
    <w:rsid w:val="006658FF"/>
    <w:rsid w:val="00677D19"/>
    <w:rsid w:val="006A7A21"/>
    <w:rsid w:val="006C56C2"/>
    <w:rsid w:val="006D2B12"/>
    <w:rsid w:val="006D2C7E"/>
    <w:rsid w:val="006E0AC3"/>
    <w:rsid w:val="006E3696"/>
    <w:rsid w:val="006E76E1"/>
    <w:rsid w:val="006E784E"/>
    <w:rsid w:val="006E787C"/>
    <w:rsid w:val="007041F1"/>
    <w:rsid w:val="00730E59"/>
    <w:rsid w:val="00743A7C"/>
    <w:rsid w:val="007608BF"/>
    <w:rsid w:val="00776A2C"/>
    <w:rsid w:val="00791E93"/>
    <w:rsid w:val="00793B88"/>
    <w:rsid w:val="0079571C"/>
    <w:rsid w:val="007B240B"/>
    <w:rsid w:val="007B2622"/>
    <w:rsid w:val="007B5AC0"/>
    <w:rsid w:val="007B5BB6"/>
    <w:rsid w:val="007D1389"/>
    <w:rsid w:val="007D4DB2"/>
    <w:rsid w:val="007E29CA"/>
    <w:rsid w:val="007E45DC"/>
    <w:rsid w:val="00810894"/>
    <w:rsid w:val="008131AC"/>
    <w:rsid w:val="0081453D"/>
    <w:rsid w:val="0082130B"/>
    <w:rsid w:val="008225CB"/>
    <w:rsid w:val="00841AEC"/>
    <w:rsid w:val="0085302E"/>
    <w:rsid w:val="0087297C"/>
    <w:rsid w:val="00877064"/>
    <w:rsid w:val="008835BD"/>
    <w:rsid w:val="00885CFC"/>
    <w:rsid w:val="00895748"/>
    <w:rsid w:val="008A3221"/>
    <w:rsid w:val="008A3626"/>
    <w:rsid w:val="008A3A7F"/>
    <w:rsid w:val="008B03A1"/>
    <w:rsid w:val="008B2FFF"/>
    <w:rsid w:val="008C0F29"/>
    <w:rsid w:val="008D4E5F"/>
    <w:rsid w:val="008D5E88"/>
    <w:rsid w:val="008F5A17"/>
    <w:rsid w:val="00903063"/>
    <w:rsid w:val="00905696"/>
    <w:rsid w:val="00911E4B"/>
    <w:rsid w:val="0092193E"/>
    <w:rsid w:val="009359EC"/>
    <w:rsid w:val="00943B37"/>
    <w:rsid w:val="00950015"/>
    <w:rsid w:val="00951BFA"/>
    <w:rsid w:val="009748D0"/>
    <w:rsid w:val="0097554A"/>
    <w:rsid w:val="009907F0"/>
    <w:rsid w:val="009940F2"/>
    <w:rsid w:val="0099729A"/>
    <w:rsid w:val="009A19ED"/>
    <w:rsid w:val="009B440A"/>
    <w:rsid w:val="009B571B"/>
    <w:rsid w:val="009B573E"/>
    <w:rsid w:val="009C07F5"/>
    <w:rsid w:val="009C6138"/>
    <w:rsid w:val="009E2745"/>
    <w:rsid w:val="009F28D2"/>
    <w:rsid w:val="00A17FC7"/>
    <w:rsid w:val="00A505BA"/>
    <w:rsid w:val="00A55D76"/>
    <w:rsid w:val="00A619D0"/>
    <w:rsid w:val="00A84D26"/>
    <w:rsid w:val="00A95A76"/>
    <w:rsid w:val="00AB0280"/>
    <w:rsid w:val="00AC34FC"/>
    <w:rsid w:val="00AC3C39"/>
    <w:rsid w:val="00AC412A"/>
    <w:rsid w:val="00AD5A52"/>
    <w:rsid w:val="00AE0415"/>
    <w:rsid w:val="00AE4DBE"/>
    <w:rsid w:val="00AE5222"/>
    <w:rsid w:val="00AF1C01"/>
    <w:rsid w:val="00B258FC"/>
    <w:rsid w:val="00B33799"/>
    <w:rsid w:val="00B40C20"/>
    <w:rsid w:val="00B42755"/>
    <w:rsid w:val="00B42F7C"/>
    <w:rsid w:val="00B50582"/>
    <w:rsid w:val="00B5069A"/>
    <w:rsid w:val="00B547D6"/>
    <w:rsid w:val="00B77AF0"/>
    <w:rsid w:val="00B810D6"/>
    <w:rsid w:val="00B87789"/>
    <w:rsid w:val="00B970C8"/>
    <w:rsid w:val="00B97705"/>
    <w:rsid w:val="00BD6C1B"/>
    <w:rsid w:val="00BE039C"/>
    <w:rsid w:val="00BE1885"/>
    <w:rsid w:val="00C23335"/>
    <w:rsid w:val="00C32184"/>
    <w:rsid w:val="00C339E5"/>
    <w:rsid w:val="00C52321"/>
    <w:rsid w:val="00C62F0D"/>
    <w:rsid w:val="00C821A9"/>
    <w:rsid w:val="00CA33CF"/>
    <w:rsid w:val="00CA5CE2"/>
    <w:rsid w:val="00CB2A78"/>
    <w:rsid w:val="00CD1B1D"/>
    <w:rsid w:val="00CD5030"/>
    <w:rsid w:val="00CE1481"/>
    <w:rsid w:val="00CF6421"/>
    <w:rsid w:val="00D755B5"/>
    <w:rsid w:val="00D82CB1"/>
    <w:rsid w:val="00D85B34"/>
    <w:rsid w:val="00D91A76"/>
    <w:rsid w:val="00DA44A7"/>
    <w:rsid w:val="00DE4C30"/>
    <w:rsid w:val="00E070F3"/>
    <w:rsid w:val="00E10D20"/>
    <w:rsid w:val="00E21AED"/>
    <w:rsid w:val="00E25B08"/>
    <w:rsid w:val="00E73F0B"/>
    <w:rsid w:val="00E76E24"/>
    <w:rsid w:val="00E97CBC"/>
    <w:rsid w:val="00EB5D46"/>
    <w:rsid w:val="00EC3177"/>
    <w:rsid w:val="00ED6573"/>
    <w:rsid w:val="00EE0485"/>
    <w:rsid w:val="00EE6DB1"/>
    <w:rsid w:val="00EF7C79"/>
    <w:rsid w:val="00F31574"/>
    <w:rsid w:val="00F45CFB"/>
    <w:rsid w:val="00F64FAF"/>
    <w:rsid w:val="00F9164C"/>
    <w:rsid w:val="00FB0E05"/>
    <w:rsid w:val="00FB2012"/>
    <w:rsid w:val="00FE7211"/>
    <w:rsid w:val="00FE78E6"/>
    <w:rsid w:val="00FF2DD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D68F"/>
  <w15:chartTrackingRefBased/>
  <w15:docId w15:val="{1C9FB80D-ED49-4C17-8758-0067E722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54A"/>
    <w:rPr>
      <w:rFonts w:ascii="Times New Roman" w:eastAsia="Times New Roman" w:hAnsi="Times New Roman"/>
      <w:sz w:val="24"/>
    </w:rPr>
  </w:style>
  <w:style w:type="paragraph" w:styleId="Heading1">
    <w:name w:val="heading 1"/>
    <w:basedOn w:val="Normal"/>
    <w:next w:val="Normal"/>
    <w:link w:val="Heading1Char"/>
    <w:qFormat/>
    <w:rsid w:val="00950015"/>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50015"/>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50015"/>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50015"/>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50015"/>
    <w:pPr>
      <w:keepNext/>
      <w:tabs>
        <w:tab w:val="left" w:pos="475"/>
      </w:tabs>
      <w:outlineLvl w:val="4"/>
    </w:pPr>
    <w:rPr>
      <w:b/>
      <w:i/>
      <w:color w:val="0000FF"/>
    </w:rPr>
  </w:style>
  <w:style w:type="paragraph" w:styleId="Heading6">
    <w:name w:val="heading 6"/>
    <w:basedOn w:val="Normal"/>
    <w:next w:val="Normal"/>
    <w:link w:val="Heading6Char"/>
    <w:qFormat/>
    <w:rsid w:val="00950015"/>
    <w:pPr>
      <w:keepNext/>
      <w:outlineLvl w:val="5"/>
    </w:pPr>
    <w:rPr>
      <w:b/>
    </w:rPr>
  </w:style>
  <w:style w:type="paragraph" w:styleId="Heading7">
    <w:name w:val="heading 7"/>
    <w:basedOn w:val="Normal"/>
    <w:next w:val="Normal"/>
    <w:link w:val="Heading7Char"/>
    <w:qFormat/>
    <w:rsid w:val="00D85B34"/>
    <w:pPr>
      <w:keepNext/>
      <w:outlineLvl w:val="6"/>
    </w:pPr>
    <w:rPr>
      <w:b/>
      <w:bCs/>
      <w:sz w:val="20"/>
      <w:lang w:val="ru-RU"/>
    </w:rPr>
  </w:style>
  <w:style w:type="paragraph" w:styleId="Heading8">
    <w:name w:val="heading 8"/>
    <w:basedOn w:val="Normal"/>
    <w:next w:val="Normal"/>
    <w:link w:val="Heading8Char"/>
    <w:qFormat/>
    <w:rsid w:val="00D85B34"/>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5B34"/>
    <w:rPr>
      <w:rFonts w:ascii="Arial" w:eastAsia="Times New Roman" w:hAnsi="Arial"/>
      <w:b/>
      <w:color w:val="800000"/>
      <w:spacing w:val="30"/>
      <w:kern w:val="28"/>
      <w:sz w:val="56"/>
    </w:rPr>
  </w:style>
  <w:style w:type="character" w:customStyle="1" w:styleId="Heading2Char">
    <w:name w:val="Heading 2 Char"/>
    <w:link w:val="Heading2"/>
    <w:rsid w:val="00D85B34"/>
    <w:rPr>
      <w:rFonts w:ascii="Arial" w:eastAsia="Times New Roman" w:hAnsi="Arial"/>
      <w:b/>
      <w:color w:val="800000"/>
      <w:spacing w:val="20"/>
      <w:sz w:val="38"/>
    </w:rPr>
  </w:style>
  <w:style w:type="character" w:customStyle="1" w:styleId="Heading3Char">
    <w:name w:val="Heading 3 Char"/>
    <w:link w:val="Heading3"/>
    <w:rsid w:val="00D85B34"/>
    <w:rPr>
      <w:rFonts w:ascii="Arial" w:eastAsia="Times New Roman" w:hAnsi="Arial"/>
      <w:b/>
      <w:color w:val="0000FF"/>
      <w:spacing w:val="16"/>
      <w:sz w:val="30"/>
    </w:rPr>
  </w:style>
  <w:style w:type="character" w:customStyle="1" w:styleId="Heading4Char">
    <w:name w:val="Heading 4 Char"/>
    <w:basedOn w:val="DefaultParagraphFont"/>
    <w:link w:val="Heading4"/>
    <w:rsid w:val="00950015"/>
    <w:rPr>
      <w:rFonts w:ascii="Arial" w:eastAsia="Times New Roman" w:hAnsi="Arial"/>
      <w:b/>
      <w:color w:val="0000FF"/>
      <w:sz w:val="24"/>
    </w:rPr>
  </w:style>
  <w:style w:type="character" w:customStyle="1" w:styleId="Heading5Char">
    <w:name w:val="Heading 5 Char"/>
    <w:basedOn w:val="DefaultParagraphFont"/>
    <w:link w:val="Heading5"/>
    <w:rsid w:val="00950015"/>
    <w:rPr>
      <w:rFonts w:ascii="Times New Roman" w:eastAsia="Times New Roman" w:hAnsi="Times New Roman"/>
      <w:b/>
      <w:i/>
      <w:color w:val="0000FF"/>
      <w:sz w:val="24"/>
    </w:rPr>
  </w:style>
  <w:style w:type="character" w:customStyle="1" w:styleId="Heading6Char">
    <w:name w:val="Heading 6 Char"/>
    <w:basedOn w:val="DefaultParagraphFont"/>
    <w:link w:val="Heading6"/>
    <w:rsid w:val="00950015"/>
    <w:rPr>
      <w:rFonts w:ascii="Times New Roman" w:eastAsia="Times New Roman" w:hAnsi="Times New Roman"/>
      <w:b/>
      <w:sz w:val="24"/>
    </w:rPr>
  </w:style>
  <w:style w:type="paragraph" w:styleId="Footer">
    <w:name w:val="footer"/>
    <w:basedOn w:val="Normal"/>
    <w:link w:val="FooterChar"/>
    <w:rsid w:val="00950015"/>
    <w:pPr>
      <w:tabs>
        <w:tab w:val="center" w:pos="4320"/>
        <w:tab w:val="right" w:pos="8640"/>
      </w:tabs>
    </w:pPr>
  </w:style>
  <w:style w:type="character" w:customStyle="1" w:styleId="FooterChar">
    <w:name w:val="Footer Char"/>
    <w:link w:val="Footer"/>
    <w:rsid w:val="00D85B34"/>
    <w:rPr>
      <w:rFonts w:ascii="Times New Roman" w:eastAsia="Times New Roman" w:hAnsi="Times New Roman"/>
      <w:sz w:val="24"/>
    </w:rPr>
  </w:style>
  <w:style w:type="character" w:styleId="PageNumber">
    <w:name w:val="page number"/>
    <w:basedOn w:val="DefaultParagraphFont"/>
    <w:rsid w:val="00950015"/>
  </w:style>
  <w:style w:type="paragraph" w:customStyle="1" w:styleId="headingredital">
    <w:name w:val="heading_red_ital"/>
    <w:basedOn w:val="Normal"/>
    <w:rsid w:val="00950015"/>
    <w:rPr>
      <w:i/>
      <w:color w:val="800000"/>
    </w:rPr>
  </w:style>
  <w:style w:type="paragraph" w:styleId="Header">
    <w:name w:val="header"/>
    <w:basedOn w:val="Normal"/>
    <w:link w:val="HeaderChar"/>
    <w:rsid w:val="00950015"/>
    <w:pPr>
      <w:tabs>
        <w:tab w:val="center" w:pos="4320"/>
        <w:tab w:val="right" w:pos="8640"/>
      </w:tabs>
    </w:pPr>
  </w:style>
  <w:style w:type="character" w:customStyle="1" w:styleId="HeaderChar">
    <w:name w:val="Header Char"/>
    <w:link w:val="Header"/>
    <w:rsid w:val="00D85B34"/>
    <w:rPr>
      <w:rFonts w:ascii="Times New Roman" w:eastAsia="Times New Roman" w:hAnsi="Times New Roman"/>
      <w:sz w:val="24"/>
    </w:rPr>
  </w:style>
  <w:style w:type="paragraph" w:styleId="TOC5">
    <w:name w:val="toc 5"/>
    <w:basedOn w:val="Normal"/>
    <w:next w:val="Normal"/>
    <w:autoRedefine/>
    <w:uiPriority w:val="39"/>
    <w:rsid w:val="00950015"/>
    <w:pPr>
      <w:ind w:left="960"/>
    </w:pPr>
    <w:rPr>
      <w:rFonts w:asciiTheme="minorHAnsi" w:hAnsiTheme="minorHAnsi"/>
      <w:sz w:val="20"/>
      <w:szCs w:val="24"/>
    </w:rPr>
  </w:style>
  <w:style w:type="paragraph" w:styleId="TOC4">
    <w:name w:val="toc 4"/>
    <w:basedOn w:val="Normal"/>
    <w:next w:val="Normal"/>
    <w:autoRedefine/>
    <w:uiPriority w:val="39"/>
    <w:rsid w:val="00950015"/>
    <w:pPr>
      <w:ind w:left="720"/>
    </w:pPr>
    <w:rPr>
      <w:rFonts w:asciiTheme="minorHAnsi" w:hAnsiTheme="minorHAnsi"/>
      <w:sz w:val="20"/>
      <w:szCs w:val="24"/>
    </w:rPr>
  </w:style>
  <w:style w:type="paragraph" w:styleId="EnvelopeAddress">
    <w:name w:val="envelope address"/>
    <w:basedOn w:val="Normal"/>
    <w:rsid w:val="00950015"/>
    <w:pPr>
      <w:framePr w:w="7920" w:h="1980" w:hRule="exact" w:hSpace="180" w:wrap="auto" w:hAnchor="page" w:xAlign="center" w:yAlign="bottom"/>
      <w:ind w:left="2880"/>
    </w:pPr>
    <w:rPr>
      <w:sz w:val="28"/>
    </w:rPr>
  </w:style>
  <w:style w:type="paragraph" w:styleId="EnvelopeReturn">
    <w:name w:val="envelope return"/>
    <w:basedOn w:val="Normal"/>
    <w:rsid w:val="00950015"/>
  </w:style>
  <w:style w:type="character" w:styleId="Hyperlink">
    <w:name w:val="Hyperlink"/>
    <w:uiPriority w:val="99"/>
    <w:rsid w:val="00950015"/>
    <w:rPr>
      <w:color w:val="0000FF"/>
      <w:u w:val="single"/>
    </w:rPr>
  </w:style>
  <w:style w:type="character" w:styleId="FollowedHyperlink">
    <w:name w:val="FollowedHyperlink"/>
    <w:rsid w:val="00950015"/>
    <w:rPr>
      <w:color w:val="800080"/>
      <w:u w:val="single"/>
    </w:rPr>
  </w:style>
  <w:style w:type="paragraph" w:styleId="Title">
    <w:name w:val="Title"/>
    <w:basedOn w:val="Normal"/>
    <w:next w:val="Normal"/>
    <w:link w:val="TitleChar"/>
    <w:autoRedefine/>
    <w:uiPriority w:val="10"/>
    <w:qFormat/>
    <w:rsid w:val="00950015"/>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50015"/>
    <w:rPr>
      <w:rFonts w:ascii="Arial" w:eastAsia="Times New Roman" w:hAnsi="Arial"/>
      <w:b/>
      <w:color w:val="FF0000"/>
      <w:spacing w:val="-10"/>
      <w:kern w:val="28"/>
      <w:sz w:val="56"/>
      <w:szCs w:val="56"/>
    </w:rPr>
  </w:style>
  <w:style w:type="paragraph" w:customStyle="1" w:styleId="Title2">
    <w:name w:val="Title2"/>
    <w:basedOn w:val="Normal"/>
    <w:link w:val="Title2Char"/>
    <w:autoRedefine/>
    <w:qFormat/>
    <w:rsid w:val="00950015"/>
    <w:pPr>
      <w:jc w:val="center"/>
    </w:pPr>
    <w:rPr>
      <w:rFonts w:ascii="Arial" w:hAnsi="Arial" w:cs="Arial"/>
      <w:b/>
      <w:bCs/>
      <w:color w:val="FF0000"/>
      <w:sz w:val="36"/>
      <w:szCs w:val="36"/>
      <w:lang w:val="ru-RU"/>
    </w:rPr>
  </w:style>
  <w:style w:type="character" w:customStyle="1" w:styleId="Title2Char">
    <w:name w:val="Title2 Char"/>
    <w:link w:val="Title2"/>
    <w:rsid w:val="00950015"/>
    <w:rPr>
      <w:rFonts w:ascii="Arial" w:eastAsia="Times New Roman" w:hAnsi="Arial" w:cs="Arial"/>
      <w:b/>
      <w:bCs/>
      <w:color w:val="FF0000"/>
      <w:sz w:val="36"/>
      <w:szCs w:val="36"/>
      <w:lang w:val="ru-RU"/>
    </w:rPr>
  </w:style>
  <w:style w:type="character" w:customStyle="1" w:styleId="Heading7Char">
    <w:name w:val="Heading 7 Char"/>
    <w:link w:val="Heading7"/>
    <w:rsid w:val="00D85B34"/>
    <w:rPr>
      <w:rFonts w:ascii="Times New Roman" w:eastAsia="Times New Roman" w:hAnsi="Times New Roman" w:cs="Times New Roman"/>
      <w:b/>
      <w:bCs/>
      <w:kern w:val="0"/>
      <w:sz w:val="20"/>
      <w:szCs w:val="20"/>
      <w:lang w:val="ru-RU"/>
    </w:rPr>
  </w:style>
  <w:style w:type="character" w:customStyle="1" w:styleId="Heading8Char">
    <w:name w:val="Heading 8 Char"/>
    <w:link w:val="Heading8"/>
    <w:rsid w:val="00D85B34"/>
    <w:rPr>
      <w:rFonts w:ascii="Times New Roman" w:eastAsia="Times New Roman" w:hAnsi="Times New Roman" w:cs="Times New Roman"/>
      <w:b/>
      <w:bCs/>
      <w:color w:val="0000FF"/>
      <w:kern w:val="0"/>
      <w:sz w:val="20"/>
      <w:szCs w:val="20"/>
      <w:lang w:val="ru-RU"/>
    </w:rPr>
  </w:style>
  <w:style w:type="paragraph" w:styleId="PlainText">
    <w:name w:val="Plain Text"/>
    <w:basedOn w:val="Normal"/>
    <w:link w:val="PlainTextChar"/>
    <w:uiPriority w:val="99"/>
    <w:unhideWhenUsed/>
    <w:rsid w:val="00D85B34"/>
    <w:rPr>
      <w:rFonts w:ascii="Consolas" w:hAnsi="Consolas"/>
      <w:sz w:val="21"/>
      <w:szCs w:val="21"/>
    </w:rPr>
  </w:style>
  <w:style w:type="character" w:customStyle="1" w:styleId="PlainTextChar">
    <w:name w:val="Plain Text Char"/>
    <w:link w:val="PlainText"/>
    <w:uiPriority w:val="99"/>
    <w:rsid w:val="00D85B34"/>
    <w:rPr>
      <w:rFonts w:ascii="Consolas" w:eastAsia="Times New Roman" w:hAnsi="Consolas" w:cs="Times New Roman"/>
      <w:kern w:val="0"/>
      <w:sz w:val="21"/>
      <w:szCs w:val="21"/>
    </w:rPr>
  </w:style>
  <w:style w:type="paragraph" w:styleId="BalloonText">
    <w:name w:val="Balloon Text"/>
    <w:basedOn w:val="Normal"/>
    <w:link w:val="BalloonTextChar"/>
    <w:semiHidden/>
    <w:rsid w:val="00D85B34"/>
    <w:rPr>
      <w:rFonts w:ascii="Tahoma" w:hAnsi="Tahoma" w:cs="Tahoma"/>
      <w:sz w:val="16"/>
      <w:szCs w:val="16"/>
    </w:rPr>
  </w:style>
  <w:style w:type="character" w:customStyle="1" w:styleId="BalloonTextChar">
    <w:name w:val="Balloon Text Char"/>
    <w:link w:val="BalloonText"/>
    <w:semiHidden/>
    <w:rsid w:val="00D85B34"/>
    <w:rPr>
      <w:rFonts w:ascii="Tahoma" w:eastAsia="Times New Roman" w:hAnsi="Tahoma" w:cs="Tahoma"/>
      <w:kern w:val="0"/>
      <w:sz w:val="16"/>
      <w:szCs w:val="16"/>
    </w:rPr>
  </w:style>
  <w:style w:type="character" w:customStyle="1" w:styleId="Heading4Char1">
    <w:name w:val="Heading 4 Char1"/>
    <w:rsid w:val="00D85B34"/>
    <w:rPr>
      <w:rFonts w:ascii="Arial" w:hAnsi="Arial"/>
      <w:b/>
      <w:noProof w:val="0"/>
      <w:color w:val="0000FF"/>
      <w:sz w:val="24"/>
      <w:lang w:val="en-US" w:eastAsia="en-US" w:bidi="ar-SA"/>
    </w:rPr>
  </w:style>
  <w:style w:type="paragraph" w:styleId="FootnoteText">
    <w:name w:val="footnote text"/>
    <w:basedOn w:val="Normal"/>
    <w:link w:val="FootnoteTextChar"/>
    <w:semiHidden/>
    <w:rsid w:val="00D85B34"/>
    <w:rPr>
      <w:sz w:val="20"/>
    </w:rPr>
  </w:style>
  <w:style w:type="character" w:customStyle="1" w:styleId="FootnoteTextChar">
    <w:name w:val="Footnote Text Char"/>
    <w:link w:val="FootnoteText"/>
    <w:semiHidden/>
    <w:rsid w:val="00D85B34"/>
    <w:rPr>
      <w:rFonts w:ascii="Times New Roman" w:eastAsia="Times New Roman" w:hAnsi="Times New Roman" w:cs="Times New Roman"/>
      <w:kern w:val="0"/>
      <w:sz w:val="20"/>
      <w:szCs w:val="20"/>
    </w:rPr>
  </w:style>
  <w:style w:type="paragraph" w:styleId="TOC2">
    <w:name w:val="toc 2"/>
    <w:basedOn w:val="Normal"/>
    <w:next w:val="Normal"/>
    <w:autoRedefine/>
    <w:uiPriority w:val="39"/>
    <w:rsid w:val="001549FC"/>
    <w:pPr>
      <w:spacing w:before="120"/>
      <w:ind w:left="240"/>
    </w:pPr>
    <w:rPr>
      <w:rFonts w:asciiTheme="minorHAnsi" w:hAnsiTheme="minorHAnsi"/>
      <w:b/>
      <w:bCs/>
      <w:sz w:val="22"/>
      <w:szCs w:val="26"/>
    </w:rPr>
  </w:style>
  <w:style w:type="paragraph" w:styleId="TOC3">
    <w:name w:val="toc 3"/>
    <w:basedOn w:val="Normal"/>
    <w:next w:val="Normal"/>
    <w:autoRedefine/>
    <w:uiPriority w:val="39"/>
    <w:rsid w:val="00D85B34"/>
    <w:pPr>
      <w:ind w:left="480"/>
    </w:pPr>
    <w:rPr>
      <w:rFonts w:asciiTheme="minorHAnsi" w:hAnsiTheme="minorHAnsi"/>
      <w:sz w:val="20"/>
      <w:szCs w:val="24"/>
    </w:rPr>
  </w:style>
  <w:style w:type="character" w:styleId="FootnoteReference">
    <w:name w:val="footnote reference"/>
    <w:semiHidden/>
    <w:rsid w:val="00D85B34"/>
    <w:rPr>
      <w:vertAlign w:val="superscript"/>
    </w:rPr>
  </w:style>
  <w:style w:type="paragraph" w:styleId="TOC1">
    <w:name w:val="toc 1"/>
    <w:basedOn w:val="Normal"/>
    <w:next w:val="Normal"/>
    <w:autoRedefine/>
    <w:uiPriority w:val="39"/>
    <w:rsid w:val="001549FC"/>
    <w:pPr>
      <w:spacing w:before="120"/>
    </w:pPr>
    <w:rPr>
      <w:rFonts w:asciiTheme="minorHAnsi" w:hAnsiTheme="minorHAnsi"/>
      <w:b/>
      <w:bCs/>
      <w:i/>
      <w:iCs/>
      <w:szCs w:val="28"/>
    </w:rPr>
  </w:style>
  <w:style w:type="paragraph" w:styleId="BodyText3">
    <w:name w:val="Body Text 3"/>
    <w:basedOn w:val="Normal"/>
    <w:link w:val="BodyText3Char"/>
    <w:rsid w:val="00D85B34"/>
    <w:pPr>
      <w:autoSpaceDE w:val="0"/>
      <w:autoSpaceDN w:val="0"/>
      <w:adjustRightInd w:val="0"/>
    </w:pPr>
    <w:rPr>
      <w:sz w:val="20"/>
    </w:rPr>
  </w:style>
  <w:style w:type="character" w:customStyle="1" w:styleId="BodyText3Char">
    <w:name w:val="Body Text 3 Char"/>
    <w:link w:val="BodyText3"/>
    <w:rsid w:val="00D85B34"/>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D85B34"/>
    <w:pPr>
      <w:ind w:firstLine="720"/>
    </w:pPr>
    <w:rPr>
      <w:lang w:val="ru-RU"/>
    </w:rPr>
  </w:style>
  <w:style w:type="character" w:customStyle="1" w:styleId="BodyTextIndentChar">
    <w:name w:val="Body Text Indent Char"/>
    <w:link w:val="BodyTextIndent"/>
    <w:rsid w:val="00D85B34"/>
    <w:rPr>
      <w:rFonts w:ascii="Times New Roman" w:eastAsia="Times New Roman" w:hAnsi="Times New Roman" w:cs="Times New Roman"/>
      <w:kern w:val="0"/>
      <w:sz w:val="24"/>
      <w:szCs w:val="20"/>
      <w:lang w:val="ru-RU"/>
    </w:rPr>
  </w:style>
  <w:style w:type="character" w:styleId="Emphasis">
    <w:name w:val="Emphasis"/>
    <w:uiPriority w:val="20"/>
    <w:qFormat/>
    <w:rsid w:val="00D85B34"/>
    <w:rPr>
      <w:i/>
      <w:iCs/>
    </w:rPr>
  </w:style>
  <w:style w:type="character" w:customStyle="1" w:styleId="bgbibrefspassage">
    <w:name w:val="bg_bibrefs_passage"/>
    <w:basedOn w:val="DefaultParagraphFont"/>
    <w:rsid w:val="00D85B34"/>
  </w:style>
  <w:style w:type="character" w:customStyle="1" w:styleId="bgdatatitle">
    <w:name w:val="bg_data_title"/>
    <w:basedOn w:val="DefaultParagraphFont"/>
    <w:rsid w:val="00D85B34"/>
  </w:style>
  <w:style w:type="paragraph" w:styleId="ListBullet">
    <w:name w:val="List Bullet"/>
    <w:basedOn w:val="Normal"/>
    <w:uiPriority w:val="99"/>
    <w:unhideWhenUsed/>
    <w:rsid w:val="00D85B34"/>
    <w:pPr>
      <w:numPr>
        <w:numId w:val="31"/>
      </w:numPr>
      <w:tabs>
        <w:tab w:val="clear" w:pos="360"/>
      </w:tabs>
      <w:ind w:left="1286" w:hanging="283"/>
      <w:contextualSpacing/>
    </w:pPr>
  </w:style>
  <w:style w:type="character" w:styleId="CommentReference">
    <w:name w:val="annotation reference"/>
    <w:uiPriority w:val="99"/>
    <w:semiHidden/>
    <w:unhideWhenUsed/>
    <w:rsid w:val="00D85B34"/>
    <w:rPr>
      <w:sz w:val="16"/>
      <w:szCs w:val="16"/>
    </w:rPr>
  </w:style>
  <w:style w:type="paragraph" w:styleId="CommentText">
    <w:name w:val="annotation text"/>
    <w:basedOn w:val="Normal"/>
    <w:link w:val="CommentTextChar"/>
    <w:uiPriority w:val="99"/>
    <w:semiHidden/>
    <w:unhideWhenUsed/>
    <w:rsid w:val="00D85B34"/>
    <w:rPr>
      <w:sz w:val="20"/>
    </w:rPr>
  </w:style>
  <w:style w:type="character" w:customStyle="1" w:styleId="CommentTextChar">
    <w:name w:val="Comment Text Char"/>
    <w:link w:val="CommentText"/>
    <w:uiPriority w:val="99"/>
    <w:semiHidden/>
    <w:rsid w:val="00D85B34"/>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D85B34"/>
    <w:rPr>
      <w:b/>
      <w:bCs/>
    </w:rPr>
  </w:style>
  <w:style w:type="character" w:customStyle="1" w:styleId="CommentSubjectChar">
    <w:name w:val="Comment Subject Char"/>
    <w:link w:val="CommentSubject"/>
    <w:uiPriority w:val="99"/>
    <w:semiHidden/>
    <w:rsid w:val="00D85B34"/>
    <w:rPr>
      <w:rFonts w:ascii="Times New Roman" w:eastAsia="Times New Roman" w:hAnsi="Times New Roman" w:cs="Times New Roman"/>
      <w:b/>
      <w:bCs/>
      <w:kern w:val="0"/>
      <w:sz w:val="20"/>
      <w:szCs w:val="20"/>
    </w:rPr>
  </w:style>
  <w:style w:type="paragraph" w:styleId="ListParagraph">
    <w:name w:val="List Paragraph"/>
    <w:basedOn w:val="Normal"/>
    <w:uiPriority w:val="34"/>
    <w:qFormat/>
    <w:rsid w:val="00D85B34"/>
    <w:pPr>
      <w:ind w:left="720"/>
      <w:contextualSpacing/>
    </w:pPr>
  </w:style>
  <w:style w:type="paragraph" w:styleId="Revision">
    <w:name w:val="Revision"/>
    <w:hidden/>
    <w:uiPriority w:val="99"/>
    <w:semiHidden/>
    <w:rsid w:val="00D85B34"/>
    <w:rPr>
      <w:rFonts w:ascii="Times New Roman" w:eastAsia="Times New Roman" w:hAnsi="Times New Roman"/>
      <w:sz w:val="24"/>
    </w:rPr>
  </w:style>
  <w:style w:type="character" w:customStyle="1" w:styleId="pere">
    <w:name w:val="pere"/>
    <w:basedOn w:val="DefaultParagraphFont"/>
    <w:rsid w:val="00943B37"/>
  </w:style>
  <w:style w:type="character" w:customStyle="1" w:styleId="foreign">
    <w:name w:val="foreign"/>
    <w:basedOn w:val="DefaultParagraphFont"/>
    <w:rsid w:val="00AC412A"/>
  </w:style>
  <w:style w:type="paragraph" w:styleId="TOC6">
    <w:name w:val="toc 6"/>
    <w:basedOn w:val="Normal"/>
    <w:next w:val="Normal"/>
    <w:autoRedefine/>
    <w:uiPriority w:val="39"/>
    <w:unhideWhenUsed/>
    <w:rsid w:val="00B97705"/>
    <w:pPr>
      <w:ind w:left="1200"/>
    </w:pPr>
    <w:rPr>
      <w:rFonts w:asciiTheme="minorHAnsi" w:hAnsiTheme="minorHAnsi"/>
      <w:sz w:val="20"/>
      <w:szCs w:val="24"/>
    </w:rPr>
  </w:style>
  <w:style w:type="paragraph" w:styleId="TOC7">
    <w:name w:val="toc 7"/>
    <w:basedOn w:val="Normal"/>
    <w:next w:val="Normal"/>
    <w:autoRedefine/>
    <w:uiPriority w:val="39"/>
    <w:unhideWhenUsed/>
    <w:rsid w:val="00B97705"/>
    <w:pPr>
      <w:ind w:left="1440"/>
    </w:pPr>
    <w:rPr>
      <w:rFonts w:asciiTheme="minorHAnsi" w:hAnsiTheme="minorHAnsi"/>
      <w:sz w:val="20"/>
      <w:szCs w:val="24"/>
    </w:rPr>
  </w:style>
  <w:style w:type="paragraph" w:styleId="TOC8">
    <w:name w:val="toc 8"/>
    <w:basedOn w:val="Normal"/>
    <w:next w:val="Normal"/>
    <w:autoRedefine/>
    <w:uiPriority w:val="39"/>
    <w:unhideWhenUsed/>
    <w:rsid w:val="00B97705"/>
    <w:pPr>
      <w:ind w:left="1680"/>
    </w:pPr>
    <w:rPr>
      <w:rFonts w:asciiTheme="minorHAnsi" w:hAnsiTheme="minorHAnsi"/>
      <w:sz w:val="20"/>
      <w:szCs w:val="24"/>
    </w:rPr>
  </w:style>
  <w:style w:type="paragraph" w:styleId="TOC9">
    <w:name w:val="toc 9"/>
    <w:basedOn w:val="Normal"/>
    <w:next w:val="Normal"/>
    <w:autoRedefine/>
    <w:uiPriority w:val="39"/>
    <w:unhideWhenUsed/>
    <w:rsid w:val="00B97705"/>
    <w:pPr>
      <w:ind w:left="1920"/>
    </w:pPr>
    <w:rPr>
      <w:rFonts w:asciiTheme="minorHAnsi" w:hAnsiTheme="minorHAnsi"/>
      <w:sz w:val="20"/>
      <w:szCs w:val="24"/>
    </w:rPr>
  </w:style>
  <w:style w:type="paragraph" w:customStyle="1" w:styleId="Insert">
    <w:name w:val="Insert"/>
    <w:basedOn w:val="Normal"/>
    <w:link w:val="InsertChar"/>
    <w:autoRedefine/>
    <w:qFormat/>
    <w:rsid w:val="00BE1885"/>
    <w:rPr>
      <w:b/>
      <w:bCs/>
      <w:color w:val="FF0000"/>
      <w:sz w:val="20"/>
      <w:szCs w:val="24"/>
      <w:lang w:val="ru-RU"/>
    </w:rPr>
  </w:style>
  <w:style w:type="character" w:customStyle="1" w:styleId="InsertChar">
    <w:name w:val="Insert Char"/>
    <w:basedOn w:val="DefaultParagraphFont"/>
    <w:link w:val="Insert"/>
    <w:rsid w:val="00BE1885"/>
    <w:rPr>
      <w:rFonts w:ascii="Times New Roman" w:eastAsia="Times New Roman" w:hAnsi="Times New Roman"/>
      <w:b/>
      <w:bCs/>
      <w:color w:val="FF0000"/>
      <w:szCs w:val="24"/>
      <w:lang w:val="ru-RU"/>
    </w:rPr>
  </w:style>
  <w:style w:type="character" w:styleId="UnresolvedMention">
    <w:name w:val="Unresolved Mention"/>
    <w:basedOn w:val="DefaultParagraphFont"/>
    <w:uiPriority w:val="99"/>
    <w:semiHidden/>
    <w:unhideWhenUsed/>
    <w:rsid w:val="00BE1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72205">
      <w:bodyDiv w:val="1"/>
      <w:marLeft w:val="0"/>
      <w:marRight w:val="0"/>
      <w:marTop w:val="0"/>
      <w:marBottom w:val="0"/>
      <w:divBdr>
        <w:top w:val="none" w:sz="0" w:space="0" w:color="auto"/>
        <w:left w:val="none" w:sz="0" w:space="0" w:color="auto"/>
        <w:bottom w:val="none" w:sz="0" w:space="0" w:color="auto"/>
        <w:right w:val="none" w:sz="0" w:space="0" w:color="auto"/>
      </w:divBdr>
    </w:div>
    <w:div w:id="372535223">
      <w:bodyDiv w:val="1"/>
      <w:marLeft w:val="0"/>
      <w:marRight w:val="0"/>
      <w:marTop w:val="0"/>
      <w:marBottom w:val="0"/>
      <w:divBdr>
        <w:top w:val="none" w:sz="0" w:space="0" w:color="auto"/>
        <w:left w:val="none" w:sz="0" w:space="0" w:color="auto"/>
        <w:bottom w:val="none" w:sz="0" w:space="0" w:color="auto"/>
        <w:right w:val="none" w:sz="0" w:space="0" w:color="auto"/>
      </w:divBdr>
    </w:div>
    <w:div w:id="416487849">
      <w:bodyDiv w:val="1"/>
      <w:marLeft w:val="0"/>
      <w:marRight w:val="0"/>
      <w:marTop w:val="0"/>
      <w:marBottom w:val="0"/>
      <w:divBdr>
        <w:top w:val="none" w:sz="0" w:space="0" w:color="auto"/>
        <w:left w:val="none" w:sz="0" w:space="0" w:color="auto"/>
        <w:bottom w:val="none" w:sz="0" w:space="0" w:color="auto"/>
        <w:right w:val="none" w:sz="0" w:space="0" w:color="auto"/>
      </w:divBdr>
    </w:div>
    <w:div w:id="1619068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525E3F-04D1-40F7-99CF-E983FCFBF7B1}">
  <we:reference id="wa200010453" version="1.0.0.1" store="en-US" storeType="OMEX"/>
  <we:alternateReferences>
    <we:reference id="wa200010453" version="1.0.0.1" store="" storeType="OMEX"/>
  </we:alternateReferences>
  <we:properties>
    <we:property name="claude.fileId" value="&quot;5c59b1e3-3244-401f-8336-e778b3debe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3708-5B6F-496D-B8F9-35DAC29F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TotalTime>
  <Pages>412</Pages>
  <Words>13866</Words>
  <Characters>439162</Characters>
  <Application>Microsoft Office Word</Application>
  <DocSecurity>0</DocSecurity>
  <Lines>13723</Lines>
  <Paragraphs>2167</Paragraphs>
  <ScaleCrop>false</ScaleCrop>
  <HeadingPairs>
    <vt:vector size="2" baseType="variant">
      <vt:variant>
        <vt:lpstr>Title</vt:lpstr>
      </vt:variant>
      <vt:variant>
        <vt:i4>1</vt:i4>
      </vt:variant>
    </vt:vector>
  </HeadingPairs>
  <TitlesOfParts>
    <vt:vector size="1" baseType="lpstr">
      <vt:lpstr>东正教教义神学·第二卷</vt:lpstr>
    </vt:vector>
  </TitlesOfParts>
  <Company>Orthodox.Asia</Company>
  <LinksUpToDate>false</LinksUpToDate>
  <CharactersWithSpaces>450861</CharactersWithSpaces>
  <SharedDoc>false</SharedDoc>
  <HLinks>
    <vt:vector size="306" baseType="variant">
      <vt:variant>
        <vt:i4>1703989</vt:i4>
      </vt:variant>
      <vt:variant>
        <vt:i4>302</vt:i4>
      </vt:variant>
      <vt:variant>
        <vt:i4>0</vt:i4>
      </vt:variant>
      <vt:variant>
        <vt:i4>5</vt:i4>
      </vt:variant>
      <vt:variant>
        <vt:lpwstr/>
      </vt:variant>
      <vt:variant>
        <vt:lpwstr>_Toc180664277</vt:lpwstr>
      </vt:variant>
      <vt:variant>
        <vt:i4>1703989</vt:i4>
      </vt:variant>
      <vt:variant>
        <vt:i4>296</vt:i4>
      </vt:variant>
      <vt:variant>
        <vt:i4>0</vt:i4>
      </vt:variant>
      <vt:variant>
        <vt:i4>5</vt:i4>
      </vt:variant>
      <vt:variant>
        <vt:lpwstr/>
      </vt:variant>
      <vt:variant>
        <vt:lpwstr>_Toc180664276</vt:lpwstr>
      </vt:variant>
      <vt:variant>
        <vt:i4>1703989</vt:i4>
      </vt:variant>
      <vt:variant>
        <vt:i4>290</vt:i4>
      </vt:variant>
      <vt:variant>
        <vt:i4>0</vt:i4>
      </vt:variant>
      <vt:variant>
        <vt:i4>5</vt:i4>
      </vt:variant>
      <vt:variant>
        <vt:lpwstr/>
      </vt:variant>
      <vt:variant>
        <vt:lpwstr>_Toc180664275</vt:lpwstr>
      </vt:variant>
      <vt:variant>
        <vt:i4>1703989</vt:i4>
      </vt:variant>
      <vt:variant>
        <vt:i4>284</vt:i4>
      </vt:variant>
      <vt:variant>
        <vt:i4>0</vt:i4>
      </vt:variant>
      <vt:variant>
        <vt:i4>5</vt:i4>
      </vt:variant>
      <vt:variant>
        <vt:lpwstr/>
      </vt:variant>
      <vt:variant>
        <vt:lpwstr>_Toc180664274</vt:lpwstr>
      </vt:variant>
      <vt:variant>
        <vt:i4>1703989</vt:i4>
      </vt:variant>
      <vt:variant>
        <vt:i4>278</vt:i4>
      </vt:variant>
      <vt:variant>
        <vt:i4>0</vt:i4>
      </vt:variant>
      <vt:variant>
        <vt:i4>5</vt:i4>
      </vt:variant>
      <vt:variant>
        <vt:lpwstr/>
      </vt:variant>
      <vt:variant>
        <vt:lpwstr>_Toc180664273</vt:lpwstr>
      </vt:variant>
      <vt:variant>
        <vt:i4>1703989</vt:i4>
      </vt:variant>
      <vt:variant>
        <vt:i4>272</vt:i4>
      </vt:variant>
      <vt:variant>
        <vt:i4>0</vt:i4>
      </vt:variant>
      <vt:variant>
        <vt:i4>5</vt:i4>
      </vt:variant>
      <vt:variant>
        <vt:lpwstr/>
      </vt:variant>
      <vt:variant>
        <vt:lpwstr>_Toc180664272</vt:lpwstr>
      </vt:variant>
      <vt:variant>
        <vt:i4>1703989</vt:i4>
      </vt:variant>
      <vt:variant>
        <vt:i4>266</vt:i4>
      </vt:variant>
      <vt:variant>
        <vt:i4>0</vt:i4>
      </vt:variant>
      <vt:variant>
        <vt:i4>5</vt:i4>
      </vt:variant>
      <vt:variant>
        <vt:lpwstr/>
      </vt:variant>
      <vt:variant>
        <vt:lpwstr>_Toc180664271</vt:lpwstr>
      </vt:variant>
      <vt:variant>
        <vt:i4>1703989</vt:i4>
      </vt:variant>
      <vt:variant>
        <vt:i4>260</vt:i4>
      </vt:variant>
      <vt:variant>
        <vt:i4>0</vt:i4>
      </vt:variant>
      <vt:variant>
        <vt:i4>5</vt:i4>
      </vt:variant>
      <vt:variant>
        <vt:lpwstr/>
      </vt:variant>
      <vt:variant>
        <vt:lpwstr>_Toc180664270</vt:lpwstr>
      </vt:variant>
      <vt:variant>
        <vt:i4>1769525</vt:i4>
      </vt:variant>
      <vt:variant>
        <vt:i4>254</vt:i4>
      </vt:variant>
      <vt:variant>
        <vt:i4>0</vt:i4>
      </vt:variant>
      <vt:variant>
        <vt:i4>5</vt:i4>
      </vt:variant>
      <vt:variant>
        <vt:lpwstr/>
      </vt:variant>
      <vt:variant>
        <vt:lpwstr>_Toc180664269</vt:lpwstr>
      </vt:variant>
      <vt:variant>
        <vt:i4>1769525</vt:i4>
      </vt:variant>
      <vt:variant>
        <vt:i4>248</vt:i4>
      </vt:variant>
      <vt:variant>
        <vt:i4>0</vt:i4>
      </vt:variant>
      <vt:variant>
        <vt:i4>5</vt:i4>
      </vt:variant>
      <vt:variant>
        <vt:lpwstr/>
      </vt:variant>
      <vt:variant>
        <vt:lpwstr>_Toc180664268</vt:lpwstr>
      </vt:variant>
      <vt:variant>
        <vt:i4>1769525</vt:i4>
      </vt:variant>
      <vt:variant>
        <vt:i4>242</vt:i4>
      </vt:variant>
      <vt:variant>
        <vt:i4>0</vt:i4>
      </vt:variant>
      <vt:variant>
        <vt:i4>5</vt:i4>
      </vt:variant>
      <vt:variant>
        <vt:lpwstr/>
      </vt:variant>
      <vt:variant>
        <vt:lpwstr>_Toc180664267</vt:lpwstr>
      </vt:variant>
      <vt:variant>
        <vt:i4>1769525</vt:i4>
      </vt:variant>
      <vt:variant>
        <vt:i4>236</vt:i4>
      </vt:variant>
      <vt:variant>
        <vt:i4>0</vt:i4>
      </vt:variant>
      <vt:variant>
        <vt:i4>5</vt:i4>
      </vt:variant>
      <vt:variant>
        <vt:lpwstr/>
      </vt:variant>
      <vt:variant>
        <vt:lpwstr>_Toc180664266</vt:lpwstr>
      </vt:variant>
      <vt:variant>
        <vt:i4>1769525</vt:i4>
      </vt:variant>
      <vt:variant>
        <vt:i4>230</vt:i4>
      </vt:variant>
      <vt:variant>
        <vt:i4>0</vt:i4>
      </vt:variant>
      <vt:variant>
        <vt:i4>5</vt:i4>
      </vt:variant>
      <vt:variant>
        <vt:lpwstr/>
      </vt:variant>
      <vt:variant>
        <vt:lpwstr>_Toc180664265</vt:lpwstr>
      </vt:variant>
      <vt:variant>
        <vt:i4>1769525</vt:i4>
      </vt:variant>
      <vt:variant>
        <vt:i4>224</vt:i4>
      </vt:variant>
      <vt:variant>
        <vt:i4>0</vt:i4>
      </vt:variant>
      <vt:variant>
        <vt:i4>5</vt:i4>
      </vt:variant>
      <vt:variant>
        <vt:lpwstr/>
      </vt:variant>
      <vt:variant>
        <vt:lpwstr>_Toc180664264</vt:lpwstr>
      </vt:variant>
      <vt:variant>
        <vt:i4>1769525</vt:i4>
      </vt:variant>
      <vt:variant>
        <vt:i4>218</vt:i4>
      </vt:variant>
      <vt:variant>
        <vt:i4>0</vt:i4>
      </vt:variant>
      <vt:variant>
        <vt:i4>5</vt:i4>
      </vt:variant>
      <vt:variant>
        <vt:lpwstr/>
      </vt:variant>
      <vt:variant>
        <vt:lpwstr>_Toc180664263</vt:lpwstr>
      </vt:variant>
      <vt:variant>
        <vt:i4>1769525</vt:i4>
      </vt:variant>
      <vt:variant>
        <vt:i4>212</vt:i4>
      </vt:variant>
      <vt:variant>
        <vt:i4>0</vt:i4>
      </vt:variant>
      <vt:variant>
        <vt:i4>5</vt:i4>
      </vt:variant>
      <vt:variant>
        <vt:lpwstr/>
      </vt:variant>
      <vt:variant>
        <vt:lpwstr>_Toc180664262</vt:lpwstr>
      </vt:variant>
      <vt:variant>
        <vt:i4>1769525</vt:i4>
      </vt:variant>
      <vt:variant>
        <vt:i4>206</vt:i4>
      </vt:variant>
      <vt:variant>
        <vt:i4>0</vt:i4>
      </vt:variant>
      <vt:variant>
        <vt:i4>5</vt:i4>
      </vt:variant>
      <vt:variant>
        <vt:lpwstr/>
      </vt:variant>
      <vt:variant>
        <vt:lpwstr>_Toc180664261</vt:lpwstr>
      </vt:variant>
      <vt:variant>
        <vt:i4>1769525</vt:i4>
      </vt:variant>
      <vt:variant>
        <vt:i4>200</vt:i4>
      </vt:variant>
      <vt:variant>
        <vt:i4>0</vt:i4>
      </vt:variant>
      <vt:variant>
        <vt:i4>5</vt:i4>
      </vt:variant>
      <vt:variant>
        <vt:lpwstr/>
      </vt:variant>
      <vt:variant>
        <vt:lpwstr>_Toc180664260</vt:lpwstr>
      </vt:variant>
      <vt:variant>
        <vt:i4>1572917</vt:i4>
      </vt:variant>
      <vt:variant>
        <vt:i4>194</vt:i4>
      </vt:variant>
      <vt:variant>
        <vt:i4>0</vt:i4>
      </vt:variant>
      <vt:variant>
        <vt:i4>5</vt:i4>
      </vt:variant>
      <vt:variant>
        <vt:lpwstr/>
      </vt:variant>
      <vt:variant>
        <vt:lpwstr>_Toc180664259</vt:lpwstr>
      </vt:variant>
      <vt:variant>
        <vt:i4>1572917</vt:i4>
      </vt:variant>
      <vt:variant>
        <vt:i4>188</vt:i4>
      </vt:variant>
      <vt:variant>
        <vt:i4>0</vt:i4>
      </vt:variant>
      <vt:variant>
        <vt:i4>5</vt:i4>
      </vt:variant>
      <vt:variant>
        <vt:lpwstr/>
      </vt:variant>
      <vt:variant>
        <vt:lpwstr>_Toc180664258</vt:lpwstr>
      </vt:variant>
      <vt:variant>
        <vt:i4>1572917</vt:i4>
      </vt:variant>
      <vt:variant>
        <vt:i4>182</vt:i4>
      </vt:variant>
      <vt:variant>
        <vt:i4>0</vt:i4>
      </vt:variant>
      <vt:variant>
        <vt:i4>5</vt:i4>
      </vt:variant>
      <vt:variant>
        <vt:lpwstr/>
      </vt:variant>
      <vt:variant>
        <vt:lpwstr>_Toc180664257</vt:lpwstr>
      </vt:variant>
      <vt:variant>
        <vt:i4>1572917</vt:i4>
      </vt:variant>
      <vt:variant>
        <vt:i4>176</vt:i4>
      </vt:variant>
      <vt:variant>
        <vt:i4>0</vt:i4>
      </vt:variant>
      <vt:variant>
        <vt:i4>5</vt:i4>
      </vt:variant>
      <vt:variant>
        <vt:lpwstr/>
      </vt:variant>
      <vt:variant>
        <vt:lpwstr>_Toc180664256</vt:lpwstr>
      </vt:variant>
      <vt:variant>
        <vt:i4>1572917</vt:i4>
      </vt:variant>
      <vt:variant>
        <vt:i4>170</vt:i4>
      </vt:variant>
      <vt:variant>
        <vt:i4>0</vt:i4>
      </vt:variant>
      <vt:variant>
        <vt:i4>5</vt:i4>
      </vt:variant>
      <vt:variant>
        <vt:lpwstr/>
      </vt:variant>
      <vt:variant>
        <vt:lpwstr>_Toc180664255</vt:lpwstr>
      </vt:variant>
      <vt:variant>
        <vt:i4>1572917</vt:i4>
      </vt:variant>
      <vt:variant>
        <vt:i4>164</vt:i4>
      </vt:variant>
      <vt:variant>
        <vt:i4>0</vt:i4>
      </vt:variant>
      <vt:variant>
        <vt:i4>5</vt:i4>
      </vt:variant>
      <vt:variant>
        <vt:lpwstr/>
      </vt:variant>
      <vt:variant>
        <vt:lpwstr>_Toc180664254</vt:lpwstr>
      </vt:variant>
      <vt:variant>
        <vt:i4>1572917</vt:i4>
      </vt:variant>
      <vt:variant>
        <vt:i4>158</vt:i4>
      </vt:variant>
      <vt:variant>
        <vt:i4>0</vt:i4>
      </vt:variant>
      <vt:variant>
        <vt:i4>5</vt:i4>
      </vt:variant>
      <vt:variant>
        <vt:lpwstr/>
      </vt:variant>
      <vt:variant>
        <vt:lpwstr>_Toc180664253</vt:lpwstr>
      </vt:variant>
      <vt:variant>
        <vt:i4>1572917</vt:i4>
      </vt:variant>
      <vt:variant>
        <vt:i4>152</vt:i4>
      </vt:variant>
      <vt:variant>
        <vt:i4>0</vt:i4>
      </vt:variant>
      <vt:variant>
        <vt:i4>5</vt:i4>
      </vt:variant>
      <vt:variant>
        <vt:lpwstr/>
      </vt:variant>
      <vt:variant>
        <vt:lpwstr>_Toc180664252</vt:lpwstr>
      </vt:variant>
      <vt:variant>
        <vt:i4>1572917</vt:i4>
      </vt:variant>
      <vt:variant>
        <vt:i4>146</vt:i4>
      </vt:variant>
      <vt:variant>
        <vt:i4>0</vt:i4>
      </vt:variant>
      <vt:variant>
        <vt:i4>5</vt:i4>
      </vt:variant>
      <vt:variant>
        <vt:lpwstr/>
      </vt:variant>
      <vt:variant>
        <vt:lpwstr>_Toc180664251</vt:lpwstr>
      </vt:variant>
      <vt:variant>
        <vt:i4>1572917</vt:i4>
      </vt:variant>
      <vt:variant>
        <vt:i4>140</vt:i4>
      </vt:variant>
      <vt:variant>
        <vt:i4>0</vt:i4>
      </vt:variant>
      <vt:variant>
        <vt:i4>5</vt:i4>
      </vt:variant>
      <vt:variant>
        <vt:lpwstr/>
      </vt:variant>
      <vt:variant>
        <vt:lpwstr>_Toc180664250</vt:lpwstr>
      </vt:variant>
      <vt:variant>
        <vt:i4>1638453</vt:i4>
      </vt:variant>
      <vt:variant>
        <vt:i4>134</vt:i4>
      </vt:variant>
      <vt:variant>
        <vt:i4>0</vt:i4>
      </vt:variant>
      <vt:variant>
        <vt:i4>5</vt:i4>
      </vt:variant>
      <vt:variant>
        <vt:lpwstr/>
      </vt:variant>
      <vt:variant>
        <vt:lpwstr>_Toc180664249</vt:lpwstr>
      </vt:variant>
      <vt:variant>
        <vt:i4>1638453</vt:i4>
      </vt:variant>
      <vt:variant>
        <vt:i4>128</vt:i4>
      </vt:variant>
      <vt:variant>
        <vt:i4>0</vt:i4>
      </vt:variant>
      <vt:variant>
        <vt:i4>5</vt:i4>
      </vt:variant>
      <vt:variant>
        <vt:lpwstr/>
      </vt:variant>
      <vt:variant>
        <vt:lpwstr>_Toc180664248</vt:lpwstr>
      </vt:variant>
      <vt:variant>
        <vt:i4>1638453</vt:i4>
      </vt:variant>
      <vt:variant>
        <vt:i4>122</vt:i4>
      </vt:variant>
      <vt:variant>
        <vt:i4>0</vt:i4>
      </vt:variant>
      <vt:variant>
        <vt:i4>5</vt:i4>
      </vt:variant>
      <vt:variant>
        <vt:lpwstr/>
      </vt:variant>
      <vt:variant>
        <vt:lpwstr>_Toc180664247</vt:lpwstr>
      </vt:variant>
      <vt:variant>
        <vt:i4>1638453</vt:i4>
      </vt:variant>
      <vt:variant>
        <vt:i4>116</vt:i4>
      </vt:variant>
      <vt:variant>
        <vt:i4>0</vt:i4>
      </vt:variant>
      <vt:variant>
        <vt:i4>5</vt:i4>
      </vt:variant>
      <vt:variant>
        <vt:lpwstr/>
      </vt:variant>
      <vt:variant>
        <vt:lpwstr>_Toc180664246</vt:lpwstr>
      </vt:variant>
      <vt:variant>
        <vt:i4>1638453</vt:i4>
      </vt:variant>
      <vt:variant>
        <vt:i4>110</vt:i4>
      </vt:variant>
      <vt:variant>
        <vt:i4>0</vt:i4>
      </vt:variant>
      <vt:variant>
        <vt:i4>5</vt:i4>
      </vt:variant>
      <vt:variant>
        <vt:lpwstr/>
      </vt:variant>
      <vt:variant>
        <vt:lpwstr>_Toc180664245</vt:lpwstr>
      </vt:variant>
      <vt:variant>
        <vt:i4>1638453</vt:i4>
      </vt:variant>
      <vt:variant>
        <vt:i4>104</vt:i4>
      </vt:variant>
      <vt:variant>
        <vt:i4>0</vt:i4>
      </vt:variant>
      <vt:variant>
        <vt:i4>5</vt:i4>
      </vt:variant>
      <vt:variant>
        <vt:lpwstr/>
      </vt:variant>
      <vt:variant>
        <vt:lpwstr>_Toc180664244</vt:lpwstr>
      </vt:variant>
      <vt:variant>
        <vt:i4>1638453</vt:i4>
      </vt:variant>
      <vt:variant>
        <vt:i4>98</vt:i4>
      </vt:variant>
      <vt:variant>
        <vt:i4>0</vt:i4>
      </vt:variant>
      <vt:variant>
        <vt:i4>5</vt:i4>
      </vt:variant>
      <vt:variant>
        <vt:lpwstr/>
      </vt:variant>
      <vt:variant>
        <vt:lpwstr>_Toc180664243</vt:lpwstr>
      </vt:variant>
      <vt:variant>
        <vt:i4>1638453</vt:i4>
      </vt:variant>
      <vt:variant>
        <vt:i4>92</vt:i4>
      </vt:variant>
      <vt:variant>
        <vt:i4>0</vt:i4>
      </vt:variant>
      <vt:variant>
        <vt:i4>5</vt:i4>
      </vt:variant>
      <vt:variant>
        <vt:lpwstr/>
      </vt:variant>
      <vt:variant>
        <vt:lpwstr>_Toc180664242</vt:lpwstr>
      </vt:variant>
      <vt:variant>
        <vt:i4>1638453</vt:i4>
      </vt:variant>
      <vt:variant>
        <vt:i4>86</vt:i4>
      </vt:variant>
      <vt:variant>
        <vt:i4>0</vt:i4>
      </vt:variant>
      <vt:variant>
        <vt:i4>5</vt:i4>
      </vt:variant>
      <vt:variant>
        <vt:lpwstr/>
      </vt:variant>
      <vt:variant>
        <vt:lpwstr>_Toc180664241</vt:lpwstr>
      </vt:variant>
      <vt:variant>
        <vt:i4>1638453</vt:i4>
      </vt:variant>
      <vt:variant>
        <vt:i4>80</vt:i4>
      </vt:variant>
      <vt:variant>
        <vt:i4>0</vt:i4>
      </vt:variant>
      <vt:variant>
        <vt:i4>5</vt:i4>
      </vt:variant>
      <vt:variant>
        <vt:lpwstr/>
      </vt:variant>
      <vt:variant>
        <vt:lpwstr>_Toc180664240</vt:lpwstr>
      </vt:variant>
      <vt:variant>
        <vt:i4>1966133</vt:i4>
      </vt:variant>
      <vt:variant>
        <vt:i4>74</vt:i4>
      </vt:variant>
      <vt:variant>
        <vt:i4>0</vt:i4>
      </vt:variant>
      <vt:variant>
        <vt:i4>5</vt:i4>
      </vt:variant>
      <vt:variant>
        <vt:lpwstr/>
      </vt:variant>
      <vt:variant>
        <vt:lpwstr>_Toc180664239</vt:lpwstr>
      </vt:variant>
      <vt:variant>
        <vt:i4>1966133</vt:i4>
      </vt:variant>
      <vt:variant>
        <vt:i4>68</vt:i4>
      </vt:variant>
      <vt:variant>
        <vt:i4>0</vt:i4>
      </vt:variant>
      <vt:variant>
        <vt:i4>5</vt:i4>
      </vt:variant>
      <vt:variant>
        <vt:lpwstr/>
      </vt:variant>
      <vt:variant>
        <vt:lpwstr>_Toc180664238</vt:lpwstr>
      </vt:variant>
      <vt:variant>
        <vt:i4>1966133</vt:i4>
      </vt:variant>
      <vt:variant>
        <vt:i4>62</vt:i4>
      </vt:variant>
      <vt:variant>
        <vt:i4>0</vt:i4>
      </vt:variant>
      <vt:variant>
        <vt:i4>5</vt:i4>
      </vt:variant>
      <vt:variant>
        <vt:lpwstr/>
      </vt:variant>
      <vt:variant>
        <vt:lpwstr>_Toc180664237</vt:lpwstr>
      </vt:variant>
      <vt:variant>
        <vt:i4>1966133</vt:i4>
      </vt:variant>
      <vt:variant>
        <vt:i4>56</vt:i4>
      </vt:variant>
      <vt:variant>
        <vt:i4>0</vt:i4>
      </vt:variant>
      <vt:variant>
        <vt:i4>5</vt:i4>
      </vt:variant>
      <vt:variant>
        <vt:lpwstr/>
      </vt:variant>
      <vt:variant>
        <vt:lpwstr>_Toc180664236</vt:lpwstr>
      </vt:variant>
      <vt:variant>
        <vt:i4>1966133</vt:i4>
      </vt:variant>
      <vt:variant>
        <vt:i4>50</vt:i4>
      </vt:variant>
      <vt:variant>
        <vt:i4>0</vt:i4>
      </vt:variant>
      <vt:variant>
        <vt:i4>5</vt:i4>
      </vt:variant>
      <vt:variant>
        <vt:lpwstr/>
      </vt:variant>
      <vt:variant>
        <vt:lpwstr>_Toc180664235</vt:lpwstr>
      </vt:variant>
      <vt:variant>
        <vt:i4>1966133</vt:i4>
      </vt:variant>
      <vt:variant>
        <vt:i4>44</vt:i4>
      </vt:variant>
      <vt:variant>
        <vt:i4>0</vt:i4>
      </vt:variant>
      <vt:variant>
        <vt:i4>5</vt:i4>
      </vt:variant>
      <vt:variant>
        <vt:lpwstr/>
      </vt:variant>
      <vt:variant>
        <vt:lpwstr>_Toc180664234</vt:lpwstr>
      </vt:variant>
      <vt:variant>
        <vt:i4>1966133</vt:i4>
      </vt:variant>
      <vt:variant>
        <vt:i4>38</vt:i4>
      </vt:variant>
      <vt:variant>
        <vt:i4>0</vt:i4>
      </vt:variant>
      <vt:variant>
        <vt:i4>5</vt:i4>
      </vt:variant>
      <vt:variant>
        <vt:lpwstr/>
      </vt:variant>
      <vt:variant>
        <vt:lpwstr>_Toc180664233</vt:lpwstr>
      </vt:variant>
      <vt:variant>
        <vt:i4>1966133</vt:i4>
      </vt:variant>
      <vt:variant>
        <vt:i4>32</vt:i4>
      </vt:variant>
      <vt:variant>
        <vt:i4>0</vt:i4>
      </vt:variant>
      <vt:variant>
        <vt:i4>5</vt:i4>
      </vt:variant>
      <vt:variant>
        <vt:lpwstr/>
      </vt:variant>
      <vt:variant>
        <vt:lpwstr>_Toc180664232</vt:lpwstr>
      </vt:variant>
      <vt:variant>
        <vt:i4>1966133</vt:i4>
      </vt:variant>
      <vt:variant>
        <vt:i4>26</vt:i4>
      </vt:variant>
      <vt:variant>
        <vt:i4>0</vt:i4>
      </vt:variant>
      <vt:variant>
        <vt:i4>5</vt:i4>
      </vt:variant>
      <vt:variant>
        <vt:lpwstr/>
      </vt:variant>
      <vt:variant>
        <vt:lpwstr>_Toc180664231</vt:lpwstr>
      </vt:variant>
      <vt:variant>
        <vt:i4>1966133</vt:i4>
      </vt:variant>
      <vt:variant>
        <vt:i4>20</vt:i4>
      </vt:variant>
      <vt:variant>
        <vt:i4>0</vt:i4>
      </vt:variant>
      <vt:variant>
        <vt:i4>5</vt:i4>
      </vt:variant>
      <vt:variant>
        <vt:lpwstr/>
      </vt:variant>
      <vt:variant>
        <vt:lpwstr>_Toc180664230</vt:lpwstr>
      </vt:variant>
      <vt:variant>
        <vt:i4>2031669</vt:i4>
      </vt:variant>
      <vt:variant>
        <vt:i4>14</vt:i4>
      </vt:variant>
      <vt:variant>
        <vt:i4>0</vt:i4>
      </vt:variant>
      <vt:variant>
        <vt:i4>5</vt:i4>
      </vt:variant>
      <vt:variant>
        <vt:lpwstr/>
      </vt:variant>
      <vt:variant>
        <vt:lpwstr>_Toc180664229</vt:lpwstr>
      </vt:variant>
      <vt:variant>
        <vt:i4>2031669</vt:i4>
      </vt:variant>
      <vt:variant>
        <vt:i4>8</vt:i4>
      </vt:variant>
      <vt:variant>
        <vt:i4>0</vt:i4>
      </vt:variant>
      <vt:variant>
        <vt:i4>5</vt:i4>
      </vt:variant>
      <vt:variant>
        <vt:lpwstr/>
      </vt:variant>
      <vt:variant>
        <vt:lpwstr>_Toc180664228</vt:lpwstr>
      </vt:variant>
      <vt:variant>
        <vt:i4>2031669</vt:i4>
      </vt:variant>
      <vt:variant>
        <vt:i4>2</vt:i4>
      </vt:variant>
      <vt:variant>
        <vt:i4>0</vt:i4>
      </vt:variant>
      <vt:variant>
        <vt:i4>5</vt:i4>
      </vt:variant>
      <vt:variant>
        <vt:lpwstr/>
      </vt:variant>
      <vt:variant>
        <vt:lpwstr>_Toc180664227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东正教教义神学·第二卷</dc:title>
  <dc:subject>08</dc:subject>
  <dc:creator>马卡里·布尔加科夫</dc:creator>
  <cp:keywords>东正教神学, 教义神学, 马卡里·布尔加科夫都主教, 东正教教义学, 救主上帝, 耶稣基督, 道成肉身, 基督二性, 救赎, 人类得救, 教会, 上帝恩典, 教会圣事, 圣洗, 傅圣膏, 圣体血, 忏悔, 圣油礼, 婚配, 神品, 私审判, 末日审判, 死者复活, 来世生命, 东正教信理</cp:keywords>
  <dc:description>马卡里（布尔加科夫）都主教所著《东正教教义神学》第二卷，专论救主上帝及其与人类的特殊关系。书中详尽阐述了东正教关于主耶稣基督的教导：道成肉身的奥秘、基督位格中神人二性的结合，以及祂借着先知、大祭司与君王的三重职分为人类所成就的救赎。关于教会、上帝的恩典以及作为使人成圣之途径的七件教会圣事的教导，在书中占有特殊地位。全书最后论述了关于私审判与末日审判、死后报应，以及普遍复活之后人的最终归宿的教导。与第一卷一样，本卷的论述皆以圣经、圣传、教会的信理定断和圣教父的见证为依据。</dc:description>
  <cp:lastModifiedBy>Dmitri Gropen</cp:lastModifiedBy>
  <cp:revision>6</cp:revision>
  <dcterms:created xsi:type="dcterms:W3CDTF">2026-08-24T17:47:00Z</dcterms:created>
  <dcterms:modified xsi:type="dcterms:W3CDTF">2026-08-26T01:55:00Z</dcterms:modified>
  <dc:language>zh</dc:language>
</cp:coreProperties>
</file>